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sdt>
            <w:sdtPr>
              <w:rPr>
                <w:rFonts w:ascii="Tahoma" w:hAnsi="Tahoma"/>
                <w:b/>
                <w:caps/>
                <w:sz w:val="48"/>
                <w:szCs w:val="48"/>
              </w:rPr>
              <w:alias w:val="Titolo"/>
              <w:id w:val="246224188"/>
              <w:placeholder>
                <w:docPart w:val="C56ECE176E094E6BAA25543FBF4587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240C4A" w:rsidRPr="00240C4A" w:rsidRDefault="00240C4A" w:rsidP="00240C4A">
                <w:pPr>
                  <w:rPr>
                    <w:b/>
                    <w:smallCaps/>
                    <w:sz w:val="48"/>
                    <w:szCs w:val="48"/>
                    <w:u w:val="single"/>
                  </w:rPr>
                </w:pPr>
                <w:r w:rsidRPr="00240C4A">
                  <w:rPr>
                    <w:rFonts w:ascii="Tahoma" w:hAnsi="Tahoma"/>
                    <w:b/>
                    <w:caps/>
                    <w:sz w:val="48"/>
                    <w:szCs w:val="48"/>
                  </w:rPr>
                  <w:t>APPENDICE 2 – TRANSAZIONI MYBANK ATTRAVERSO IL NODO DEI PAGAMENTI-SPC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7E1CB2" w:rsidRPr="00E42DF3" w:rsidRDefault="007E1CB2" w:rsidP="007E1CB2"/>
          <w:p w:rsidR="00C65FD7" w:rsidRPr="00E42DF3" w:rsidRDefault="00C65FD7" w:rsidP="00C65FD7">
            <w:pPr>
              <w:ind w:left="284"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947E93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0A0E08">
      <w:r w:rsidRPr="00E42DF3">
        <w:br w:type="page"/>
      </w:r>
    </w:p>
    <w:p w:rsidR="00240C4A" w:rsidRPr="00E42DF3" w:rsidRDefault="00240C4A" w:rsidP="00240C4A">
      <w:pPr>
        <w:pStyle w:val="AppendiceLiv1"/>
        <w:jc w:val="both"/>
      </w:pPr>
      <w:bookmarkStart w:id="0" w:name="_Toc487281249"/>
      <w:bookmarkStart w:id="1" w:name="_Toc508016403"/>
      <w:r>
        <w:lastRenderedPageBreak/>
        <w:t>Appendice 2</w:t>
      </w:r>
      <w:r w:rsidRPr="00E42DF3">
        <w:t xml:space="preserve"> – </w:t>
      </w:r>
      <w:r>
        <w:fldChar w:fldCharType="begin"/>
      </w:r>
      <w:r>
        <w:instrText xml:space="preserve"> DOCPROPERTY  DocMyBank  \* MERGEFORMAT </w:instrText>
      </w:r>
      <w:r>
        <w:fldChar w:fldCharType="separate"/>
      </w:r>
      <w:r>
        <w:t>Transazioni MyBank attraverso il Nodo dei Pagamenti-SPC</w:t>
      </w:r>
      <w:bookmarkEnd w:id="0"/>
      <w:bookmarkEnd w:id="1"/>
      <w:r>
        <w:fldChar w:fldCharType="end"/>
      </w:r>
    </w:p>
    <w:p w:rsidR="00240C4A" w:rsidRPr="00E42DF3" w:rsidRDefault="00240C4A" w:rsidP="00240C4A">
      <w:pPr>
        <w:pStyle w:val="Normale2"/>
        <w:contextualSpacing/>
        <w:rPr>
          <w:lang w:eastAsia="en-US"/>
        </w:rPr>
      </w:pPr>
      <w:r w:rsidRPr="00E42DF3">
        <w:rPr>
          <w:lang w:eastAsia="en-US"/>
        </w:rPr>
        <w:t xml:space="preserve">L’utilizzo del servizio di pagamento </w:t>
      </w:r>
      <w:proofErr w:type="spellStart"/>
      <w:r w:rsidRPr="00E42DF3">
        <w:rPr>
          <w:lang w:eastAsia="en-US"/>
        </w:rPr>
        <w:t>MyBank</w:t>
      </w:r>
      <w:proofErr w:type="spellEnd"/>
      <w:r w:rsidRPr="00E42DF3">
        <w:rPr>
          <w:lang w:eastAsia="en-US"/>
        </w:rPr>
        <w:t xml:space="preserve"> attraverso il Nodo dei Pagamenti-SPC si inserisce nella strategia AgID di diffusione del sistema dei pagamenti elettronici attraverso il Nodo dei pagamenti-SPC. Infatti l’utilizzo del servizio </w:t>
      </w:r>
      <w:proofErr w:type="spellStart"/>
      <w:r w:rsidRPr="00E42DF3">
        <w:rPr>
          <w:lang w:eastAsia="en-US"/>
        </w:rPr>
        <w:t>MyBank</w:t>
      </w:r>
      <w:proofErr w:type="spellEnd"/>
      <w:r w:rsidRPr="00E42DF3">
        <w:rPr>
          <w:lang w:eastAsia="en-US"/>
        </w:rPr>
        <w:t xml:space="preserve"> in tale contesto:</w:t>
      </w:r>
    </w:p>
    <w:p w:rsidR="00240C4A" w:rsidRPr="00E42DF3" w:rsidRDefault="00240C4A" w:rsidP="00240C4A">
      <w:pPr>
        <w:pStyle w:val="Normale2"/>
        <w:numPr>
          <w:ilvl w:val="0"/>
          <w:numId w:val="46"/>
        </w:numPr>
        <w:contextualSpacing/>
        <w:rPr>
          <w:lang w:eastAsia="en-US"/>
        </w:rPr>
      </w:pPr>
      <w:r w:rsidRPr="00E42DF3">
        <w:rPr>
          <w:lang w:eastAsia="en-US"/>
        </w:rPr>
        <w:t>assicura all’utente finale (Cittadino, Impresa) una totale libertà di scelta del PSP;</w:t>
      </w:r>
    </w:p>
    <w:p w:rsidR="00240C4A" w:rsidRPr="00E42DF3" w:rsidRDefault="00240C4A" w:rsidP="00240C4A">
      <w:pPr>
        <w:pStyle w:val="Normale2"/>
        <w:numPr>
          <w:ilvl w:val="0"/>
          <w:numId w:val="46"/>
        </w:numPr>
        <w:contextualSpacing/>
        <w:rPr>
          <w:lang w:eastAsia="en-US"/>
        </w:rPr>
      </w:pPr>
      <w:r w:rsidRPr="00E42DF3">
        <w:rPr>
          <w:lang w:eastAsia="en-US"/>
        </w:rPr>
        <w:t xml:space="preserve">innesca un circolo virtuoso che accelera il processo di adesione al Nodo dei pagamenti-SPC da parte dei PSP, laddove aderenti al circuito </w:t>
      </w:r>
      <w:proofErr w:type="spellStart"/>
      <w:r w:rsidRPr="00E42DF3">
        <w:rPr>
          <w:lang w:eastAsia="en-US"/>
        </w:rPr>
        <w:t>MyBank</w:t>
      </w:r>
      <w:proofErr w:type="spellEnd"/>
      <w:r w:rsidRPr="00E42DF3">
        <w:rPr>
          <w:lang w:eastAsia="en-US"/>
        </w:rPr>
        <w:t xml:space="preserve">; </w:t>
      </w:r>
    </w:p>
    <w:p w:rsidR="00240C4A" w:rsidRPr="00E42DF3" w:rsidRDefault="00240C4A" w:rsidP="00240C4A">
      <w:pPr>
        <w:pStyle w:val="Normale2"/>
        <w:numPr>
          <w:ilvl w:val="0"/>
          <w:numId w:val="46"/>
        </w:numPr>
        <w:contextualSpacing/>
        <w:rPr>
          <w:lang w:eastAsia="en-US"/>
        </w:rPr>
      </w:pPr>
      <w:r w:rsidRPr="00E42DF3">
        <w:rPr>
          <w:lang w:eastAsia="en-US"/>
        </w:rPr>
        <w:t xml:space="preserve">garantisce la non onerosità del servizio per </w:t>
      </w:r>
      <w:r w:rsidRPr="00E42DF3">
        <w:t>l’Ente Creditore</w:t>
      </w:r>
      <w:r w:rsidRPr="00E42DF3">
        <w:rPr>
          <w:lang w:eastAsia="en-US"/>
        </w:rPr>
        <w:t>;</w:t>
      </w:r>
    </w:p>
    <w:p w:rsidR="00240C4A" w:rsidRPr="00E42DF3" w:rsidRDefault="00240C4A" w:rsidP="00240C4A">
      <w:pPr>
        <w:pStyle w:val="Normale2"/>
        <w:numPr>
          <w:ilvl w:val="0"/>
          <w:numId w:val="46"/>
        </w:numPr>
        <w:rPr>
          <w:lang w:eastAsia="en-US"/>
        </w:rPr>
      </w:pPr>
      <w:r w:rsidRPr="00E42DF3">
        <w:rPr>
          <w:lang w:eastAsia="en-US"/>
        </w:rPr>
        <w:t>assicura una piena concorrenzialità tra i PSP aderenti al Nodo</w:t>
      </w:r>
      <w:r w:rsidRPr="00E42DF3">
        <w:t xml:space="preserve"> </w:t>
      </w:r>
      <w:r w:rsidRPr="00E42DF3">
        <w:rPr>
          <w:lang w:eastAsia="en-US"/>
        </w:rPr>
        <w:t>dei pagamenti-SPC.</w:t>
      </w:r>
    </w:p>
    <w:p w:rsidR="00240C4A" w:rsidRDefault="00240C4A" w:rsidP="00240C4A">
      <w:pPr>
        <w:pStyle w:val="Normale2"/>
        <w:spacing w:after="0"/>
        <w:contextualSpacing/>
        <w:rPr>
          <w:lang w:eastAsia="en-US"/>
        </w:rPr>
      </w:pPr>
      <w:r w:rsidRPr="00E42DF3">
        <w:rPr>
          <w:lang w:eastAsia="en-US"/>
        </w:rPr>
        <w:t>La trattazione completa dell'argomento è consultabile nel documento monografico "</w:t>
      </w:r>
      <w:r w:rsidRPr="00E42DF3">
        <w:rPr>
          <w:i/>
          <w:lang w:eastAsia="en-US"/>
        </w:rPr>
        <w:t xml:space="preserve">Transazioni </w:t>
      </w:r>
      <w:proofErr w:type="spellStart"/>
      <w:r w:rsidRPr="00E42DF3">
        <w:rPr>
          <w:i/>
          <w:lang w:eastAsia="en-US"/>
        </w:rPr>
        <w:t>MyBank</w:t>
      </w:r>
      <w:proofErr w:type="spellEnd"/>
      <w:r w:rsidRPr="00E42DF3">
        <w:rPr>
          <w:i/>
          <w:lang w:eastAsia="en-US"/>
        </w:rPr>
        <w:t xml:space="preserve"> attraverso il No</w:t>
      </w:r>
      <w:r w:rsidRPr="00E42DF3">
        <w:rPr>
          <w:noProof/>
        </w:rPr>
        <w:t xml:space="preserve"> </w:t>
      </w:r>
      <w:r w:rsidRPr="00E42DF3">
        <w:rPr>
          <w:i/>
          <w:lang w:eastAsia="en-US"/>
        </w:rPr>
        <w:t>do dei Pagamenti-SPC</w:t>
      </w:r>
      <w:r w:rsidRPr="00E42DF3">
        <w:rPr>
          <w:lang w:eastAsia="en-US"/>
        </w:rPr>
        <w:t>" pubblicato sul sito dell'Agenzia.</w:t>
      </w:r>
    </w:p>
    <w:p w:rsidR="00240C4A" w:rsidRPr="00E42DF3" w:rsidRDefault="00240C4A" w:rsidP="00240C4A">
      <w:pPr>
        <w:pStyle w:val="Normale2"/>
        <w:spacing w:after="0"/>
        <w:contextualSpacing/>
        <w:rPr>
          <w:lang w:eastAsia="en-US"/>
        </w:rPr>
      </w:pPr>
    </w:p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E0F" w:rsidRDefault="00BB7E0F" w:rsidP="003A220C">
      <w:r>
        <w:separator/>
      </w:r>
    </w:p>
  </w:endnote>
  <w:endnote w:type="continuationSeparator" w:id="0">
    <w:p w:rsidR="00BB7E0F" w:rsidRDefault="00BB7E0F" w:rsidP="003A220C">
      <w:r>
        <w:continuationSeparator/>
      </w:r>
    </w:p>
  </w:endnote>
  <w:endnote w:type="continuationNotice" w:id="1">
    <w:p w:rsidR="00BB7E0F" w:rsidRDefault="00BB7E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E0F" w:rsidRDefault="00BB7E0F" w:rsidP="003A220C">
      <w:r>
        <w:separator/>
      </w:r>
    </w:p>
  </w:footnote>
  <w:footnote w:type="continuationSeparator" w:id="0">
    <w:p w:rsidR="00BB7E0F" w:rsidRDefault="00BB7E0F" w:rsidP="003A220C">
      <w:r>
        <w:continuationSeparator/>
      </w:r>
    </w:p>
  </w:footnote>
  <w:footnote w:type="continuationNotice" w:id="1">
    <w:p w:rsidR="00BB7E0F" w:rsidRDefault="00BB7E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Pr="000A6214" w:rsidRDefault="00240C4A" w:rsidP="000A6214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>APPENDICE 2 – TRANSAZIONI MYBANK ATTRAVERSO IL NODO DEI PAGAMENTI-SPC</w:t>
              </w:r>
            </w:p>
          </w:sdtContent>
        </w:sdt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C46FA68"/>
    <w:lvl w:ilvl="0">
      <w:start w:val="1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14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4727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8E7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4A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D65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E7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C6C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B7E0F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1F46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7D8833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6ECE176E094E6BAA25543FBF4587E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7C108EA-F12F-42E3-8741-010854E54E2C}"/>
      </w:docPartPr>
      <w:docPartBody>
        <w:p w:rsidR="00000000" w:rsidRDefault="003F49B6" w:rsidP="003F49B6">
          <w:pPr>
            <w:pStyle w:val="C56ECE176E094E6BAA25543FBF4587ED"/>
          </w:pPr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480F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49B6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1543"/>
    <w:rsid w:val="00461580"/>
    <w:rsid w:val="004641BB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6FF1"/>
    <w:rsid w:val="00932408"/>
    <w:rsid w:val="00936B07"/>
    <w:rsid w:val="00942AA2"/>
    <w:rsid w:val="00951A81"/>
    <w:rsid w:val="00956182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F49B6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  <w:style w:type="paragraph" w:customStyle="1" w:styleId="F989D4BA542146E79F84AEAFA29964E0">
    <w:name w:val="F989D4BA542146E79F84AEAFA29964E0"/>
    <w:rsid w:val="003F49B6"/>
    <w:pPr>
      <w:spacing w:after="160" w:line="259" w:lineRule="auto"/>
    </w:pPr>
  </w:style>
  <w:style w:type="paragraph" w:customStyle="1" w:styleId="C56ECE176E094E6BAA25543FBF4587ED">
    <w:name w:val="C56ECE176E094E6BAA25543FBF4587ED"/>
    <w:rsid w:val="003F49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E3640D4B-4C4E-4775-A865-A3F9418E321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66F2A77F-3641-4E8A-9086-077F78BDE790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B53113B3-31FF-42CB-B515-B14C378F59CF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1D520D00-DE13-49D3-BC30-3F185EDE0F7B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1163B1DC-905A-45E2-9AF7-2722A89B7809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106E79F8-A81B-4A01-ADB9-133A0D24F073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BB5F27E2-7C81-4C0E-A4D2-10A7F6633CAD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4062C65B-2747-4008-9674-C7ACDA74AECF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5DDA28C3-F761-41C2-A483-2D1FAABBF175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256A8FC4-A3EE-4850-B9B7-58CF8FE0208E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9697F99B-A071-48BF-A8AE-48886A6E9817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6AD35641-71A3-4622-8A53-C4B1117EC49E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Stato del documento</vt:lpstr>
      <vt:lpstr>Specifiche Attuative del Nodo dei Pagamenti-SPC</vt:lpstr>
    </vt:vector>
  </TitlesOfParts>
  <Company>Agenzia per l'Italia Digitale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APPENDICE 2 – TRANSAZIONI MYBANK ATTRAVERSO IL NODO DEI PAGAMENTI-SPC</dc:title>
  <dc:subject/>
  <dc:creator>Alberto Carletti, Mauro Bracalari, Daniele Giulivi, Giulia Montanelli</dc:creator>
  <cp:lastModifiedBy>Attilio GESUALDI</cp:lastModifiedBy>
  <cp:revision>2</cp:revision>
  <cp:lastPrinted>2018-03-05T11:26:00Z</cp:lastPrinted>
  <dcterms:created xsi:type="dcterms:W3CDTF">2018-03-29T11:06:00Z</dcterms:created>
  <dcterms:modified xsi:type="dcterms:W3CDTF">2018-03-29T11:06:00Z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