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22286" w14:textId="77777777" w:rsidR="00BC585B" w:rsidRPr="00BC585B" w:rsidRDefault="00BC585B" w:rsidP="00BC585B">
      <w:pPr>
        <w:shd w:val="clear" w:color="auto" w:fill="FFFFFF"/>
        <w:spacing w:before="240" w:after="144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BC585B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>Propriedades CSS compatíveis</w:t>
      </w:r>
    </w:p>
    <w:p w14:paraId="1AD34D64" w14:textId="77777777" w:rsidR="00BC585B" w:rsidRPr="00BC585B" w:rsidRDefault="00BC585B" w:rsidP="00BC585B">
      <w:pPr>
        <w:shd w:val="clear" w:color="auto" w:fill="F8FDFF"/>
        <w:spacing w:after="384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C58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Observe que todas as propriedades devem ser gravadas em linha usando o atributo </w:t>
      </w:r>
      <w:proofErr w:type="spellStart"/>
      <w:r w:rsidRPr="00BC58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style</w:t>
      </w:r>
      <w:proofErr w:type="spellEnd"/>
      <w:r w:rsidRPr="00BC58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7654"/>
      </w:tblGrid>
      <w:tr w:rsidR="00BC585B" w:rsidRPr="00BC585B" w14:paraId="44F4EB6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4CBF9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Propriedade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165E913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</w:tr>
      <w:tr w:rsidR="00BC585B" w:rsidRPr="00BC585B" w14:paraId="4D94C10D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F6B54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Plano de fundo</w:t>
            </w:r>
          </w:p>
        </w:tc>
      </w:tr>
      <w:tr w:rsidR="00BC585B" w:rsidRPr="00BC585B" w14:paraId="1661693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BEF746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background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F212A5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as propriedades do estilo de fundo</w:t>
            </w:r>
          </w:p>
        </w:tc>
      </w:tr>
      <w:tr w:rsidR="00BC585B" w:rsidRPr="00BC585B" w14:paraId="4B7C097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0E9CF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background-color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75A81008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de fundo</w:t>
            </w:r>
          </w:p>
        </w:tc>
      </w:tr>
      <w:tr w:rsidR="00BC585B" w:rsidRPr="00BC585B" w14:paraId="23C3D291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846FD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Bordas</w:t>
            </w:r>
          </w:p>
        </w:tc>
      </w:tr>
      <w:tr w:rsidR="00BC585B" w:rsidRPr="00BC585B" w14:paraId="70FC70C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71CC8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6AC05EA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borda de uma vez</w:t>
            </w:r>
          </w:p>
        </w:tc>
      </w:tr>
      <w:tr w:rsidR="00BC585B" w:rsidRPr="00BC585B" w14:paraId="2A092BA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7E838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3882BE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</w:t>
            </w:r>
          </w:p>
        </w:tc>
      </w:tr>
      <w:tr w:rsidR="00BC585B" w:rsidRPr="00BC585B" w14:paraId="3433A5F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DCDE1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0400CB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de todas as bordas</w:t>
            </w:r>
          </w:p>
        </w:tc>
      </w:tr>
      <w:tr w:rsidR="00BC585B" w:rsidRPr="00BC585B" w14:paraId="39C33374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72A908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15CB77E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para todas as bordas</w:t>
            </w:r>
          </w:p>
        </w:tc>
      </w:tr>
      <w:tr w:rsidR="00BC585B" w:rsidRPr="00BC585B" w14:paraId="651500E3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99C9E0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76E25CF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inferior de uma vez</w:t>
            </w:r>
          </w:p>
        </w:tc>
      </w:tr>
      <w:tr w:rsidR="00BC585B" w:rsidRPr="00BC585B" w14:paraId="5B8640A8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CFF53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bottom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1FFC06F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inferior</w:t>
            </w:r>
          </w:p>
        </w:tc>
      </w:tr>
      <w:tr w:rsidR="00BC585B" w:rsidRPr="00BC585B" w14:paraId="534E049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6B612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A7B9D4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de borda inferior</w:t>
            </w:r>
          </w:p>
        </w:tc>
      </w:tr>
      <w:tr w:rsidR="00BC585B" w:rsidRPr="00BC585B" w14:paraId="3F8011C4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12CD20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3542E46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inferior</w:t>
            </w:r>
          </w:p>
        </w:tc>
      </w:tr>
      <w:tr w:rsidR="00BC585B" w:rsidRPr="00BC585B" w14:paraId="0FCD321E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3659F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326BA7D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esquerda de uma vez</w:t>
            </w:r>
          </w:p>
        </w:tc>
      </w:tr>
      <w:tr w:rsidR="00BC585B" w:rsidRPr="00BC585B" w14:paraId="23D26D4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08612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left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284984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esquerda</w:t>
            </w:r>
          </w:p>
        </w:tc>
      </w:tr>
      <w:tr w:rsidR="00BC585B" w:rsidRPr="00BC585B" w14:paraId="01C0B3E5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B61673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border-left-style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168830B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esquerda</w:t>
            </w:r>
          </w:p>
        </w:tc>
      </w:tr>
      <w:tr w:rsidR="00BC585B" w:rsidRPr="00BC585B" w14:paraId="63D766DD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C2178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290C9C5D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esquerda</w:t>
            </w:r>
          </w:p>
        </w:tc>
      </w:tr>
      <w:tr w:rsidR="00BC585B" w:rsidRPr="00BC585B" w14:paraId="066DCFC9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920646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lastRenderedPageBreak/>
              <w:t>border-right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2078B0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direita de uma vez</w:t>
            </w:r>
          </w:p>
        </w:tc>
      </w:tr>
      <w:tr w:rsidR="00BC585B" w:rsidRPr="00BC585B" w14:paraId="6097A67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C8FAA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right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6243DD8F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direita</w:t>
            </w:r>
          </w:p>
        </w:tc>
      </w:tr>
      <w:tr w:rsidR="00BC585B" w:rsidRPr="00BC585B" w14:paraId="29E56A2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D921AE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8EDE7E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da borda direita</w:t>
            </w:r>
          </w:p>
        </w:tc>
      </w:tr>
      <w:tr w:rsidR="00BC585B" w:rsidRPr="00BC585B" w14:paraId="63A3389C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25EB40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6BEDFF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direita</w:t>
            </w:r>
          </w:p>
        </w:tc>
      </w:tr>
      <w:tr w:rsidR="00BC585B" w:rsidRPr="00BC585B" w14:paraId="1B67CCB4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BF9AC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-top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CA0AF0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superior de uma vez</w:t>
            </w:r>
          </w:p>
        </w:tc>
      </w:tr>
      <w:tr w:rsidR="00BC585B" w:rsidRPr="00BC585B" w14:paraId="2D498C1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24E676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-top-color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AAA2B3D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superior</w:t>
            </w:r>
          </w:p>
        </w:tc>
      </w:tr>
      <w:tr w:rsidR="00BC585B" w:rsidRPr="00BC585B" w14:paraId="38E67ED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8F37E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6605696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superior</w:t>
            </w:r>
          </w:p>
        </w:tc>
      </w:tr>
      <w:tr w:rsidR="00BC585B" w:rsidRPr="00BC585B" w14:paraId="538E0A9D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9D3A2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13CDA70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superior</w:t>
            </w:r>
          </w:p>
        </w:tc>
      </w:tr>
      <w:tr w:rsidR="00BC585B" w:rsidRPr="00BC585B" w14:paraId="4F784FE9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3A1D0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Elemento</w:t>
            </w:r>
          </w:p>
        </w:tc>
      </w:tr>
      <w:tr w:rsidR="00BC585B" w:rsidRPr="00BC585B" w14:paraId="771E6359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9E8A9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display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E37A0BE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saída do elemento e a exibição visual na página</w:t>
            </w:r>
          </w:p>
        </w:tc>
      </w:tr>
      <w:tr w:rsidR="00BC585B" w:rsidRPr="00BC585B" w14:paraId="50F727D0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D654B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07D461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altura do elemento</w:t>
            </w:r>
          </w:p>
        </w:tc>
      </w:tr>
      <w:tr w:rsidR="00BC585B" w:rsidRPr="00BC585B" w14:paraId="54CA4739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BF44A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28B8CE2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do elemento</w:t>
            </w:r>
          </w:p>
        </w:tc>
      </w:tr>
      <w:tr w:rsidR="00BC585B" w:rsidRPr="00BC585B" w14:paraId="02E7696C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1B3C5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Font</w:t>
            </w:r>
            <w:proofErr w:type="spellEnd"/>
          </w:p>
        </w:tc>
      </w:tr>
      <w:tr w:rsidR="00BC585B" w:rsidRPr="00BC585B" w14:paraId="78DDD0FB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C3F92E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color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33AFBE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do texto</w:t>
            </w:r>
          </w:p>
        </w:tc>
      </w:tr>
      <w:tr w:rsidR="00BC585B" w:rsidRPr="00BC585B" w14:paraId="705B21F9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A7151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4E1AA9D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fonte de uma vez</w:t>
            </w:r>
          </w:p>
        </w:tc>
      </w:tr>
      <w:tr w:rsidR="00BC585B" w:rsidRPr="00BC585B" w14:paraId="5245E75C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333E9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font-family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FF5583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família de fontes do texto</w:t>
            </w:r>
          </w:p>
        </w:tc>
      </w:tr>
      <w:tr w:rsidR="00BC585B" w:rsidRPr="00BC585B" w14:paraId="1B046D3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C982C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font-size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73ABA5C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da fonte</w:t>
            </w:r>
          </w:p>
        </w:tc>
      </w:tr>
      <w:tr w:rsidR="00BC585B" w:rsidRPr="00BC585B" w14:paraId="11D9E05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DE6BE3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6DDB0F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fonte, por exemplo, </w:t>
            </w: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normal</w:t>
            </w: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ou 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italic</w:t>
            </w:r>
            <w:proofErr w:type="spellEnd"/>
          </w:p>
        </w:tc>
      </w:tr>
      <w:tr w:rsidR="00BC585B" w:rsidRPr="00BC585B" w14:paraId="1D9B6D92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80852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lastRenderedPageBreak/>
              <w:t>font-variant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3812CA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Determina como as letras minúsculas devem ser representadas, ou seja, se deve deixá-las inalteradas (</w:t>
            </w: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normal</w:t>
            </w: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 ou aplicar versaletes (</w:t>
            </w: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caixas minúsculas</w:t>
            </w: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BC585B" w:rsidRPr="00BC585B" w14:paraId="2EBDA2C5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C73E8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6CB6754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peso da fonte</w:t>
            </w:r>
          </w:p>
        </w:tc>
      </w:tr>
      <w:tr w:rsidR="00BC585B" w:rsidRPr="00BC585B" w14:paraId="55A8D5FC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1A3D2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List</w:t>
            </w:r>
            <w:proofErr w:type="spellEnd"/>
          </w:p>
        </w:tc>
      </w:tr>
      <w:tr w:rsidR="00BC585B" w:rsidRPr="00BC585B" w14:paraId="2B40150E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261610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552944C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tipo de marcador para cada elemento da lista</w:t>
            </w:r>
          </w:p>
        </w:tc>
      </w:tr>
      <w:tr w:rsidR="00BC585B" w:rsidRPr="00BC585B" w14:paraId="161CAB21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748B9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BC585B" w:rsidRPr="00BC585B" w14:paraId="47680C3A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DDC11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table</w:t>
            </w:r>
            <w:proofErr w:type="spellEnd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-layout</w:t>
            </w:r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2A4580B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das células da tabela com base no conteúdo</w:t>
            </w:r>
          </w:p>
        </w:tc>
      </w:tr>
      <w:tr w:rsidR="00BC585B" w:rsidRPr="00BC585B" w14:paraId="7B87B93E" w14:textId="77777777" w:rsidTr="003978E5">
        <w:tc>
          <w:tcPr>
            <w:tcW w:w="10768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A9F0C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  <w:proofErr w:type="spellEnd"/>
          </w:p>
        </w:tc>
      </w:tr>
      <w:tr w:rsidR="00BC585B" w:rsidRPr="00BC585B" w14:paraId="05105249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DA788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784EE0BB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letras no texto</w:t>
            </w:r>
          </w:p>
        </w:tc>
      </w:tr>
      <w:tr w:rsidR="00BC585B" w:rsidRPr="00BC585B" w14:paraId="04B1605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3160CE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275BB81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linhas no texto</w:t>
            </w:r>
          </w:p>
        </w:tc>
      </w:tr>
      <w:tr w:rsidR="00BC585B" w:rsidRPr="00BC585B" w14:paraId="19EA0E8C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C975E5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text-align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2BCA3F1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horizontal do texto</w:t>
            </w:r>
          </w:p>
        </w:tc>
      </w:tr>
      <w:tr w:rsidR="00BC585B" w:rsidRPr="00BC585B" w14:paraId="422B95AD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3CDAF7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10A918DD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decoração do texto, como sublinhado, tachado ou piscando</w:t>
            </w:r>
          </w:p>
        </w:tc>
      </w:tr>
      <w:tr w:rsidR="00BC585B" w:rsidRPr="00BC585B" w14:paraId="60C614A6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19DAF4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03F17299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do recuo antes de uma linha em um bloco de texto</w:t>
            </w:r>
          </w:p>
        </w:tc>
      </w:tr>
      <w:tr w:rsidR="00BC585B" w:rsidRPr="00BC585B" w14:paraId="6A3444D8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12FF92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35E340A8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Converte texto em caracteres maiúsculos ou minúsculos, por exemplo, transforma todos os caracteres no texto ou o primeiro caractere de cada palavra em uma frase em maiúsculas</w:t>
            </w:r>
          </w:p>
        </w:tc>
      </w:tr>
      <w:tr w:rsidR="00BC585B" w:rsidRPr="00BC585B" w14:paraId="455160A1" w14:textId="77777777" w:rsidTr="003978E5">
        <w:tc>
          <w:tcPr>
            <w:tcW w:w="311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420E2C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vertical-</w:t>
            </w:r>
            <w:proofErr w:type="spellStart"/>
            <w:r w:rsidRPr="00BC585B">
              <w:rPr>
                <w:rFonts w:ascii="Verdana" w:eastAsia="Times New Roman" w:hAnsi="Verdana" w:cs="Courier New"/>
                <w:color w:val="505050"/>
                <w:kern w:val="0"/>
                <w:sz w:val="24"/>
                <w:szCs w:val="24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  <w:hideMark/>
          </w:tcPr>
          <w:p w14:paraId="6B26A9EA" w14:textId="77777777" w:rsidR="00BC585B" w:rsidRPr="00BC585B" w:rsidRDefault="00BC585B" w:rsidP="00BC585B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C585B">
              <w:rPr>
                <w:rFonts w:ascii="Verdana" w:eastAsia="Times New Roman" w:hAnsi="Verdana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vertical do texto</w:t>
            </w:r>
          </w:p>
        </w:tc>
      </w:tr>
    </w:tbl>
    <w:p w14:paraId="407E692E" w14:textId="77777777" w:rsidR="00BC585B" w:rsidRDefault="00BC585B"/>
    <w:sectPr w:rsidR="00BC585B" w:rsidSect="00BC5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5B"/>
    <w:rsid w:val="003978E5"/>
    <w:rsid w:val="00B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B692"/>
  <w15:chartTrackingRefBased/>
  <w15:docId w15:val="{96135A10-4DF8-493B-8E95-C55EA54E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5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585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callout">
    <w:name w:val="callout"/>
    <w:basedOn w:val="Normal"/>
    <w:rsid w:val="00BC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C585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C5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CAAD-3B5F-45B0-BD8D-DA0DA6D4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Attique Santana</dc:creator>
  <cp:keywords/>
  <dc:description/>
  <cp:lastModifiedBy>Rodrigo Attique Santana</cp:lastModifiedBy>
  <cp:revision>2</cp:revision>
  <cp:lastPrinted>2024-08-02T11:14:00Z</cp:lastPrinted>
  <dcterms:created xsi:type="dcterms:W3CDTF">2024-08-02T11:11:00Z</dcterms:created>
  <dcterms:modified xsi:type="dcterms:W3CDTF">2024-08-02T11:16:00Z</dcterms:modified>
</cp:coreProperties>
</file>