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de Estoque (Electron): Bloqueio por Inadimplência e Banco Local</w:t>
      </w:r>
    </w:p>
    <w:p>
      <w:pPr>
        <w:spacing w:after="140"/>
      </w:pPr>
      <w:r>
        <w:t xml:space="preserve">São dois problemas bem diferentes, então o documento está dividido em duas partes.</w:t>
      </w:r>
    </w:p>
    <w:p>
      <w:pPr>
        <w:pStyle w:val="Heading1"/>
      </w:pPr>
      <w:r>
        <w:t xml:space="preserve">1. Bloqueio por inadimplência</w:t>
      </w:r>
    </w:p>
    <w:p>
      <w:pPr>
        <w:spacing w:after="140"/>
      </w:pPr>
      <w:r>
        <w:t xml:space="preserve">Qualquer coisa que roda 100% na máquina do cliente pode, em tese, ser burlada. O objetivo não é criar algo impossível de quebrar. É fazer com que burlar não compense, e que as partes mais valiosas do sistema dependam de nós.</w:t>
      </w:r>
    </w:p>
    <w:p>
      <w:pPr>
        <w:pStyle w:val="Heading2"/>
      </w:pPr>
      <w:r>
        <w:t xml:space="preserve">A alavanca mais forte: a nota fiscal</w:t>
      </w:r>
    </w:p>
    <w:p>
      <w:pPr>
        <w:spacing w:after="140"/>
      </w:pPr>
      <w:r>
        <w:t xml:space="preserve">Emitir NF-e exige internet de qualquer forma (SEFAZ ou a integração com o emissor). Se a emissão passar por uma Edge Function nossa, que confere a licença antes de repassar, o cliente inadimplente perde a emissão mesmo que tenha craqueado o app. O mesmo vale para sync e backup: se o RLS do Supabase só aceita escrita de tenants com licença ativa, ele perde o backup. Controle de estoque offline sem emitir nota e sem backup tem pouco valor. Essa camada é a que realmente protege o serviço.</w:t>
      </w:r>
    </w:p>
    <w:p>
      <w:pPr>
        <w:pStyle w:val="Heading2"/>
      </w:pPr>
      <w:r>
        <w:t xml:space="preserve">Licença assinada com validade curta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Edge Function emite um token assinado com Ed25519 (a chave privada fica só no servidor), contendo algo como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{ tenant_id, device_hash, plan, issued_at, expires_at }</w:t>
      </w:r>
      <w:r>
        <w:t xml:space="preserve">, com validade de 7 a 15 dias.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Electron traz embutida só a chave pública e verifica o token a cada inicialização e periodicamente. Offline, funciona até 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expires_at</w:t>
      </w:r>
      <w:r>
        <w:t xml:space="preserve">. Online, renova o token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servidor decide se renova com base no status de pagamento. Isso encaixa direto no sistema de cobrança com o Asaas: os webhooks de cobrança vencida ou confirmada atualizam o status do tenant, e a renovação da licença só lê esse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licença fica vinculada à máquina com um hash do machine-id (por exemplo,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node-machine-id</w:t>
      </w:r>
      <w:r>
        <w:t xml:space="preserve">), para evitar copiar a instalação para outro PC.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Proteção contra manipulação do relógio: guardar o maior timestamp já visto, criptografado localmente. Se o relógio do sistema voltar para antes dele, tratar a licença como expirada até conseguir validar online. Quando estiver online, confiar na hora do servidor.</w:t>
      </w:r>
    </w:p>
    <w:p>
      <w:pPr>
        <w:pStyle w:val="Heading2"/>
      </w:pPr>
      <w:r>
        <w:t xml:space="preserve">Endurecimento do Electron</w:t>
      </w:r>
    </w:p>
    <w:p>
      <w:pPr>
        <w:spacing w:after="140"/>
      </w:pPr>
      <w:r>
        <w:t xml:space="preserve">Dificulta, mas não impede: 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.asar</w:t>
      </w:r>
      <w:r>
        <w:t xml:space="preserve"> se extrai em segundos. Por isso, compilar o código do main process para bytecode (bytenode), ofuscar a lógica de licença e fazer uma verificação de integridade dos próprios arquivos. Detalhe importante: se esse repositório for para a org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attlasdev</w:t>
      </w:r>
      <w:r>
        <w:t xml:space="preserve">, ele precisa ser </w:t>
      </w:r>
      <w:r>
        <w:rPr>
          <w:b/>
          <w:bCs/>
        </w:rPr>
        <w:t xml:space="preserve">privado</w:t>
      </w:r>
      <w:r>
        <w:t xml:space="preserve">. Com repositório público, qualquer pessoa lê exatamente como a licença é validada.</w:t>
      </w:r>
    </w:p>
    <w:p>
      <w:pPr>
        <w:pStyle w:val="Heading2"/>
      </w:pPr>
      <w:r>
        <w:t xml:space="preserve">Bloqueio gradual em vez de bloqueio total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Vencido: aviso na tela.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Após X dias: modo somente leitura e bloqueio da emissão de notas.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Depois disso: fim do sync.</w:t>
      </w:r>
    </w:p>
    <w:p>
      <w:pPr>
        <w:spacing w:after="140"/>
      </w:pPr>
      <w:r>
        <w:t xml:space="preserve">Mesmo nesse estado, a </w:t>
      </w:r>
      <w:r>
        <w:rPr>
          <w:b/>
          <w:bCs/>
        </w:rPr>
        <w:t xml:space="preserve">exportação dos dados</w:t>
      </w:r>
      <w:r>
        <w:t xml:space="preserve"> (planilha e XMLs das notas) deve continuar sempre disponível. A empresa é obrigada a guardar os documentos fiscais por anos, e os dados são dela. Travar o acesso a eles pode gerar problema jurídico (CDC, LGPD) e dar razão ao cliente numa disputa. Isso deve ficar claro em contrato: o que acontece em caso de inadimplência, os prazos e o direito de exportação. Vale uma revisão rápida com alguém da área jurídica antes de fechar o contrato.</w:t>
      </w:r>
    </w:p>
    <w:p>
      <w:pPr>
        <w:pStyle w:val="Heading1"/>
      </w:pPr>
      <w:r>
        <w:t xml:space="preserve">2. Banco local + Supabase</w:t>
      </w:r>
    </w:p>
    <w:p>
      <w:pPr>
        <w:spacing w:after="140"/>
      </w:pPr>
      <w:r>
        <w:t xml:space="preserve">Postgres local em sincronia com o Supabase é pesado para instalar e manter na máquina do cliente. O caminho mais comum hoje é </w:t>
      </w:r>
      <w:r>
        <w:rPr>
          <w:b/>
          <w:bCs/>
        </w:rPr>
        <w:t xml:space="preserve">SQLite local + camada de sync</w:t>
      </w:r>
      <w:r>
        <w:t xml:space="preserve">.</w:t>
      </w:r>
    </w:p>
    <w:p>
      <w:pPr>
        <w:pStyle w:val="Heading2"/>
      </w:pPr>
      <w:r>
        <w:t xml:space="preserve">Opções de sync (da mais pronta para a mais manual)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PowerSync</w:t>
      </w:r>
      <w:r>
        <w:t xml:space="preserve">: feito para exatamente esse cenário (SQLite no cliente, Postgres/Supabase no servidor). Tem integração documentada com o Supabase, fila de escritas offline e sync em tempo real. Tem plano gratuito e uma edição self-hosted; conferir os limites atuais antes de decidir.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RxDB</w:t>
      </w:r>
      <w:r>
        <w:t xml:space="preserve"> com o plugin de replicação para Supabase: funciona, mas exige mais configuração.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Sync próprio</w:t>
      </w:r>
      <w:r>
        <w:t xml:space="preserve"> no padrão outbox: toda escrita local vai para uma tabela de pendências, um worker envia quando há rede, e o Supabase Realtime traz as mudanças do servidor. Nesse caso, usar IDs UUIDv7 gerados no cliente,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updated_at</w:t>
      </w:r>
      <w:r>
        <w:t xml:space="preserve"> em todas as tabelas e soft delete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deleted_at</w:t>
      </w:r>
      <w:r>
        <w:t xml:space="preserve">) em vez de DELETE. É mais trabalho, mas dá controle total.</w:t>
      </w:r>
    </w:p>
    <w:p>
      <w:pPr>
        <w:pStyle w:val="Heading2"/>
      </w:pPr>
      <w:r>
        <w:t xml:space="preserve">Movimentações em vez de saldo</w:t>
      </w:r>
    </w:p>
    <w:p>
      <w:pPr>
        <w:spacing w:after="140"/>
      </w:pPr>
      <w:r>
        <w:t xml:space="preserve">A decisão que mais evita dor de cabeça no estoque: não sincronizar o campo "quantidade". Sincronizar </w:t>
      </w:r>
      <w:r>
        <w:rPr>
          <w:b/>
          <w:bCs/>
        </w:rPr>
        <w:t xml:space="preserve">movimentações</w:t>
      </w:r>
      <w:r>
        <w:t xml:space="preserve"> (entradas, saídas, ajustes e vendas) como registros que só são inseridos, nunca alterados. O saldo é a soma das movimentações. Assim, se duas máquinas mexerem no mesmo produto offline, não existe conflito: as duas movimentações sobem e o saldo fecha certo. Isso também dá rastreabilidade de graça, o que ajuda muito quando o estoque precisa bater com as notas emitidas.</w:t>
      </w:r>
    </w:p>
    <w:p>
      <w:pPr>
        <w:pStyle w:val="Heading2"/>
      </w:pPr>
      <w:r>
        <w:t xml:space="preserve">Segurança do banco local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Criptografar o SQLite com SQLCipher. O pacote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better-sqlite3-multiple-ciphers</w:t>
      </w:r>
      <w:r>
        <w:t xml:space="preserve"> resolve isso no Electron.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 a chave com 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safeStorage</w:t>
      </w:r>
      <w:r>
        <w:t xml:space="preserve"> do Electron, que usa o cofre do sistema operacional, e não em arquivo de configuração.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Nunca</w:t>
      </w:r>
      <w:r>
        <w:t xml:space="preserve"> colocar 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service_role</w:t>
      </w:r>
      <w:r>
        <w:t xml:space="preserve"> do Supabase no app. Usar a anon key com login do usuário e deixar o RLS fazer o isolamento por tenant (ele também serve para a checagem de licença).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Rodar acesso a banco e sync no main process, com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contextIsolation</w:t>
      </w:r>
      <w:r>
        <w:t xml:space="preserve"> ativado e só uma API mínima exposta ao renderer via preload.</w:t>
      </w:r>
    </w:p>
    <w:p>
      <w:pPr>
        <w:pStyle w:val="Heading2"/>
      </w:pPr>
      <w:r>
        <w:t xml:space="preserve">Backup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Supabase já é o backup em tempo real quando há rede.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Complementar com snapshots locais periódicos, usando a API de backup do SQLite (um arquivo por dia, mantendo os últimos N). Isso cobre o período offline.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servidor, os backups do plano Pro, ou um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pg_dump</w:t>
      </w:r>
      <w:r>
        <w:t xml:space="preserve"> agendado, cobrem o restante.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8EAADB" w:sz="6" w:space="4"/>
      </w:pBdr>
      <w:spacing w:after="16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2026-10-03T21:39:45.753Z</dcterms:created>
  <dcterms:modified xsi:type="dcterms:W3CDTF">2026-10-03T21:39:45.762Z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