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Isotopic and Quantum Control Strategies for Methane-Based Propulsion in Solar System Missions</w:t>
      </w:r>
    </w:p>
    <w:p>
      <w:pPr>
        <w:pStyle w:val="Heading1"/>
      </w:pPr>
      <w:r>
        <w:t>Abstract</w:t>
      </w:r>
    </w:p>
    <w:p>
      <w:r>
        <w:br/>
        <w:t>This proposal explores five propulsion scenarios using isotopically-engineered and quantum-modulated methane fuels for a Raptor-class engine on solar system missions. Inspired by molecular insights into CO₂, the study bridges thermodynamics, quantum chemistry, and aerospace engineering to propose adaptive, precision-throttled, reusable propulsion schemes. The paper introduces dynamic fuel modulation using deuterated methane, isotopic substitution, and radiative field conditioning to improve engine performance across mission phases and emergencies. A preface outlines the intuitive origins of the ideas, while appendices provide cognitive tools, prompt trails, and reflections on AI-assisted reasoning.</w:t>
        <w:br/>
      </w:r>
    </w:p>
    <w:p>
      <w:pPr>
        <w:pStyle w:val="Heading1"/>
      </w:pPr>
      <w:r>
        <w:t>Preface: Molecular Intuition and the Geometry of Efficiency</w:t>
      </w:r>
    </w:p>
    <w:p>
      <w:r>
        <w:br/>
        <w:t>This study was seeded by an intuition: that CO₂, despite being heavier and seemingly less favorable than H₂O, possessed unique molecular features making it an elegant working fluid. Unlike water’s sticky polarity, CO₂’s linear geometry and deep vibrational modes give it a ‘slippy’ behavior. This led to a broader insight: propulsion fluids should be understood not just by energy density but by how their quantum properties, shape, and bond strengths manage heat and impulse. This proposal traces that intuition across five theoretical propulsion enhancements for methane-based fuels.</w:t>
        <w:br/>
      </w:r>
    </w:p>
    <w:p>
      <w:pPr>
        <w:pStyle w:val="Heading2"/>
      </w:pPr>
      <w:r>
        <w:t>Scenario 1: Harmonic Modes of Methane and Delta-V Efficiency</w:t>
      </w:r>
    </w:p>
    <w:p>
      <w:r>
        <w:t>This scenario investigates how the three primary vibrational modes of methane—symmetric stretch, asymmetric stretch, and bending—affect thrust production and delta-V. Modeling includes quantum vibrational energy contributions to combustion thermodynamics, and integration into delta-V profiles for upper-stage or midcourse burns.</w:t>
      </w:r>
    </w:p>
    <w:p>
      <w:pPr>
        <w:pStyle w:val="Heading2"/>
      </w:pPr>
      <w:r>
        <w:t>Scenario 2: Deuterated Methane and Engine Durability</w:t>
      </w:r>
    </w:p>
    <w:p>
      <w:r>
        <w:t>Here we examine CH₃D and CD₄ as working fuels. These molecules provide reduced combustion temperatures, altered vibrational frequencies, and potentially smoother burn profiles. Thermal and fatigue modeling of Raptor engine components will test how these fuels impact mission longevity and reuse cycles.</w:t>
      </w:r>
    </w:p>
    <w:p>
      <w:pPr>
        <w:pStyle w:val="Heading2"/>
      </w:pPr>
      <w:r>
        <w:t>Scenario 3: Isotopic Substitution Across C, H, and O</w:t>
      </w:r>
    </w:p>
    <w:p>
      <w:r>
        <w:t>Exploring isotopologues (e.g., ¹³CH₄, CH₃¹⁸O), we evaluate how mass, bond strength, and quantum effects vary with isotope. A table of substitution permutations is cross-referenced with IR and Raman activity to predict combustion behavior, fluid transport characteristics, and material compatibility.</w:t>
      </w:r>
    </w:p>
    <w:p>
      <w:pPr>
        <w:pStyle w:val="Heading2"/>
      </w:pPr>
      <w:r>
        <w:t>Scenario 4: Quantum-State Charging with Field-Controlled Propulsion</w:t>
      </w:r>
    </w:p>
    <w:p>
      <w:r>
        <w:t>This scenario proposes modulating combustion by irradiating fuel with gamma, beta, or neutron flux—using shutters or field-switching elements. The aim is sub-millisecond thrust shaping for emergency maneuvers, fast-jerk control, or terminal-phase guidance via pre-ignition excitation.</w:t>
      </w:r>
    </w:p>
    <w:p>
      <w:pPr>
        <w:pStyle w:val="Heading2"/>
      </w:pPr>
      <w:r>
        <w:t>Scenario 5: Poly-Isotopic Fuel Mixtures for Adaptive Combustion</w:t>
      </w:r>
    </w:p>
    <w:p>
      <w:r>
        <w:t>A futuristic model of blended CH₄, CH₃D, and CD₄ fuels for real-time impulse and thermal profile modulation. Injection control algorithms could adjust blend ratios dynamically to optimize for temperature, wear, or exhaust signature across mission segments.</w:t>
      </w:r>
    </w:p>
    <w:p>
      <w:pPr>
        <w:pStyle w:val="Heading1"/>
      </w:pPr>
      <w:r>
        <w:t>Appendix A: Prompt Trail of Thought</w:t>
      </w:r>
    </w:p>
    <w:p>
      <w:r>
        <w:br/>
        <w:t>1. Why does CO₂ work better than steam as a working fluid?</w:t>
        <w:br/>
        <w:t>2. What vibrational modes exist in linear triatomic molecules?</w:t>
        <w:br/>
        <w:t>3. How do isotopic substitutions affect vibrational frequency and combustion behavior?</w:t>
        <w:br/>
        <w:t>4. What happens if we radiate molecules with controlled fields before ignition?</w:t>
        <w:br/>
        <w:t>5. Could we throttle a rocket engine by changing fuel’s quantum state?</w:t>
        <w:br/>
      </w:r>
    </w:p>
    <w:p>
      <w:pPr>
        <w:pStyle w:val="Heading1"/>
      </w:pPr>
      <w:r>
        <w:t>Appendix B: Cognitive Tools Used</w:t>
      </w:r>
    </w:p>
    <w:p>
      <w:r>
        <w:br/>
        <w:t>- Abductive reasoning (inferring best explanation from limited data)</w:t>
        <w:br/>
        <w:t>- Analogical reasoning (mapping water to CO₂ to CH₄)</w:t>
        <w:br/>
        <w:t>- Systems thinking (linking molecule to engine system)</w:t>
        <w:br/>
        <w:t>- Differential equation modeling (for pulse timing, state modulation)</w:t>
        <w:br/>
        <w:t>- Multimodal feedback loops (thermal, vibrational, combustion feedback)</w:t>
        <w:br/>
        <w:t>- Prompt chaining and refinement using an AI assistant</w:t>
        <w:br/>
      </w:r>
    </w:p>
    <w:p>
      <w:pPr>
        <w:pStyle w:val="Heading1"/>
      </w:pPr>
      <w:r>
        <w:t>Appendix C: AI Assistance – Benefits and Limits</w:t>
      </w:r>
    </w:p>
    <w:p>
      <w:r>
        <w:br/>
        <w:t>The AI assisted with structural framing, vocabulary refinement, and fast iteration of technical models. It enabled synthesis across chemistry, quantum physics, and propulsion engineering. However, hallucinations (e.g., overly optimistic physical assumptions or simplified formulas) required human correction. A more domain-specific AI or tighter citation mapping would improve result fidelity. Still, the AI’s capacity to maintain conceptual coherence and reframe intuition into structured argument was essential.</w:t>
        <w:br/>
      </w:r>
    </w:p>
    <w:p>
      <w:pPr>
        <w:pStyle w:val="Heading1"/>
      </w:pPr>
      <w:r>
        <w:t>References</w:t>
      </w:r>
    </w:p>
    <w:p>
      <w:pPr>
        <w:pStyle w:val="ListNumber"/>
      </w:pPr>
      <w:r>
        <w:t>1. Turns, S. R. (2000). An Introduction to Combustion: Concepts and Applications. McGraw-Hill.</w:t>
      </w:r>
    </w:p>
    <w:p>
      <w:pPr>
        <w:pStyle w:val="ListNumber"/>
      </w:pPr>
      <w:r>
        <w:t>2. Herzberg, G. (1945). Infrared and Raman Spectra. Van Nostrand Reinhold.</w:t>
      </w:r>
    </w:p>
    <w:p>
      <w:pPr>
        <w:pStyle w:val="ListNumber"/>
      </w:pPr>
      <w:r>
        <w:t>3. Sutton, G. P., &amp; Biblarz, O. (2010). Rocket Propulsion Elements. Wiley.</w:t>
      </w:r>
    </w:p>
    <w:p>
      <w:pPr>
        <w:pStyle w:val="ListNumber"/>
      </w:pPr>
      <w:r>
        <w:t>4. Atkins, P., &amp; Friedman, R. (2011). Molecular Quantum Mechanics. Oxford University Press.</w:t>
      </w:r>
    </w:p>
    <w:p>
      <w:pPr>
        <w:pStyle w:val="ListNumber"/>
      </w:pPr>
      <w:r>
        <w:t>5. NASA Technical Reports Server (NTRS) – Full-Flow Staged Combustion Studies on Methane Engines.</w:t>
      </w:r>
    </w:p>
    <w:p>
      <w:pPr>
        <w:pStyle w:val="ListNumber"/>
      </w:pPr>
      <w:r>
        <w:t>6. International Journal of Hydrogen Energy – Isotopic Hydrogen Combustion Modeling Studies.</w:t>
      </w:r>
    </w:p>
    <w:p>
      <w:pPr>
        <w:pStyle w:val="Heading1"/>
      </w:pPr>
      <w:r>
        <w:t>Final Section: Step-by-Step Defense of Concept Validity</w:t>
      </w:r>
    </w:p>
    <w:p>
      <w:r>
        <w:br/>
        <w:t>1. The foundation of this proposal lies in established physical principles: isotopic substitution affects vibrational modes, combustion kinetics, and thermal properties. These effects are well-documented in spectroscopy and combustion research.</w:t>
        <w:br/>
        <w:br/>
        <w:t>2. Full-flow staged combustion engines like Raptor already operate at the edge of thermal and mechanical stress; minor improvements in thermal loading, combustion control, or vibrational damping can yield significant performance or durability gains.</w:t>
        <w:br/>
        <w:br/>
        <w:t>3. Deuterated methane and isotopic fuel studies are not speculative in chemistry—they are used in lab-scale combustion research, spectroscopy, and thermal transport modeling. Applying them to propulsion is a novel but grounded extension.</w:t>
        <w:br/>
        <w:br/>
        <w:t>4. Radiation and magnetic field interactions with molecules are experimentally validated, especially in ion sources, quantum chemistry labs, and radiative ignition systems. While controlling them in an engine context is unproven, the physics is real.</w:t>
        <w:br/>
        <w:br/>
        <w:t>5. Modulation of combustion behavior using additives or field-preconditioned fuels is a new area, but conceptually supported by decades of rocket additive chemistry, staged injection, and combustion instability mitigation strategies.</w:t>
        <w:br/>
        <w:br/>
        <w:t>6. Risk acknowledgment: The conceptual breadth of this work may exceed current engineering capabilities. However, the inquiry’s purpose is to explore a structured frontier—an attempt to frame speculative propulsion in a scientifically testable way.</w:t>
        <w:br/>
        <w:br/>
        <w:t>7. Value even if incomplete: Even partial insights from this framework—such as improved understanding of isotopic effects on erosion or combustion noise—may influence future rocket design, upper stage longevity, or emergency maneuver systems.</w:t>
        <w:br/>
        <w:br/>
        <w:t>8. Role of AI: While some reasoning was generated or framed by AI, the human-guided selection, cross-disciplinary anchoring, and iterative refinement ensure the concept retains plausible scientific coherence, if not complete realization.</w:t>
        <w:br/>
        <w:br/>
        <w:t>9. Final defense: This study is not prophecy—it is an engineering hypothesis that blends physical law with future capability. As such, it earns validity not by what exists today, but by what can be systematically tested tomorrow.</w:t>
        <w:br/>
      </w:r>
    </w:p>
    <w:p>
      <w:pPr>
        <w:pStyle w:val="Heading1"/>
      </w:pPr>
      <w:r>
        <w:t>Supplementary Tables: Modes and Mission Phase Combinations</w:t>
      </w:r>
    </w:p>
    <w:p>
      <w:r>
        <w:br/>
        <w:t>To concretize the theoretical proposals, we provide a set of example tables showing how various isotopic fuel blends can be mapped to specific mission scenarios. These are illustrative and intended to demonstrate use-phase adaptability of PTIM (Precision-Throttled Isotopic Methane) systems.</w:t>
        <w:br/>
      </w:r>
    </w:p>
    <w:p>
      <w:pPr>
        <w:pStyle w:val="Heading2"/>
      </w:pPr>
      <w:r>
        <w:t>Table 1: Example Isotopic Methane Blends and Characteristics</w:t>
      </w:r>
    </w:p>
    <w:tbl>
      <w:tblPr>
        <w:tblW w:type="auto" w:w="0"/>
        <w:tblLook w:firstColumn="1" w:firstRow="1" w:lastColumn="0" w:lastRow="0" w:noHBand="0" w:noVBand="1" w:val="04A0"/>
      </w:tblPr>
      <w:tblGrid>
        <w:gridCol w:w="2160"/>
        <w:gridCol w:w="2160"/>
        <w:gridCol w:w="2160"/>
        <w:gridCol w:w="2160"/>
      </w:tblGrid>
      <w:tr>
        <w:tc>
          <w:tcPr>
            <w:tcW w:type="dxa" w:w="2160"/>
          </w:tcPr>
          <w:p>
            <w:r>
              <w:t>Fuel Blend</w:t>
            </w:r>
          </w:p>
        </w:tc>
        <w:tc>
          <w:tcPr>
            <w:tcW w:type="dxa" w:w="2160"/>
          </w:tcPr>
          <w:p>
            <w:r>
              <w:t>Approx. Isp (s)</w:t>
            </w:r>
          </w:p>
        </w:tc>
        <w:tc>
          <w:tcPr>
            <w:tcW w:type="dxa" w:w="2160"/>
          </w:tcPr>
          <w:p>
            <w:r>
              <w:t>Combustion Temp (K)</w:t>
            </w:r>
          </w:p>
        </w:tc>
        <w:tc>
          <w:tcPr>
            <w:tcW w:type="dxa" w:w="2160"/>
          </w:tcPr>
          <w:p>
            <w:r>
              <w:t>Primary Use Advantage</w:t>
            </w:r>
          </w:p>
        </w:tc>
      </w:tr>
      <w:tr>
        <w:tc>
          <w:tcPr>
            <w:tcW w:type="dxa" w:w="2160"/>
          </w:tcPr>
          <w:p>
            <w:r>
              <w:t>100% CH₄</w:t>
            </w:r>
          </w:p>
        </w:tc>
        <w:tc>
          <w:tcPr>
            <w:tcW w:type="dxa" w:w="2160"/>
          </w:tcPr>
          <w:p>
            <w:r>
              <w:t>380</w:t>
            </w:r>
          </w:p>
        </w:tc>
        <w:tc>
          <w:tcPr>
            <w:tcW w:type="dxa" w:w="2160"/>
          </w:tcPr>
          <w:p>
            <w:r>
              <w:t>~3550</w:t>
            </w:r>
          </w:p>
        </w:tc>
        <w:tc>
          <w:tcPr>
            <w:tcW w:type="dxa" w:w="2160"/>
          </w:tcPr>
          <w:p>
            <w:r>
              <w:t>Max thrust, optimal for launch</w:t>
            </w:r>
          </w:p>
        </w:tc>
      </w:tr>
      <w:tr>
        <w:tc>
          <w:tcPr>
            <w:tcW w:type="dxa" w:w="2160"/>
          </w:tcPr>
          <w:p>
            <w:r>
              <w:t>80% CH₄ / 20% CD₄</w:t>
            </w:r>
          </w:p>
        </w:tc>
        <w:tc>
          <w:tcPr>
            <w:tcW w:type="dxa" w:w="2160"/>
          </w:tcPr>
          <w:p>
            <w:r>
              <w:t>370</w:t>
            </w:r>
          </w:p>
        </w:tc>
        <w:tc>
          <w:tcPr>
            <w:tcW w:type="dxa" w:w="2160"/>
          </w:tcPr>
          <w:p>
            <w:r>
              <w:t>~3350</w:t>
            </w:r>
          </w:p>
        </w:tc>
        <w:tc>
          <w:tcPr>
            <w:tcW w:type="dxa" w:w="2160"/>
          </w:tcPr>
          <w:p>
            <w:r>
              <w:t>Balanced performance and engine protection</w:t>
            </w:r>
          </w:p>
        </w:tc>
      </w:tr>
      <w:tr>
        <w:tc>
          <w:tcPr>
            <w:tcW w:type="dxa" w:w="2160"/>
          </w:tcPr>
          <w:p>
            <w:r>
              <w:t>100% CD₄</w:t>
            </w:r>
          </w:p>
        </w:tc>
        <w:tc>
          <w:tcPr>
            <w:tcW w:type="dxa" w:w="2160"/>
          </w:tcPr>
          <w:p>
            <w:r>
              <w:t>360</w:t>
            </w:r>
          </w:p>
        </w:tc>
        <w:tc>
          <w:tcPr>
            <w:tcW w:type="dxa" w:w="2160"/>
          </w:tcPr>
          <w:p>
            <w:r>
              <w:t>~3200</w:t>
            </w:r>
          </w:p>
        </w:tc>
        <w:tc>
          <w:tcPr>
            <w:tcW w:type="dxa" w:w="2160"/>
          </w:tcPr>
          <w:p>
            <w:r>
              <w:t>Precision burns, reduced erosion</w:t>
            </w:r>
          </w:p>
        </w:tc>
      </w:tr>
    </w:tbl>
    <w:p/>
    <w:p>
      <w:pPr>
        <w:pStyle w:val="Heading2"/>
      </w:pPr>
      <w:r>
        <w:t>Table 2: Mission Phase and Fuel Mapping Examples</w:t>
      </w:r>
    </w:p>
    <w:tbl>
      <w:tblPr>
        <w:tblW w:type="auto" w:w="0"/>
        <w:tblLook w:firstColumn="1" w:firstRow="1" w:lastColumn="0" w:lastRow="0" w:noHBand="0" w:noVBand="1" w:val="04A0"/>
      </w:tblPr>
      <w:tblGrid>
        <w:gridCol w:w="2880"/>
        <w:gridCol w:w="2880"/>
        <w:gridCol w:w="2880"/>
      </w:tblGrid>
      <w:tr>
        <w:tc>
          <w:tcPr>
            <w:tcW w:type="dxa" w:w="2880"/>
          </w:tcPr>
          <w:p>
            <w:r>
              <w:t>Mission Phase</w:t>
            </w:r>
          </w:p>
        </w:tc>
        <w:tc>
          <w:tcPr>
            <w:tcW w:type="dxa" w:w="2880"/>
          </w:tcPr>
          <w:p>
            <w:r>
              <w:t>Suggested Fuel Blend</w:t>
            </w:r>
          </w:p>
        </w:tc>
        <w:tc>
          <w:tcPr>
            <w:tcW w:type="dxa" w:w="2880"/>
          </w:tcPr>
          <w:p>
            <w:r>
              <w:t>Rationale</w:t>
            </w:r>
          </w:p>
        </w:tc>
      </w:tr>
      <w:tr>
        <w:tc>
          <w:tcPr>
            <w:tcW w:type="dxa" w:w="2880"/>
          </w:tcPr>
          <w:p>
            <w:r>
              <w:t>Launch / Ascent</w:t>
            </w:r>
          </w:p>
        </w:tc>
        <w:tc>
          <w:tcPr>
            <w:tcW w:type="dxa" w:w="2880"/>
          </w:tcPr>
          <w:p>
            <w:r>
              <w:t>100% CH₄</w:t>
            </w:r>
          </w:p>
        </w:tc>
        <w:tc>
          <w:tcPr>
            <w:tcW w:type="dxa" w:w="2880"/>
          </w:tcPr>
          <w:p>
            <w:r>
              <w:t>Maximize thrust-to-weight ratio; disregard minor erosion</w:t>
            </w:r>
          </w:p>
        </w:tc>
      </w:tr>
      <w:tr>
        <w:tc>
          <w:tcPr>
            <w:tcW w:type="dxa" w:w="2880"/>
          </w:tcPr>
          <w:p>
            <w:r>
              <w:t>Orbital Maneuver / Mid-course Correction</w:t>
            </w:r>
          </w:p>
        </w:tc>
        <w:tc>
          <w:tcPr>
            <w:tcW w:type="dxa" w:w="2880"/>
          </w:tcPr>
          <w:p>
            <w:r>
              <w:t>80% CH₄ / 20% CD₄</w:t>
            </w:r>
          </w:p>
        </w:tc>
        <w:tc>
          <w:tcPr>
            <w:tcW w:type="dxa" w:w="2880"/>
          </w:tcPr>
          <w:p>
            <w:r>
              <w:t>Balance Isp with chamber longevity</w:t>
            </w:r>
          </w:p>
        </w:tc>
      </w:tr>
      <w:tr>
        <w:tc>
          <w:tcPr>
            <w:tcW w:type="dxa" w:w="2880"/>
          </w:tcPr>
          <w:p>
            <w:r>
              <w:t>Precision Landing or Emergency Correction</w:t>
            </w:r>
          </w:p>
        </w:tc>
        <w:tc>
          <w:tcPr>
            <w:tcW w:type="dxa" w:w="2880"/>
          </w:tcPr>
          <w:p>
            <w:r>
              <w:t>100% CD₄</w:t>
            </w:r>
          </w:p>
        </w:tc>
        <w:tc>
          <w:tcPr>
            <w:tcW w:type="dxa" w:w="2880"/>
          </w:tcPr>
          <w:p>
            <w:r>
              <w:t>Minimize thermal load, increase controllability</w:t>
            </w:r>
          </w:p>
        </w:tc>
      </w:tr>
    </w:tbl>
    <w:p>
      <w:pPr>
        <w:pStyle w:val="Heading1"/>
      </w:pPr>
      <w:r>
        <w:t>Meta-Cognition, Machinery, and the Edge of Thought: What This Paper Really Shows</w:t>
      </w:r>
    </w:p>
    <w:p>
      <w:r>
        <w:br/>
        <w:t>This proposal is not merely a technical exploration of isotopic fuel mixtures or quantum modulation in propulsion systems. It is also a metacognitive document—an artifact of a thinking process conducted with and through an artificial intelligence.</w:t>
        <w:br/>
        <w:br/>
        <w:t>It began with a simple intuition: that CO₂, despite its molecular heft, might possess hidden advantages as a working fluid. That intuitive hunch—born from physical insight and shaped by abstract analogy—was fed into a machine that can extend and interrogate ideas in non-human ways. The result was not a final answer, but a scaffold for framing deeper questions.</w:t>
        <w:br/>
        <w:br/>
        <w:t>This paper reflects a human mind exploring unknown terrain while using AI not as a guru, but as a trail marker, map drawer, and sometimes a provocateur. The iterative prompting, hypothesis testing, and abstraction refinement are themselves part of a new cognitive practice—one where a questioner with curiosity and intent can reach into scientific domains previously sealed behind formal credentials or institutional walls.</w:t>
        <w:br/>
        <w:br/>
        <w:t>More importantly, it shows that the future of technical reasoning may lie not in replacing humans with machines, but in creating tools that encourage humans to ask bolder, riskier, and more elegant questions. In that sense, this paper is not just about methane—it is about how we think, how we extend that thinking, and how we make ideas real.</w:t>
        <w:br/>
        <w:br/>
        <w:t>Even if this document is picked apart by propulsion engineers or computational chemists, it stands as proof that inquiry amplified by AI can stretch beyond disciplinary silos and touch the edge of innovation. And that alone is worth the effort.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