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Widget specification</w:t>
      </w:r>
    </w:p>
    <w:p>
      <w:pPr>
        <w:pStyle w:val="BodyText"/>
        <w:bidi w:val="0"/>
        <w:rPr/>
      </w:pPr>
      <w:r>
        <w:rPr/>
        <w:t>The widget is made of brushed aluminium &amp; steel.</w:t>
      </w:r>
    </w:p>
    <w:p>
      <w:pPr>
        <w:pStyle w:val="Heading2"/>
        <w:bidi w:val="0"/>
        <w:rPr/>
      </w:pPr>
      <w:r>
        <w:rPr/>
        <w:t>Dimensions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Width 120 mm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>Height 45 mm</w:t>
      </w:r>
    </w:p>
    <w:tbl>
      <w:tblPr>
        <w:tblW w:w="205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55"/>
        <w:gridCol w:w="897"/>
      </w:tblGrid>
      <w:tr>
        <w:trPr/>
        <w:tc>
          <w:tcPr>
            <w:tcW w:w="115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Part</w:t>
            </w:r>
          </w:p>
        </w:tc>
        <w:tc>
          <w:tcPr>
            <w:tcW w:w="89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Weight</w:t>
            </w:r>
          </w:p>
        </w:tc>
      </w:tr>
      <w:tr>
        <w:trPr/>
        <w:tc>
          <w:tcPr>
            <w:tcW w:w="11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Body</w:t>
            </w:r>
          </w:p>
        </w:tc>
        <w:tc>
          <w:tcPr>
            <w:tcW w:w="89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310 g</w:t>
            </w:r>
          </w:p>
        </w:tc>
      </w:tr>
      <w:tr>
        <w:trPr/>
        <w:tc>
          <w:tcPr>
            <w:tcW w:w="11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Lid | cover</w:t>
            </w:r>
          </w:p>
        </w:tc>
        <w:tc>
          <w:tcPr>
            <w:tcW w:w="89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40 g</w:t>
            </w:r>
          </w:p>
        </w:tc>
      </w:tr>
    </w:tbl>
    <w:p>
      <w:pPr>
        <w:pStyle w:val="BodyText"/>
        <w:bidi w:val="0"/>
        <w:spacing w:before="0" w:after="283"/>
        <w:rPr/>
      </w:pPr>
      <w:r>
        <w:rPr/>
        <w:t>Ships in a recyclable box.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iberation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iberation Sans"/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List">
    <w:name w:val="List"/>
    <w:basedOn w:val="BodyText"/>
    <w:pPr/>
    <w:rPr>
      <w:rFonts w:cs="Liberation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LibreOffice_project/680$Build-1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