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ПРАКТИЧЕСКОЕ ЗАДАНИЕ</w:t>
        <w:br/>
      </w:r>
      <w:r>
        <w:rPr>
          <w:b/>
          <w:sz w:val="28"/>
        </w:rPr>
        <w:t>Вариант А</w:t>
      </w:r>
    </w:p>
    <w:p>
      <w:pPr>
        <w:jc w:val="center"/>
      </w:pPr>
      <w:r>
        <w:rPr>
          <w:b/>
        </w:rPr>
        <w:t>Анализ объектов уязвимости и угроз надёжности</w:t>
        <w:br/>
      </w:r>
      <w:r>
        <w:t>Система: сервер интернет-магазина, обслуживающий 10 000 пользователей в день.</w:t>
      </w:r>
    </w:p>
    <w:p>
      <w:r>
        <w:t>Краткое описание системы: сервер интернет-магазина обеспечивает работу сайта, обработку заказов, хранение данных пользователей и взаимодействие с базой данных. Для системы важны доступность, целостность и сохранность информации, поскольку отказы могут привести к недоступности магазина, потере заказов и финансовым потерям.</w:t>
      </w:r>
    </w:p>
    <w:p>
      <w:pPr>
        <w:pStyle w:val="Heading1"/>
      </w:pPr>
      <w:r>
        <w:t>1. Объекты уязвимости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rFonts w:ascii="Times New Roman" w:hAnsi="Times New Roman"/>
              </w:rPr>
              <w:t>№</w:t>
            </w:r>
          </w:p>
        </w:tc>
        <w:tc>
          <w:tcPr>
            <w:tcW w:type="dxa" w:w="3400"/>
          </w:tcPr>
          <w:p>
            <w:r>
              <w:rPr>
                <w:rFonts w:ascii="Times New Roman" w:hAnsi="Times New Roman"/>
              </w:rPr>
              <w:t>Объект уязвимости</w:t>
            </w:r>
          </w:p>
        </w:tc>
        <w:tc>
          <w:tcPr>
            <w:tcW w:type="dxa" w:w="3400"/>
          </w:tcPr>
          <w:p>
            <w:r>
              <w:rPr>
                <w:rFonts w:ascii="Times New Roman" w:hAnsi="Times New Roman"/>
              </w:rPr>
              <w:t>Категория</w:t>
            </w:r>
          </w:p>
        </w:tc>
      </w:tr>
      <w:tr>
        <w:tc>
          <w:tcPr>
            <w:tcW w:type="dxa" w:w="3400"/>
          </w:tcPr>
          <w:p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3400"/>
          </w:tcPr>
          <w:p>
            <w:r>
              <w:rPr>
                <w:rFonts w:ascii="Times New Roman" w:hAnsi="Times New Roman"/>
              </w:rPr>
              <w:t>Блок питания сервера</w:t>
            </w:r>
          </w:p>
        </w:tc>
        <w:tc>
          <w:tcPr>
            <w:tcW w:type="dxa" w:w="3400"/>
          </w:tcPr>
          <w:p>
            <w:r>
              <w:rPr>
                <w:rFonts w:ascii="Times New Roman" w:hAnsi="Times New Roman"/>
              </w:rPr>
              <w:t>Аппаратный</w:t>
            </w:r>
          </w:p>
        </w:tc>
      </w:tr>
      <w:tr>
        <w:tc>
          <w:tcPr>
            <w:tcW w:type="dxa" w:w="3400"/>
          </w:tcPr>
          <w:p>
            <w:r>
              <w:rPr>
                <w:rFonts w:ascii="Times New Roman" w:hAnsi="Times New Roman"/>
              </w:rPr>
              <w:t>2</w:t>
            </w:r>
          </w:p>
        </w:tc>
        <w:tc>
          <w:tcPr>
            <w:tcW w:type="dxa" w:w="3400"/>
          </w:tcPr>
          <w:p>
            <w:r>
              <w:rPr>
                <w:rFonts w:ascii="Times New Roman" w:hAnsi="Times New Roman"/>
              </w:rPr>
              <w:t>Операционная система и серверное ПО</w:t>
            </w:r>
          </w:p>
        </w:tc>
        <w:tc>
          <w:tcPr>
            <w:tcW w:type="dxa" w:w="3400"/>
          </w:tcPr>
          <w:p>
            <w:r>
              <w:rPr>
                <w:rFonts w:ascii="Times New Roman" w:hAnsi="Times New Roman"/>
              </w:rPr>
              <w:t>Программный</w:t>
            </w:r>
          </w:p>
        </w:tc>
      </w:tr>
      <w:tr>
        <w:tc>
          <w:tcPr>
            <w:tcW w:type="dxa" w:w="3400"/>
          </w:tcPr>
          <w:p>
            <w:r>
              <w:rPr>
                <w:rFonts w:ascii="Times New Roman" w:hAnsi="Times New Roman"/>
              </w:rPr>
              <w:t>3</w:t>
            </w:r>
          </w:p>
        </w:tc>
        <w:tc>
          <w:tcPr>
            <w:tcW w:type="dxa" w:w="3400"/>
          </w:tcPr>
          <w:p>
            <w:r>
              <w:rPr>
                <w:rFonts w:ascii="Times New Roman" w:hAnsi="Times New Roman"/>
              </w:rPr>
              <w:t>База данных заказов и пользователей</w:t>
            </w:r>
          </w:p>
        </w:tc>
        <w:tc>
          <w:tcPr>
            <w:tcW w:type="dxa" w:w="3400"/>
          </w:tcPr>
          <w:p>
            <w:r>
              <w:rPr>
                <w:rFonts w:ascii="Times New Roman" w:hAnsi="Times New Roman"/>
              </w:rPr>
              <w:t>Информационный</w:t>
            </w:r>
          </w:p>
        </w:tc>
      </w:tr>
      <w:tr>
        <w:tc>
          <w:tcPr>
            <w:tcW w:type="dxa" w:w="3400"/>
          </w:tcPr>
          <w:p>
            <w:r>
              <w:rPr>
                <w:rFonts w:ascii="Times New Roman" w:hAnsi="Times New Roman"/>
              </w:rPr>
              <w:t>4</w:t>
            </w:r>
          </w:p>
        </w:tc>
        <w:tc>
          <w:tcPr>
            <w:tcW w:type="dxa" w:w="3400"/>
          </w:tcPr>
          <w:p>
            <w:r>
              <w:rPr>
                <w:rFonts w:ascii="Times New Roman" w:hAnsi="Times New Roman"/>
              </w:rPr>
              <w:t>Резервные копии данных</w:t>
            </w:r>
          </w:p>
        </w:tc>
        <w:tc>
          <w:tcPr>
            <w:tcW w:type="dxa" w:w="3400"/>
          </w:tcPr>
          <w:p>
            <w:r>
              <w:rPr>
                <w:rFonts w:ascii="Times New Roman" w:hAnsi="Times New Roman"/>
              </w:rPr>
              <w:t>Информационный</w:t>
            </w:r>
          </w:p>
        </w:tc>
      </w:tr>
      <w:tr>
        <w:tc>
          <w:tcPr>
            <w:tcW w:type="dxa" w:w="3400"/>
          </w:tcPr>
          <w:p>
            <w:r>
              <w:rPr>
                <w:rFonts w:ascii="Times New Roman" w:hAnsi="Times New Roman"/>
              </w:rPr>
              <w:t>5</w:t>
            </w:r>
          </w:p>
        </w:tc>
        <w:tc>
          <w:tcPr>
            <w:tcW w:type="dxa" w:w="3400"/>
          </w:tcPr>
          <w:p>
            <w:r>
              <w:rPr>
                <w:rFonts w:ascii="Times New Roman" w:hAnsi="Times New Roman"/>
              </w:rPr>
              <w:t>Администратор сервера</w:t>
            </w:r>
          </w:p>
        </w:tc>
        <w:tc>
          <w:tcPr>
            <w:tcW w:type="dxa" w:w="3400"/>
          </w:tcPr>
          <w:p>
            <w:r>
              <w:rPr>
                <w:rFonts w:ascii="Times New Roman" w:hAnsi="Times New Roman"/>
              </w:rPr>
              <w:t>Человеческий / организационный</w:t>
            </w:r>
          </w:p>
        </w:tc>
      </w:tr>
    </w:tbl>
    <w:p>
      <w:pPr>
        <w:pStyle w:val="Heading1"/>
      </w:pPr>
      <w:r>
        <w:t>2. Дестабилизирующие факторы и угрозы надёжности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Объект уязвимости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Категория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Дестабилизирующий фактор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Классификация фактора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Угроза надёжности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Вид угрозы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Мера защиты</w:t>
            </w:r>
          </w:p>
        </w:tc>
      </w:tr>
      <w:tr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sz w:val="16"/>
              </w:rPr>
              <w:t>1. Блок питания сервера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sz w:val="16"/>
              </w:rPr>
              <w:t>Аппаратный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sz w:val="16"/>
              </w:rPr>
              <w:t>Скачок напряжения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sz w:val="16"/>
              </w:rPr>
              <w:t>Внешний; случайный; разовый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sz w:val="16"/>
              </w:rPr>
              <w:t>Отказ сервера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sz w:val="16"/>
              </w:rPr>
              <w:t>Отказ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sz w:val="16"/>
              </w:rPr>
              <w:t>ИБП и стабилизатор напряжения</w:t>
            </w:r>
          </w:p>
        </w:tc>
      </w:tr>
      <w:tr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sz w:val="16"/>
              </w:rPr>
              <w:t>1. Блок питания сервера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sz w:val="16"/>
              </w:rPr>
              <w:t>Аппаратный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sz w:val="16"/>
              </w:rPr>
              <w:t>Износ компонентов блока питания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sz w:val="16"/>
              </w:rPr>
              <w:t>Внутренний; случайный; постоянный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sz w:val="16"/>
              </w:rPr>
              <w:t>Постепенная потеря работоспособности сервера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sz w:val="16"/>
              </w:rPr>
              <w:t>Отказ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sz w:val="16"/>
              </w:rPr>
              <w:t>Плановая диагностика и своевременная замена блока питания</w:t>
            </w:r>
          </w:p>
        </w:tc>
      </w:tr>
      <w:tr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sz w:val="16"/>
              </w:rPr>
              <w:t>2. ОС и серверное ПО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sz w:val="16"/>
              </w:rPr>
              <w:t>Программный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sz w:val="16"/>
              </w:rPr>
              <w:t>Ошибка обновления или конфигурации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sz w:val="16"/>
              </w:rPr>
              <w:t>Внутренний; случайный; разовый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sz w:val="16"/>
              </w:rPr>
              <w:t>Сбой или ошибка в работе интернет-магазина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sz w:val="16"/>
              </w:rPr>
              <w:t>Сбой / ошибка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sz w:val="16"/>
              </w:rPr>
              <w:t>Тестирование обновлений и резервная копия конфигурации</w:t>
            </w:r>
          </w:p>
        </w:tc>
      </w:tr>
      <w:tr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sz w:val="16"/>
              </w:rPr>
              <w:t>2. ОС и серверное ПО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sz w:val="16"/>
              </w:rPr>
              <w:t>Программный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sz w:val="16"/>
              </w:rPr>
              <w:t>Вредоносная атака на сервер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sz w:val="16"/>
              </w:rPr>
              <w:t>Внешний; преднамеренный; разовый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sz w:val="16"/>
              </w:rPr>
              <w:t>Блокирование работы или нарушение целостности ПО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sz w:val="16"/>
              </w:rPr>
              <w:t>Блокирование / потеря целостности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sz w:val="16"/>
              </w:rPr>
              <w:t>Антивирус/EDR, межсетевой экран и своевременные обновления</w:t>
            </w:r>
          </w:p>
        </w:tc>
      </w:tr>
      <w:tr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sz w:val="16"/>
              </w:rPr>
              <w:t>3. База данных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sz w:val="16"/>
              </w:rPr>
              <w:t>Информационный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sz w:val="16"/>
              </w:rPr>
              <w:t>Ошибка программного обеспечения при записи данных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sz w:val="16"/>
              </w:rPr>
              <w:t>Внутренний; случайный; разовый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sz w:val="16"/>
              </w:rPr>
              <w:t>Искажение или потеря данных заказов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sz w:val="16"/>
              </w:rPr>
              <w:t>Потеря целостности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sz w:val="16"/>
              </w:rPr>
              <w:t>Регулярное резервное копирование и транзакционный контроль</w:t>
            </w:r>
          </w:p>
        </w:tc>
      </w:tr>
      <w:tr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sz w:val="16"/>
              </w:rPr>
              <w:t>3. База данных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sz w:val="16"/>
              </w:rPr>
              <w:t>Информационный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sz w:val="16"/>
              </w:rPr>
              <w:t>Несанкционированный доступ злоумышленника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sz w:val="16"/>
              </w:rPr>
              <w:t>Внешний; преднамеренный; разовый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sz w:val="16"/>
              </w:rPr>
              <w:t>Копирование или изменение данных пользователей и заказов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sz w:val="16"/>
              </w:rPr>
              <w:t>Утечка / потеря целостности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sz w:val="16"/>
              </w:rPr>
              <w:t>Разграничение прав доступа и многофакторная аутентификация</w:t>
            </w:r>
          </w:p>
        </w:tc>
      </w:tr>
      <w:tr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sz w:val="16"/>
              </w:rPr>
              <w:t>4. Резервные копии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sz w:val="16"/>
              </w:rPr>
              <w:t>Информационный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sz w:val="16"/>
              </w:rPr>
              <w:t>Несвоевременное выполнение резервного копирования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sz w:val="16"/>
              </w:rPr>
              <w:t>Внутренний; случайный; периодический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sz w:val="16"/>
              </w:rPr>
              <w:t>Невозможность восстановить актуальные данные после отказа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sz w:val="16"/>
              </w:rPr>
              <w:t>Потеря целостности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sz w:val="16"/>
              </w:rPr>
              <w:t>Автоматическое резервное копирование по расписанию и контроль успешности</w:t>
            </w:r>
          </w:p>
        </w:tc>
      </w:tr>
      <w:tr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sz w:val="16"/>
              </w:rPr>
              <w:t>4. Резервные копии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sz w:val="16"/>
              </w:rPr>
              <w:t>Информационный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sz w:val="16"/>
              </w:rPr>
              <w:t>Удаление или повреждение резервных копий вредоносным ПО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sz w:val="16"/>
              </w:rPr>
              <w:t>Внешний; преднамеренный; разовый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sz w:val="16"/>
              </w:rPr>
              <w:t>Потеря возможности восстановить систему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sz w:val="16"/>
              </w:rPr>
              <w:t>Потеря целостности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sz w:val="16"/>
              </w:rPr>
              <w:t>Изолированная копия и правило 3-2-1</w:t>
            </w:r>
          </w:p>
        </w:tc>
      </w:tr>
      <w:tr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sz w:val="16"/>
              </w:rPr>
              <w:t>5. Администратор сервера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sz w:val="16"/>
              </w:rPr>
              <w:t>Человеческий / организационный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sz w:val="16"/>
              </w:rPr>
              <w:t>Ошибка при изменении конфигурации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sz w:val="16"/>
              </w:rPr>
              <w:t>Внутренний; случайный; разовый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sz w:val="16"/>
              </w:rPr>
              <w:t>Сбой или временная недоступность интернет-магазина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sz w:val="16"/>
              </w:rPr>
              <w:t>Сбой / ошибка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sz w:val="16"/>
              </w:rPr>
              <w:t>Регламент изменений, резервирование конфигураций и проверка изменений</w:t>
            </w:r>
          </w:p>
        </w:tc>
      </w:tr>
      <w:tr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sz w:val="16"/>
              </w:rPr>
              <w:t>5. Администратор сервера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sz w:val="16"/>
              </w:rPr>
              <w:t>Человеческий / организационный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sz w:val="16"/>
              </w:rPr>
              <w:t>Компрометация учётной записи администратора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sz w:val="16"/>
              </w:rPr>
              <w:t>Внешний; преднамеренный; разовый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sz w:val="16"/>
              </w:rPr>
              <w:t>Несанкционированное изменение системы или доступ к данным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sz w:val="16"/>
              </w:rPr>
              <w:t>Утечка / потеря целостности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Times New Roman" w:hAnsi="Times New Roman"/>
                <w:sz w:val="16"/>
              </w:rPr>
              <w:t>Многофакторная аутентификация и принцип минимальных привилегий</w:t>
            </w:r>
          </w:p>
        </w:tc>
      </w:tr>
    </w:tbl>
    <w:p>
      <w:pPr>
        <w:pStyle w:val="Heading1"/>
      </w:pPr>
      <w:r>
        <w:t>3. Наиболее опасная угроза</w:t>
      </w:r>
    </w:p>
    <w:p>
      <w:r>
        <w:t>Для выбранной системы наиболее опасной является компрометация учётной записи администратора с последующим несанкционированным изменением системы и доступом к данным. Такая угроза может одновременно привести к нарушению работы интернет-магазина, утечке информации и потере целостности заказов и данных пользователей. Последствия могут затронуть сразу несколько ключевых свойств системы: доступность, целостность и защищённость. Поэтому для снижения риска необходимо использовать многофакторную аутентификацию, минимальные привилегии, журналирование действий администратора и контроль изменений.</w:t>
      </w:r>
    </w:p>
    <w:p>
      <w:pPr>
        <w:pStyle w:val="Heading1"/>
      </w:pPr>
      <w:r>
        <w:t>4. Вывод</w:t>
      </w:r>
    </w:p>
    <w:p>
      <w:r>
        <w:t>В сервере интернет-магазина уязвимыми являются аппаратные, программные, информационные и человеческие/организационные объекты. На них могут воздействовать как случайные, так и преднамеренные, внутренние и внешние факторы. Для повышения надёжности системы необходимо сочетать технические, программные и организационные меры защиты: резервное копирование, ИБП, обновление ПО, разграничение доступа, многофакторную аутентификацию и регламенты администрирования.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