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DE43FD" w14:textId="6B67FF30" w:rsidR="0038722D" w:rsidRPr="00E6035B" w:rsidRDefault="005D7747" w:rsidP="00E6035B">
      <w:pPr>
        <w:pStyle w:val="Title"/>
        <w:rPr>
          <w:sz w:val="36"/>
          <w:szCs w:val="36"/>
        </w:rPr>
      </w:pPr>
      <w:r w:rsidRPr="00E6035B">
        <w:rPr>
          <w:sz w:val="36"/>
          <w:szCs w:val="36"/>
        </w:rPr>
        <w:t>Financial Inclusion in Uganda; The Case for Machine Learning Models using Alternative Data to Extend Credit to the Unbanked</w:t>
      </w:r>
    </w:p>
    <w:p w14:paraId="29D3D171" w14:textId="1AD8193A" w:rsidR="0038722D" w:rsidRPr="00DA25FA" w:rsidRDefault="00A474A8" w:rsidP="00E6035B">
      <w:r>
        <w:rPr>
          <w:lang w:val="en-GB"/>
        </w:rPr>
        <w:t xml:space="preserve">Jonathan Stephen KATEEGA </w:t>
      </w:r>
      <w:r w:rsidR="00DA25FA">
        <w:rPr>
          <w:lang w:val="en-GB"/>
        </w:rPr>
        <w:t>| B34976</w:t>
      </w:r>
    </w:p>
    <w:p w14:paraId="1A8BBEF3" w14:textId="77777777" w:rsidR="00A474A8" w:rsidRDefault="00A474A8" w:rsidP="00E6035B"/>
    <w:p w14:paraId="1BAEC168" w14:textId="09ECFF7A" w:rsidR="00996038" w:rsidRDefault="00996038" w:rsidP="00E6035B">
      <w:pPr>
        <w:pStyle w:val="Heading1"/>
      </w:pPr>
      <w:r>
        <w:t>Introduction</w:t>
      </w:r>
    </w:p>
    <w:p w14:paraId="5DF0EE89" w14:textId="7467BBDC" w:rsidR="00233D91" w:rsidRPr="00A474A8" w:rsidRDefault="00E931CE" w:rsidP="00E6035B">
      <w:pPr>
        <w:rPr>
          <w:lang w:val="en-GB"/>
        </w:rPr>
      </w:pPr>
      <w:r>
        <w:rPr>
          <w:lang w:val="en-GB"/>
        </w:rPr>
        <w:t>Financial inclusion entails ensuring broad and equitable access to financial services. In East Africa, where large segments remain excluded from formal credit</w:t>
      </w:r>
      <w:r w:rsidR="003A405B">
        <w:rPr>
          <w:lang w:val="en-GB"/>
        </w:rPr>
        <w:t xml:space="preserve"> </w:t>
      </w:r>
      <w:r w:rsidR="003A405B">
        <w:rPr>
          <w:lang w:val="en-GB"/>
        </w:rPr>
        <w:fldChar w:fldCharType="begin"/>
      </w:r>
      <w:r w:rsidR="003A405B">
        <w:rPr>
          <w:lang w:val="en-GB"/>
        </w:rPr>
        <w:instrText xml:space="preserve"> ADDIN ZOTERO_ITEM CSL_CITATION {"citationID":"eDpwTqAm","properties":{"formattedCitation":"(Demirg\\uc0\\u252{}\\uc0\\u231{}-Kunt et al., 2021)","plainCitation":"(Demirgüç-Kunt et al., 2021)","noteIndex":0},"citationItems":[{"id":28,"uris":["http://zotero.org/users/7595924/items/P3UVGMT8"],"itemData":{"id":28,"type":"article-journal","container-title":"The Global Findex Database 2021","language":"en","source":"Zotero","title":"Financial Inclusion, Digital Payments, and Resilience in the Age of COVID-19","URL":"https://documents1.worldbank.org/curated/en/099818107072234182/pdf/IDU06a834fe908933040670a6560f44e3f4d35b7.pdf","author":[{"family":"Demirgüç-Kunt","given":"Asli"},{"family":"Klapper","given":"Leora"},{"family":"Singer","given":"Dorothe"},{"family":"Ansar","given":"Saniya"}],"issued":{"date-parts":[["2021"]]}}}],"schema":"https://github.com/citation-style-language/schema/raw/master/csl-citation.json"} </w:instrText>
      </w:r>
      <w:r w:rsidR="003A405B">
        <w:rPr>
          <w:lang w:val="en-GB"/>
        </w:rPr>
        <w:fldChar w:fldCharType="separate"/>
      </w:r>
      <w:r w:rsidR="003A405B" w:rsidRPr="003A405B">
        <w:rPr>
          <w:rFonts w:cs="Times New Roman"/>
          <w:lang w:val="en-GB"/>
        </w:rPr>
        <w:t>(</w:t>
      </w:r>
      <w:proofErr w:type="spellStart"/>
      <w:r w:rsidR="003A405B" w:rsidRPr="003A405B">
        <w:rPr>
          <w:rFonts w:cs="Times New Roman"/>
          <w:lang w:val="en-GB"/>
        </w:rPr>
        <w:t>Demirgüç-Kunt</w:t>
      </w:r>
      <w:proofErr w:type="spellEnd"/>
      <w:r w:rsidR="003A405B" w:rsidRPr="003A405B">
        <w:rPr>
          <w:rFonts w:cs="Times New Roman"/>
          <w:lang w:val="en-GB"/>
        </w:rPr>
        <w:t xml:space="preserve"> et al., 2021)</w:t>
      </w:r>
      <w:r w:rsidR="003A405B">
        <w:rPr>
          <w:lang w:val="en-GB"/>
        </w:rPr>
        <w:fldChar w:fldCharType="end"/>
      </w:r>
      <w:r>
        <w:rPr>
          <w:lang w:val="en-GB"/>
        </w:rPr>
        <w:t xml:space="preserve"> it has become a central policy research focus</w:t>
      </w:r>
      <w:r w:rsidR="005D7747">
        <w:t>.</w:t>
      </w:r>
      <w:r w:rsidR="003A405B">
        <w:rPr>
          <w:lang w:val="en-GB"/>
        </w:rPr>
        <w:t xml:space="preserve"> </w:t>
      </w:r>
      <w:r w:rsidR="005D7747">
        <w:t xml:space="preserve"> </w:t>
      </w:r>
      <w:r w:rsidR="003A405B">
        <w:rPr>
          <w:lang w:val="en-GB"/>
        </w:rPr>
        <w:t>The proliferation of m</w:t>
      </w:r>
      <w:r w:rsidR="005D7747">
        <w:t xml:space="preserve">obile-money ecosystems (notably MTN and Airtel in Uganda, and M-Pesa in Kenya) </w:t>
      </w:r>
      <w:r w:rsidR="003A405B">
        <w:rPr>
          <w:lang w:val="en-GB"/>
        </w:rPr>
        <w:t>has created opportunities for financial deepening</w:t>
      </w:r>
      <w:r w:rsidR="00DA25FA">
        <w:rPr>
          <w:lang w:val="en-GB"/>
        </w:rPr>
        <w:t xml:space="preserve"> </w:t>
      </w:r>
      <w:r w:rsidR="003A405B">
        <w:rPr>
          <w:lang w:val="en-GB"/>
        </w:rPr>
        <w:fldChar w:fldCharType="begin"/>
      </w:r>
      <w:r w:rsidR="003A405B">
        <w:rPr>
          <w:lang w:val="en-GB"/>
        </w:rPr>
        <w:instrText xml:space="preserve"> ADDIN ZOTERO_ITEM CSL_CITATION {"citationID":"3EsdyLV5","properties":{"formattedCitation":"(Osabutey &amp; Jackson, 2024)","plainCitation":"(Osabutey &amp; Jackson, 2024)","noteIndex":0},"citationItems":[{"id":29,"uris":["http://zotero.org/users/7595924/items/PBAPTSSP"],"itemData":{"id":29,"type":"article-journal","abstract":"Mobile money is purported to promote financial inclusion. The growing number of studies have largely focused on transactions and related benefits with limited attention to emerging challenges, policies and initiatives that address the relative needs of different stakeholders. Consequently, little has been done to probe the ‘bottom-of-the-pyramid’ paradigm that underpins these assumptions. There has been inadequate endeavour to examine ways that empirical research could shed more light on these challenges and how to overcome them. To address these gaps, this study reviews the emerging literature on mobile money that explores both benefits and challenges. From our study three main themes emerge that suggest areas where challenges to the efficacy of the mobile money-financial inclusion link still appears not to have been adequately addressed by policymakers: ensuring integrity, privacy and security; addressing resource and infrastructure constraints; and integrating stakeholder benefits. Yet we suggest merely addressing these challenges does not go far enough in safeguarding the needs of local communities, as major stakeholders. Evidence from our study suggests little direct benefit to the poorer sections of local communities, only to the strata above and to elites and external stakeholders. This has implications for development and social change through technology adoption.","container-title":"Technological Forecasting and Social Change","DOI":"10.1016/j.techfore.2024.123339","ISSN":"0040-1625","journalAbbreviation":"Technological Forecasting and Social Change","page":"123339","source":"ScienceDirect","title":"Mobile money and financial inclusion in Africa: Emerging themes, challenges and policy implications","title-short":"Mobile money and financial inclusion in Africa","volume":"202","author":[{"family":"Osabutey","given":"Ellis L. C."},{"family":"Jackson","given":"Terence"}],"issued":{"date-parts":[["2024",5,1]]}}}],"schema":"https://github.com/citation-style-language/schema/raw/master/csl-citation.json"} </w:instrText>
      </w:r>
      <w:r w:rsidR="003A405B">
        <w:rPr>
          <w:lang w:val="en-GB"/>
        </w:rPr>
        <w:fldChar w:fldCharType="separate"/>
      </w:r>
      <w:r w:rsidR="003A405B">
        <w:rPr>
          <w:noProof/>
          <w:lang w:val="en-GB"/>
        </w:rPr>
        <w:t>(Osabutey &amp; Jackson, 2024)</w:t>
      </w:r>
      <w:r w:rsidR="003A405B">
        <w:rPr>
          <w:lang w:val="en-GB"/>
        </w:rPr>
        <w:fldChar w:fldCharType="end"/>
      </w:r>
      <w:r w:rsidR="003A405B">
        <w:rPr>
          <w:lang w:val="en-GB"/>
        </w:rPr>
        <w:t>, yet the problem of credit access persists for the unbanked and underbanked.</w:t>
      </w:r>
      <w:r w:rsidR="00A474A8">
        <w:rPr>
          <w:lang w:val="en-GB"/>
        </w:rPr>
        <w:t xml:space="preserve">  Through research, we have today an understanding of the determinants of financial inclusion, the role of financial technologies, and the potential of alternative data sources in extending credit.</w:t>
      </w:r>
      <w:r w:rsidR="00B10DBF">
        <w:rPr>
          <w:lang w:val="en-GB"/>
        </w:rPr>
        <w:t xml:space="preserve">  However, there is considerable divergence in approach and coverage: while some adopt macro-level economic analysis approaches, others emphasize micro-level behavioural studies or exploratory use of machine learning.</w:t>
      </w:r>
      <w:r w:rsidR="002A536D">
        <w:rPr>
          <w:lang w:val="en-GB"/>
        </w:rPr>
        <w:t xml:space="preserve">  This section appraises these paradigms, and concludes with identified gaps and approaches for future studies.</w:t>
      </w:r>
    </w:p>
    <w:p w14:paraId="65988C05" w14:textId="095F6EFF" w:rsidR="00233D91" w:rsidRDefault="00233D91" w:rsidP="00E6035B"/>
    <w:p w14:paraId="0F79F3FF" w14:textId="693EA30B" w:rsidR="005D7747" w:rsidRDefault="005D7747" w:rsidP="007E0DE3">
      <w:pPr>
        <w:pStyle w:val="Heading1"/>
      </w:pPr>
      <w:r>
        <w:t>Main Research Paradigms</w:t>
      </w:r>
    </w:p>
    <w:p w14:paraId="70F0E8FD" w14:textId="7F6C6551" w:rsidR="00FB69DE" w:rsidRDefault="00FB69DE" w:rsidP="00E6035B">
      <w:pPr>
        <w:pStyle w:val="Heading2"/>
      </w:pPr>
      <w:r>
        <w:t>Macro-Economic Analyses</w:t>
      </w:r>
    </w:p>
    <w:p w14:paraId="7331706D" w14:textId="25630BF1" w:rsidR="00FB69DE" w:rsidRPr="00FB69DE" w:rsidRDefault="00FB69DE" w:rsidP="00E6035B">
      <w:r w:rsidRPr="00E6035B">
        <w:fldChar w:fldCharType="begin"/>
      </w:r>
      <w:r w:rsidR="005E6480" w:rsidRPr="00E6035B">
        <w:instrText xml:space="preserve"> ADDIN ZOTERO_ITEM CSL_CITATION {"citationID":"0YUqNSq7","properties":{"formattedCitation":"(Nampewo et al., 2016)","plainCitation":"(Nampewo et al., 2016)","dontUpdate":true,"noteIndex":0},"citationItems":[{"id":12,"uris":["http://zotero.org/users/7595924/items/FYF8ZVV9"],"itemData":{"id":12,"type":"article-journal","abstract":"Mobile money services have been associated with unprecedented access to financial services, notably to under-banked and unbanked populations. Thus, mobile money opens a channel through which to examine the supply of private sector credit in Uganda. This study investigates how mobile money services influence private sector credit growth.","container-title":"Financial Innovation","DOI":"10.1186/s40854-016-0033-x","ISSN":"2199-4730","issue":"1","journalAbbreviation":"Financial Innovation","page":"13","source":"BioMed Central","title":"Determinants of private sector credit in Uganda: the role of mobile money","title-short":"Determinants of private sector credit in Uganda","volume":"2","author":[{"family":"Nampewo","given":"Dorothy"},{"family":"Tinyinondi","given":"Grace Ainomugisha"},{"family":"Kawooya","given":"Duncan Roy"},{"family":"Ssonko","given":"George Wilson"}],"issued":{"date-parts":[["2016",11,21]]}}}],"schema":"https://github.com/citation-style-language/schema/raw/master/csl-citation.json"} </w:instrText>
      </w:r>
      <w:r w:rsidRPr="00E6035B">
        <w:fldChar w:fldCharType="separate"/>
      </w:r>
      <w:r w:rsidRPr="00E6035B">
        <w:rPr>
          <w:noProof/>
        </w:rPr>
        <w:t>Nampewo et al. (2016)</w:t>
      </w:r>
      <w:r w:rsidRPr="00E6035B">
        <w:fldChar w:fldCharType="end"/>
      </w:r>
      <w:r w:rsidRPr="00E6035B">
        <w:t xml:space="preserve"> </w:t>
      </w:r>
      <w:r w:rsidRPr="00FB69DE">
        <w:t>employed vector error correction models (VECM) to study the relationship between mobile money penetration and private sector credit in Uganda.</w:t>
      </w:r>
      <w:r w:rsidRPr="00E6035B">
        <w:t xml:space="preserve"> </w:t>
      </w:r>
      <w:r w:rsidRPr="00FB69DE">
        <w:t xml:space="preserve"> </w:t>
      </w:r>
      <w:r w:rsidR="00E931CE">
        <w:rPr>
          <w:lang w:val="en-GB"/>
        </w:rPr>
        <w:t xml:space="preserve">Although </w:t>
      </w:r>
      <w:proofErr w:type="spellStart"/>
      <w:r w:rsidR="00E931CE">
        <w:rPr>
          <w:lang w:val="en-GB"/>
        </w:rPr>
        <w:t>Nampewo</w:t>
      </w:r>
      <w:proofErr w:type="spellEnd"/>
      <w:r w:rsidR="00E931CE">
        <w:rPr>
          <w:lang w:val="en-GB"/>
        </w:rPr>
        <w:t xml:space="preserve"> et al. (2016) identified a positive long-running link between mobile money and private sector credit, their national-level model overlooks household-level variations in credit access.</w:t>
      </w:r>
      <w:r w:rsidR="00634731" w:rsidRPr="00E6035B">
        <w:t xml:space="preserve"> </w:t>
      </w:r>
      <w:r w:rsidRPr="00FB69DE">
        <w:t xml:space="preserve"> The reliance on national-level time-series data, though robust for identifying macroeconomic trends, offers limited </w:t>
      </w:r>
      <w:r w:rsidR="00634731" w:rsidRPr="00E6035B">
        <w:t>usefulness for application or innovation in</w:t>
      </w:r>
      <w:r w:rsidRPr="00FB69DE">
        <w:t xml:space="preserve"> credit scoring.</w:t>
      </w:r>
      <w:r w:rsidR="00634731" w:rsidRPr="00E6035B">
        <w:t xml:space="preserve"> </w:t>
      </w:r>
      <w:r w:rsidRPr="00FB69DE">
        <w:t xml:space="preserve"> The absence of individual behavioral or transactional data renders the findings useful for policy advocacy but inadequate for informing </w:t>
      </w:r>
      <w:r w:rsidR="00634731" w:rsidRPr="00E6035B">
        <w:t>machine learning</w:t>
      </w:r>
      <w:r w:rsidRPr="00FB69DE">
        <w:t xml:space="preserve"> models.</w:t>
      </w:r>
    </w:p>
    <w:p w14:paraId="7C77C258" w14:textId="55181A06" w:rsidR="00FB69DE" w:rsidRDefault="00FB69DE" w:rsidP="00E6035B"/>
    <w:p w14:paraId="18AB3C5D" w14:textId="19DEC6F0" w:rsidR="00634731" w:rsidRDefault="00634731" w:rsidP="00E6035B">
      <w:pPr>
        <w:pStyle w:val="Heading2"/>
      </w:pPr>
      <w:r>
        <w:t>Behavioural and Survey-Based Studies</w:t>
      </w:r>
    </w:p>
    <w:p w14:paraId="36D9A749" w14:textId="118DB9B3" w:rsidR="00634731" w:rsidRPr="00634731" w:rsidRDefault="00634731" w:rsidP="00E6035B">
      <w:r>
        <w:lastRenderedPageBreak/>
        <w:fldChar w:fldCharType="begin"/>
      </w:r>
      <w:r w:rsidR="005E6480">
        <w:instrText xml:space="preserve"> ADDIN ZOTERO_ITEM CSL_CITATION {"citationID":"k9y3bn7Z","properties":{"formattedCitation":"(Munyegera &amp; Matsumoto, 2016)","plainCitation":"(Munyegera &amp; Matsumoto, 2016)","dontUpdate":true,"noteIndex":0},"citationItems":[{"id":15,"uris":["http://zotero.org/users/7595924/items/W7G3RIYX"],"itemData":{"id":15,"type":"article-journal","abstract":"Access to financial services is crucial for development as it enhances resource mobilization needed for productive investment and facilitates consumption smoothing. With a vast majority of adult Ugandans having no access to formal financial services, mobile money is expected to bridge this gap especially in rural areas. This financial product allows users to make financial transactions using their mobile phones. Within five years of its inception in Uganda since 2009, the mobile money service has been used by over 35% of the adult population and the rate of penetration is rapidly increasing. We investigate its impact on household welfare using panel data covering 846 rural households. Using a combination of household fixed effects, instrumental variable and propensity score matching methods, we find a positive and significant effect of mobile money access on household welfare, measured by real per capita consumption. The mechanism of this impact is the facilitation of remittances; user households are more likely to receive remittances, receive remittances more frequently, and the total value received is significantly higher than that of non-user households. We attribute this impact on the reduction in transaction, transport, and time costs associated with mobile phone-based financial transactions. Our results are robust to changes in model specifications and alternative explanations.","container-title":"World Development","DOI":"10.1016/j.worlddev.2015.11.006","ISSN":"0305-750X","journalAbbreviation":"World Development","page":"127-137","source":"ScienceDirect","title":"Mobile Money, Remittances, and Household Welfare: Panel Evidence from Rural Uganda","title-short":"Mobile Money, Remittances, and Household Welfare","volume":"79","author":[{"family":"Munyegera","given":"Ggombe Kasim"},{"family":"Matsumoto","given":"Tomoya"}],"issued":{"date-parts":[["2016",3,1]]}}}],"schema":"https://github.com/citation-style-language/schema/raw/master/csl-citation.json"} </w:instrText>
      </w:r>
      <w:r>
        <w:fldChar w:fldCharType="separate"/>
      </w:r>
      <w:r>
        <w:rPr>
          <w:noProof/>
        </w:rPr>
        <w:t>Munyegera and Matsumoto (2016)</w:t>
      </w:r>
      <w:r>
        <w:fldChar w:fldCharType="end"/>
      </w:r>
      <w:r>
        <w:t xml:space="preserve"> </w:t>
      </w:r>
      <w:r w:rsidRPr="00634731">
        <w:t>investigated rural household adoption of mobile money in Uganda</w:t>
      </w:r>
      <w:r>
        <w:t>.</w:t>
      </w:r>
      <w:r w:rsidR="00E931CE">
        <w:rPr>
          <w:lang w:val="en-GB"/>
        </w:rPr>
        <w:t xml:space="preserve"> </w:t>
      </w:r>
      <w:r>
        <w:t xml:space="preserve"> They used surveys as well as economic theory and statistical inference to</w:t>
      </w:r>
      <w:r w:rsidRPr="00634731">
        <w:t xml:space="preserve"> advance</w:t>
      </w:r>
      <w:r>
        <w:t xml:space="preserve"> the</w:t>
      </w:r>
      <w:r w:rsidRPr="00634731">
        <w:t xml:space="preserve"> understanding of mobile money’s impact on savings and borrowing</w:t>
      </w:r>
      <w:r w:rsidR="00E931CE">
        <w:rPr>
          <w:lang w:val="en-GB"/>
        </w:rPr>
        <w:t xml:space="preserve">. </w:t>
      </w:r>
      <w:r w:rsidRPr="00634731">
        <w:t xml:space="preserve"> </w:t>
      </w:r>
      <w:r w:rsidR="00E931CE">
        <w:rPr>
          <w:lang w:val="en-GB"/>
        </w:rPr>
        <w:t>While relying</w:t>
      </w:r>
      <w:r w:rsidR="00E931CE">
        <w:rPr>
          <w:lang w:val="en-GB"/>
        </w:rPr>
        <w:t xml:space="preserve"> on survey-based evidence to examine mobile money adoption, the lack of digital behavioural data limited their predictive applicability</w:t>
      </w:r>
      <w:r w:rsidRPr="00634731">
        <w:t>.</w:t>
      </w:r>
      <w:r>
        <w:t xml:space="preserve"> </w:t>
      </w:r>
      <w:r w:rsidRPr="00634731">
        <w:t xml:space="preserve"> Although </w:t>
      </w:r>
      <w:r w:rsidR="00E931CE">
        <w:rPr>
          <w:lang w:val="en-GB"/>
        </w:rPr>
        <w:t>the study identified problems that people face in accessing credit, it did not translate these insights into data that could power a model to predict whether someone is credit worthy</w:t>
      </w:r>
      <w:r w:rsidRPr="00634731">
        <w:t>.</w:t>
      </w:r>
      <w:r>
        <w:t xml:space="preserve"> </w:t>
      </w:r>
      <w:r w:rsidRPr="00634731">
        <w:t xml:space="preserve"> This gap reflects a broader trend in the literature: strong emphasis on correlates of financial inclusion, but limited methodological innovation in data science applications.</w:t>
      </w:r>
    </w:p>
    <w:p w14:paraId="27A9C31A" w14:textId="114BDE5C" w:rsidR="00FB69DE" w:rsidRDefault="00FB69DE" w:rsidP="00E6035B"/>
    <w:p w14:paraId="269E3435" w14:textId="343EDDAE" w:rsidR="00634731" w:rsidRDefault="00634731" w:rsidP="00E6035B">
      <w:pPr>
        <w:pStyle w:val="Heading2"/>
      </w:pPr>
      <w:r>
        <w:t>Digital Finance and Technological Adoption</w:t>
      </w:r>
    </w:p>
    <w:p w14:paraId="7D972C8A" w14:textId="318F8833" w:rsidR="00634731" w:rsidRPr="00634731" w:rsidRDefault="005E6480" w:rsidP="00E6035B">
      <w:r>
        <w:t xml:space="preserve">More recent studies, including </w:t>
      </w:r>
      <w:r>
        <w:fldChar w:fldCharType="begin"/>
      </w:r>
      <w:r w:rsidR="00296A39">
        <w:instrText xml:space="preserve"> ADDIN ZOTERO_ITEM CSL_CITATION {"citationID":"51po6IbV","properties":{"formattedCitation":"(George Okello Candiya Bongomin et al., 2024; Serge Ky et al., 2018)","plainCitation":"(George Okello Candiya Bongomin et al., 2024; Serge Ky et al., 2018)","dontUpdate":true,"noteIndex":0},"citationItems":[{"id":19,"uris":["http://zotero.org/users/7595924/items/2RAB8Y76"],"itemData":{"id":19,"type":"article-journal","abstract":"Request PDF | Does mobile money affect saving behaviour? Evidence from a developing country | We investigate whether the use of mobile money can help individuals build savings to face predictable and unpredictable life events. Studying the... | Find, read and cite all the research you need on ResearchGate","container-title":"Journal of African Economies","DOI":"10.1093/jae/ejx028","issue":"3","language":"en","page":"285-320","source":"www.researchgate.net","title":"Does mobile money affect saving behaviour? Evidence from a developing country | Request PDF","title-short":"Does mobile money affect saving behaviour?","volume":"27","author":[{"family":"Ky","given":"Serge"},{"family":"Rugemintwari","given":"Clovis"},{"family":"Sauviat","given":"Alain"}],"issued":{"date-parts":[["2018"]]}}},{"id":17,"uris":["http://zotero.org/users/7595924/items/2HMSN448"],"itemData":{"id":17,"type":"article-journal","abstract":"The main purpose of this study is to test for the interaction effect of digital literacy in the relationship between financial technologies (FinTechs) of biometrics and mobile money and digital financial inclusion among the unbanked poor women, youth and persons with disabilities (PWDs) in rural Uganda.Covariance-based structural equation modeling was used to construct the interaction effect using data collected from the unbanked poor women, youth and PWDs located in the four regions in Uganda as prescribed by Hair et al. (2022).The findings from this study are threefold: first; the results revealed a positive interaction effect of digital literacy between FinTechs of biometrics and mobile money and digital financial inclusion. Second; the results also confirmed that biometrics identification positively promotes digital financial inclusion. Lastly; the results showed that mobile money positively promotes digital financial inclusion. A combination of FinTechs of biometrics and mobile money together with digital literacy explain 29% variation in digital financial inclusion among the unbanked poor women, youth and PWDs in rural Uganda.The data for this study were collected mainly from the unbanked poor women, youth and PWDs. Further studies may look at data from other sections of the vulnerable population in under developed financial markets. Additionally, the data for this study were collected only from Uganda as a developing country. Thus, more data may be obtained from other developing countries to draw conclusive and generalized empirical evidence. Besides, the current study used cross sectional design to collect the data. Therefore, future studies may adopt longitudinal research design to investigate the impact of FinTechs on digital financial inclusion in the presence of digital literacy across different time range.The governments in developing countries like Uganda should support women, youth, PWDs and other equally vulnerable groups, especially in the rural communities to understand and use FinTechs. This can be achieved through digital literacy that can help them to embrace digital financial services and competently navigate and perform digital transactions over digital platforms like mobile money without making errors. Besides, governments in developing countries like Uganda can use this finding to advocate for the design of appropriate digital infrastructures to reach remote areas and ensure “last mile connectivity for digital financial services' users.” The use of off-line solutions can complement the absence or loss of on-line network connectivity for biometrics and mobile money to close the huge digital divide gap in rural areas. This can scale-up access to and use of financial services by the unbanked rural population.This paper sheds more light on the importance of digital literacy in the ever complex and dynamic global FinTech ecosystem in the presence of rampant cyber risks. To the best of the authors' knowledge, limited studies currently exist that integrate digital literacy as a moderator in the relationship between FinTechs and digital financial inclusion, especially among vulnerable groups in under-developed digital financial markets in developing countries. This is the novelty of the paper with data obtained from the unbanked poor women, youth and PWDs in rural Uganda.","container-title":"Information Technology &amp; People","DOI":"10.1108/ITP-09-2022-0732","ISSN":"0959-3845","issue":"3","journalAbbreviation":"Information Technology &amp; People","page":"1178-1207","source":"Silverchair","title":"Recalibrating the scope of financial inclusion through financial technologies in the digital age: the role of digital literacy as a moderator in rural Uganda","title-short":"Recalibrating the scope of financial inclusion through financial technologies in the digital age","volume":"38","author":[{"family":"Bongomin","given":"George Okello Candiya"},{"family":"Malinga","given":"Charles Akol"},{"family":"Amani","given":"Alain Manzi"},{"family":"Balinda","given":"Rebecca"}],"issued":{"date-parts":[["2024",3,20]]}}}],"schema":"https://github.com/citation-style-language/schema/raw/master/csl-citation.json"} </w:instrText>
      </w:r>
      <w:r>
        <w:fldChar w:fldCharType="separate"/>
      </w:r>
      <w:r>
        <w:t>Bongomin et al. (2024) and Ky et al. (2018)</w:t>
      </w:r>
      <w:r>
        <w:fldChar w:fldCharType="end"/>
      </w:r>
      <w:r w:rsidR="00634731" w:rsidRPr="00634731">
        <w:t xml:space="preserve"> </w:t>
      </w:r>
      <w:r w:rsidR="00296A39">
        <w:t>have</w:t>
      </w:r>
      <w:r w:rsidR="00634731" w:rsidRPr="00634731">
        <w:t xml:space="preserve"> applied structural equation modeling and </w:t>
      </w:r>
      <w:r w:rsidR="00296A39">
        <w:t xml:space="preserve">technology </w:t>
      </w:r>
      <w:r w:rsidR="00634731" w:rsidRPr="00634731">
        <w:t>doption frameworks (</w:t>
      </w:r>
      <w:r w:rsidR="00296A39">
        <w:t>such as the Technology Acceptance Model and</w:t>
      </w:r>
      <w:r w:rsidR="00634731" w:rsidRPr="00634731">
        <w:t xml:space="preserve"> </w:t>
      </w:r>
      <w:r w:rsidR="00296A39">
        <w:t xml:space="preserve">Unified Theory of Acceptance and </w:t>
      </w:r>
      <w:r w:rsidR="00634731" w:rsidRPr="00634731">
        <w:t>U</w:t>
      </w:r>
      <w:r w:rsidR="00296A39">
        <w:t>se of Technology</w:t>
      </w:r>
      <w:r w:rsidR="00634731" w:rsidRPr="00634731">
        <w:t xml:space="preserve">) to assess the moderating role of digital literacy and technological trust in financial inclusion outcomes. </w:t>
      </w:r>
      <w:r w:rsidR="00296A39">
        <w:t xml:space="preserve"> </w:t>
      </w:r>
      <w:r w:rsidR="00634731" w:rsidRPr="00634731">
        <w:t>While these models capture latent factors influencing adoption, they suffer from similar limitations as survey-based studies:</w:t>
      </w:r>
      <w:r w:rsidR="00296A39">
        <w:t xml:space="preserve"> an</w:t>
      </w:r>
      <w:r w:rsidR="00634731" w:rsidRPr="00634731">
        <w:t xml:space="preserve"> </w:t>
      </w:r>
      <w:r w:rsidR="00296A39">
        <w:t>over-</w:t>
      </w:r>
      <w:r w:rsidR="00634731" w:rsidRPr="00634731">
        <w:t>reliance on stated rather than revealed preferences, and minimal attention to credit scoring mechanisms.</w:t>
      </w:r>
      <w:r w:rsidR="00296A39">
        <w:t xml:space="preserve"> </w:t>
      </w:r>
      <w:r w:rsidR="00634731" w:rsidRPr="00634731">
        <w:t xml:space="preserve"> Moreover, these approaches rarely assess model performance or predictive validity</w:t>
      </w:r>
      <w:r w:rsidR="00296A39">
        <w:t xml:space="preserve">, both of which are </w:t>
      </w:r>
      <w:r w:rsidR="00E6035B">
        <w:rPr>
          <w:lang w:val="en-GB"/>
        </w:rPr>
        <w:t xml:space="preserve">identified by other studies such as </w:t>
      </w:r>
      <w:r w:rsidR="00E6035B">
        <w:fldChar w:fldCharType="begin"/>
      </w:r>
      <w:r w:rsidR="00E6035B">
        <w:instrText xml:space="preserve"> ADDIN ZOTERO_ITEM CSL_CITATION {"citationID":"pYOMpv43","properties":{"formattedCitation":"(Liu, 2025)","plainCitation":"(Liu, 2025)","noteIndex":0},"citationItems":[{"id":21,"uris":["http://zotero.org/users/7595924/items/ZKP6I34R"],"itemData":{"id":21,"type":"article-journal","abstract":"PDF | Traditional credit risk assessment models frequently depend on historical data and predefined rules, a limitation that may fail to fully encompass... | Find, read and cite all the research you need on ResearchGate","container-title":"Highlights in Science Engineering and Technology","DOI":"10.54097/6qm0dk77","language":"en","source":"www.researchgate.net","title":"Application Analysis of Machine Learning Models in Credit Risk","URL":"https://www.researchgate.net/publication/383208267_Application_Analysis_of_Machine_Learning_Models_in_Credit_Risk","volume":"107","author":[{"family":"Liu","given":"Shiyi"}],"accessed":{"date-parts":[["2025",10,4]]},"issued":{"date-parts":[["2025",8,7]]}}}],"schema":"https://github.com/citation-style-language/schema/raw/master/csl-citation.json"} </w:instrText>
      </w:r>
      <w:r w:rsidR="00E6035B">
        <w:fldChar w:fldCharType="separate"/>
      </w:r>
      <w:r w:rsidR="00E6035B">
        <w:rPr>
          <w:noProof/>
        </w:rPr>
        <w:t>Liu</w:t>
      </w:r>
      <w:r w:rsidR="00E6035B">
        <w:rPr>
          <w:noProof/>
          <w:lang w:val="en-GB"/>
        </w:rPr>
        <w:t xml:space="preserve"> (</w:t>
      </w:r>
      <w:r w:rsidR="00E6035B">
        <w:rPr>
          <w:noProof/>
        </w:rPr>
        <w:t>2025)</w:t>
      </w:r>
      <w:r w:rsidR="00E6035B">
        <w:fldChar w:fldCharType="end"/>
      </w:r>
      <w:r w:rsidR="00E6035B">
        <w:rPr>
          <w:lang w:val="en-GB"/>
        </w:rPr>
        <w:t xml:space="preserve"> as </w:t>
      </w:r>
      <w:r w:rsidR="00634731" w:rsidRPr="00634731">
        <w:t xml:space="preserve">key criteria in evaluating the utility of </w:t>
      </w:r>
      <w:r w:rsidR="00296A39">
        <w:t>machine learning driven</w:t>
      </w:r>
      <w:r w:rsidR="00634731" w:rsidRPr="00634731">
        <w:t xml:space="preserve"> credit model</w:t>
      </w:r>
      <w:r w:rsidR="00E6035B">
        <w:rPr>
          <w:lang w:val="en-GB"/>
        </w:rPr>
        <w:t>s</w:t>
      </w:r>
      <w:r w:rsidR="00634731" w:rsidRPr="00634731">
        <w:t>.</w:t>
      </w:r>
    </w:p>
    <w:p w14:paraId="26ECA9A5" w14:textId="426E3EEA" w:rsidR="00634731" w:rsidRDefault="00634731" w:rsidP="00E6035B"/>
    <w:p w14:paraId="1A706E27" w14:textId="2C8F3DA4" w:rsidR="00E6035B" w:rsidRPr="00E6035B" w:rsidRDefault="00E6035B" w:rsidP="00E6035B">
      <w:pPr>
        <w:pStyle w:val="Heading2"/>
        <w:rPr>
          <w:lang w:val="en-GB"/>
        </w:rPr>
      </w:pPr>
      <w:r>
        <w:rPr>
          <w:lang w:val="en-GB"/>
        </w:rPr>
        <w:t>The Emerging Use of Alternative Data</w:t>
      </w:r>
    </w:p>
    <w:p w14:paraId="452E8066" w14:textId="3EAC6B6E" w:rsidR="00E6035B" w:rsidRPr="00E6035B" w:rsidRDefault="00E6035B" w:rsidP="00E6035B">
      <w:r w:rsidRPr="00E6035B">
        <w:t>A growing body of work has begun experimenting with alternative data for credit scoring in developing markets.</w:t>
      </w:r>
      <w:r>
        <w:rPr>
          <w:lang w:val="en-GB"/>
        </w:rPr>
        <w:t xml:space="preserve"> </w:t>
      </w:r>
      <w:r w:rsidRPr="00E6035B">
        <w:t xml:space="preserve"> For example, </w:t>
      </w:r>
      <w:r>
        <w:fldChar w:fldCharType="begin"/>
      </w:r>
      <w:r>
        <w:instrText xml:space="preserve"> ADDIN ZOTERO_ITEM CSL_CITATION {"citationID":"KgfN0jbf","properties":{"formattedCitation":"(Berg et al., 2020)","plainCitation":"(Berg et al., 2020)","noteIndex":0},"citationItems":[{"id":24,"uris":["http://zotero.org/users/7595924/items/J8LB2UUI"],"itemData":{"id":24,"type":"article-journal","abstract":"We analyze the information content of a digital footprint—that is, information that users leave online simply by accessing or registering on a Web site—for predicting consumer default. We show that even simple, easily accessible variables from a digital footprint match the information content of credit bureau scores. A digital footprint complements rather than substitutes for credit bureau information and affects access to credit and reduces default rates. We discuss the implications for financial intermediaries’ business models, access to credit for the unbanked, and the behavior of consumers, firms, and regulators in the digital sphere. (JEL G20, G21, G29)","container-title":"The Review of Financial Studies","DOI":"10.1093/rfs/hhz099","ISSN":"0893-9454","issue":"7","journalAbbreviation":"Rev Financ Stud","page":"2845-2897","source":"Silverchair","title":"On the Rise of FinTechs: Credit Scoring Using Digital Footprints","title-short":"On the Rise of FinTechs","volume":"33","author":[{"family":"Berg","given":"Tobias"},{"family":"Burg","given":"Valentin"},{"family":"Gombović","given":"Ana"},{"family":"Puri","given":"Manju"}],"issued":{"date-parts":[["2020",7,1]]}}}],"schema":"https://github.com/citation-style-language/schema/raw/master/csl-citation.json"} </w:instrText>
      </w:r>
      <w:r>
        <w:fldChar w:fldCharType="separate"/>
      </w:r>
      <w:r>
        <w:rPr>
          <w:noProof/>
        </w:rPr>
        <w:t xml:space="preserve">Berg et al. </w:t>
      </w:r>
      <w:r>
        <w:rPr>
          <w:noProof/>
          <w:lang w:val="en-GB"/>
        </w:rPr>
        <w:t>(</w:t>
      </w:r>
      <w:r>
        <w:rPr>
          <w:noProof/>
        </w:rPr>
        <w:t>2020)</w:t>
      </w:r>
      <w:r>
        <w:fldChar w:fldCharType="end"/>
      </w:r>
      <w:r>
        <w:rPr>
          <w:lang w:val="en-GB"/>
        </w:rPr>
        <w:t xml:space="preserve"> </w:t>
      </w:r>
      <w:r w:rsidR="00E931CE">
        <w:rPr>
          <w:lang w:val="en-GB"/>
        </w:rPr>
        <w:t>demonstrated that mobile phone records</w:t>
      </w:r>
      <w:r w:rsidR="00A06776">
        <w:rPr>
          <w:lang w:val="en-GB"/>
        </w:rPr>
        <w:t xml:space="preserve"> and digital activity patterns could effectively predict repayment outcomes in East African contexts.</w:t>
      </w:r>
      <w:r>
        <w:rPr>
          <w:lang w:val="en-GB"/>
        </w:rPr>
        <w:t xml:space="preserve"> </w:t>
      </w:r>
      <w:r w:rsidRPr="00E6035B">
        <w:t xml:space="preserve"> Their methodology, which combines logistic regression with machine learning classifiers, illustrates the feasibility of using non-traditional data sources.</w:t>
      </w:r>
      <w:r>
        <w:rPr>
          <w:lang w:val="en-GB"/>
        </w:rPr>
        <w:t xml:space="preserve"> </w:t>
      </w:r>
      <w:r w:rsidRPr="00E6035B">
        <w:t xml:space="preserve"> However, these studies are typically pilot-scale and lack external validation in East Africa’s diverse socioeconomic contexts</w:t>
      </w:r>
      <w:r>
        <w:rPr>
          <w:lang w:val="en-GB"/>
        </w:rPr>
        <w:t>, evidenced by the exclusion of Uganda</w:t>
      </w:r>
      <w:r w:rsidRPr="00E6035B">
        <w:t>.</w:t>
      </w:r>
      <w:r>
        <w:rPr>
          <w:lang w:val="en-GB"/>
        </w:rPr>
        <w:t xml:space="preserve"> </w:t>
      </w:r>
      <w:r w:rsidRPr="00E6035B">
        <w:t xml:space="preserve"> Importantly, the ethical, regulatory, and fairness implications of using alternative data remain underexplored, leaving a gap in the literature regarding governance frameworks for responsible implementation.</w:t>
      </w:r>
    </w:p>
    <w:p w14:paraId="4A1FD654" w14:textId="17126770" w:rsidR="00E6035B" w:rsidRDefault="00E6035B" w:rsidP="00E6035B"/>
    <w:p w14:paraId="3816F0C1" w14:textId="28C06D22" w:rsidR="00E6035B" w:rsidRPr="00E6035B" w:rsidRDefault="00E6035B" w:rsidP="00E6035B">
      <w:pPr>
        <w:pStyle w:val="Heading2"/>
        <w:rPr>
          <w:lang w:val="en-GB"/>
        </w:rPr>
      </w:pPr>
      <w:r>
        <w:rPr>
          <w:lang w:val="en-GB"/>
        </w:rPr>
        <w:t>Gaps and Opportunities for Further Research</w:t>
      </w:r>
    </w:p>
    <w:p w14:paraId="610956D1" w14:textId="4B7D4806" w:rsidR="00E6035B" w:rsidRPr="00E6035B" w:rsidRDefault="00E6035B" w:rsidP="00E6035B">
      <w:r w:rsidRPr="00E6035B">
        <w:lastRenderedPageBreak/>
        <w:t xml:space="preserve">The reviewed studies converge on the importance of mobile money and digital finance in enhancing financial inclusion, but they diverge in </w:t>
      </w:r>
      <w:r w:rsidR="007E0DE3">
        <w:rPr>
          <w:lang w:val="en-GB"/>
        </w:rPr>
        <w:t>approach</w:t>
      </w:r>
      <w:r>
        <w:rPr>
          <w:lang w:val="en-GB"/>
        </w:rPr>
        <w:t xml:space="preserve"> and depth of methodology,</w:t>
      </w:r>
      <w:r w:rsidRPr="00E6035B">
        <w:t xml:space="preserve"> and practical applicability.</w:t>
      </w:r>
      <w:r>
        <w:rPr>
          <w:lang w:val="en-GB"/>
        </w:rPr>
        <w:t xml:space="preserve"> </w:t>
      </w:r>
      <w:r w:rsidRPr="00E6035B">
        <w:t xml:space="preserve"> </w:t>
      </w:r>
      <w:r w:rsidR="00A06DF3">
        <w:rPr>
          <w:lang w:val="en-GB"/>
        </w:rPr>
        <w:t>Macro-economic</w:t>
      </w:r>
      <w:r w:rsidRPr="00E6035B">
        <w:t xml:space="preserve"> studies</w:t>
      </w:r>
      <w:r w:rsidR="00A06DF3">
        <w:rPr>
          <w:lang w:val="en-GB"/>
        </w:rPr>
        <w:t xml:space="preserve"> </w:t>
      </w:r>
      <w:r w:rsidR="00A06DF3">
        <w:rPr>
          <w:lang w:val="en-GB"/>
        </w:rPr>
        <w:fldChar w:fldCharType="begin"/>
      </w:r>
      <w:r w:rsidR="00A06DF3">
        <w:rPr>
          <w:lang w:val="en-GB"/>
        </w:rPr>
        <w:instrText xml:space="preserve"> ADDIN ZOTERO_ITEM CSL_CITATION {"citationID":"ByZXpHvX","properties":{"formattedCitation":"(Nampewo et al., 2016)","plainCitation":"(Nampewo et al., 2016)","noteIndex":0},"citationItems":[{"id":12,"uris":["http://zotero.org/users/7595924/items/FYF8ZVV9"],"itemData":{"id":12,"type":"article-journal","abstract":"Mobile money services have been associated with unprecedented access to financial services, notably to under-banked and unbanked populations. Thus, mobile money opens a channel through which to examine the supply of private sector credit in Uganda. This study investigates how mobile money services influence private sector credit growth.","container-title":"Financial Innovation","DOI":"10.1186/s40854-016-0033-x","ISSN":"2199-4730","issue":"1","journalAbbreviation":"Financial Innovation","page":"13","source":"BioMed Central","title":"Determinants of private sector credit in Uganda: the role of mobile money","title-short":"Determinants of private sector credit in Uganda","volume":"2","author":[{"family":"Nampewo","given":"Dorothy"},{"family":"Tinyinondi","given":"Grace Ainomugisha"},{"family":"Kawooya","given":"Duncan Roy"},{"family":"Ssonko","given":"George Wilson"}],"issued":{"date-parts":[["2016",11,21]]}}}],"schema":"https://github.com/citation-style-language/schema/raw/master/csl-citation.json"} </w:instrText>
      </w:r>
      <w:r w:rsidR="00A06DF3">
        <w:rPr>
          <w:lang w:val="en-GB"/>
        </w:rPr>
        <w:fldChar w:fldCharType="separate"/>
      </w:r>
      <w:r w:rsidR="00A06DF3">
        <w:rPr>
          <w:noProof/>
          <w:lang w:val="en-GB"/>
        </w:rPr>
        <w:t>(such as Nampewo et al., 2016)</w:t>
      </w:r>
      <w:r w:rsidR="00A06DF3">
        <w:rPr>
          <w:lang w:val="en-GB"/>
        </w:rPr>
        <w:fldChar w:fldCharType="end"/>
      </w:r>
      <w:r w:rsidRPr="00E6035B">
        <w:t xml:space="preserve"> establish macroeconomic linkages but neglect micro-level predictive modeling. </w:t>
      </w:r>
      <w:r w:rsidR="00A06DF3">
        <w:rPr>
          <w:lang w:val="en-GB"/>
        </w:rPr>
        <w:t xml:space="preserve"> </w:t>
      </w:r>
      <w:r w:rsidRPr="00E6035B">
        <w:t xml:space="preserve">Survey-based research </w:t>
      </w:r>
      <w:r w:rsidR="00A06DF3">
        <w:fldChar w:fldCharType="begin"/>
      </w:r>
      <w:r w:rsidR="00A06DF3">
        <w:instrText xml:space="preserve"> ADDIN ZOTERO_ITEM CSL_CITATION {"citationID":"ScvleLyz","properties":{"formattedCitation":"(Munyegera &amp; Matsumoto, 2016)","plainCitation":"(Munyegera &amp; Matsumoto, 2016)","noteIndex":0},"citationItems":[{"id":15,"uris":["http://zotero.org/users/7595924/items/W7G3RIYX"],"itemData":{"id":15,"type":"article-journal","abstract":"Access to financial services is crucial for development as it enhances resource mobilization needed for productive investment and facilitates consumption smoothing. With a vast majority of adult Ugandans having no access to formal financial services, mobile money is expected to bridge this gap especially in rural areas. This financial product allows users to make financial transactions using their mobile phones. Within five years of its inception in Uganda since 2009, the mobile money service has been used by over 35% of the adult population and the rate of penetration is rapidly increasing. We investigate its impact on household welfare using panel data covering 846 rural households. Using a combination of household fixed effects, instrumental variable and propensity score matching methods, we find a positive and significant effect of mobile money access on household welfare, measured by real per capita consumption. The mechanism of this impact is the facilitation of remittances; user households are more likely to receive remittances, receive remittances more frequently, and the total value received is significantly higher than that of non-user households. We attribute this impact on the reduction in transaction, transport, and time costs associated with mobile phone-based financial transactions. Our results are robust to changes in model specifications and alternative explanations.","container-title":"World Development","DOI":"10.1016/j.worlddev.2015.11.006","ISSN":"0305-750X","journalAbbreviation":"World Development","page":"127-137","source":"ScienceDirect","title":"Mobile Money, Remittances, and Household Welfare: Panel Evidence from Rural Uganda","title-short":"Mobile Money, Remittances, and Household Welfare","volume":"79","author":[{"family":"Munyegera","given":"Ggombe Kasim"},{"family":"Matsumoto","given":"Tomoya"}],"issued":{"date-parts":[["2016",3,1]]}}}],"schema":"https://github.com/citation-style-language/schema/raw/master/csl-citation.json"} </w:instrText>
      </w:r>
      <w:r w:rsidR="00A06DF3">
        <w:fldChar w:fldCharType="separate"/>
      </w:r>
      <w:r w:rsidR="00A06DF3">
        <w:rPr>
          <w:noProof/>
        </w:rPr>
        <w:t>(</w:t>
      </w:r>
      <w:r w:rsidR="00A06DF3">
        <w:rPr>
          <w:noProof/>
          <w:lang w:val="en-GB"/>
        </w:rPr>
        <w:t xml:space="preserve">such as </w:t>
      </w:r>
      <w:r w:rsidR="00A06DF3">
        <w:rPr>
          <w:noProof/>
        </w:rPr>
        <w:t>Munyegera &amp; Matsumoto, 2016)</w:t>
      </w:r>
      <w:r w:rsidR="00A06DF3">
        <w:fldChar w:fldCharType="end"/>
      </w:r>
      <w:r w:rsidR="00A06DF3">
        <w:rPr>
          <w:lang w:val="en-GB"/>
        </w:rPr>
        <w:t xml:space="preserve"> </w:t>
      </w:r>
      <w:r w:rsidRPr="00E6035B">
        <w:t>identifies behavioral determinants but lacks empirical rigor in data integration.</w:t>
      </w:r>
      <w:r w:rsidR="00A06DF3">
        <w:rPr>
          <w:lang w:val="en-GB"/>
        </w:rPr>
        <w:t xml:space="preserve"> </w:t>
      </w:r>
      <w:r w:rsidRPr="00E6035B">
        <w:t xml:space="preserve"> Early experiments with </w:t>
      </w:r>
      <w:r w:rsidR="00A06DF3">
        <w:rPr>
          <w:lang w:val="en-GB"/>
        </w:rPr>
        <w:t>machine learning</w:t>
      </w:r>
      <w:r w:rsidRPr="00E6035B">
        <w:t xml:space="preserve"> and alternative data show promise but remain fragmented, with limited generalizability across populations</w:t>
      </w:r>
      <w:r w:rsidR="00A06DF3">
        <w:rPr>
          <w:lang w:val="en-GB"/>
        </w:rPr>
        <w:t>, and no consideration in practice for ethical, regulatory, and fairness implications</w:t>
      </w:r>
      <w:r w:rsidRPr="00E6035B">
        <w:t>.</w:t>
      </w:r>
    </w:p>
    <w:p w14:paraId="6A3B1436" w14:textId="77777777" w:rsidR="00A06DF3" w:rsidRDefault="00A06DF3" w:rsidP="00E6035B"/>
    <w:p w14:paraId="3E548CFB" w14:textId="3F372DAF" w:rsidR="00E6035B" w:rsidRPr="00E6035B" w:rsidRDefault="00E6035B" w:rsidP="00E6035B">
      <w:r w:rsidRPr="00E6035B">
        <w:t xml:space="preserve">Crucially, no published empirical studies from Uganda were found that rigorously apply </w:t>
      </w:r>
      <w:r w:rsidR="007E0DE3">
        <w:rPr>
          <w:lang w:val="en-GB"/>
        </w:rPr>
        <w:t>machine learning</w:t>
      </w:r>
      <w:r w:rsidRPr="00E6035B">
        <w:t xml:space="preserve"> algorithms to large-scale alternative data for credit risk assessment.</w:t>
      </w:r>
      <w:r w:rsidR="007E0DE3">
        <w:rPr>
          <w:lang w:val="en-GB"/>
        </w:rPr>
        <w:t xml:space="preserve"> </w:t>
      </w:r>
      <w:r w:rsidRPr="00E6035B">
        <w:t xml:space="preserve"> This absence underscores both a methodological and contextual gap. </w:t>
      </w:r>
      <w:r w:rsidR="007E0DE3">
        <w:rPr>
          <w:lang w:val="en-GB"/>
        </w:rPr>
        <w:t xml:space="preserve"> </w:t>
      </w:r>
      <w:r w:rsidRPr="00E6035B">
        <w:t>Untapped opportunities include:</w:t>
      </w:r>
    </w:p>
    <w:p w14:paraId="59E8BE67" w14:textId="29927536" w:rsidR="007E0DE3" w:rsidRPr="007E0DE3" w:rsidRDefault="007E0DE3" w:rsidP="007E0DE3">
      <w:pPr>
        <w:pStyle w:val="ListParagraph"/>
        <w:numPr>
          <w:ilvl w:val="0"/>
          <w:numId w:val="3"/>
        </w:numPr>
      </w:pPr>
      <w:r w:rsidRPr="007E0DE3">
        <w:t>Integration of diverse alternative datasets</w:t>
      </w:r>
      <w:r>
        <w:rPr>
          <w:lang w:val="en-GB"/>
        </w:rPr>
        <w:t xml:space="preserve">, such as </w:t>
      </w:r>
      <w:r w:rsidRPr="007E0DE3">
        <w:t xml:space="preserve">mobile money transaction histories, airtime purchases, </w:t>
      </w:r>
      <w:r>
        <w:rPr>
          <w:lang w:val="en-GB"/>
        </w:rPr>
        <w:t xml:space="preserve">utilities payments, </w:t>
      </w:r>
      <w:r w:rsidRPr="007E0DE3">
        <w:t xml:space="preserve">geolocation, </w:t>
      </w:r>
      <w:r w:rsidR="00A474A8">
        <w:rPr>
          <w:lang w:val="en-GB"/>
        </w:rPr>
        <w:t xml:space="preserve">and </w:t>
      </w:r>
      <w:r w:rsidRPr="007E0DE3">
        <w:t xml:space="preserve">social </w:t>
      </w:r>
      <w:r w:rsidR="00A474A8">
        <w:rPr>
          <w:lang w:val="en-GB"/>
        </w:rPr>
        <w:t>demographic signals.</w:t>
      </w:r>
    </w:p>
    <w:p w14:paraId="50DD50D4" w14:textId="2E669787" w:rsidR="007E0DE3" w:rsidRPr="007E0DE3" w:rsidRDefault="007E0DE3" w:rsidP="007E0DE3">
      <w:pPr>
        <w:pStyle w:val="ListParagraph"/>
        <w:numPr>
          <w:ilvl w:val="0"/>
          <w:numId w:val="3"/>
        </w:numPr>
      </w:pPr>
      <w:r w:rsidRPr="007E0DE3">
        <w:t xml:space="preserve">Rigorous evaluation of </w:t>
      </w:r>
      <w:r>
        <w:rPr>
          <w:lang w:val="en-GB"/>
        </w:rPr>
        <w:t>machine learning</w:t>
      </w:r>
      <w:r w:rsidRPr="007E0DE3">
        <w:t xml:space="preserve"> models</w:t>
      </w:r>
      <w:r w:rsidR="002A536D">
        <w:rPr>
          <w:lang w:val="en-GB"/>
        </w:rPr>
        <w:t xml:space="preserve"> </w:t>
      </w:r>
      <w:r w:rsidRPr="007E0DE3">
        <w:t>using predictive performance metrics (AUC, F1, recall) and fairness audits.</w:t>
      </w:r>
    </w:p>
    <w:p w14:paraId="5572C5EE" w14:textId="05FDE2B6" w:rsidR="007E0DE3" w:rsidRPr="007E0DE3" w:rsidRDefault="007E0DE3" w:rsidP="007E0DE3">
      <w:pPr>
        <w:pStyle w:val="ListParagraph"/>
        <w:numPr>
          <w:ilvl w:val="0"/>
          <w:numId w:val="3"/>
        </w:numPr>
      </w:pPr>
      <w:r w:rsidRPr="007E0DE3">
        <w:t>Cross-country comparative studies</w:t>
      </w:r>
      <w:r>
        <w:rPr>
          <w:lang w:val="en-GB"/>
        </w:rPr>
        <w:t xml:space="preserve"> </w:t>
      </w:r>
      <w:r w:rsidRPr="007E0DE3">
        <w:t xml:space="preserve">to assess external validity of </w:t>
      </w:r>
      <w:r>
        <w:rPr>
          <w:lang w:val="en-GB"/>
        </w:rPr>
        <w:t>machine learning</w:t>
      </w:r>
      <w:r w:rsidRPr="007E0DE3">
        <w:t xml:space="preserve"> credit models within East Africa.</w:t>
      </w:r>
    </w:p>
    <w:p w14:paraId="2F203166" w14:textId="14D3F96C" w:rsidR="007E0DE3" w:rsidRPr="007E0DE3" w:rsidRDefault="007E0DE3" w:rsidP="007E0DE3">
      <w:pPr>
        <w:pStyle w:val="ListParagraph"/>
        <w:numPr>
          <w:ilvl w:val="0"/>
          <w:numId w:val="3"/>
        </w:numPr>
      </w:pPr>
      <w:r w:rsidRPr="007E0DE3">
        <w:t>Ethical and policy frameworks</w:t>
      </w:r>
      <w:r>
        <w:rPr>
          <w:lang w:val="en-GB"/>
        </w:rPr>
        <w:t xml:space="preserve"> </w:t>
      </w:r>
      <w:r w:rsidRPr="007E0DE3">
        <w:t xml:space="preserve">addressing data privacy, algorithmic bias, and consumer protection in the deployment of </w:t>
      </w:r>
      <w:r>
        <w:rPr>
          <w:lang w:val="en-GB"/>
        </w:rPr>
        <w:t>machine learning</w:t>
      </w:r>
      <w:r w:rsidRPr="007E0DE3">
        <w:t>-based credit scoring.</w:t>
      </w:r>
    </w:p>
    <w:p w14:paraId="7B1C9F1A" w14:textId="23145E61" w:rsidR="00E6035B" w:rsidRDefault="00E6035B" w:rsidP="00E6035B"/>
    <w:p w14:paraId="5F758747" w14:textId="1806280B" w:rsidR="007E0DE3" w:rsidRPr="007E0DE3" w:rsidRDefault="007E0DE3" w:rsidP="007E0DE3">
      <w:pPr>
        <w:pStyle w:val="Heading1"/>
        <w:rPr>
          <w:lang w:val="en-GB"/>
        </w:rPr>
      </w:pPr>
      <w:r>
        <w:rPr>
          <w:lang w:val="en-GB"/>
        </w:rPr>
        <w:t>Conclusion</w:t>
      </w:r>
    </w:p>
    <w:p w14:paraId="14F9DAB1" w14:textId="64E53477" w:rsidR="007E0DE3" w:rsidRDefault="007E0DE3" w:rsidP="007E0DE3">
      <w:r w:rsidRPr="007E0DE3">
        <w:t xml:space="preserve">The literature on financial inclusion in East Africa has made significant contributions in documenting mobile money’s role, behavioral determinants, and early experiments with alternative data. </w:t>
      </w:r>
      <w:r>
        <w:rPr>
          <w:lang w:val="en-GB"/>
        </w:rPr>
        <w:t xml:space="preserve"> </w:t>
      </w:r>
      <w:r w:rsidRPr="007E0DE3">
        <w:t>However, the prevailing paradigms</w:t>
      </w:r>
      <w:r>
        <w:rPr>
          <w:lang w:val="en-GB"/>
        </w:rPr>
        <w:t xml:space="preserve">; </w:t>
      </w:r>
      <w:r w:rsidRPr="007E0DE3">
        <w:t>macroeconometric, survey-based, and adoption-theory driven</w:t>
      </w:r>
      <w:r w:rsidR="003A405B">
        <w:rPr>
          <w:lang w:val="en-GB"/>
        </w:rPr>
        <w:t xml:space="preserve">; </w:t>
      </w:r>
      <w:r w:rsidRPr="007E0DE3">
        <w:t xml:space="preserve">have methodological limitations that constrain their applicability to credit scoring innovation. </w:t>
      </w:r>
      <w:r w:rsidR="003A405B">
        <w:rPr>
          <w:lang w:val="en-GB"/>
        </w:rPr>
        <w:t xml:space="preserve"> </w:t>
      </w:r>
      <w:r w:rsidRPr="007E0DE3">
        <w:t xml:space="preserve">The emerging </w:t>
      </w:r>
      <w:r w:rsidR="003A405B">
        <w:rPr>
          <w:lang w:val="en-GB"/>
        </w:rPr>
        <w:t>machine learning</w:t>
      </w:r>
      <w:r w:rsidRPr="007E0DE3">
        <w:t>-based approaches demonstrate proof-of-concept but remain underdeveloped in Uganda and the broader region.</w:t>
      </w:r>
    </w:p>
    <w:p w14:paraId="0D19526F" w14:textId="77777777" w:rsidR="007E0DE3" w:rsidRPr="007E0DE3" w:rsidRDefault="007E0DE3" w:rsidP="007E0DE3"/>
    <w:p w14:paraId="504787A6" w14:textId="36C0AFFF" w:rsidR="007E0DE3" w:rsidRPr="007E0DE3" w:rsidRDefault="007E0DE3" w:rsidP="007E0DE3">
      <w:r w:rsidRPr="007E0DE3">
        <w:t xml:space="preserve">Future research must move beyond descriptive and correlational analyses to embrace predictive and evaluative methodologies. </w:t>
      </w:r>
      <w:r w:rsidR="003A405B">
        <w:rPr>
          <w:lang w:val="en-GB"/>
        </w:rPr>
        <w:t xml:space="preserve"> </w:t>
      </w:r>
      <w:r w:rsidRPr="007E0DE3">
        <w:t xml:space="preserve">This involves leveraging granular digital footprints, applying advanced </w:t>
      </w:r>
      <w:r w:rsidR="003A405B">
        <w:rPr>
          <w:lang w:val="en-GB"/>
        </w:rPr>
        <w:t>machine learning</w:t>
      </w:r>
      <w:r w:rsidRPr="007E0DE3">
        <w:t xml:space="preserve"> techniques, and systematically addressing fairness and governance concerns. </w:t>
      </w:r>
      <w:r w:rsidR="003A405B">
        <w:rPr>
          <w:lang w:val="en-GB"/>
        </w:rPr>
        <w:t xml:space="preserve"> </w:t>
      </w:r>
      <w:r w:rsidRPr="007E0DE3">
        <w:t xml:space="preserve">By bridging these gaps, future studies can advance both the theoretical </w:t>
      </w:r>
      <w:r w:rsidRPr="007E0DE3">
        <w:lastRenderedPageBreak/>
        <w:t xml:space="preserve">and practical frontiers of financial inclusion, offering scalable pathways to extend credit to unbanked populations across </w:t>
      </w:r>
      <w:r w:rsidR="003A405B">
        <w:rPr>
          <w:lang w:val="en-GB"/>
        </w:rPr>
        <w:t>the region</w:t>
      </w:r>
      <w:r w:rsidRPr="007E0DE3">
        <w:t>.</w:t>
      </w:r>
    </w:p>
    <w:p w14:paraId="5CEC4804" w14:textId="53880B57" w:rsidR="00DA25FA" w:rsidRDefault="00DA25FA">
      <w:pPr>
        <w:spacing w:line="240" w:lineRule="auto"/>
        <w:jc w:val="left"/>
      </w:pPr>
    </w:p>
    <w:p w14:paraId="4D52EFAB" w14:textId="4F1200FF" w:rsidR="00233D91" w:rsidRPr="00322928" w:rsidRDefault="00322928" w:rsidP="00E6035B">
      <w:pPr>
        <w:pStyle w:val="Heading1"/>
      </w:pPr>
      <w:r w:rsidRPr="00322928">
        <w:t>References</w:t>
      </w:r>
    </w:p>
    <w:p w14:paraId="587F65D0" w14:textId="77777777" w:rsidR="003A405B" w:rsidRPr="003A405B" w:rsidRDefault="00233D91" w:rsidP="003A405B">
      <w:pPr>
        <w:pStyle w:val="Bibliography"/>
        <w:rPr>
          <w:lang w:val="en-GB"/>
        </w:rPr>
      </w:pPr>
      <w:r>
        <w:fldChar w:fldCharType="begin"/>
      </w:r>
      <w:r w:rsidR="00296A39">
        <w:instrText xml:space="preserve"> ADDIN ZOTERO_BIBL {"uncited":[],"omitted":[],"custom":[]} CSL_BIBLIOGRAPHY </w:instrText>
      </w:r>
      <w:r>
        <w:fldChar w:fldCharType="separate"/>
      </w:r>
      <w:r w:rsidR="003A405B" w:rsidRPr="003A405B">
        <w:rPr>
          <w:lang w:val="en-GB"/>
        </w:rPr>
        <w:t xml:space="preserve">Berg, T., Burg, V., </w:t>
      </w:r>
      <w:proofErr w:type="spellStart"/>
      <w:r w:rsidR="003A405B" w:rsidRPr="003A405B">
        <w:rPr>
          <w:lang w:val="en-GB"/>
        </w:rPr>
        <w:t>Gombović</w:t>
      </w:r>
      <w:proofErr w:type="spellEnd"/>
      <w:r w:rsidR="003A405B" w:rsidRPr="003A405B">
        <w:rPr>
          <w:lang w:val="en-GB"/>
        </w:rPr>
        <w:t xml:space="preserve">, A., &amp; </w:t>
      </w:r>
      <w:proofErr w:type="spellStart"/>
      <w:r w:rsidR="003A405B" w:rsidRPr="003A405B">
        <w:rPr>
          <w:lang w:val="en-GB"/>
        </w:rPr>
        <w:t>Puri</w:t>
      </w:r>
      <w:proofErr w:type="spellEnd"/>
      <w:r w:rsidR="003A405B" w:rsidRPr="003A405B">
        <w:rPr>
          <w:lang w:val="en-GB"/>
        </w:rPr>
        <w:t xml:space="preserve">, M. (2020). On the Rise of </w:t>
      </w:r>
      <w:proofErr w:type="spellStart"/>
      <w:r w:rsidR="003A405B" w:rsidRPr="003A405B">
        <w:rPr>
          <w:lang w:val="en-GB"/>
        </w:rPr>
        <w:t>FinTechs</w:t>
      </w:r>
      <w:proofErr w:type="spellEnd"/>
      <w:r w:rsidR="003A405B" w:rsidRPr="003A405B">
        <w:rPr>
          <w:lang w:val="en-GB"/>
        </w:rPr>
        <w:t xml:space="preserve">: Credit Scoring Using Digital Footprints. </w:t>
      </w:r>
      <w:r w:rsidR="003A405B" w:rsidRPr="003A405B">
        <w:rPr>
          <w:i/>
          <w:iCs/>
          <w:lang w:val="en-GB"/>
        </w:rPr>
        <w:t>The Review of Financial Studies</w:t>
      </w:r>
      <w:r w:rsidR="003A405B" w:rsidRPr="003A405B">
        <w:rPr>
          <w:lang w:val="en-GB"/>
        </w:rPr>
        <w:t xml:space="preserve">, </w:t>
      </w:r>
      <w:r w:rsidR="003A405B" w:rsidRPr="003A405B">
        <w:rPr>
          <w:i/>
          <w:iCs/>
          <w:lang w:val="en-GB"/>
        </w:rPr>
        <w:t>33</w:t>
      </w:r>
      <w:r w:rsidR="003A405B" w:rsidRPr="003A405B">
        <w:rPr>
          <w:lang w:val="en-GB"/>
        </w:rPr>
        <w:t>(7), 2845–2897. https://doi.org/10.1093/rfs/hhz099</w:t>
      </w:r>
    </w:p>
    <w:p w14:paraId="2A71CBE8" w14:textId="77777777" w:rsidR="003A405B" w:rsidRPr="003A405B" w:rsidRDefault="003A405B" w:rsidP="003A405B">
      <w:pPr>
        <w:pStyle w:val="Bibliography"/>
        <w:rPr>
          <w:lang w:val="en-GB"/>
        </w:rPr>
      </w:pPr>
      <w:r w:rsidRPr="003A405B">
        <w:rPr>
          <w:lang w:val="en-GB"/>
        </w:rPr>
        <w:t xml:space="preserve">Bongomin, G. O. C., </w:t>
      </w:r>
      <w:proofErr w:type="spellStart"/>
      <w:r w:rsidRPr="003A405B">
        <w:rPr>
          <w:lang w:val="en-GB"/>
        </w:rPr>
        <w:t>Malinga</w:t>
      </w:r>
      <w:proofErr w:type="spellEnd"/>
      <w:r w:rsidRPr="003A405B">
        <w:rPr>
          <w:lang w:val="en-GB"/>
        </w:rPr>
        <w:t xml:space="preserve">, C. A., Amani, A. M., &amp; </w:t>
      </w:r>
      <w:proofErr w:type="spellStart"/>
      <w:r w:rsidRPr="003A405B">
        <w:rPr>
          <w:lang w:val="en-GB"/>
        </w:rPr>
        <w:t>Balinda</w:t>
      </w:r>
      <w:proofErr w:type="spellEnd"/>
      <w:r w:rsidRPr="003A405B">
        <w:rPr>
          <w:lang w:val="en-GB"/>
        </w:rPr>
        <w:t xml:space="preserve">, R. (2024). Recalibrating the scope of financial inclusion through financial technologies in the digital age: The role of digital literacy as a moderator in rural Uganda. </w:t>
      </w:r>
      <w:r w:rsidRPr="003A405B">
        <w:rPr>
          <w:i/>
          <w:iCs/>
          <w:lang w:val="en-GB"/>
        </w:rPr>
        <w:t>Information Technology &amp; People</w:t>
      </w:r>
      <w:r w:rsidRPr="003A405B">
        <w:rPr>
          <w:lang w:val="en-GB"/>
        </w:rPr>
        <w:t xml:space="preserve">, </w:t>
      </w:r>
      <w:r w:rsidRPr="003A405B">
        <w:rPr>
          <w:i/>
          <w:iCs/>
          <w:lang w:val="en-GB"/>
        </w:rPr>
        <w:t>38</w:t>
      </w:r>
      <w:r w:rsidRPr="003A405B">
        <w:rPr>
          <w:lang w:val="en-GB"/>
        </w:rPr>
        <w:t>(3), 1178–1207. https://doi.org/10.1108/ITP-09-2022-0732</w:t>
      </w:r>
    </w:p>
    <w:p w14:paraId="6AA859F9" w14:textId="77777777" w:rsidR="003A405B" w:rsidRPr="003A405B" w:rsidRDefault="003A405B" w:rsidP="003A405B">
      <w:pPr>
        <w:pStyle w:val="Bibliography"/>
        <w:rPr>
          <w:lang w:val="en-GB"/>
        </w:rPr>
      </w:pPr>
      <w:proofErr w:type="spellStart"/>
      <w:r w:rsidRPr="003A405B">
        <w:rPr>
          <w:lang w:val="en-GB"/>
        </w:rPr>
        <w:t>Demirgüç-Kunt</w:t>
      </w:r>
      <w:proofErr w:type="spellEnd"/>
      <w:r w:rsidRPr="003A405B">
        <w:rPr>
          <w:lang w:val="en-GB"/>
        </w:rPr>
        <w:t xml:space="preserve">, A., </w:t>
      </w:r>
      <w:proofErr w:type="spellStart"/>
      <w:r w:rsidRPr="003A405B">
        <w:rPr>
          <w:lang w:val="en-GB"/>
        </w:rPr>
        <w:t>Klapper</w:t>
      </w:r>
      <w:proofErr w:type="spellEnd"/>
      <w:r w:rsidRPr="003A405B">
        <w:rPr>
          <w:lang w:val="en-GB"/>
        </w:rPr>
        <w:t xml:space="preserve">, L., Singer, D., &amp; Ansar, S. (2021). Financial Inclusion, Digital Payments, and Resilience in the Age of COVID-19. </w:t>
      </w:r>
      <w:r w:rsidRPr="003A405B">
        <w:rPr>
          <w:i/>
          <w:iCs/>
          <w:lang w:val="en-GB"/>
        </w:rPr>
        <w:t>The Global Findex Database 2021</w:t>
      </w:r>
      <w:r w:rsidRPr="003A405B">
        <w:rPr>
          <w:lang w:val="en-GB"/>
        </w:rPr>
        <w:t>. https://documents1.worldbank.org/curated/en/099818107072234182/pdf/IDU06a834fe908933040670a6560f44e3f4d35b7.pdf</w:t>
      </w:r>
    </w:p>
    <w:p w14:paraId="5790855D" w14:textId="77777777" w:rsidR="003A405B" w:rsidRPr="003A405B" w:rsidRDefault="003A405B" w:rsidP="003A405B">
      <w:pPr>
        <w:pStyle w:val="Bibliography"/>
        <w:rPr>
          <w:lang w:val="en-GB"/>
        </w:rPr>
      </w:pPr>
      <w:r w:rsidRPr="003A405B">
        <w:rPr>
          <w:lang w:val="en-GB"/>
        </w:rPr>
        <w:t xml:space="preserve">Ky, S., </w:t>
      </w:r>
      <w:proofErr w:type="spellStart"/>
      <w:r w:rsidRPr="003A405B">
        <w:rPr>
          <w:lang w:val="en-GB"/>
        </w:rPr>
        <w:t>Rugemintwari</w:t>
      </w:r>
      <w:proofErr w:type="spellEnd"/>
      <w:r w:rsidRPr="003A405B">
        <w:rPr>
          <w:lang w:val="en-GB"/>
        </w:rPr>
        <w:t xml:space="preserve">, C., &amp; </w:t>
      </w:r>
      <w:proofErr w:type="spellStart"/>
      <w:r w:rsidRPr="003A405B">
        <w:rPr>
          <w:lang w:val="en-GB"/>
        </w:rPr>
        <w:t>Sauviat</w:t>
      </w:r>
      <w:proofErr w:type="spellEnd"/>
      <w:r w:rsidRPr="003A405B">
        <w:rPr>
          <w:lang w:val="en-GB"/>
        </w:rPr>
        <w:t xml:space="preserve">, A. (2018). Does mobile money affect saving behaviour? Evidence from a developing country | Request PDF. </w:t>
      </w:r>
      <w:r w:rsidRPr="003A405B">
        <w:rPr>
          <w:i/>
          <w:iCs/>
          <w:lang w:val="en-GB"/>
        </w:rPr>
        <w:t>Journal of African Economies</w:t>
      </w:r>
      <w:r w:rsidRPr="003A405B">
        <w:rPr>
          <w:lang w:val="en-GB"/>
        </w:rPr>
        <w:t xml:space="preserve">, </w:t>
      </w:r>
      <w:r w:rsidRPr="003A405B">
        <w:rPr>
          <w:i/>
          <w:iCs/>
          <w:lang w:val="en-GB"/>
        </w:rPr>
        <w:t>27</w:t>
      </w:r>
      <w:r w:rsidRPr="003A405B">
        <w:rPr>
          <w:lang w:val="en-GB"/>
        </w:rPr>
        <w:t>(3), 285–320. https://doi.org/10.1093/jae/ejx028</w:t>
      </w:r>
    </w:p>
    <w:p w14:paraId="5E592DCE" w14:textId="77777777" w:rsidR="003A405B" w:rsidRPr="003A405B" w:rsidRDefault="003A405B" w:rsidP="003A405B">
      <w:pPr>
        <w:pStyle w:val="Bibliography"/>
        <w:rPr>
          <w:lang w:val="en-GB"/>
        </w:rPr>
      </w:pPr>
      <w:r w:rsidRPr="003A405B">
        <w:rPr>
          <w:lang w:val="en-GB"/>
        </w:rPr>
        <w:t xml:space="preserve">Liu, S. (2025). Application Analysis of Machine Learning Models in Credit Risk. </w:t>
      </w:r>
      <w:r w:rsidRPr="003A405B">
        <w:rPr>
          <w:i/>
          <w:iCs/>
          <w:lang w:val="en-GB"/>
        </w:rPr>
        <w:t>Highlights in Science Engineering and Technology</w:t>
      </w:r>
      <w:r w:rsidRPr="003A405B">
        <w:rPr>
          <w:lang w:val="en-GB"/>
        </w:rPr>
        <w:t xml:space="preserve">, </w:t>
      </w:r>
      <w:r w:rsidRPr="003A405B">
        <w:rPr>
          <w:i/>
          <w:iCs/>
          <w:lang w:val="en-GB"/>
        </w:rPr>
        <w:t>107</w:t>
      </w:r>
      <w:r w:rsidRPr="003A405B">
        <w:rPr>
          <w:lang w:val="en-GB"/>
        </w:rPr>
        <w:t>. https://doi.org/10.54097/6qm0dk77</w:t>
      </w:r>
    </w:p>
    <w:p w14:paraId="1E3F1CB1" w14:textId="77777777" w:rsidR="003A405B" w:rsidRPr="003A405B" w:rsidRDefault="003A405B" w:rsidP="003A405B">
      <w:pPr>
        <w:pStyle w:val="Bibliography"/>
        <w:rPr>
          <w:lang w:val="en-GB"/>
        </w:rPr>
      </w:pPr>
      <w:proofErr w:type="spellStart"/>
      <w:r w:rsidRPr="003A405B">
        <w:rPr>
          <w:lang w:val="en-GB"/>
        </w:rPr>
        <w:t>Munyegera</w:t>
      </w:r>
      <w:proofErr w:type="spellEnd"/>
      <w:r w:rsidRPr="003A405B">
        <w:rPr>
          <w:lang w:val="en-GB"/>
        </w:rPr>
        <w:t xml:space="preserve">, G. K., &amp; Matsumoto, T. (2016). Mobile Money, Remittances, and Household Welfare: Panel Evidence from Rural Uganda. </w:t>
      </w:r>
      <w:r w:rsidRPr="003A405B">
        <w:rPr>
          <w:i/>
          <w:iCs/>
          <w:lang w:val="en-GB"/>
        </w:rPr>
        <w:t>World Development</w:t>
      </w:r>
      <w:r w:rsidRPr="003A405B">
        <w:rPr>
          <w:lang w:val="en-GB"/>
        </w:rPr>
        <w:t xml:space="preserve">, </w:t>
      </w:r>
      <w:r w:rsidRPr="003A405B">
        <w:rPr>
          <w:i/>
          <w:iCs/>
          <w:lang w:val="en-GB"/>
        </w:rPr>
        <w:t>79</w:t>
      </w:r>
      <w:r w:rsidRPr="003A405B">
        <w:rPr>
          <w:lang w:val="en-GB"/>
        </w:rPr>
        <w:t>, 127–137. https://doi.org/10.1016/j.worlddev.2015.11.006</w:t>
      </w:r>
    </w:p>
    <w:p w14:paraId="763C7881" w14:textId="77777777" w:rsidR="003A405B" w:rsidRPr="003A405B" w:rsidRDefault="003A405B" w:rsidP="003A405B">
      <w:pPr>
        <w:pStyle w:val="Bibliography"/>
        <w:rPr>
          <w:lang w:val="en-GB"/>
        </w:rPr>
      </w:pPr>
      <w:proofErr w:type="spellStart"/>
      <w:r w:rsidRPr="003A405B">
        <w:rPr>
          <w:lang w:val="en-GB"/>
        </w:rPr>
        <w:t>Nampewo</w:t>
      </w:r>
      <w:proofErr w:type="spellEnd"/>
      <w:r w:rsidRPr="003A405B">
        <w:rPr>
          <w:lang w:val="en-GB"/>
        </w:rPr>
        <w:t xml:space="preserve">, D., </w:t>
      </w:r>
      <w:proofErr w:type="spellStart"/>
      <w:r w:rsidRPr="003A405B">
        <w:rPr>
          <w:lang w:val="en-GB"/>
        </w:rPr>
        <w:t>Tinyinondi</w:t>
      </w:r>
      <w:proofErr w:type="spellEnd"/>
      <w:r w:rsidRPr="003A405B">
        <w:rPr>
          <w:lang w:val="en-GB"/>
        </w:rPr>
        <w:t xml:space="preserve">, G. A., </w:t>
      </w:r>
      <w:proofErr w:type="spellStart"/>
      <w:r w:rsidRPr="003A405B">
        <w:rPr>
          <w:lang w:val="en-GB"/>
        </w:rPr>
        <w:t>Kawooya</w:t>
      </w:r>
      <w:proofErr w:type="spellEnd"/>
      <w:r w:rsidRPr="003A405B">
        <w:rPr>
          <w:lang w:val="en-GB"/>
        </w:rPr>
        <w:t xml:space="preserve">, D. R., &amp; </w:t>
      </w:r>
      <w:proofErr w:type="spellStart"/>
      <w:r w:rsidRPr="003A405B">
        <w:rPr>
          <w:lang w:val="en-GB"/>
        </w:rPr>
        <w:t>Ssonko</w:t>
      </w:r>
      <w:proofErr w:type="spellEnd"/>
      <w:r w:rsidRPr="003A405B">
        <w:rPr>
          <w:lang w:val="en-GB"/>
        </w:rPr>
        <w:t xml:space="preserve">, G. W. (2016). Determinants of private sector credit in Uganda: The role of mobile money. </w:t>
      </w:r>
      <w:r w:rsidRPr="003A405B">
        <w:rPr>
          <w:i/>
          <w:iCs/>
          <w:lang w:val="en-GB"/>
        </w:rPr>
        <w:t>Financial Innovation</w:t>
      </w:r>
      <w:r w:rsidRPr="003A405B">
        <w:rPr>
          <w:lang w:val="en-GB"/>
        </w:rPr>
        <w:t xml:space="preserve">, </w:t>
      </w:r>
      <w:r w:rsidRPr="003A405B">
        <w:rPr>
          <w:i/>
          <w:iCs/>
          <w:lang w:val="en-GB"/>
        </w:rPr>
        <w:t>2</w:t>
      </w:r>
      <w:r w:rsidRPr="003A405B">
        <w:rPr>
          <w:lang w:val="en-GB"/>
        </w:rPr>
        <w:t>(1), 13. https://doi.org/10.1186/s40854-016-0033-x</w:t>
      </w:r>
    </w:p>
    <w:p w14:paraId="08E7F4A3" w14:textId="77777777" w:rsidR="003A405B" w:rsidRPr="003A405B" w:rsidRDefault="003A405B" w:rsidP="003A405B">
      <w:pPr>
        <w:pStyle w:val="Bibliography"/>
        <w:rPr>
          <w:lang w:val="en-GB"/>
        </w:rPr>
      </w:pPr>
      <w:proofErr w:type="spellStart"/>
      <w:r w:rsidRPr="003A405B">
        <w:rPr>
          <w:lang w:val="en-GB"/>
        </w:rPr>
        <w:t>Osabutey</w:t>
      </w:r>
      <w:proofErr w:type="spellEnd"/>
      <w:r w:rsidRPr="003A405B">
        <w:rPr>
          <w:lang w:val="en-GB"/>
        </w:rPr>
        <w:t xml:space="preserve">, E. L. C., &amp; Jackson, T. (2024). Mobile money and financial inclusion in Africa: Emerging themes, challenges and policy implications. </w:t>
      </w:r>
      <w:r w:rsidRPr="003A405B">
        <w:rPr>
          <w:i/>
          <w:iCs/>
          <w:lang w:val="en-GB"/>
        </w:rPr>
        <w:t>Technological Forecasting and Social Change</w:t>
      </w:r>
      <w:r w:rsidRPr="003A405B">
        <w:rPr>
          <w:lang w:val="en-GB"/>
        </w:rPr>
        <w:t xml:space="preserve">, </w:t>
      </w:r>
      <w:r w:rsidRPr="003A405B">
        <w:rPr>
          <w:i/>
          <w:iCs/>
          <w:lang w:val="en-GB"/>
        </w:rPr>
        <w:t>202</w:t>
      </w:r>
      <w:r w:rsidRPr="003A405B">
        <w:rPr>
          <w:lang w:val="en-GB"/>
        </w:rPr>
        <w:t>, 123339. https://doi.org/10.1016/j.techfore.2024.123339</w:t>
      </w:r>
    </w:p>
    <w:p w14:paraId="21B8C8BF" w14:textId="45A0C9C9" w:rsidR="00233D91" w:rsidRPr="00233D91" w:rsidRDefault="00233D91" w:rsidP="003A405B">
      <w:pPr>
        <w:pStyle w:val="Bibliography"/>
      </w:pPr>
      <w:r>
        <w:fldChar w:fldCharType="end"/>
      </w:r>
    </w:p>
    <w:sectPr w:rsidR="00233D91" w:rsidRPr="00233D91" w:rsidSect="00233D9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D2B60"/>
    <w:multiLevelType w:val="hybridMultilevel"/>
    <w:tmpl w:val="67BE5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5E540C"/>
    <w:multiLevelType w:val="hybridMultilevel"/>
    <w:tmpl w:val="78C8FBEC"/>
    <w:lvl w:ilvl="0" w:tplc="8AFC75B0">
      <w:numFmt w:val="bullet"/>
      <w:lvlText w:val=""/>
      <w:lvlJc w:val="left"/>
      <w:pPr>
        <w:ind w:left="900" w:hanging="540"/>
      </w:pPr>
      <w:rPr>
        <w:rFonts w:ascii="Georgia" w:eastAsiaTheme="minorHAnsi" w:hAnsi="Georgi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CF116D"/>
    <w:multiLevelType w:val="hybridMultilevel"/>
    <w:tmpl w:val="46C08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91"/>
    <w:rsid w:val="001C0E2C"/>
    <w:rsid w:val="00233D91"/>
    <w:rsid w:val="00296A39"/>
    <w:rsid w:val="002A536D"/>
    <w:rsid w:val="00322928"/>
    <w:rsid w:val="0038722D"/>
    <w:rsid w:val="003A405B"/>
    <w:rsid w:val="005D7747"/>
    <w:rsid w:val="005E6480"/>
    <w:rsid w:val="00634731"/>
    <w:rsid w:val="00730542"/>
    <w:rsid w:val="007E0DE3"/>
    <w:rsid w:val="00996038"/>
    <w:rsid w:val="009F736F"/>
    <w:rsid w:val="00A06776"/>
    <w:rsid w:val="00A06DF3"/>
    <w:rsid w:val="00A474A8"/>
    <w:rsid w:val="00B10DBF"/>
    <w:rsid w:val="00B81E29"/>
    <w:rsid w:val="00BF21C8"/>
    <w:rsid w:val="00CC278A"/>
    <w:rsid w:val="00DA25FA"/>
    <w:rsid w:val="00E06622"/>
    <w:rsid w:val="00E6035B"/>
    <w:rsid w:val="00E931CE"/>
    <w:rsid w:val="00F60520"/>
    <w:rsid w:val="00FB69D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58E24742"/>
  <w15:chartTrackingRefBased/>
  <w15:docId w15:val="{D8132616-E5D8-5049-B540-D7A411A56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35B"/>
    <w:pPr>
      <w:spacing w:line="360" w:lineRule="auto"/>
      <w:jc w:val="both"/>
    </w:pPr>
    <w:rPr>
      <w:rFonts w:ascii="Georgia" w:hAnsi="Georgia" w:cs="Tahoma"/>
    </w:rPr>
  </w:style>
  <w:style w:type="paragraph" w:styleId="Heading1">
    <w:name w:val="heading 1"/>
    <w:basedOn w:val="Normal"/>
    <w:next w:val="Normal"/>
    <w:link w:val="Heading1Char"/>
    <w:uiPriority w:val="9"/>
    <w:qFormat/>
    <w:rsid w:val="00322928"/>
    <w:pPr>
      <w:outlineLvl w:val="0"/>
    </w:pPr>
    <w:rPr>
      <w:b/>
      <w:bCs/>
      <w:sz w:val="28"/>
      <w:szCs w:val="28"/>
    </w:rPr>
  </w:style>
  <w:style w:type="paragraph" w:styleId="Heading2">
    <w:name w:val="heading 2"/>
    <w:basedOn w:val="Normal"/>
    <w:next w:val="Normal"/>
    <w:link w:val="Heading2Char"/>
    <w:uiPriority w:val="9"/>
    <w:unhideWhenUsed/>
    <w:qFormat/>
    <w:rsid w:val="005D7747"/>
    <w:pPr>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BF21C8"/>
    <w:pPr>
      <w:ind w:left="720" w:hanging="720"/>
      <w:jc w:val="left"/>
    </w:pPr>
  </w:style>
  <w:style w:type="character" w:customStyle="1" w:styleId="Heading1Char">
    <w:name w:val="Heading 1 Char"/>
    <w:basedOn w:val="DefaultParagraphFont"/>
    <w:link w:val="Heading1"/>
    <w:uiPriority w:val="9"/>
    <w:rsid w:val="00322928"/>
    <w:rPr>
      <w:rFonts w:ascii="Tahoma" w:hAnsi="Tahoma" w:cs="Tahoma"/>
      <w:b/>
      <w:bCs/>
      <w:sz w:val="28"/>
      <w:szCs w:val="28"/>
      <w:lang w:val="en-GB"/>
    </w:rPr>
  </w:style>
  <w:style w:type="paragraph" w:styleId="Title">
    <w:name w:val="Title"/>
    <w:basedOn w:val="Normal"/>
    <w:next w:val="Normal"/>
    <w:link w:val="TitleChar"/>
    <w:uiPriority w:val="10"/>
    <w:qFormat/>
    <w:rsid w:val="001C0E2C"/>
    <w:pPr>
      <w:jc w:val="left"/>
    </w:pPr>
    <w:rPr>
      <w:b/>
      <w:bCs/>
      <w:sz w:val="32"/>
      <w:szCs w:val="32"/>
    </w:rPr>
  </w:style>
  <w:style w:type="character" w:customStyle="1" w:styleId="TitleChar">
    <w:name w:val="Title Char"/>
    <w:basedOn w:val="DefaultParagraphFont"/>
    <w:link w:val="Title"/>
    <w:uiPriority w:val="10"/>
    <w:rsid w:val="001C0E2C"/>
    <w:rPr>
      <w:rFonts w:ascii="Tahoma" w:hAnsi="Tahoma" w:cs="Tahoma"/>
      <w:b/>
      <w:bCs/>
      <w:sz w:val="32"/>
      <w:szCs w:val="32"/>
      <w:lang w:val="en-GB"/>
    </w:rPr>
  </w:style>
  <w:style w:type="character" w:customStyle="1" w:styleId="Heading2Char">
    <w:name w:val="Heading 2 Char"/>
    <w:basedOn w:val="DefaultParagraphFont"/>
    <w:link w:val="Heading2"/>
    <w:uiPriority w:val="9"/>
    <w:rsid w:val="005D7747"/>
    <w:rPr>
      <w:rFonts w:ascii="Tahoma" w:hAnsi="Tahoma" w:cs="Tahoma"/>
      <w:b/>
      <w:bCs/>
      <w:lang w:val="en-GB"/>
    </w:rPr>
  </w:style>
  <w:style w:type="paragraph" w:styleId="ListParagraph">
    <w:name w:val="List Paragraph"/>
    <w:basedOn w:val="Normal"/>
    <w:uiPriority w:val="34"/>
    <w:qFormat/>
    <w:rsid w:val="007E0DE3"/>
    <w:pPr>
      <w:ind w:left="720"/>
      <w:contextualSpacing/>
    </w:pPr>
  </w:style>
  <w:style w:type="character" w:styleId="Hyperlink">
    <w:name w:val="Hyperlink"/>
    <w:basedOn w:val="DefaultParagraphFont"/>
    <w:uiPriority w:val="99"/>
    <w:unhideWhenUsed/>
    <w:rsid w:val="00DA25FA"/>
    <w:rPr>
      <w:color w:val="0563C1" w:themeColor="hyperlink"/>
      <w:u w:val="single"/>
    </w:rPr>
  </w:style>
  <w:style w:type="character" w:styleId="UnresolvedMention">
    <w:name w:val="Unresolved Mention"/>
    <w:basedOn w:val="DefaultParagraphFont"/>
    <w:uiPriority w:val="99"/>
    <w:semiHidden/>
    <w:unhideWhenUsed/>
    <w:rsid w:val="00DA2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165772">
      <w:bodyDiv w:val="1"/>
      <w:marLeft w:val="0"/>
      <w:marRight w:val="0"/>
      <w:marTop w:val="0"/>
      <w:marBottom w:val="0"/>
      <w:divBdr>
        <w:top w:val="none" w:sz="0" w:space="0" w:color="auto"/>
        <w:left w:val="none" w:sz="0" w:space="0" w:color="auto"/>
        <w:bottom w:val="none" w:sz="0" w:space="0" w:color="auto"/>
        <w:right w:val="none" w:sz="0" w:space="0" w:color="auto"/>
      </w:divBdr>
    </w:div>
    <w:div w:id="334185100">
      <w:bodyDiv w:val="1"/>
      <w:marLeft w:val="0"/>
      <w:marRight w:val="0"/>
      <w:marTop w:val="0"/>
      <w:marBottom w:val="0"/>
      <w:divBdr>
        <w:top w:val="none" w:sz="0" w:space="0" w:color="auto"/>
        <w:left w:val="none" w:sz="0" w:space="0" w:color="auto"/>
        <w:bottom w:val="none" w:sz="0" w:space="0" w:color="auto"/>
        <w:right w:val="none" w:sz="0" w:space="0" w:color="auto"/>
      </w:divBdr>
    </w:div>
    <w:div w:id="381028293">
      <w:bodyDiv w:val="1"/>
      <w:marLeft w:val="0"/>
      <w:marRight w:val="0"/>
      <w:marTop w:val="0"/>
      <w:marBottom w:val="0"/>
      <w:divBdr>
        <w:top w:val="none" w:sz="0" w:space="0" w:color="auto"/>
        <w:left w:val="none" w:sz="0" w:space="0" w:color="auto"/>
        <w:bottom w:val="none" w:sz="0" w:space="0" w:color="auto"/>
        <w:right w:val="none" w:sz="0" w:space="0" w:color="auto"/>
      </w:divBdr>
    </w:div>
    <w:div w:id="544223845">
      <w:bodyDiv w:val="1"/>
      <w:marLeft w:val="0"/>
      <w:marRight w:val="0"/>
      <w:marTop w:val="0"/>
      <w:marBottom w:val="0"/>
      <w:divBdr>
        <w:top w:val="none" w:sz="0" w:space="0" w:color="auto"/>
        <w:left w:val="none" w:sz="0" w:space="0" w:color="auto"/>
        <w:bottom w:val="none" w:sz="0" w:space="0" w:color="auto"/>
        <w:right w:val="none" w:sz="0" w:space="0" w:color="auto"/>
      </w:divBdr>
    </w:div>
    <w:div w:id="776602118">
      <w:bodyDiv w:val="1"/>
      <w:marLeft w:val="0"/>
      <w:marRight w:val="0"/>
      <w:marTop w:val="0"/>
      <w:marBottom w:val="0"/>
      <w:divBdr>
        <w:top w:val="none" w:sz="0" w:space="0" w:color="auto"/>
        <w:left w:val="none" w:sz="0" w:space="0" w:color="auto"/>
        <w:bottom w:val="none" w:sz="0" w:space="0" w:color="auto"/>
        <w:right w:val="none" w:sz="0" w:space="0" w:color="auto"/>
      </w:divBdr>
    </w:div>
    <w:div w:id="909971194">
      <w:bodyDiv w:val="1"/>
      <w:marLeft w:val="0"/>
      <w:marRight w:val="0"/>
      <w:marTop w:val="0"/>
      <w:marBottom w:val="0"/>
      <w:divBdr>
        <w:top w:val="none" w:sz="0" w:space="0" w:color="auto"/>
        <w:left w:val="none" w:sz="0" w:space="0" w:color="auto"/>
        <w:bottom w:val="none" w:sz="0" w:space="0" w:color="auto"/>
        <w:right w:val="none" w:sz="0" w:space="0" w:color="auto"/>
      </w:divBdr>
    </w:div>
    <w:div w:id="974683432">
      <w:bodyDiv w:val="1"/>
      <w:marLeft w:val="0"/>
      <w:marRight w:val="0"/>
      <w:marTop w:val="0"/>
      <w:marBottom w:val="0"/>
      <w:divBdr>
        <w:top w:val="none" w:sz="0" w:space="0" w:color="auto"/>
        <w:left w:val="none" w:sz="0" w:space="0" w:color="auto"/>
        <w:bottom w:val="none" w:sz="0" w:space="0" w:color="auto"/>
        <w:right w:val="none" w:sz="0" w:space="0" w:color="auto"/>
      </w:divBdr>
    </w:div>
    <w:div w:id="1170215413">
      <w:bodyDiv w:val="1"/>
      <w:marLeft w:val="0"/>
      <w:marRight w:val="0"/>
      <w:marTop w:val="0"/>
      <w:marBottom w:val="0"/>
      <w:divBdr>
        <w:top w:val="none" w:sz="0" w:space="0" w:color="auto"/>
        <w:left w:val="none" w:sz="0" w:space="0" w:color="auto"/>
        <w:bottom w:val="none" w:sz="0" w:space="0" w:color="auto"/>
        <w:right w:val="none" w:sz="0" w:space="0" w:color="auto"/>
      </w:divBdr>
    </w:div>
    <w:div w:id="1302688461">
      <w:bodyDiv w:val="1"/>
      <w:marLeft w:val="0"/>
      <w:marRight w:val="0"/>
      <w:marTop w:val="0"/>
      <w:marBottom w:val="0"/>
      <w:divBdr>
        <w:top w:val="none" w:sz="0" w:space="0" w:color="auto"/>
        <w:left w:val="none" w:sz="0" w:space="0" w:color="auto"/>
        <w:bottom w:val="none" w:sz="0" w:space="0" w:color="auto"/>
        <w:right w:val="none" w:sz="0" w:space="0" w:color="auto"/>
      </w:divBdr>
    </w:div>
    <w:div w:id="1694068469">
      <w:bodyDiv w:val="1"/>
      <w:marLeft w:val="0"/>
      <w:marRight w:val="0"/>
      <w:marTop w:val="0"/>
      <w:marBottom w:val="0"/>
      <w:divBdr>
        <w:top w:val="none" w:sz="0" w:space="0" w:color="auto"/>
        <w:left w:val="none" w:sz="0" w:space="0" w:color="auto"/>
        <w:bottom w:val="none" w:sz="0" w:space="0" w:color="auto"/>
        <w:right w:val="none" w:sz="0" w:space="0" w:color="auto"/>
      </w:divBdr>
    </w:div>
    <w:div w:id="1770731814">
      <w:bodyDiv w:val="1"/>
      <w:marLeft w:val="0"/>
      <w:marRight w:val="0"/>
      <w:marTop w:val="0"/>
      <w:marBottom w:val="0"/>
      <w:divBdr>
        <w:top w:val="none" w:sz="0" w:space="0" w:color="auto"/>
        <w:left w:val="none" w:sz="0" w:space="0" w:color="auto"/>
        <w:bottom w:val="none" w:sz="0" w:space="0" w:color="auto"/>
        <w:right w:val="none" w:sz="0" w:space="0" w:color="auto"/>
      </w:divBdr>
    </w:div>
    <w:div w:id="1801612382">
      <w:bodyDiv w:val="1"/>
      <w:marLeft w:val="0"/>
      <w:marRight w:val="0"/>
      <w:marTop w:val="0"/>
      <w:marBottom w:val="0"/>
      <w:divBdr>
        <w:top w:val="none" w:sz="0" w:space="0" w:color="auto"/>
        <w:left w:val="none" w:sz="0" w:space="0" w:color="auto"/>
        <w:bottom w:val="none" w:sz="0" w:space="0" w:color="auto"/>
        <w:right w:val="none" w:sz="0" w:space="0" w:color="auto"/>
      </w:divBdr>
    </w:div>
    <w:div w:id="202801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4</Pages>
  <Words>4165</Words>
  <Characters>23747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Kateega</dc:creator>
  <cp:keywords/>
  <dc:description/>
  <cp:lastModifiedBy>Jonathan Kateega</cp:lastModifiedBy>
  <cp:revision>3</cp:revision>
  <dcterms:created xsi:type="dcterms:W3CDTF">2025-10-02T09:32:00Z</dcterms:created>
  <dcterms:modified xsi:type="dcterms:W3CDTF">2025-10-04T08:20:00Z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id="q3YpeaFF"/&gt;&lt;style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