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1B5C" w:rsidRPr="006D1B5C" w:rsidRDefault="003E6096" w:rsidP="006D341D">
      <w:pPr>
        <w:rPr>
          <w:b/>
        </w:rPr>
      </w:pPr>
      <w:bookmarkStart w:id="0" w:name="_Hlk210404439"/>
      <w:r w:rsidRPr="003E6096">
        <w:rPr>
          <w:b/>
        </w:rPr>
        <w:t>Adoption of Mobile Payment Systems by Small and Medium Enterprises (SMEs)</w:t>
      </w:r>
      <w:r w:rsidRPr="003E6096">
        <w:rPr>
          <w:b/>
        </w:rPr>
        <w:t xml:space="preserve"> in Kampala</w:t>
      </w:r>
    </w:p>
    <w:bookmarkEnd w:id="0"/>
    <w:p w:rsidR="00D16A2B" w:rsidRDefault="00D16A2B" w:rsidP="00F820F1">
      <w:pPr>
        <w:pStyle w:val="Heading2"/>
        <w:spacing w:line="276" w:lineRule="auto"/>
      </w:pPr>
      <w:r>
        <w:rPr>
          <w:rStyle w:val="selected"/>
        </w:rPr>
        <w:t>2.1 Introduction: The Mobile Money Imperative</w:t>
      </w:r>
      <w:bookmarkStart w:id="1" w:name="_GoBack"/>
      <w:bookmarkEnd w:id="1"/>
      <w:r>
        <w:rPr>
          <w:rStyle w:val="selected"/>
        </w:rPr>
        <w:t xml:space="preserve"> for African SMEs</w:t>
      </w:r>
    </w:p>
    <w:p w:rsidR="00D16A2B" w:rsidRDefault="00D16A2B" w:rsidP="00F820F1">
      <w:pPr>
        <w:pStyle w:val="NormalWeb"/>
        <w:spacing w:line="276" w:lineRule="auto"/>
      </w:pPr>
      <w:r>
        <w:rPr>
          <w:rStyle w:val="selected"/>
        </w:rPr>
        <w:t xml:space="preserve">The global financial sector is rapidly shifting away from cash, a profound transformation accelerated by technological necessity (PwC, 2025). This movement is most visible in sub-Saharan Africa, where the ubiquitous mobile phone has become the primary conduit for finance. For Small and Medium-sized Enterprises (SMEs)—the economic backbone of the region—Mobile Money (M-payment) is an innovation that has fundamentally revolutionized operations, particularly within the highly competitive urban ecosystem of </w:t>
      </w:r>
      <w:r>
        <w:rPr>
          <w:rStyle w:val="selected"/>
          <w:b/>
          <w:bCs/>
        </w:rPr>
        <w:t>Kampala, Uganda</w:t>
      </w:r>
      <w:r>
        <w:rPr>
          <w:rStyle w:val="selected"/>
        </w:rPr>
        <w:t>.</w:t>
      </w:r>
    </w:p>
    <w:p w:rsidR="00D16A2B" w:rsidRDefault="00D16A2B" w:rsidP="00F820F1">
      <w:pPr>
        <w:pStyle w:val="NormalWeb"/>
        <w:spacing w:line="276" w:lineRule="auto"/>
      </w:pPr>
      <w:r>
        <w:rPr>
          <w:rStyle w:val="selected"/>
        </w:rPr>
        <w:t xml:space="preserve">This literature review critically synthesizes current research on M-payment adoption and sustained use by SMEs. It establishes a necessary theoretical foundation using the </w:t>
      </w:r>
      <w:r>
        <w:rPr>
          <w:rStyle w:val="selected"/>
          <w:b/>
          <w:bCs/>
        </w:rPr>
        <w:t>Technology Acceptance Model (TAM), the Diffusion of Innovation (DOI) theory, and the Unified Theory of Acceptance and Use of Technology (UTAUT)</w:t>
      </w:r>
      <w:r>
        <w:rPr>
          <w:rStyle w:val="selected"/>
        </w:rPr>
        <w:t>. By integrating these models with organizational and market factors, the review aims to identify the specific knowledge gaps motivating the present study. Embracing M-payment is no longer optional for SMEs; it is a strategic imperative for survival and growth in a mobile-first economy (McKinsey &amp; Company, 2024).</w:t>
      </w:r>
    </w:p>
    <w:p w:rsidR="00D16A2B" w:rsidRDefault="00D16A2B" w:rsidP="00F820F1">
      <w:pPr>
        <w:pStyle w:val="Heading2"/>
        <w:spacing w:line="276" w:lineRule="auto"/>
      </w:pPr>
      <w:r>
        <w:rPr>
          <w:rStyle w:val="selected"/>
        </w:rPr>
        <w:t>2.2 Foundational Theoretical Frameworks of M-Payment Adoption</w:t>
      </w:r>
    </w:p>
    <w:p w:rsidR="00D16A2B" w:rsidRDefault="00D16A2B" w:rsidP="00F820F1">
      <w:pPr>
        <w:pStyle w:val="NormalWeb"/>
        <w:spacing w:line="276" w:lineRule="auto"/>
      </w:pPr>
      <w:r>
        <w:rPr>
          <w:rStyle w:val="selected"/>
        </w:rPr>
        <w:t>To systematically analyze the behavioral, psychological, and environmental factors driving M-payment adoption, this review utilizes established technology acceptance models (Sharma &amp; Singh, 2024).</w:t>
      </w:r>
    </w:p>
    <w:p w:rsidR="00D16A2B" w:rsidRDefault="00D16A2B" w:rsidP="00F820F1">
      <w:pPr>
        <w:pStyle w:val="Heading3"/>
        <w:spacing w:line="276" w:lineRule="auto"/>
      </w:pPr>
      <w:r>
        <w:rPr>
          <w:rStyle w:val="selected"/>
        </w:rPr>
        <w:t>2.2.1 Technology Acceptance Model (TAM)</w:t>
      </w:r>
    </w:p>
    <w:p w:rsidR="00D16A2B" w:rsidRDefault="00D16A2B" w:rsidP="00F820F1">
      <w:pPr>
        <w:pStyle w:val="NormalWeb"/>
        <w:spacing w:line="276" w:lineRule="auto"/>
      </w:pPr>
      <w:r>
        <w:rPr>
          <w:rStyle w:val="selected"/>
        </w:rPr>
        <w:t xml:space="preserve">TAM asserts that user adoption is primarily driven by two cognitive beliefs: </w:t>
      </w:r>
      <w:r>
        <w:rPr>
          <w:rStyle w:val="selected"/>
          <w:b/>
          <w:bCs/>
        </w:rPr>
        <w:t>Perceived Usefulness (PU)</w:t>
      </w:r>
      <w:r>
        <w:rPr>
          <w:rStyle w:val="selected"/>
        </w:rPr>
        <w:t xml:space="preserve"> (the system enhances performance) and </w:t>
      </w:r>
      <w:r>
        <w:rPr>
          <w:rStyle w:val="selected"/>
          <w:b/>
          <w:bCs/>
        </w:rPr>
        <w:t>Perceived Ease of Use (PEOU)</w:t>
      </w:r>
      <w:r>
        <w:rPr>
          <w:rStyle w:val="selected"/>
        </w:rPr>
        <w:t xml:space="preserve"> (the system is simple to use). In the Ugandan context, M-payment must clearly offer demonstrable utility in cash management (PU) and be straightforward to integrate (PEOU) to motivate the SME owner's initial decision to adopt (Ochieng &amp; Mutebi, 2024).</w:t>
      </w:r>
    </w:p>
    <w:p w:rsidR="00D16A2B" w:rsidRDefault="00D16A2B" w:rsidP="00F820F1">
      <w:pPr>
        <w:pStyle w:val="Heading3"/>
        <w:spacing w:line="276" w:lineRule="auto"/>
      </w:pPr>
      <w:r>
        <w:rPr>
          <w:rStyle w:val="selected"/>
        </w:rPr>
        <w:t>2.2.2 Diffusion of Innovation Theory (DOI)</w:t>
      </w:r>
    </w:p>
    <w:p w:rsidR="00D16A2B" w:rsidRDefault="00D16A2B" w:rsidP="00F820F1">
      <w:pPr>
        <w:pStyle w:val="NormalWeb"/>
        <w:spacing w:line="276" w:lineRule="auto"/>
      </w:pPr>
      <w:r>
        <w:rPr>
          <w:rStyle w:val="selected"/>
        </w:rPr>
        <w:t xml:space="preserve">DOI focuses on how an innovation </w:t>
      </w:r>
      <w:proofErr w:type="gramStart"/>
      <w:r>
        <w:rPr>
          <w:rStyle w:val="selected"/>
        </w:rPr>
        <w:t>spreads</w:t>
      </w:r>
      <w:proofErr w:type="gramEnd"/>
      <w:r>
        <w:rPr>
          <w:rStyle w:val="selected"/>
        </w:rPr>
        <w:t>. Its core constructs—</w:t>
      </w:r>
      <w:r>
        <w:rPr>
          <w:rStyle w:val="selected"/>
          <w:b/>
          <w:bCs/>
        </w:rPr>
        <w:t>Relative Advantage</w:t>
      </w:r>
      <w:r>
        <w:rPr>
          <w:rStyle w:val="selected"/>
        </w:rPr>
        <w:t xml:space="preserve">, </w:t>
      </w:r>
      <w:r>
        <w:rPr>
          <w:rStyle w:val="selected"/>
          <w:b/>
          <w:bCs/>
        </w:rPr>
        <w:t>Compatibility</w:t>
      </w:r>
      <w:r>
        <w:rPr>
          <w:rStyle w:val="selected"/>
        </w:rPr>
        <w:t xml:space="preserve">, and </w:t>
      </w:r>
      <w:r>
        <w:rPr>
          <w:rStyle w:val="selected"/>
          <w:b/>
          <w:bCs/>
        </w:rPr>
        <w:t>Trialability</w:t>
      </w:r>
      <w:r>
        <w:rPr>
          <w:rStyle w:val="selected"/>
        </w:rPr>
        <w:t>—explain the rapid dissemination of M-payment. The clear superiority of M-payment over physical cash and its low entry barrier (high trialability) have been key drivers of mass adoption among entrepreneurs (Sharma &amp; Singh, 2024).</w:t>
      </w:r>
    </w:p>
    <w:p w:rsidR="00D16A2B" w:rsidRDefault="00D16A2B" w:rsidP="00F820F1">
      <w:pPr>
        <w:pStyle w:val="Heading3"/>
        <w:spacing w:line="276" w:lineRule="auto"/>
      </w:pPr>
      <w:r>
        <w:rPr>
          <w:rStyle w:val="selected"/>
        </w:rPr>
        <w:lastRenderedPageBreak/>
        <w:t>2.2.3 Extended Models: Trust, Risk, and UTAUT</w:t>
      </w:r>
    </w:p>
    <w:p w:rsidR="00D16A2B" w:rsidRDefault="00D16A2B" w:rsidP="00F820F1">
      <w:pPr>
        <w:pStyle w:val="NormalWeb"/>
        <w:spacing w:line="276" w:lineRule="auto"/>
      </w:pPr>
      <w:r>
        <w:rPr>
          <w:rStyle w:val="selected"/>
        </w:rPr>
        <w:t xml:space="preserve">The </w:t>
      </w:r>
      <w:r>
        <w:rPr>
          <w:rStyle w:val="selected"/>
          <w:b/>
          <w:bCs/>
        </w:rPr>
        <w:t>Unified Theory of Acceptance and Use of Technology (UTAUT)</w:t>
      </w:r>
      <w:r>
        <w:rPr>
          <w:rStyle w:val="selected"/>
        </w:rPr>
        <w:t xml:space="preserve"> incorporates factors like performance expectancy, effort expectancy, social influence, and facilitating conditions. Given the financial nature of M-payment, UTAUT extensions are vital, integrating </w:t>
      </w:r>
      <w:r>
        <w:rPr>
          <w:rStyle w:val="selected"/>
          <w:b/>
          <w:bCs/>
        </w:rPr>
        <w:t>Trust</w:t>
      </w:r>
      <w:r>
        <w:rPr>
          <w:rStyle w:val="selected"/>
        </w:rPr>
        <w:t xml:space="preserve"> and </w:t>
      </w:r>
      <w:r>
        <w:rPr>
          <w:rStyle w:val="selected"/>
          <w:b/>
          <w:bCs/>
        </w:rPr>
        <w:t>Perceived Risk</w:t>
      </w:r>
      <w:r>
        <w:rPr>
          <w:rStyle w:val="selected"/>
        </w:rPr>
        <w:t>. Merchant confidence in the system's security, regulatory compliance, and provider reliability is essential for sustained use, especially as platforms begin offering embedded financial services like credit (</w:t>
      </w:r>
      <w:proofErr w:type="spellStart"/>
      <w:r>
        <w:rPr>
          <w:rStyle w:val="selected"/>
        </w:rPr>
        <w:t>Kabuubi</w:t>
      </w:r>
      <w:proofErr w:type="spellEnd"/>
      <w:r>
        <w:rPr>
          <w:rStyle w:val="selected"/>
        </w:rPr>
        <w:t xml:space="preserve"> &amp; </w:t>
      </w:r>
      <w:proofErr w:type="spellStart"/>
      <w:r>
        <w:rPr>
          <w:rStyle w:val="selected"/>
        </w:rPr>
        <w:t>Ntende</w:t>
      </w:r>
      <w:proofErr w:type="spellEnd"/>
      <w:r>
        <w:rPr>
          <w:rStyle w:val="selected"/>
        </w:rPr>
        <w:t>, 2025).</w:t>
      </w:r>
    </w:p>
    <w:p w:rsidR="00D16A2B" w:rsidRDefault="00D16A2B" w:rsidP="00F820F1">
      <w:pPr>
        <w:pStyle w:val="Heading2"/>
        <w:spacing w:line="276" w:lineRule="auto"/>
      </w:pPr>
      <w:r>
        <w:rPr>
          <w:rStyle w:val="selected"/>
        </w:rPr>
        <w:t>2.3 Operational Drivers and Ecosystem Context in Kampala</w:t>
      </w:r>
    </w:p>
    <w:p w:rsidR="00D16A2B" w:rsidRDefault="00D16A2B" w:rsidP="00F820F1">
      <w:pPr>
        <w:pStyle w:val="NormalWeb"/>
        <w:spacing w:line="276" w:lineRule="auto"/>
      </w:pPr>
      <w:r>
        <w:rPr>
          <w:rStyle w:val="selected"/>
        </w:rPr>
        <w:t>The literature confirms that the adoption of Mobile Money by SMEs is driven by clear operational advantages, which reinforce the Perceived Usefulness construct.</w:t>
      </w:r>
    </w:p>
    <w:p w:rsidR="00D16A2B" w:rsidRDefault="00D16A2B" w:rsidP="00F820F1">
      <w:pPr>
        <w:pStyle w:val="Heading3"/>
        <w:spacing w:line="276" w:lineRule="auto"/>
      </w:pPr>
      <w:r>
        <w:rPr>
          <w:rStyle w:val="selected"/>
        </w:rPr>
        <w:t>2.3.1 Enhanced Operational Efficiency and Performance</w:t>
      </w:r>
    </w:p>
    <w:p w:rsidR="00D16A2B" w:rsidRDefault="00D16A2B" w:rsidP="00F820F1">
      <w:pPr>
        <w:pStyle w:val="NormalWeb"/>
        <w:spacing w:line="276" w:lineRule="auto"/>
      </w:pPr>
      <w:r>
        <w:rPr>
          <w:rStyle w:val="selected"/>
        </w:rPr>
        <w:t>M-payment adoption in the urban environment of Kampala directly addresses inefficiencies inherent in cash-based commerce. Digitalizing transactions significantly enhances internal cash management by reducing the costs and risks associated with handling physical cash, minimizing fraud, and improving the speed of sales reconciliation (Journal of African Economies, 2024). Furthermore, empirical evidence suggests that SMEs successfully integrating M-payment report demonstrable increases in customer reach and sales volume, directly linking digital adoption to improved financial stability and reduced security costs (Journal of African Economies, 2024).</w:t>
      </w:r>
    </w:p>
    <w:p w:rsidR="00D16A2B" w:rsidRDefault="00D16A2B" w:rsidP="00F820F1">
      <w:pPr>
        <w:pStyle w:val="Heading3"/>
        <w:spacing w:line="276" w:lineRule="auto"/>
      </w:pPr>
      <w:r>
        <w:rPr>
          <w:rStyle w:val="selected"/>
        </w:rPr>
        <w:t>2.3.2 Financial Inclusion and Ecosystem Transformation</w:t>
      </w:r>
    </w:p>
    <w:p w:rsidR="00D16A2B" w:rsidRDefault="00D16A2B" w:rsidP="00F820F1">
      <w:pPr>
        <w:pStyle w:val="NormalWeb"/>
        <w:spacing w:line="276" w:lineRule="auto"/>
      </w:pPr>
      <w:r>
        <w:rPr>
          <w:rStyle w:val="selected"/>
        </w:rPr>
        <w:t>In Kampala, M-payment has matured from simple Person-to-Person (P2P) transfers to a comprehensive merchant platform. Providers now embed value-added services—such as inventory management and short-term credit—directly into the merchant's Mobile Money account. This ecosystem transformation fosters greater financial formalization among micro-SMEs, providing transaction history records critical for later accessing institutional credit, a key outcome aligned with UTAUT's performance-driven constructs (Journal of African Economies, 2024).</w:t>
      </w:r>
    </w:p>
    <w:p w:rsidR="00D16A2B" w:rsidRDefault="00D16A2B" w:rsidP="00F820F1">
      <w:pPr>
        <w:pStyle w:val="Heading2"/>
        <w:spacing w:line="276" w:lineRule="auto"/>
      </w:pPr>
      <w:r>
        <w:rPr>
          <w:rStyle w:val="selected"/>
        </w:rPr>
        <w:t>2.4 Systemic and Structural Barriers to Sustained Utilization</w:t>
      </w:r>
    </w:p>
    <w:p w:rsidR="00D16A2B" w:rsidRDefault="00D16A2B" w:rsidP="00F820F1">
      <w:pPr>
        <w:pStyle w:val="NormalWeb"/>
        <w:spacing w:line="276" w:lineRule="auto"/>
      </w:pPr>
      <w:r>
        <w:rPr>
          <w:rStyle w:val="selected"/>
        </w:rPr>
        <w:t>Despite the strong drivers, the literature consistently identifies critical structural and technical barriers that conflict with Perceived Ease of Use and Cost Value, challenging the long-term profitability of M-payment adoption.</w:t>
      </w:r>
    </w:p>
    <w:p w:rsidR="00D16A2B" w:rsidRDefault="00D16A2B" w:rsidP="00F820F1">
      <w:pPr>
        <w:pStyle w:val="Heading3"/>
        <w:spacing w:line="276" w:lineRule="auto"/>
      </w:pPr>
      <w:r>
        <w:rPr>
          <w:rStyle w:val="selected"/>
        </w:rPr>
        <w:lastRenderedPageBreak/>
        <w:t>2.4.1 Transactional Costs and Liquidity Challenges</w:t>
      </w:r>
    </w:p>
    <w:p w:rsidR="00D16A2B" w:rsidRDefault="00D16A2B" w:rsidP="00F820F1">
      <w:pPr>
        <w:pStyle w:val="NormalWeb"/>
        <w:spacing w:line="276" w:lineRule="auto"/>
      </w:pPr>
      <w:r>
        <w:rPr>
          <w:rStyle w:val="selected"/>
        </w:rPr>
        <w:t xml:space="preserve">The most common barrier remains the direct impact of high transaction fees on the tight profit margins of SMEs. Beyond direct costs, the hidden expense of </w:t>
      </w:r>
      <w:r>
        <w:rPr>
          <w:rStyle w:val="selected"/>
          <w:i/>
          <w:iCs/>
        </w:rPr>
        <w:t>liquidity management</w:t>
      </w:r>
      <w:r>
        <w:rPr>
          <w:rStyle w:val="selected"/>
        </w:rPr>
        <w:t xml:space="preserve">—the time and effort needed to convert electronic float into hard cash—presents a constant operational obstacle. These high operational costs foster a negative </w:t>
      </w:r>
      <w:r>
        <w:rPr>
          <w:rStyle w:val="selected"/>
          <w:i/>
          <w:iCs/>
        </w:rPr>
        <w:t>Cost Value</w:t>
      </w:r>
      <w:r>
        <w:rPr>
          <w:rStyle w:val="selected"/>
        </w:rPr>
        <w:t xml:space="preserve"> perception, often leading merchants to use M-payment selectively or revert to cash for large transactions, hindering full digital integration (Economic Policy Review, 2025).</w:t>
      </w:r>
    </w:p>
    <w:p w:rsidR="00D16A2B" w:rsidRDefault="00D16A2B" w:rsidP="00F820F1">
      <w:pPr>
        <w:pStyle w:val="Heading3"/>
        <w:spacing w:line="276" w:lineRule="auto"/>
      </w:pPr>
      <w:r>
        <w:rPr>
          <w:rStyle w:val="selected"/>
        </w:rPr>
        <w:t>2.4.2 Regulatory Burden and Intermediary Instability</w:t>
      </w:r>
    </w:p>
    <w:p w:rsidR="00D16A2B" w:rsidRDefault="00D16A2B" w:rsidP="00F820F1">
      <w:pPr>
        <w:pStyle w:val="NormalWeb"/>
        <w:spacing w:line="276" w:lineRule="auto"/>
      </w:pPr>
      <w:r>
        <w:rPr>
          <w:rStyle w:val="selected"/>
        </w:rPr>
        <w:t xml:space="preserve">Regulatory policy significantly affects M-payment viability. The introduction of transaction taxes or levies, as observed in Uganda, has been shown to be counter-intuitive, sometimes pushing smaller merchants back to cash to avoid the compliance burden (Economic Policy Review, 2025). Furthermore, the reliability of the Mobile Money agent network—a critical </w:t>
      </w:r>
      <w:r>
        <w:rPr>
          <w:rStyle w:val="selected"/>
          <w:i/>
          <w:iCs/>
        </w:rPr>
        <w:t>Facilitating Condition</w:t>
      </w:r>
      <w:r>
        <w:rPr>
          <w:rStyle w:val="selected"/>
        </w:rPr>
        <w:t>—is undermined by agent profitability issues, float maintenance challenges, and a lack of standardized training. These inconsistencies lead to service delays that erode the perceived reliability of the entire system (African Journal of Business Management, 2024).</w:t>
      </w:r>
    </w:p>
    <w:p w:rsidR="00D16A2B" w:rsidRDefault="00D16A2B" w:rsidP="00F820F1">
      <w:pPr>
        <w:pStyle w:val="Heading3"/>
        <w:spacing w:line="276" w:lineRule="auto"/>
      </w:pPr>
      <w:r>
        <w:rPr>
          <w:rStyle w:val="selected"/>
        </w:rPr>
        <w:t>2.4.3 Security, Trust, and Technical Complexity</w:t>
      </w:r>
    </w:p>
    <w:p w:rsidR="00D16A2B" w:rsidRDefault="00D16A2B" w:rsidP="00F820F1">
      <w:pPr>
        <w:pStyle w:val="NormalWeb"/>
        <w:spacing w:line="276" w:lineRule="auto"/>
      </w:pPr>
      <w:r>
        <w:rPr>
          <w:rStyle w:val="selected"/>
        </w:rPr>
        <w:t xml:space="preserve">SMEs operating in high-volume urban settings face substantial security risks, including unauthorized access and phishing scams, which directly erode </w:t>
      </w:r>
      <w:r>
        <w:rPr>
          <w:rStyle w:val="selected"/>
          <w:b/>
          <w:bCs/>
        </w:rPr>
        <w:t>Trust</w:t>
      </w:r>
      <w:r>
        <w:rPr>
          <w:rStyle w:val="selected"/>
        </w:rPr>
        <w:t xml:space="preserve"> and heighten </w:t>
      </w:r>
      <w:r>
        <w:rPr>
          <w:rStyle w:val="selected"/>
          <w:b/>
          <w:bCs/>
        </w:rPr>
        <w:t>Perceived Risk</w:t>
      </w:r>
      <w:r>
        <w:rPr>
          <w:rStyle w:val="selected"/>
        </w:rPr>
        <w:t xml:space="preserve"> (</w:t>
      </w:r>
      <w:proofErr w:type="spellStart"/>
      <w:r>
        <w:rPr>
          <w:rStyle w:val="selected"/>
        </w:rPr>
        <w:t>Kabuubi</w:t>
      </w:r>
      <w:proofErr w:type="spellEnd"/>
      <w:r>
        <w:rPr>
          <w:rStyle w:val="selected"/>
        </w:rPr>
        <w:t xml:space="preserve"> &amp; </w:t>
      </w:r>
      <w:proofErr w:type="spellStart"/>
      <w:r>
        <w:rPr>
          <w:rStyle w:val="selected"/>
        </w:rPr>
        <w:t>Ntende</w:t>
      </w:r>
      <w:proofErr w:type="spellEnd"/>
      <w:r>
        <w:rPr>
          <w:rStyle w:val="selected"/>
        </w:rPr>
        <w:t>, 2025). Compounding this, the ultimate strategic value of M-payment lies in integration with business intelligence systems (accounting, inventory). However, for resource-constrained SMEs, the lack of standardized APIs and the heterogeneity of multiple payment solutions create a complexity hurdle. This technical difficulty prevents many enterprises from moving beyond simple cash substitution to strategic, data-driven utilization, thereby undermining the full potential of digital commerce (African Journal of Business Management, 2024).</w:t>
      </w:r>
    </w:p>
    <w:p w:rsidR="00D16A2B" w:rsidRDefault="00D16A2B" w:rsidP="00F820F1">
      <w:pPr>
        <w:pStyle w:val="Heading2"/>
        <w:spacing w:line="276" w:lineRule="auto"/>
      </w:pPr>
      <w:r>
        <w:rPr>
          <w:rStyle w:val="selected"/>
        </w:rPr>
        <w:t>2.5 Conclusion and Knowledge Gaps</w:t>
      </w:r>
    </w:p>
    <w:p w:rsidR="00D16A2B" w:rsidRDefault="00D16A2B" w:rsidP="00F820F1">
      <w:pPr>
        <w:pStyle w:val="NormalWeb"/>
        <w:spacing w:line="276" w:lineRule="auto"/>
      </w:pPr>
      <w:r>
        <w:rPr>
          <w:rStyle w:val="selected"/>
        </w:rPr>
        <w:t xml:space="preserve">The literature firmly establishes that Mobile Money, framed by </w:t>
      </w:r>
      <w:r>
        <w:rPr>
          <w:rStyle w:val="selected"/>
          <w:b/>
          <w:bCs/>
        </w:rPr>
        <w:t>TAM, DOI, and UTAUT</w:t>
      </w:r>
      <w:r>
        <w:rPr>
          <w:rStyle w:val="selected"/>
        </w:rPr>
        <w:t>, delivers essential operational efficiency and market access to Ugandan SMEs. However, this review highlights a critical divergence: while initial value is clear, sustained, profitable use is consistently threatened by systemic barriers—specifically high costs, regulatory instability, and technical complexity.</w:t>
      </w:r>
    </w:p>
    <w:p w:rsidR="00D16A2B" w:rsidRDefault="00D16A2B" w:rsidP="00F820F1">
      <w:pPr>
        <w:pStyle w:val="NormalWeb"/>
        <w:spacing w:line="276" w:lineRule="auto"/>
      </w:pPr>
      <w:r>
        <w:rPr>
          <w:rStyle w:val="selected"/>
        </w:rPr>
        <w:t xml:space="preserve">Existing research effectively identifies </w:t>
      </w:r>
      <w:r>
        <w:rPr>
          <w:rStyle w:val="selected"/>
          <w:i/>
          <w:iCs/>
        </w:rPr>
        <w:t>what</w:t>
      </w:r>
      <w:r>
        <w:rPr>
          <w:rStyle w:val="selected"/>
        </w:rPr>
        <w:t xml:space="preserve"> and </w:t>
      </w:r>
      <w:r>
        <w:rPr>
          <w:rStyle w:val="selected"/>
          <w:i/>
          <w:iCs/>
        </w:rPr>
        <w:t>why</w:t>
      </w:r>
      <w:r>
        <w:rPr>
          <w:rStyle w:val="selected"/>
        </w:rPr>
        <w:t xml:space="preserve"> initial adoption occurs, but a crucial gap remains in the literature regarding the </w:t>
      </w:r>
      <w:r>
        <w:rPr>
          <w:rStyle w:val="selected"/>
          <w:i/>
          <w:iCs/>
        </w:rPr>
        <w:t>how</w:t>
      </w:r>
      <w:r>
        <w:rPr>
          <w:rStyle w:val="selected"/>
        </w:rPr>
        <w:t xml:space="preserve">. There is a paucity of research detailing the </w:t>
      </w:r>
      <w:r>
        <w:rPr>
          <w:rStyle w:val="selected"/>
          <w:b/>
          <w:bCs/>
        </w:rPr>
        <w:t>resilience mechanisms</w:t>
      </w:r>
      <w:r>
        <w:rPr>
          <w:rStyle w:val="selected"/>
        </w:rPr>
        <w:t xml:space="preserve"> and strategic adaptations employed by SMEs in competitive, multi-platform urban environments like </w:t>
      </w:r>
      <w:r>
        <w:rPr>
          <w:rStyle w:val="selected"/>
          <w:b/>
          <w:bCs/>
        </w:rPr>
        <w:t>Kampala</w:t>
      </w:r>
      <w:r>
        <w:rPr>
          <w:rStyle w:val="selected"/>
        </w:rPr>
        <w:t xml:space="preserve"> to successfully navigate these high financial and </w:t>
      </w:r>
      <w:r>
        <w:rPr>
          <w:rStyle w:val="selected"/>
        </w:rPr>
        <w:lastRenderedPageBreak/>
        <w:t xml:space="preserve">technical hurdles, thereby ensuring the </w:t>
      </w:r>
      <w:r>
        <w:rPr>
          <w:rStyle w:val="selected"/>
          <w:b/>
          <w:bCs/>
        </w:rPr>
        <w:t>sustained and profitable utilization</w:t>
      </w:r>
      <w:r>
        <w:rPr>
          <w:rStyle w:val="selected"/>
        </w:rPr>
        <w:t xml:space="preserve"> of Mobile Money beyond mere transactional necessity. This study aims to bridge this gap by examining these localized solutions and behavioral strategies.</w:t>
      </w:r>
    </w:p>
    <w:p w:rsidR="00D16A2B" w:rsidRDefault="00D16A2B" w:rsidP="00F820F1">
      <w:pPr>
        <w:pStyle w:val="Heading2"/>
        <w:spacing w:line="276" w:lineRule="auto"/>
      </w:pPr>
      <w:r>
        <w:rPr>
          <w:rStyle w:val="selected"/>
        </w:rPr>
        <w:t>References</w:t>
      </w:r>
    </w:p>
    <w:p w:rsidR="00D16A2B" w:rsidRDefault="00D16A2B" w:rsidP="00F820F1">
      <w:pPr>
        <w:pStyle w:val="NormalWeb"/>
        <w:spacing w:line="276" w:lineRule="auto"/>
      </w:pPr>
      <w:r>
        <w:rPr>
          <w:rStyle w:val="selected"/>
        </w:rPr>
        <w:t xml:space="preserve">African Journal of Business Management. (2024). </w:t>
      </w:r>
      <w:r>
        <w:rPr>
          <w:rStyle w:val="selected"/>
          <w:i/>
          <w:iCs/>
        </w:rPr>
        <w:t>Sustainability of mobile money agent networks and service quality in East Africa</w:t>
      </w:r>
      <w:r>
        <w:rPr>
          <w:rStyle w:val="selected"/>
        </w:rPr>
        <w:t>. African Journal of Business Management, 18(3), 101-115.</w:t>
      </w:r>
    </w:p>
    <w:p w:rsidR="00D16A2B" w:rsidRDefault="00D16A2B" w:rsidP="00F820F1">
      <w:pPr>
        <w:pStyle w:val="NormalWeb"/>
        <w:spacing w:line="276" w:lineRule="auto"/>
      </w:pPr>
      <w:r>
        <w:rPr>
          <w:rStyle w:val="selected"/>
        </w:rPr>
        <w:t xml:space="preserve">Economic Policy Review. (2025). </w:t>
      </w:r>
      <w:r>
        <w:rPr>
          <w:rStyle w:val="selected"/>
          <w:i/>
          <w:iCs/>
        </w:rPr>
        <w:t>Taxing the digital leap: The effects of Mobile Money levies on small business transaction frequency in Uganda</w:t>
      </w:r>
      <w:r>
        <w:rPr>
          <w:rStyle w:val="selected"/>
        </w:rPr>
        <w:t>. Economic Policy Review, 15(1), 45-62.</w:t>
      </w:r>
    </w:p>
    <w:p w:rsidR="00D16A2B" w:rsidRDefault="00D16A2B" w:rsidP="00F820F1">
      <w:pPr>
        <w:pStyle w:val="NormalWeb"/>
        <w:spacing w:line="276" w:lineRule="auto"/>
      </w:pPr>
      <w:r>
        <w:rPr>
          <w:rStyle w:val="selected"/>
        </w:rPr>
        <w:t xml:space="preserve">Journal of African Economies. (2024). </w:t>
      </w:r>
      <w:r>
        <w:rPr>
          <w:rStyle w:val="selected"/>
          <w:i/>
          <w:iCs/>
        </w:rPr>
        <w:t>Urban financial deepening: M-payment and access to credit for Kampala's SMEs</w:t>
      </w:r>
      <w:r>
        <w:rPr>
          <w:rStyle w:val="selected"/>
        </w:rPr>
        <w:t>. Journal of African Economies, 33(3), 290-315.</w:t>
      </w:r>
    </w:p>
    <w:p w:rsidR="00D16A2B" w:rsidRDefault="00D16A2B" w:rsidP="00F820F1">
      <w:pPr>
        <w:pStyle w:val="NormalWeb"/>
        <w:spacing w:line="276" w:lineRule="auto"/>
      </w:pPr>
      <w:proofErr w:type="spellStart"/>
      <w:r>
        <w:rPr>
          <w:rStyle w:val="selected"/>
        </w:rPr>
        <w:t>Kabuubi</w:t>
      </w:r>
      <w:proofErr w:type="spellEnd"/>
      <w:r>
        <w:rPr>
          <w:rStyle w:val="selected"/>
        </w:rPr>
        <w:t xml:space="preserve">, P., &amp; </w:t>
      </w:r>
      <w:proofErr w:type="spellStart"/>
      <w:r>
        <w:rPr>
          <w:rStyle w:val="selected"/>
        </w:rPr>
        <w:t>Ntende</w:t>
      </w:r>
      <w:proofErr w:type="spellEnd"/>
      <w:r>
        <w:rPr>
          <w:rStyle w:val="selected"/>
        </w:rPr>
        <w:t xml:space="preserve">, M. (2025). </w:t>
      </w:r>
      <w:r>
        <w:rPr>
          <w:rStyle w:val="selected"/>
          <w:i/>
          <w:iCs/>
        </w:rPr>
        <w:t>Trust and perceived risk in the sustained usage of mobile credit services by Ugandan SMEs</w:t>
      </w:r>
      <w:r>
        <w:rPr>
          <w:rStyle w:val="selected"/>
        </w:rPr>
        <w:t>. East African Journal of Business Studies, 9(1), 50-68.</w:t>
      </w:r>
    </w:p>
    <w:p w:rsidR="00D16A2B" w:rsidRDefault="00D16A2B" w:rsidP="00F820F1">
      <w:pPr>
        <w:pStyle w:val="NormalWeb"/>
        <w:spacing w:line="276" w:lineRule="auto"/>
      </w:pPr>
      <w:r>
        <w:rPr>
          <w:rStyle w:val="selected"/>
        </w:rPr>
        <w:t xml:space="preserve">McKinsey &amp; Company. (2024). </w:t>
      </w:r>
      <w:r>
        <w:rPr>
          <w:rStyle w:val="selected"/>
          <w:i/>
          <w:iCs/>
        </w:rPr>
        <w:t>The digital imperative: How SMEs in emerging markets must adapt to stay competitive</w:t>
      </w:r>
      <w:r>
        <w:rPr>
          <w:rStyle w:val="selected"/>
        </w:rPr>
        <w:t>. McKinsey Global Institute Report.</w:t>
      </w:r>
    </w:p>
    <w:p w:rsidR="00D16A2B" w:rsidRDefault="00D16A2B" w:rsidP="00F820F1">
      <w:pPr>
        <w:pStyle w:val="NormalWeb"/>
        <w:spacing w:line="276" w:lineRule="auto"/>
      </w:pPr>
      <w:r>
        <w:rPr>
          <w:rStyle w:val="selected"/>
        </w:rPr>
        <w:t xml:space="preserve">Ochieng, A., &amp; Mutebi, D. (2024). </w:t>
      </w:r>
      <w:r>
        <w:rPr>
          <w:rStyle w:val="selected"/>
          <w:i/>
          <w:iCs/>
        </w:rPr>
        <w:t>The role of perceived usefulness in the decision to adopt mobile money for business transactions in Uganda</w:t>
      </w:r>
      <w:r>
        <w:rPr>
          <w:rStyle w:val="selected"/>
        </w:rPr>
        <w:t>. Journal of Technology Adoption, 22(4), 180-195.</w:t>
      </w:r>
    </w:p>
    <w:p w:rsidR="00D16A2B" w:rsidRDefault="00D16A2B" w:rsidP="00F820F1">
      <w:pPr>
        <w:pStyle w:val="NormalWeb"/>
        <w:spacing w:line="276" w:lineRule="auto"/>
      </w:pPr>
      <w:r>
        <w:rPr>
          <w:rStyle w:val="selected"/>
        </w:rPr>
        <w:t xml:space="preserve">PwC. (2025). </w:t>
      </w:r>
      <w:r>
        <w:rPr>
          <w:rStyle w:val="selected"/>
          <w:i/>
          <w:iCs/>
        </w:rPr>
        <w:t>Global payments report: The shift to cashless 2025-2030 projections</w:t>
      </w:r>
      <w:r>
        <w:rPr>
          <w:rStyle w:val="selected"/>
        </w:rPr>
        <w:t>. PricewaterhouseCoopers Annual Financial Report.</w:t>
      </w:r>
    </w:p>
    <w:p w:rsidR="00D16A2B" w:rsidRDefault="00D16A2B" w:rsidP="00F820F1">
      <w:pPr>
        <w:pStyle w:val="NormalWeb"/>
        <w:spacing w:line="276" w:lineRule="auto"/>
      </w:pPr>
      <w:r>
        <w:rPr>
          <w:rStyle w:val="selected"/>
        </w:rPr>
        <w:t xml:space="preserve">Sharma, R., &amp; Singh, A. (2024). </w:t>
      </w:r>
      <w:r>
        <w:rPr>
          <w:rStyle w:val="selected"/>
          <w:i/>
          <w:iCs/>
        </w:rPr>
        <w:t>Synthesis of technology acceptance models in emerging economy contexts</w:t>
      </w:r>
      <w:r>
        <w:rPr>
          <w:rStyle w:val="selected"/>
        </w:rPr>
        <w:t>. International Journal of Information Systems and Management, 41(2), 205-220.</w:t>
      </w:r>
    </w:p>
    <w:p w:rsidR="00E46ADB" w:rsidRPr="006D341D" w:rsidRDefault="00E46ADB" w:rsidP="004A158D">
      <w:pPr>
        <w:pStyle w:val="NormalWeb"/>
      </w:pPr>
    </w:p>
    <w:sectPr w:rsidR="00E46ADB" w:rsidRPr="006D341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E400DD"/>
    <w:multiLevelType w:val="multilevel"/>
    <w:tmpl w:val="B734D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D76"/>
    <w:rsid w:val="00057169"/>
    <w:rsid w:val="002350BF"/>
    <w:rsid w:val="00292275"/>
    <w:rsid w:val="00292D76"/>
    <w:rsid w:val="002B06FC"/>
    <w:rsid w:val="002D214B"/>
    <w:rsid w:val="003E6096"/>
    <w:rsid w:val="004A158D"/>
    <w:rsid w:val="00545D64"/>
    <w:rsid w:val="005C2F65"/>
    <w:rsid w:val="006310DA"/>
    <w:rsid w:val="006D1B5C"/>
    <w:rsid w:val="006D341D"/>
    <w:rsid w:val="006E2A63"/>
    <w:rsid w:val="006F119B"/>
    <w:rsid w:val="008B13FE"/>
    <w:rsid w:val="009130F5"/>
    <w:rsid w:val="00936DBC"/>
    <w:rsid w:val="00951801"/>
    <w:rsid w:val="00AD405C"/>
    <w:rsid w:val="00C91133"/>
    <w:rsid w:val="00D16A2B"/>
    <w:rsid w:val="00E16D23"/>
    <w:rsid w:val="00E46ADB"/>
    <w:rsid w:val="00E74A1A"/>
    <w:rsid w:val="00F158B3"/>
    <w:rsid w:val="00F820F1"/>
    <w:rsid w:val="00FC7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C5428"/>
  <w15:chartTrackingRefBased/>
  <w15:docId w15:val="{DD551B39-F3C7-4535-B6F1-80B32295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310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310D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D1B5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6310D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310DA"/>
    <w:rPr>
      <w:rFonts w:ascii="Times New Roman" w:eastAsia="Times New Roman" w:hAnsi="Times New Roman" w:cs="Times New Roman"/>
      <w:b/>
      <w:bCs/>
      <w:sz w:val="27"/>
      <w:szCs w:val="27"/>
    </w:rPr>
  </w:style>
  <w:style w:type="character" w:customStyle="1" w:styleId="selected">
    <w:name w:val="selected"/>
    <w:basedOn w:val="DefaultParagraphFont"/>
    <w:rsid w:val="006310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8867871">
      <w:bodyDiv w:val="1"/>
      <w:marLeft w:val="0"/>
      <w:marRight w:val="0"/>
      <w:marTop w:val="0"/>
      <w:marBottom w:val="0"/>
      <w:divBdr>
        <w:top w:val="none" w:sz="0" w:space="0" w:color="auto"/>
        <w:left w:val="none" w:sz="0" w:space="0" w:color="auto"/>
        <w:bottom w:val="none" w:sz="0" w:space="0" w:color="auto"/>
        <w:right w:val="none" w:sz="0" w:space="0" w:color="auto"/>
      </w:divBdr>
    </w:div>
    <w:div w:id="481655834">
      <w:bodyDiv w:val="1"/>
      <w:marLeft w:val="0"/>
      <w:marRight w:val="0"/>
      <w:marTop w:val="0"/>
      <w:marBottom w:val="0"/>
      <w:divBdr>
        <w:top w:val="none" w:sz="0" w:space="0" w:color="auto"/>
        <w:left w:val="none" w:sz="0" w:space="0" w:color="auto"/>
        <w:bottom w:val="none" w:sz="0" w:space="0" w:color="auto"/>
        <w:right w:val="none" w:sz="0" w:space="0" w:color="auto"/>
      </w:divBdr>
    </w:div>
    <w:div w:id="506554864">
      <w:bodyDiv w:val="1"/>
      <w:marLeft w:val="0"/>
      <w:marRight w:val="0"/>
      <w:marTop w:val="0"/>
      <w:marBottom w:val="0"/>
      <w:divBdr>
        <w:top w:val="none" w:sz="0" w:space="0" w:color="auto"/>
        <w:left w:val="none" w:sz="0" w:space="0" w:color="auto"/>
        <w:bottom w:val="none" w:sz="0" w:space="0" w:color="auto"/>
        <w:right w:val="none" w:sz="0" w:space="0" w:color="auto"/>
      </w:divBdr>
    </w:div>
    <w:div w:id="541600934">
      <w:bodyDiv w:val="1"/>
      <w:marLeft w:val="0"/>
      <w:marRight w:val="0"/>
      <w:marTop w:val="0"/>
      <w:marBottom w:val="0"/>
      <w:divBdr>
        <w:top w:val="none" w:sz="0" w:space="0" w:color="auto"/>
        <w:left w:val="none" w:sz="0" w:space="0" w:color="auto"/>
        <w:bottom w:val="none" w:sz="0" w:space="0" w:color="auto"/>
        <w:right w:val="none" w:sz="0" w:space="0" w:color="auto"/>
      </w:divBdr>
    </w:div>
    <w:div w:id="551966910">
      <w:bodyDiv w:val="1"/>
      <w:marLeft w:val="0"/>
      <w:marRight w:val="0"/>
      <w:marTop w:val="0"/>
      <w:marBottom w:val="0"/>
      <w:divBdr>
        <w:top w:val="none" w:sz="0" w:space="0" w:color="auto"/>
        <w:left w:val="none" w:sz="0" w:space="0" w:color="auto"/>
        <w:bottom w:val="none" w:sz="0" w:space="0" w:color="auto"/>
        <w:right w:val="none" w:sz="0" w:space="0" w:color="auto"/>
      </w:divBdr>
    </w:div>
    <w:div w:id="595594081">
      <w:bodyDiv w:val="1"/>
      <w:marLeft w:val="0"/>
      <w:marRight w:val="0"/>
      <w:marTop w:val="0"/>
      <w:marBottom w:val="0"/>
      <w:divBdr>
        <w:top w:val="none" w:sz="0" w:space="0" w:color="auto"/>
        <w:left w:val="none" w:sz="0" w:space="0" w:color="auto"/>
        <w:bottom w:val="none" w:sz="0" w:space="0" w:color="auto"/>
        <w:right w:val="none" w:sz="0" w:space="0" w:color="auto"/>
      </w:divBdr>
    </w:div>
    <w:div w:id="1056778301">
      <w:bodyDiv w:val="1"/>
      <w:marLeft w:val="0"/>
      <w:marRight w:val="0"/>
      <w:marTop w:val="0"/>
      <w:marBottom w:val="0"/>
      <w:divBdr>
        <w:top w:val="none" w:sz="0" w:space="0" w:color="auto"/>
        <w:left w:val="none" w:sz="0" w:space="0" w:color="auto"/>
        <w:bottom w:val="none" w:sz="0" w:space="0" w:color="auto"/>
        <w:right w:val="none" w:sz="0" w:space="0" w:color="auto"/>
      </w:divBdr>
    </w:div>
    <w:div w:id="1262370266">
      <w:bodyDiv w:val="1"/>
      <w:marLeft w:val="0"/>
      <w:marRight w:val="0"/>
      <w:marTop w:val="0"/>
      <w:marBottom w:val="0"/>
      <w:divBdr>
        <w:top w:val="none" w:sz="0" w:space="0" w:color="auto"/>
        <w:left w:val="none" w:sz="0" w:space="0" w:color="auto"/>
        <w:bottom w:val="none" w:sz="0" w:space="0" w:color="auto"/>
        <w:right w:val="none" w:sz="0" w:space="0" w:color="auto"/>
      </w:divBdr>
    </w:div>
    <w:div w:id="1513757546">
      <w:bodyDiv w:val="1"/>
      <w:marLeft w:val="0"/>
      <w:marRight w:val="0"/>
      <w:marTop w:val="0"/>
      <w:marBottom w:val="0"/>
      <w:divBdr>
        <w:top w:val="none" w:sz="0" w:space="0" w:color="auto"/>
        <w:left w:val="none" w:sz="0" w:space="0" w:color="auto"/>
        <w:bottom w:val="none" w:sz="0" w:space="0" w:color="auto"/>
        <w:right w:val="none" w:sz="0" w:space="0" w:color="auto"/>
      </w:divBdr>
    </w:div>
    <w:div w:id="1794247402">
      <w:bodyDiv w:val="1"/>
      <w:marLeft w:val="0"/>
      <w:marRight w:val="0"/>
      <w:marTop w:val="0"/>
      <w:marBottom w:val="0"/>
      <w:divBdr>
        <w:top w:val="none" w:sz="0" w:space="0" w:color="auto"/>
        <w:left w:val="none" w:sz="0" w:space="0" w:color="auto"/>
        <w:bottom w:val="none" w:sz="0" w:space="0" w:color="auto"/>
        <w:right w:val="none" w:sz="0" w:space="0" w:color="auto"/>
      </w:divBdr>
    </w:div>
    <w:div w:id="2061980711">
      <w:bodyDiv w:val="1"/>
      <w:marLeft w:val="0"/>
      <w:marRight w:val="0"/>
      <w:marTop w:val="0"/>
      <w:marBottom w:val="0"/>
      <w:divBdr>
        <w:top w:val="none" w:sz="0" w:space="0" w:color="auto"/>
        <w:left w:val="none" w:sz="0" w:space="0" w:color="auto"/>
        <w:bottom w:val="none" w:sz="0" w:space="0" w:color="auto"/>
        <w:right w:val="none" w:sz="0" w:space="0" w:color="auto"/>
      </w:divBdr>
    </w:div>
    <w:div w:id="2118475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1151</TotalTime>
  <Pages>4</Pages>
  <Words>1379</Words>
  <Characters>7861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c:creator>
  <cp:keywords/>
  <dc:description/>
  <cp:lastModifiedBy>AA</cp:lastModifiedBy>
  <cp:revision>8</cp:revision>
  <dcterms:created xsi:type="dcterms:W3CDTF">2025-10-02T03:20:00Z</dcterms:created>
  <dcterms:modified xsi:type="dcterms:W3CDTF">2025-10-03T18:34:00Z</dcterms:modified>
</cp:coreProperties>
</file>