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5BA0F8">
      <w:pPr>
        <w:pStyle w:val="36"/>
      </w:pPr>
      <w:r>
        <w:t>Marketing campaign analytics: project workflow</w:t>
      </w:r>
    </w:p>
    <w:p w14:paraId="600C9ECE">
      <w:r>
        <w:t xml:space="preserve">This document explains how the supplied customer CSV becomes the notebook analysis, SQL database, dashboard, and business report. Run commands from the project root, where </w:t>
      </w:r>
      <w:r>
        <w:rPr>
          <w:rFonts w:ascii="Consolas" w:hAnsi="Consolas"/>
          <w:color w:val="265DAB"/>
          <w:sz w:val="17"/>
        </w:rPr>
        <w:t>app.py</w:t>
      </w:r>
      <w:r>
        <w:t xml:space="preserve"> and </w:t>
      </w:r>
      <w:r>
        <w:rPr>
          <w:rFonts w:ascii="Consolas" w:hAnsi="Consolas"/>
          <w:color w:val="265DAB"/>
          <w:sz w:val="17"/>
        </w:rPr>
        <w:t>requirements.txt</w:t>
      </w:r>
      <w:r>
        <w:t xml:space="preserve"> are located.</w:t>
      </w:r>
    </w:p>
    <w:p w14:paraId="2E61982A">
      <w:pPr>
        <w:pStyle w:val="2"/>
      </w:pPr>
      <w:r>
        <w:t>1. Data flow</w:t>
      </w:r>
    </w:p>
    <w:p w14:paraId="2BCB8C2C">
      <w:bookmarkStart w:id="0" w:name="_GoBack"/>
      <w:r>
        <w:drawing>
          <wp:inline distT="0" distB="0" distL="114300" distR="114300">
            <wp:extent cx="6309360" cy="3082925"/>
            <wp:effectExtent l="0" t="0" r="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309360" cy="3083335"/>
                    </a:xfrm>
                    <a:prstGeom prst="rect">
                      <a:avLst/>
                    </a:prstGeom>
                  </pic:spPr>
                </pic:pic>
              </a:graphicData>
            </a:graphic>
          </wp:inline>
        </w:drawing>
      </w:r>
      <w:bookmarkEnd w:id="0"/>
    </w:p>
    <w:p w14:paraId="6EBB10F6">
      <w:pPr>
        <w:pStyle w:val="16"/>
      </w:pPr>
      <w:r>
        <w:t>Figure 1. From source data to analysis deliverables</w:t>
      </w:r>
    </w:p>
    <w:p w14:paraId="0F4093B5">
      <w:r>
        <w:t xml:space="preserve">The dashboard reads the cleaned CSV. If that file is absent, it runs </w:t>
      </w:r>
      <w:r>
        <w:rPr>
          <w:rFonts w:ascii="Consolas" w:hAnsi="Consolas"/>
          <w:color w:val="265DAB"/>
          <w:sz w:val="17"/>
        </w:rPr>
        <w:t>load_and_clean()</w:t>
      </w:r>
      <w:r>
        <w:t xml:space="preserve"> directly against the raw CSV. The notebook also calls the same cleaning function, so its feature rules match the dashboard and database.</w:t>
      </w:r>
    </w:p>
    <w:p w14:paraId="1EFF8E23">
      <w:pPr>
        <w:pStyle w:val="2"/>
      </w:pPr>
      <w:r>
        <w:t>2. Set up the environment</w:t>
      </w:r>
    </w:p>
    <w:p w14:paraId="4D62A50F">
      <w:r>
        <w:t>Use Python 3.10 or newer. On Windows PowerShell:</w:t>
      </w:r>
    </w:p>
    <w:p w14:paraId="1223C240">
      <w:pPr>
        <w:shd w:val="clear" w:fill="F1F5FA"/>
        <w:spacing w:after="160"/>
        <w:ind w:left="245" w:right="173"/>
      </w:pPr>
      <w:r>
        <w:rPr>
          <w:rFonts w:ascii="Consolas" w:hAnsi="Consolas"/>
          <w:color w:val="182433"/>
          <w:sz w:val="16"/>
        </w:rPr>
        <w:t>python -m venv .venv</w:t>
      </w:r>
      <w:r>
        <w:rPr>
          <w:rFonts w:ascii="Consolas" w:hAnsi="Consolas"/>
          <w:color w:val="182433"/>
          <w:sz w:val="16"/>
        </w:rPr>
        <w:br w:type="textWrapping"/>
      </w:r>
      <w:r>
        <w:rPr>
          <w:rFonts w:ascii="Consolas" w:hAnsi="Consolas"/>
          <w:color w:val="182433"/>
          <w:sz w:val="16"/>
        </w:rPr>
        <w:t>.\.venv\Scripts\Activate.ps1</w:t>
      </w:r>
      <w:r>
        <w:rPr>
          <w:rFonts w:ascii="Consolas" w:hAnsi="Consolas"/>
          <w:color w:val="182433"/>
          <w:sz w:val="16"/>
        </w:rPr>
        <w:br w:type="textWrapping"/>
      </w:r>
      <w:r>
        <w:rPr>
          <w:rFonts w:ascii="Consolas" w:hAnsi="Consolas"/>
          <w:color w:val="182433"/>
          <w:sz w:val="16"/>
        </w:rPr>
        <w:t>python -m pip install -r requirements.txt</w:t>
      </w:r>
    </w:p>
    <w:p w14:paraId="0710D92B">
      <w:r>
        <w:t xml:space="preserve">On macOS or Linux, activate with </w:t>
      </w:r>
      <w:r>
        <w:rPr>
          <w:rFonts w:ascii="Consolas" w:hAnsi="Consolas"/>
          <w:color w:val="265DAB"/>
          <w:sz w:val="17"/>
        </w:rPr>
        <w:t>source .venv/bin/activate</w:t>
      </w:r>
      <w:r>
        <w:t xml:space="preserve">. The required libraries are listed in </w:t>
      </w:r>
      <w:r>
        <w:rPr>
          <w:rFonts w:ascii="Consolas" w:hAnsi="Consolas"/>
          <w:color w:val="265DAB"/>
          <w:sz w:val="17"/>
        </w:rPr>
        <w:t>requirements.txt</w:t>
      </w:r>
      <w:r>
        <w:t xml:space="preserve">. If your IDE runs </w:t>
      </w:r>
      <w:r>
        <w:rPr>
          <w:rFonts w:ascii="Consolas" w:hAnsi="Consolas"/>
          <w:color w:val="265DAB"/>
          <w:sz w:val="17"/>
        </w:rPr>
        <w:t>app.py</w:t>
      </w:r>
      <w:r>
        <w:t xml:space="preserve"> as a normal Python script, use the Streamlit command in step 6 instead.</w:t>
      </w:r>
    </w:p>
    <w:p w14:paraId="34499BB3">
      <w:pPr>
        <w:pStyle w:val="2"/>
      </w:pPr>
      <w:r>
        <w:t>3. Inspect and clean the source</w:t>
      </w:r>
    </w:p>
    <w:p w14:paraId="25025965">
      <w:r>
        <w:rPr>
          <w:b/>
        </w:rPr>
        <w:t>Inputs:</w:t>
      </w:r>
      <w:r>
        <w:t xml:space="preserve"> </w:t>
      </w:r>
      <w:r>
        <w:rPr>
          <w:rFonts w:ascii="Consolas" w:hAnsi="Consolas"/>
          <w:color w:val="265DAB"/>
          <w:sz w:val="17"/>
        </w:rPr>
        <w:t>marketing_campaign_data.csv</w:t>
      </w:r>
      <w:r>
        <w:t xml:space="preserve"> and </w:t>
      </w:r>
      <w:r>
        <w:rPr>
          <w:rFonts w:ascii="Consolas" w:hAnsi="Consolas"/>
          <w:color w:val="265DAB"/>
          <w:sz w:val="17"/>
        </w:rPr>
        <w:t>marketing_data_dictionary.csv</w:t>
      </w:r>
      <w:r>
        <w:t>.</w:t>
      </w:r>
    </w:p>
    <w:p w14:paraId="57280034">
      <w:r>
        <w:rPr>
          <w:rFonts w:ascii="Consolas" w:hAnsi="Consolas"/>
          <w:color w:val="265DAB"/>
          <w:sz w:val="17"/>
        </w:rPr>
        <w:t>src/marketing.py</w:t>
      </w:r>
      <w:r>
        <w:t xml:space="preserve"> checks required columns, removes duplicate IDs, parses </w:t>
      </w:r>
      <w:r>
        <w:rPr>
          <w:rFonts w:ascii="Consolas" w:hAnsi="Consolas"/>
          <w:color w:val="265DAB"/>
          <w:sz w:val="17"/>
        </w:rPr>
        <w:t>Dt_Customer</w:t>
      </w:r>
      <w:r>
        <w:t xml:space="preserve">, validates numeric and binary fields, and checks ages. Rows with unknown spend, purchase, or campaign values are excluded because an unknown value should not be counted as zero. Missing income, if a future file contains it, is imputed with a country median and then the overall median; an </w:t>
      </w:r>
      <w:r>
        <w:rPr>
          <w:rFonts w:ascii="Consolas" w:hAnsi="Consolas"/>
          <w:color w:val="265DAB"/>
          <w:sz w:val="17"/>
        </w:rPr>
        <w:t>Income_Imputed</w:t>
      </w:r>
      <w:r>
        <w:t xml:space="preserve"> flag records this. Unusually high income is retained with an </w:t>
      </w:r>
      <w:r>
        <w:rPr>
          <w:rFonts w:ascii="Consolas" w:hAnsi="Consolas"/>
          <w:color w:val="265DAB"/>
          <w:sz w:val="17"/>
        </w:rPr>
        <w:t>Income_Outlier</w:t>
      </w:r>
      <w:r>
        <w:t xml:space="preserve"> flag.</w:t>
      </w:r>
    </w:p>
    <w:p w14:paraId="1157E513">
      <w:r>
        <w:t xml:space="preserve">The age and customer tenure reference date is the </w:t>
      </w:r>
      <w:r>
        <w:rPr>
          <w:b/>
        </w:rPr>
        <w:t>latest enrollment date in the file (2014-06-29)</w:t>
      </w:r>
      <w:r>
        <w:t xml:space="preserve">. This keeps results stable when the project is rerun in a later year. The source dictionary does not identify a currency, so all monetary results use </w:t>
      </w:r>
      <w:r>
        <w:rPr>
          <w:b/>
        </w:rPr>
        <w:t>source units</w:t>
      </w:r>
      <w:r>
        <w:t>.</w:t>
      </w:r>
    </w:p>
    <w:p w14:paraId="198BB50D">
      <w:r>
        <w:t>The pipeline then calculates: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5D426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265DAB"/>
            <w:vAlign w:val="center"/>
          </w:tcPr>
          <w:p w14:paraId="6CC450A0">
            <w:pPr>
              <w:spacing w:after="0" w:line="240" w:lineRule="auto"/>
            </w:pPr>
            <w:r>
              <w:rPr>
                <w:b/>
                <w:color w:val="FFFFFF"/>
                <w:sz w:val="16"/>
              </w:rPr>
              <w:t>Feature</w:t>
            </w:r>
          </w:p>
        </w:tc>
        <w:tc>
          <w:tcPr>
            <w:tcW w:w="5083" w:type="dxa"/>
            <w:shd w:val="clear" w:color="auto" w:fill="265DAB"/>
            <w:vAlign w:val="center"/>
          </w:tcPr>
          <w:p w14:paraId="447D8D70">
            <w:pPr>
              <w:spacing w:after="0" w:line="240" w:lineRule="auto"/>
            </w:pPr>
            <w:r>
              <w:rPr>
                <w:b/>
                <w:color w:val="FFFFFF"/>
                <w:sz w:val="16"/>
              </w:rPr>
              <w:t>Rule</w:t>
            </w:r>
          </w:p>
        </w:tc>
      </w:tr>
      <w:tr w14:paraId="6658A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center"/>
          </w:tcPr>
          <w:p w14:paraId="37A5BD10">
            <w:pPr>
              <w:spacing w:after="0" w:line="240" w:lineRule="auto"/>
            </w:pPr>
            <w:r>
              <w:rPr>
                <w:rFonts w:ascii="Consolas" w:hAnsi="Consolas"/>
                <w:color w:val="265DAB"/>
                <w:sz w:val="16"/>
              </w:rPr>
              <w:t>Age</w:t>
            </w:r>
          </w:p>
        </w:tc>
        <w:tc>
          <w:tcPr>
            <w:tcW w:w="5083" w:type="dxa"/>
            <w:vAlign w:val="center"/>
          </w:tcPr>
          <w:p w14:paraId="3765E2BC">
            <w:pPr>
              <w:spacing w:after="0" w:line="240" w:lineRule="auto"/>
            </w:pPr>
            <w:r>
              <w:rPr>
                <w:sz w:val="16"/>
              </w:rPr>
              <w:t xml:space="preserve">Reference year minus </w:t>
            </w:r>
            <w:r>
              <w:rPr>
                <w:rFonts w:ascii="Consolas" w:hAnsi="Consolas"/>
                <w:color w:val="265DAB"/>
                <w:sz w:val="16"/>
              </w:rPr>
              <w:t>Year_Birth</w:t>
            </w:r>
          </w:p>
        </w:tc>
      </w:tr>
      <w:tr w14:paraId="4E7BC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F1F5FA"/>
            <w:vAlign w:val="center"/>
          </w:tcPr>
          <w:p w14:paraId="59159102">
            <w:pPr>
              <w:spacing w:after="0" w:line="240" w:lineRule="auto"/>
            </w:pPr>
            <w:r>
              <w:rPr>
                <w:rFonts w:ascii="Consolas" w:hAnsi="Consolas"/>
                <w:color w:val="265DAB"/>
                <w:sz w:val="16"/>
              </w:rPr>
              <w:t>Customer_Tenure_Days</w:t>
            </w:r>
          </w:p>
        </w:tc>
        <w:tc>
          <w:tcPr>
            <w:tcW w:w="5083" w:type="dxa"/>
            <w:shd w:val="clear" w:color="auto" w:fill="F1F5FA"/>
            <w:vAlign w:val="center"/>
          </w:tcPr>
          <w:p w14:paraId="5C957047">
            <w:pPr>
              <w:spacing w:after="0" w:line="240" w:lineRule="auto"/>
            </w:pPr>
            <w:r>
              <w:rPr>
                <w:sz w:val="16"/>
              </w:rPr>
              <w:t xml:space="preserve">Reference date minus </w:t>
            </w:r>
            <w:r>
              <w:rPr>
                <w:rFonts w:ascii="Consolas" w:hAnsi="Consolas"/>
                <w:color w:val="265DAB"/>
                <w:sz w:val="16"/>
              </w:rPr>
              <w:t>Dt_Customer</w:t>
            </w:r>
          </w:p>
        </w:tc>
      </w:tr>
      <w:tr w14:paraId="25649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center"/>
          </w:tcPr>
          <w:p w14:paraId="53B67A01">
            <w:pPr>
              <w:spacing w:after="0" w:line="240" w:lineRule="auto"/>
            </w:pPr>
            <w:r>
              <w:rPr>
                <w:rFonts w:ascii="Consolas" w:hAnsi="Consolas"/>
                <w:color w:val="265DAB"/>
                <w:sz w:val="16"/>
              </w:rPr>
              <w:t>Children</w:t>
            </w:r>
          </w:p>
        </w:tc>
        <w:tc>
          <w:tcPr>
            <w:tcW w:w="5083" w:type="dxa"/>
            <w:vAlign w:val="center"/>
          </w:tcPr>
          <w:p w14:paraId="05F396FB">
            <w:pPr>
              <w:spacing w:after="0" w:line="240" w:lineRule="auto"/>
            </w:pPr>
            <w:r>
              <w:rPr>
                <w:rFonts w:ascii="Consolas" w:hAnsi="Consolas"/>
                <w:color w:val="265DAB"/>
                <w:sz w:val="16"/>
              </w:rPr>
              <w:t>Kidhome + Teenhome</w:t>
            </w:r>
          </w:p>
        </w:tc>
      </w:tr>
      <w:tr w14:paraId="1259E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F1F5FA"/>
            <w:vAlign w:val="center"/>
          </w:tcPr>
          <w:p w14:paraId="69AD770D">
            <w:pPr>
              <w:spacing w:after="0" w:line="240" w:lineRule="auto"/>
            </w:pPr>
            <w:r>
              <w:rPr>
                <w:rFonts w:ascii="Consolas" w:hAnsi="Consolas"/>
                <w:color w:val="265DAB"/>
                <w:sz w:val="16"/>
              </w:rPr>
              <w:t>Total_Spend</w:t>
            </w:r>
          </w:p>
        </w:tc>
        <w:tc>
          <w:tcPr>
            <w:tcW w:w="5083" w:type="dxa"/>
            <w:shd w:val="clear" w:color="auto" w:fill="F1F5FA"/>
            <w:vAlign w:val="center"/>
          </w:tcPr>
          <w:p w14:paraId="25B33612">
            <w:pPr>
              <w:spacing w:after="0" w:line="240" w:lineRule="auto"/>
            </w:pPr>
            <w:r>
              <w:rPr>
                <w:sz w:val="16"/>
              </w:rPr>
              <w:t>Sum of the six product spending columns</w:t>
            </w:r>
          </w:p>
        </w:tc>
      </w:tr>
      <w:tr w14:paraId="7312F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center"/>
          </w:tcPr>
          <w:p w14:paraId="1CEE9724">
            <w:pPr>
              <w:spacing w:after="0" w:line="240" w:lineRule="auto"/>
            </w:pPr>
            <w:r>
              <w:rPr>
                <w:rFonts w:ascii="Consolas" w:hAnsi="Consolas"/>
                <w:color w:val="265DAB"/>
                <w:sz w:val="16"/>
              </w:rPr>
              <w:t>Total_Purchases</w:t>
            </w:r>
          </w:p>
        </w:tc>
        <w:tc>
          <w:tcPr>
            <w:tcW w:w="5083" w:type="dxa"/>
            <w:vAlign w:val="center"/>
          </w:tcPr>
          <w:p w14:paraId="5A555CC3">
            <w:pPr>
              <w:spacing w:after="0" w:line="240" w:lineRule="auto"/>
            </w:pPr>
            <w:r>
              <w:rPr>
                <w:sz w:val="16"/>
              </w:rPr>
              <w:t>Web + catalog + store purchases</w:t>
            </w:r>
          </w:p>
        </w:tc>
      </w:tr>
      <w:tr w14:paraId="55737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F1F5FA"/>
            <w:vAlign w:val="center"/>
          </w:tcPr>
          <w:p w14:paraId="3ECDB93D">
            <w:pPr>
              <w:spacing w:after="0" w:line="240" w:lineRule="auto"/>
            </w:pPr>
            <w:r>
              <w:rPr>
                <w:rFonts w:ascii="Consolas" w:hAnsi="Consolas"/>
                <w:color w:val="265DAB"/>
                <w:sz w:val="16"/>
              </w:rPr>
              <w:t>Campaign_Acceptances</w:t>
            </w:r>
          </w:p>
        </w:tc>
        <w:tc>
          <w:tcPr>
            <w:tcW w:w="5083" w:type="dxa"/>
            <w:shd w:val="clear" w:color="auto" w:fill="F1F5FA"/>
            <w:vAlign w:val="center"/>
          </w:tcPr>
          <w:p w14:paraId="6E9407AE">
            <w:pPr>
              <w:spacing w:after="0" w:line="240" w:lineRule="auto"/>
            </w:pPr>
            <w:r>
              <w:rPr>
                <w:sz w:val="16"/>
              </w:rPr>
              <w:t xml:space="preserve">Sum of Campaigns 1–5 and latest </w:t>
            </w:r>
            <w:r>
              <w:rPr>
                <w:rFonts w:ascii="Consolas" w:hAnsi="Consolas"/>
                <w:color w:val="265DAB"/>
                <w:sz w:val="16"/>
              </w:rPr>
              <w:t>Response</w:t>
            </w:r>
          </w:p>
        </w:tc>
      </w:tr>
      <w:tr w14:paraId="7EE22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center"/>
          </w:tcPr>
          <w:p w14:paraId="4E73C48D">
            <w:pPr>
              <w:spacing w:after="0" w:line="240" w:lineRule="auto"/>
            </w:pPr>
            <w:r>
              <w:rPr>
                <w:rFonts w:ascii="Consolas" w:hAnsi="Consolas"/>
                <w:color w:val="265DAB"/>
                <w:sz w:val="16"/>
              </w:rPr>
              <w:t>Any_Campaign_Response</w:t>
            </w:r>
          </w:p>
        </w:tc>
        <w:tc>
          <w:tcPr>
            <w:tcW w:w="5083" w:type="dxa"/>
            <w:vAlign w:val="center"/>
          </w:tcPr>
          <w:p w14:paraId="583A570B">
            <w:pPr>
              <w:spacing w:after="0" w:line="240" w:lineRule="auto"/>
            </w:pPr>
            <w:r>
              <w:rPr>
                <w:sz w:val="16"/>
              </w:rPr>
              <w:t>1 if at least one campaign was accepted</w:t>
            </w:r>
          </w:p>
        </w:tc>
      </w:tr>
      <w:tr w14:paraId="4C3A2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F1F5FA"/>
            <w:vAlign w:val="center"/>
          </w:tcPr>
          <w:p w14:paraId="3EC80D3C">
            <w:pPr>
              <w:spacing w:after="0" w:line="240" w:lineRule="auto"/>
            </w:pPr>
            <w:r>
              <w:rPr>
                <w:rFonts w:ascii="Consolas" w:hAnsi="Consolas"/>
                <w:color w:val="265DAB"/>
                <w:sz w:val="16"/>
              </w:rPr>
              <w:t>Age_Band</w:t>
            </w:r>
            <w:r>
              <w:rPr>
                <w:sz w:val="16"/>
              </w:rPr>
              <w:t xml:space="preserve">, </w:t>
            </w:r>
            <w:r>
              <w:rPr>
                <w:rFonts w:ascii="Consolas" w:hAnsi="Consolas"/>
                <w:color w:val="265DAB"/>
                <w:sz w:val="16"/>
              </w:rPr>
              <w:t>Income_Band</w:t>
            </w:r>
          </w:p>
        </w:tc>
        <w:tc>
          <w:tcPr>
            <w:tcW w:w="5083" w:type="dxa"/>
            <w:shd w:val="clear" w:color="auto" w:fill="F1F5FA"/>
            <w:vAlign w:val="center"/>
          </w:tcPr>
          <w:p w14:paraId="296C3AA0">
            <w:pPr>
              <w:spacing w:after="0" w:line="240" w:lineRule="auto"/>
            </w:pPr>
            <w:r>
              <w:rPr>
                <w:sz w:val="16"/>
              </w:rPr>
              <w:t>Fixed bands for dashboard and SQL comparisons</w:t>
            </w:r>
          </w:p>
        </w:tc>
      </w:tr>
    </w:tbl>
    <w:p w14:paraId="5B8ACC2D"/>
    <w:p w14:paraId="756F4767">
      <w:r>
        <w:rPr>
          <w:rFonts w:ascii="Consolas" w:hAnsi="Consolas"/>
          <w:color w:val="265DAB"/>
          <w:sz w:val="17"/>
        </w:rPr>
        <w:t>NumDealsPurchases</w:t>
      </w:r>
      <w:r>
        <w:t xml:space="preserve"> is a count of discounted purchases, not a separate purchase channel; it is not added to </w:t>
      </w:r>
      <w:r>
        <w:rPr>
          <w:rFonts w:ascii="Consolas" w:hAnsi="Consolas"/>
          <w:color w:val="265DAB"/>
          <w:sz w:val="17"/>
        </w:rPr>
        <w:t>Total_Purchases</w:t>
      </w:r>
      <w:r>
        <w:t>.</w:t>
      </w:r>
    </w:p>
    <w:p w14:paraId="6AC9EF96">
      <w:pPr>
        <w:pStyle w:val="2"/>
      </w:pPr>
      <w:r>
        <w:t>4. Apply business segments</w:t>
      </w:r>
    </w:p>
    <w:p w14:paraId="1A0EAD4A">
      <w:r>
        <w:t>The same cleaned table contains the six segments requested by the assignment: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21B71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265DAB"/>
            <w:vAlign w:val="center"/>
          </w:tcPr>
          <w:p w14:paraId="550ED277">
            <w:pPr>
              <w:spacing w:after="0" w:line="240" w:lineRule="auto"/>
            </w:pPr>
            <w:r>
              <w:rPr>
                <w:b/>
                <w:color w:val="FFFFFF"/>
                <w:sz w:val="16"/>
              </w:rPr>
              <w:t>Segment flag</w:t>
            </w:r>
          </w:p>
        </w:tc>
        <w:tc>
          <w:tcPr>
            <w:tcW w:w="5083" w:type="dxa"/>
            <w:shd w:val="clear" w:color="auto" w:fill="265DAB"/>
            <w:vAlign w:val="center"/>
          </w:tcPr>
          <w:p w14:paraId="406A5198">
            <w:pPr>
              <w:spacing w:after="0" w:line="240" w:lineRule="auto"/>
            </w:pPr>
            <w:r>
              <w:rPr>
                <w:b/>
                <w:color w:val="FFFFFF"/>
                <w:sz w:val="16"/>
              </w:rPr>
              <w:t>Membership rule</w:t>
            </w:r>
          </w:p>
        </w:tc>
      </w:tr>
      <w:tr w14:paraId="35A4B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center"/>
          </w:tcPr>
          <w:p w14:paraId="53582EB6">
            <w:pPr>
              <w:spacing w:after="0" w:line="240" w:lineRule="auto"/>
            </w:pPr>
            <w:r>
              <w:rPr>
                <w:rFonts w:ascii="Consolas" w:hAnsi="Consolas"/>
                <w:color w:val="265DAB"/>
                <w:sz w:val="16"/>
              </w:rPr>
              <w:t>High_Income</w:t>
            </w:r>
          </w:p>
        </w:tc>
        <w:tc>
          <w:tcPr>
            <w:tcW w:w="5083" w:type="dxa"/>
            <w:vAlign w:val="center"/>
          </w:tcPr>
          <w:p w14:paraId="4D0A8AAE">
            <w:pPr>
              <w:spacing w:after="0" w:line="240" w:lineRule="auto"/>
            </w:pPr>
            <w:r>
              <w:rPr>
                <w:rFonts w:ascii="Consolas" w:hAnsi="Consolas"/>
                <w:color w:val="265DAB"/>
                <w:sz w:val="16"/>
              </w:rPr>
              <w:t>Income &gt; 75000</w:t>
            </w:r>
          </w:p>
        </w:tc>
      </w:tr>
      <w:tr w14:paraId="71D9B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F1F5FA"/>
            <w:vAlign w:val="center"/>
          </w:tcPr>
          <w:p w14:paraId="247C0D64">
            <w:pPr>
              <w:spacing w:after="0" w:line="240" w:lineRule="auto"/>
            </w:pPr>
            <w:r>
              <w:rPr>
                <w:rFonts w:ascii="Consolas" w:hAnsi="Consolas"/>
                <w:color w:val="265DAB"/>
                <w:sz w:val="16"/>
              </w:rPr>
              <w:t>Young_Customer</w:t>
            </w:r>
          </w:p>
        </w:tc>
        <w:tc>
          <w:tcPr>
            <w:tcW w:w="5083" w:type="dxa"/>
            <w:shd w:val="clear" w:color="auto" w:fill="F1F5FA"/>
            <w:vAlign w:val="center"/>
          </w:tcPr>
          <w:p w14:paraId="2D57D313">
            <w:pPr>
              <w:spacing w:after="0" w:line="240" w:lineRule="auto"/>
            </w:pPr>
            <w:r>
              <w:rPr>
                <w:rFonts w:ascii="Consolas" w:hAnsi="Consolas"/>
                <w:color w:val="265DAB"/>
                <w:sz w:val="16"/>
              </w:rPr>
              <w:t>Age &lt; 30</w:t>
            </w:r>
          </w:p>
        </w:tc>
      </w:tr>
      <w:tr w14:paraId="3C401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center"/>
          </w:tcPr>
          <w:p w14:paraId="629B72DA">
            <w:pPr>
              <w:spacing w:after="0" w:line="240" w:lineRule="auto"/>
            </w:pPr>
            <w:r>
              <w:rPr>
                <w:rFonts w:ascii="Consolas" w:hAnsi="Consolas"/>
                <w:color w:val="265DAB"/>
                <w:sz w:val="16"/>
              </w:rPr>
              <w:t>Campaign_Responder</w:t>
            </w:r>
          </w:p>
        </w:tc>
        <w:tc>
          <w:tcPr>
            <w:tcW w:w="5083" w:type="dxa"/>
            <w:vAlign w:val="center"/>
          </w:tcPr>
          <w:p w14:paraId="374C576E">
            <w:pPr>
              <w:spacing w:after="0" w:line="240" w:lineRule="auto"/>
            </w:pPr>
            <w:r>
              <w:rPr>
                <w:sz w:val="16"/>
              </w:rPr>
              <w:t xml:space="preserve">Latest </w:t>
            </w:r>
            <w:r>
              <w:rPr>
                <w:rFonts w:ascii="Consolas" w:hAnsi="Consolas"/>
                <w:color w:val="265DAB"/>
                <w:sz w:val="16"/>
              </w:rPr>
              <w:t>Response = 1</w:t>
            </w:r>
          </w:p>
        </w:tc>
      </w:tr>
      <w:tr w14:paraId="5DBFE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F1F5FA"/>
            <w:vAlign w:val="center"/>
          </w:tcPr>
          <w:p w14:paraId="699C1933">
            <w:pPr>
              <w:spacing w:after="0" w:line="240" w:lineRule="auto"/>
            </w:pPr>
            <w:r>
              <w:rPr>
                <w:rFonts w:ascii="Consolas" w:hAnsi="Consolas"/>
                <w:color w:val="265DAB"/>
                <w:sz w:val="16"/>
              </w:rPr>
              <w:t>High_Web_Engagement</w:t>
            </w:r>
          </w:p>
        </w:tc>
        <w:tc>
          <w:tcPr>
            <w:tcW w:w="5083" w:type="dxa"/>
            <w:shd w:val="clear" w:color="auto" w:fill="F1F5FA"/>
            <w:vAlign w:val="center"/>
          </w:tcPr>
          <w:p w14:paraId="5842E36D">
            <w:pPr>
              <w:spacing w:after="0" w:line="240" w:lineRule="auto"/>
            </w:pPr>
            <w:r>
              <w:rPr>
                <w:rFonts w:ascii="Consolas" w:hAnsi="Consolas"/>
                <w:color w:val="265DAB"/>
                <w:sz w:val="16"/>
              </w:rPr>
              <w:t>NumWebVisitsMonth &gt; 5</w:t>
            </w:r>
          </w:p>
        </w:tc>
      </w:tr>
      <w:tr w14:paraId="42C29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center"/>
          </w:tcPr>
          <w:p w14:paraId="14876A07">
            <w:pPr>
              <w:spacing w:after="0" w:line="240" w:lineRule="auto"/>
            </w:pPr>
            <w:r>
              <w:rPr>
                <w:rFonts w:ascii="Consolas" w:hAnsi="Consolas"/>
                <w:color w:val="265DAB"/>
                <w:sz w:val="16"/>
              </w:rPr>
              <w:t>Family_Customer</w:t>
            </w:r>
          </w:p>
        </w:tc>
        <w:tc>
          <w:tcPr>
            <w:tcW w:w="5083" w:type="dxa"/>
            <w:vAlign w:val="center"/>
          </w:tcPr>
          <w:p w14:paraId="0542C578">
            <w:pPr>
              <w:spacing w:after="0" w:line="240" w:lineRule="auto"/>
            </w:pPr>
            <w:r>
              <w:rPr>
                <w:rFonts w:ascii="Consolas" w:hAnsi="Consolas"/>
                <w:color w:val="265DAB"/>
                <w:sz w:val="16"/>
              </w:rPr>
              <w:t>Children &gt; 0</w:t>
            </w:r>
          </w:p>
        </w:tc>
      </w:tr>
      <w:tr w14:paraId="1AA6E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F1F5FA"/>
            <w:vAlign w:val="center"/>
          </w:tcPr>
          <w:p w14:paraId="75C0174C">
            <w:pPr>
              <w:spacing w:after="0" w:line="240" w:lineRule="auto"/>
            </w:pPr>
            <w:r>
              <w:rPr>
                <w:rFonts w:ascii="Consolas" w:hAnsi="Consolas"/>
                <w:color w:val="265DAB"/>
                <w:sz w:val="16"/>
              </w:rPr>
              <w:t>High_Spender</w:t>
            </w:r>
          </w:p>
        </w:tc>
        <w:tc>
          <w:tcPr>
            <w:tcW w:w="5083" w:type="dxa"/>
            <w:shd w:val="clear" w:color="auto" w:fill="F1F5FA"/>
            <w:vAlign w:val="center"/>
          </w:tcPr>
          <w:p w14:paraId="4576C19C">
            <w:pPr>
              <w:spacing w:after="0" w:line="240" w:lineRule="auto"/>
            </w:pPr>
            <w:r>
              <w:rPr>
                <w:rFonts w:ascii="Consolas" w:hAnsi="Consolas"/>
                <w:color w:val="265DAB"/>
                <w:sz w:val="16"/>
              </w:rPr>
              <w:t>Total_Spend</w:t>
            </w:r>
            <w:r>
              <w:rPr>
                <w:sz w:val="16"/>
              </w:rPr>
              <w:t xml:space="preserve"> above the full cleaned data's 90th percentile</w:t>
            </w:r>
          </w:p>
        </w:tc>
      </w:tr>
    </w:tbl>
    <w:p w14:paraId="418D8D35"/>
    <w:p w14:paraId="081B0204">
      <w:r>
        <w:t xml:space="preserve">Customers may belong to several segments. </w:t>
      </w:r>
      <w:r>
        <w:rPr>
          <w:rFonts w:ascii="Consolas" w:hAnsi="Consolas"/>
          <w:color w:val="265DAB"/>
          <w:sz w:val="17"/>
        </w:rPr>
        <w:t>Under_Served</w:t>
      </w:r>
      <w:r>
        <w:t xml:space="preserve"> is a separate diagnostic flag: below-median spend, more than five monthly web visits, and no latest-campaign response. </w:t>
      </w:r>
      <w:r>
        <w:rPr>
          <w:rFonts w:ascii="Consolas" w:hAnsi="Consolas"/>
          <w:color w:val="265DAB"/>
          <w:sz w:val="17"/>
        </w:rPr>
        <w:t>Campaign_Responder</w:t>
      </w:r>
      <w:r>
        <w:t xml:space="preserve"> and </w:t>
      </w:r>
      <w:r>
        <w:rPr>
          <w:rFonts w:ascii="Consolas" w:hAnsi="Consolas"/>
          <w:color w:val="265DAB"/>
          <w:sz w:val="17"/>
        </w:rPr>
        <w:t>Under_Served</w:t>
      </w:r>
      <w:r>
        <w:t xml:space="preserve"> both use </w:t>
      </w:r>
      <w:r>
        <w:rPr>
          <w:rFonts w:ascii="Consolas" w:hAnsi="Consolas"/>
          <w:color w:val="265DAB"/>
          <w:sz w:val="17"/>
        </w:rPr>
        <w:t>Response</w:t>
      </w:r>
      <w:r>
        <w:t xml:space="preserve"> in their definitions, so their response rates must not be interpreted as independent evidence of campaign effectiveness.</w:t>
      </w:r>
    </w:p>
    <w:p w14:paraId="0FD71F76">
      <w:pPr>
        <w:pStyle w:val="2"/>
      </w:pPr>
      <w:r>
        <w:t>5. Build the analysis data and SQL layer</w:t>
      </w:r>
    </w:p>
    <w:p w14:paraId="4FF0FAA4">
      <w:pPr>
        <w:shd w:val="clear" w:fill="F1F5FA"/>
        <w:spacing w:after="160"/>
        <w:ind w:left="245" w:right="173"/>
      </w:pPr>
      <w:r>
        <w:rPr>
          <w:rFonts w:ascii="Consolas" w:hAnsi="Consolas"/>
          <w:color w:val="182433"/>
          <w:sz w:val="16"/>
        </w:rPr>
        <w:t>python -m src.build_data</w:t>
      </w:r>
    </w:p>
    <w:p w14:paraId="363C750D">
      <w:r>
        <w:t xml:space="preserve">This command writes </w:t>
      </w:r>
      <w:r>
        <w:rPr>
          <w:rFonts w:ascii="Consolas" w:hAnsi="Consolas"/>
          <w:color w:val="265DAB"/>
          <w:sz w:val="17"/>
        </w:rPr>
        <w:t>data/cleaned_marketing.csv</w:t>
      </w:r>
      <w:r>
        <w:t xml:space="preserve"> and </w:t>
      </w:r>
      <w:r>
        <w:rPr>
          <w:rFonts w:ascii="Consolas" w:hAnsi="Consolas"/>
          <w:color w:val="265DAB"/>
          <w:sz w:val="17"/>
        </w:rPr>
        <w:t>data/cleaning_audit.json</w:t>
      </w:r>
      <w:r>
        <w:t xml:space="preserve">, creates the </w:t>
      </w:r>
      <w:r>
        <w:rPr>
          <w:rFonts w:ascii="Consolas" w:hAnsi="Consolas"/>
          <w:color w:val="265DAB"/>
          <w:sz w:val="17"/>
        </w:rPr>
        <w:t>customers</w:t>
      </w:r>
      <w:r>
        <w:t xml:space="preserve"> table and indexes from </w:t>
      </w:r>
      <w:r>
        <w:rPr>
          <w:rFonts w:ascii="Consolas" w:hAnsi="Consolas"/>
          <w:color w:val="265DAB"/>
          <w:sz w:val="17"/>
        </w:rPr>
        <w:t>sql/schema.sql</w:t>
      </w:r>
      <w:r>
        <w:t xml:space="preserve">, loads the clean rows into </w:t>
      </w:r>
      <w:r>
        <w:rPr>
          <w:rFonts w:ascii="Consolas" w:hAnsi="Consolas"/>
          <w:color w:val="265DAB"/>
          <w:sz w:val="17"/>
        </w:rPr>
        <w:t>data/marketing.db</w:t>
      </w:r>
      <w:r>
        <w:t xml:space="preserve">, and recreates the views in </w:t>
      </w:r>
      <w:r>
        <w:rPr>
          <w:rFonts w:ascii="Consolas" w:hAnsi="Consolas"/>
          <w:color w:val="265DAB"/>
          <w:sz w:val="17"/>
        </w:rPr>
        <w:t>sql/views.sql</w:t>
      </w:r>
      <w:r>
        <w:t>. It is safe to rerun: the customer table is refreshed from the CSV rather than appended with duplicate records.</w:t>
      </w:r>
    </w:p>
    <w:p w14:paraId="1F1FC9F6">
      <w:r>
        <w:t>The SQL views provide one row per customer per campaign (</w:t>
      </w:r>
      <w:r>
        <w:rPr>
          <w:rFonts w:ascii="Consolas" w:hAnsi="Consolas"/>
          <w:color w:val="265DAB"/>
          <w:sz w:val="17"/>
        </w:rPr>
        <w:t>campaign_responses</w:t>
      </w:r>
      <w:r>
        <w:t>), rule-based customer memberships (</w:t>
      </w:r>
      <w:r>
        <w:rPr>
          <w:rFonts w:ascii="Consolas" w:hAnsi="Consolas"/>
          <w:color w:val="265DAB"/>
          <w:sz w:val="17"/>
        </w:rPr>
        <w:t>customer_segments</w:t>
      </w:r>
      <w:r>
        <w:t>), and segment KPIs (</w:t>
      </w:r>
      <w:r>
        <w:rPr>
          <w:rFonts w:ascii="Consolas" w:hAnsi="Consolas"/>
          <w:color w:val="265DAB"/>
          <w:sz w:val="17"/>
        </w:rPr>
        <w:t>segment_kpis</w:t>
      </w:r>
      <w:r>
        <w:t xml:space="preserve">). </w:t>
      </w:r>
      <w:r>
        <w:rPr>
          <w:rFonts w:ascii="Consolas" w:hAnsi="Consolas"/>
          <w:color w:val="265DAB"/>
          <w:sz w:val="17"/>
        </w:rPr>
        <w:t>sql/analytic_queries.sql</w:t>
      </w:r>
      <w:r>
        <w:t xml:space="preserve"> contains overall KPIs, campaign rates, demographic profiles, product mix, channel behavior, underserved groups, and ranked prospective target cohorts. Execute these statements in any SQLite client connected to </w:t>
      </w:r>
      <w:r>
        <w:rPr>
          <w:rFonts w:ascii="Consolas" w:hAnsi="Consolas"/>
          <w:color w:val="265DAB"/>
          <w:sz w:val="17"/>
        </w:rPr>
        <w:t>data/marketing.db</w:t>
      </w:r>
      <w:r>
        <w:t>.</w:t>
      </w:r>
    </w:p>
    <w:p w14:paraId="35CC4D42">
      <w:r>
        <w:rPr>
          <w:b/>
        </w:rPr>
        <w:t>Expected audit for the supplied CSV:</w:t>
      </w:r>
      <w:r>
        <w:t xml:space="preserve"> 56,000 source and retained rows, zero duplicate IDs, zero incomplete/invalid rows, zero implausible ages, zero income imputations, and 14 flagged high incomes. The high-spender cutoff is 1,564 source units.</w:t>
      </w:r>
    </w:p>
    <w:p w14:paraId="5649A584">
      <w:pPr>
        <w:pStyle w:val="2"/>
      </w:pPr>
      <w:r>
        <w:t>6. Explore the notebook and dashboard</w:t>
      </w:r>
    </w:p>
    <w:p w14:paraId="07A4921D">
      <w:r>
        <w:t xml:space="preserve">Open </w:t>
      </w:r>
      <w:r>
        <w:rPr>
          <w:rFonts w:ascii="Consolas" w:hAnsi="Consolas"/>
          <w:color w:val="265DAB"/>
          <w:sz w:val="17"/>
        </w:rPr>
        <w:t>notebooks/marketing_eda.ipynb</w:t>
      </w:r>
      <w:r>
        <w:t xml:space="preserve"> in VS Code or Jupyter and run all cells. Its sections cover source profiling, cleaning, univariate distributions, campaign response by customer profile, product/channel comparisons, rule-based segments, target hypotheses, and an income-outlier sensitivity check. </w:t>
      </w:r>
      <w:r>
        <w:rPr>
          <w:rFonts w:ascii="Consolas" w:hAnsi="Consolas"/>
          <w:color w:val="265DAB"/>
          <w:sz w:val="17"/>
        </w:rPr>
        <w:t>notebooks/build_notebook.py</w:t>
      </w:r>
      <w:r>
        <w:t xml:space="preserve"> regenerates the notebook file; run it only when you intend to replace edits made inside the notebook.</w:t>
      </w:r>
    </w:p>
    <w:p w14:paraId="247FE7D7">
      <w:r>
        <w:t>Start the interactive dashboard:</w:t>
      </w:r>
    </w:p>
    <w:p w14:paraId="1397173B">
      <w:pPr>
        <w:shd w:val="clear" w:fill="F1F5FA"/>
        <w:spacing w:after="160"/>
        <w:ind w:left="245" w:right="173"/>
      </w:pPr>
      <w:r>
        <w:rPr>
          <w:rFonts w:ascii="Consolas" w:hAnsi="Consolas"/>
          <w:color w:val="182433"/>
          <w:sz w:val="16"/>
        </w:rPr>
        <w:t>python -m streamlit run app.py</w:t>
      </w:r>
    </w:p>
    <w:p w14:paraId="2EB37F7F">
      <w:r>
        <w:t xml:space="preserve">Open the </w:t>
      </w:r>
      <w:r>
        <w:rPr>
          <w:b/>
        </w:rPr>
        <w:t>Local URL</w:t>
      </w:r>
      <w:r>
        <w:t xml:space="preserve"> printed in the terminal, normally </w:t>
      </w:r>
      <w:r>
        <w:rPr>
          <w:color w:val="265DAB"/>
          <w:u w:val="single"/>
        </w:rPr>
        <w:t>http://localhost:8501</w:t>
      </w:r>
      <w:r>
        <w:t>. Keep the terminal running while using the dashboard. If port 8501 is already in use, Streamlit may print a different port; use the URL it shows.</w:t>
      </w:r>
    </w:p>
    <w:p w14:paraId="2BE4E5C9">
      <w:r>
        <w:t>The sidebar filters all five tabs by country, education, marital status, age band, and income band. The tabs cover overview KPIs, campaigns and segments, product/channel behavior, opportunities, and data quality. The Data quality tab can download the filtered clean rows.</w:t>
      </w:r>
    </w:p>
    <w:p w14:paraId="2475A07B">
      <w:pPr>
        <w:pStyle w:val="2"/>
      </w:pPr>
      <w:r>
        <w:t>7. Create the business report</w:t>
      </w:r>
    </w:p>
    <w:p w14:paraId="08F7ED1E">
      <w:pPr>
        <w:shd w:val="clear" w:fill="F1F5FA"/>
        <w:spacing w:after="160"/>
        <w:ind w:left="245" w:right="173"/>
      </w:pPr>
      <w:r>
        <w:rPr>
          <w:rFonts w:ascii="Consolas" w:hAnsi="Consolas"/>
          <w:color w:val="182433"/>
          <w:sz w:val="16"/>
        </w:rPr>
        <w:t>python -m src.create_report</w:t>
      </w:r>
    </w:p>
    <w:p w14:paraId="31B9AB27">
      <w:r>
        <w:t xml:space="preserve">This rebuilds </w:t>
      </w:r>
      <w:r>
        <w:rPr>
          <w:rFonts w:ascii="Consolas" w:hAnsi="Consolas"/>
          <w:color w:val="265DAB"/>
          <w:sz w:val="17"/>
        </w:rPr>
        <w:t>report/marketing_campaign_report.pdf</w:t>
      </w:r>
      <w:r>
        <w:t xml:space="preserve"> from the clean CSV and audit. The report presents the problem, data handling, major patterns, a campaign chart, six testable recommendations, and limits of the evidence.</w:t>
      </w:r>
    </w:p>
    <w:p w14:paraId="38B6B01F">
      <w:pPr>
        <w:pStyle w:val="2"/>
      </w:pPr>
      <w:r>
        <w:t>8. Verify a complete run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41837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265DAB"/>
            <w:vAlign w:val="center"/>
          </w:tcPr>
          <w:p w14:paraId="7B6FE9B0">
            <w:pPr>
              <w:spacing w:after="0" w:line="240" w:lineRule="auto"/>
            </w:pPr>
            <w:r>
              <w:rPr>
                <w:b/>
                <w:color w:val="FFFFFF"/>
                <w:sz w:val="16"/>
              </w:rPr>
              <w:t>Check</w:t>
            </w:r>
          </w:p>
        </w:tc>
        <w:tc>
          <w:tcPr>
            <w:tcW w:w="5083" w:type="dxa"/>
            <w:shd w:val="clear" w:color="auto" w:fill="265DAB"/>
            <w:vAlign w:val="center"/>
          </w:tcPr>
          <w:p w14:paraId="70DD9C4D">
            <w:pPr>
              <w:spacing w:after="0" w:line="240" w:lineRule="auto"/>
            </w:pPr>
            <w:r>
              <w:rPr>
                <w:b/>
                <w:color w:val="FFFFFF"/>
                <w:sz w:val="16"/>
              </w:rPr>
              <w:t>Expected result with the supplied data</w:t>
            </w:r>
          </w:p>
        </w:tc>
      </w:tr>
      <w:tr w14:paraId="0B33B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center"/>
          </w:tcPr>
          <w:p w14:paraId="4086E39A">
            <w:pPr>
              <w:spacing w:after="0" w:line="240" w:lineRule="auto"/>
            </w:pPr>
            <w:r>
              <w:rPr>
                <w:sz w:val="16"/>
              </w:rPr>
              <w:t>Cleaning audit</w:t>
            </w:r>
          </w:p>
        </w:tc>
        <w:tc>
          <w:tcPr>
            <w:tcW w:w="5083" w:type="dxa"/>
            <w:vAlign w:val="center"/>
          </w:tcPr>
          <w:p w14:paraId="736104F0">
            <w:pPr>
              <w:spacing w:after="0" w:line="240" w:lineRule="auto"/>
            </w:pPr>
            <w:r>
              <w:rPr>
                <w:sz w:val="16"/>
              </w:rPr>
              <w:t>56,000 retained customers; 14 income outliers flagged</w:t>
            </w:r>
          </w:p>
        </w:tc>
      </w:tr>
      <w:tr w14:paraId="37ED7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F1F5FA"/>
            <w:vAlign w:val="center"/>
          </w:tcPr>
          <w:p w14:paraId="5C8DC9CF">
            <w:pPr>
              <w:spacing w:after="0" w:line="240" w:lineRule="auto"/>
            </w:pPr>
            <w:r>
              <w:rPr>
                <w:sz w:val="16"/>
              </w:rPr>
              <w:t xml:space="preserve">SQL </w:t>
            </w:r>
            <w:r>
              <w:rPr>
                <w:rFonts w:ascii="Consolas" w:hAnsi="Consolas"/>
                <w:color w:val="265DAB"/>
                <w:sz w:val="16"/>
              </w:rPr>
              <w:t>customers</w:t>
            </w:r>
            <w:r>
              <w:rPr>
                <w:sz w:val="16"/>
              </w:rPr>
              <w:t xml:space="preserve"> table</w:t>
            </w:r>
          </w:p>
        </w:tc>
        <w:tc>
          <w:tcPr>
            <w:tcW w:w="5083" w:type="dxa"/>
            <w:shd w:val="clear" w:color="auto" w:fill="F1F5FA"/>
            <w:vAlign w:val="center"/>
          </w:tcPr>
          <w:p w14:paraId="22679DC0">
            <w:pPr>
              <w:spacing w:after="0" w:line="240" w:lineRule="auto"/>
            </w:pPr>
            <w:r>
              <w:rPr>
                <w:sz w:val="16"/>
              </w:rPr>
              <w:t>56,000 rows</w:t>
            </w:r>
          </w:p>
        </w:tc>
      </w:tr>
      <w:tr w14:paraId="731D7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center"/>
          </w:tcPr>
          <w:p w14:paraId="45668E6B">
            <w:pPr>
              <w:spacing w:after="0" w:line="240" w:lineRule="auto"/>
            </w:pPr>
            <w:r>
              <w:rPr>
                <w:sz w:val="16"/>
              </w:rPr>
              <w:t xml:space="preserve">SQL </w:t>
            </w:r>
            <w:r>
              <w:rPr>
                <w:rFonts w:ascii="Consolas" w:hAnsi="Consolas"/>
                <w:color w:val="265DAB"/>
                <w:sz w:val="16"/>
              </w:rPr>
              <w:t>campaign_responses</w:t>
            </w:r>
            <w:r>
              <w:rPr>
                <w:sz w:val="16"/>
              </w:rPr>
              <w:t xml:space="preserve"> view</w:t>
            </w:r>
          </w:p>
        </w:tc>
        <w:tc>
          <w:tcPr>
            <w:tcW w:w="5083" w:type="dxa"/>
            <w:vAlign w:val="center"/>
          </w:tcPr>
          <w:p w14:paraId="46DFF1E2">
            <w:pPr>
              <w:spacing w:after="0" w:line="240" w:lineRule="auto"/>
            </w:pPr>
            <w:r>
              <w:rPr>
                <w:sz w:val="16"/>
              </w:rPr>
              <w:t>336,000 rows (56,000 customers × 6 campaigns)</w:t>
            </w:r>
          </w:p>
        </w:tc>
      </w:tr>
      <w:tr w14:paraId="22A09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F1F5FA"/>
            <w:vAlign w:val="center"/>
          </w:tcPr>
          <w:p w14:paraId="04D44328">
            <w:pPr>
              <w:spacing w:after="0" w:line="240" w:lineRule="auto"/>
            </w:pPr>
            <w:r>
              <w:rPr>
                <w:sz w:val="16"/>
              </w:rPr>
              <w:t>Dashboard overall KPIs</w:t>
            </w:r>
          </w:p>
        </w:tc>
        <w:tc>
          <w:tcPr>
            <w:tcW w:w="5083" w:type="dxa"/>
            <w:shd w:val="clear" w:color="auto" w:fill="F1F5FA"/>
            <w:vAlign w:val="center"/>
          </w:tcPr>
          <w:p w14:paraId="0B163A84">
            <w:pPr>
              <w:spacing w:after="0" w:line="240" w:lineRule="auto"/>
            </w:pPr>
            <w:r>
              <w:rPr>
                <w:sz w:val="16"/>
              </w:rPr>
              <w:t>56,000 customers; 14.8% latest response; 36.4% any-campaign response</w:t>
            </w:r>
          </w:p>
        </w:tc>
      </w:tr>
      <w:tr w14:paraId="39D78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center"/>
          </w:tcPr>
          <w:p w14:paraId="278C6EFA">
            <w:pPr>
              <w:spacing w:after="0" w:line="240" w:lineRule="auto"/>
            </w:pPr>
            <w:r>
              <w:rPr>
                <w:sz w:val="16"/>
              </w:rPr>
              <w:t>Dashboard Country = India</w:t>
            </w:r>
          </w:p>
        </w:tc>
        <w:tc>
          <w:tcPr>
            <w:tcW w:w="5083" w:type="dxa"/>
            <w:vAlign w:val="center"/>
          </w:tcPr>
          <w:p w14:paraId="42E4AFE0">
            <w:pPr>
              <w:spacing w:after="0" w:line="240" w:lineRule="auto"/>
            </w:pPr>
            <w:r>
              <w:rPr>
                <w:sz w:val="16"/>
              </w:rPr>
              <w:t>4,814 customers; 18.8% latest response</w:t>
            </w:r>
          </w:p>
        </w:tc>
      </w:tr>
      <w:tr w14:paraId="1A11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F1F5FA"/>
            <w:vAlign w:val="center"/>
          </w:tcPr>
          <w:p w14:paraId="17A0BA9E">
            <w:pPr>
              <w:spacing w:after="0" w:line="240" w:lineRule="auto"/>
            </w:pPr>
            <w:r>
              <w:rPr>
                <w:sz w:val="16"/>
              </w:rPr>
              <w:t>Report output</w:t>
            </w:r>
          </w:p>
        </w:tc>
        <w:tc>
          <w:tcPr>
            <w:tcW w:w="5083" w:type="dxa"/>
            <w:shd w:val="clear" w:color="auto" w:fill="F1F5FA"/>
            <w:vAlign w:val="center"/>
          </w:tcPr>
          <w:p w14:paraId="4F3795E1">
            <w:pPr>
              <w:spacing w:after="0" w:line="240" w:lineRule="auto"/>
            </w:pPr>
            <w:r>
              <w:rPr>
                <w:rFonts w:ascii="Consolas" w:hAnsi="Consolas"/>
                <w:color w:val="265DAB"/>
                <w:sz w:val="16"/>
              </w:rPr>
              <w:t>report/marketing_campaign_report.pdf</w:t>
            </w:r>
            <w:r>
              <w:rPr>
                <w:sz w:val="16"/>
              </w:rPr>
              <w:t xml:space="preserve"> opens as a three-page PDF</w:t>
            </w:r>
          </w:p>
        </w:tc>
      </w:tr>
    </w:tbl>
    <w:p w14:paraId="712D3CC2"/>
    <w:p w14:paraId="2BE49EB2">
      <w:r>
        <w:t>For a quick SQL row check:</w:t>
      </w:r>
    </w:p>
    <w:p w14:paraId="1F5A6064">
      <w:pPr>
        <w:shd w:val="clear" w:fill="F1F5FA"/>
        <w:spacing w:after="160"/>
        <w:ind w:left="245" w:right="173"/>
      </w:pPr>
      <w:r>
        <w:rPr>
          <w:rFonts w:ascii="Consolas" w:hAnsi="Consolas"/>
          <w:color w:val="182433"/>
          <w:sz w:val="16"/>
        </w:rPr>
        <w:t>python -c "import sqlite3; c=sqlite3.connect('data/marketing.db'); print(c.execute('SELECT COUNT(*) FROM customers').fetchone()[0])"</w:t>
      </w:r>
    </w:p>
    <w:p w14:paraId="252E8B73">
      <w:pPr>
        <w:pStyle w:val="2"/>
      </w:pPr>
      <w:r>
        <w:t>9. Refresh with updated data</w:t>
      </w:r>
    </w:p>
    <w:p w14:paraId="102994A8">
      <w:pPr>
        <w:pStyle w:val="29"/>
      </w:pPr>
      <w:r>
        <w:t xml:space="preserve">Replace </w:t>
      </w:r>
      <w:r>
        <w:rPr>
          <w:rFonts w:ascii="Consolas" w:hAnsi="Consolas"/>
          <w:color w:val="265DAB"/>
          <w:sz w:val="17"/>
        </w:rPr>
        <w:t>marketing_campaign_data.csv</w:t>
      </w:r>
      <w:r>
        <w:t xml:space="preserve"> with a file using the same field names and meanings.</w:t>
      </w:r>
    </w:p>
    <w:p w14:paraId="0D9F89A0">
      <w:pPr>
        <w:pStyle w:val="29"/>
      </w:pPr>
      <w:r>
        <w:t xml:space="preserve">Run </w:t>
      </w:r>
      <w:r>
        <w:rPr>
          <w:rFonts w:ascii="Consolas" w:hAnsi="Consolas"/>
          <w:color w:val="265DAB"/>
          <w:sz w:val="17"/>
        </w:rPr>
        <w:t>python -m src.build_data</w:t>
      </w:r>
      <w:r>
        <w:t xml:space="preserve"> to regenerate the clean CSV, audit, and database.</w:t>
      </w:r>
    </w:p>
    <w:p w14:paraId="34ECD145">
      <w:pPr>
        <w:pStyle w:val="29"/>
      </w:pPr>
      <w:r>
        <w:t>Run the notebook and inspect its charts and audit; investigate new exclusions or outlier spikes.</w:t>
      </w:r>
    </w:p>
    <w:p w14:paraId="4EC4876C">
      <w:pPr>
        <w:pStyle w:val="29"/>
      </w:pPr>
      <w:r>
        <w:t xml:space="preserve">Run </w:t>
      </w:r>
      <w:r>
        <w:rPr>
          <w:rFonts w:ascii="Consolas" w:hAnsi="Consolas"/>
          <w:color w:val="265DAB"/>
          <w:sz w:val="17"/>
        </w:rPr>
        <w:t>python -m src.create_report</w:t>
      </w:r>
      <w:r>
        <w:t xml:space="preserve"> so the PDF reflects the refreshed data.</w:t>
      </w:r>
    </w:p>
    <w:p w14:paraId="32855AE6">
      <w:pPr>
        <w:pStyle w:val="29"/>
      </w:pPr>
      <w:r>
        <w:t>Restart or rerun Streamlit to clear its cached data and review dashboard filters and KPIs.</w:t>
      </w:r>
    </w:p>
    <w:p w14:paraId="349281F1">
      <w:r>
        <w:t>The analysis describes associations in historical customer records. Campaign exposure, offer details, campaign costs, and assignment rules are unavailable, so the output cannot establish causal lift or return on investment. Test promising target groups with a controlled campaign before rollout.</w:t>
      </w:r>
    </w:p>
    <w:sectPr>
      <w:headerReference r:id="rId5" w:type="default"/>
      <w:footerReference r:id="rId6" w:type="default"/>
      <w:pgSz w:w="12240" w:h="15840"/>
      <w:pgMar w:top="893" w:right="1037" w:bottom="893" w:left="103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973D54">
    <w:pPr>
      <w:pStyle w:val="18"/>
      <w:jc w:val="center"/>
    </w:pPr>
    <w:r>
      <w:t xml:space="preserve">Workflow document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8EB61B">
    <w:pPr>
      <w:pStyle w:val="16"/>
      <w:rPr>
        <w:rFonts w:hint="default"/>
        <w:lang w:val="en-IN"/>
      </w:rPr>
    </w:pPr>
    <w:r>
      <w:t>MARKETING CAMPAIGN ANALYTICS  |  PROJECT WORKFLOW</w:t>
    </w:r>
    <w:r>
      <w:rPr>
        <w:rFonts w:hint="default"/>
        <w:lang w:val="en-IN"/>
      </w:rPr>
      <w:t xml:space="preserve">                                                                        ATUL TRIPATHI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623C2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Aptos" w:hAnsi="Aptos" w:eastAsiaTheme="minorEastAsia" w:cstheme="minorBidi"/>
      <w:color w:val="182433"/>
      <w:sz w:val="18"/>
      <w:szCs w:val="22"/>
      <w:lang w:val="en-US" w:eastAsia="en-US" w:bidi="ar-SA"/>
    </w:rPr>
  </w:style>
  <w:style w:type="paragraph" w:styleId="2">
    <w:name w:val="heading 1"/>
    <w:basedOn w:val="1"/>
    <w:next w:val="1"/>
    <w:link w:val="138"/>
    <w:qFormat/>
    <w:uiPriority w:val="9"/>
    <w:pPr>
      <w:keepNext/>
      <w:keepLines/>
      <w:spacing w:before="280" w:after="120"/>
      <w:outlineLvl w:val="0"/>
    </w:pPr>
    <w:rPr>
      <w:rFonts w:asciiTheme="majorHAnsi" w:hAnsiTheme="majorHAnsi" w:eastAsiaTheme="majorEastAsia" w:cstheme="majorBidi"/>
      <w:b/>
      <w:bCs/>
      <w:color w:val="265DAB"/>
      <w:sz w:val="26"/>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265DAB"/>
      <w:spacing w:val="5"/>
      <w:kern w:val="28"/>
      <w:sz w:val="4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948</Words>
  <Characters>5862</Characters>
  <Lines>0</Lines>
  <Paragraphs>0</Paragraphs>
  <TotalTime>12818</TotalTime>
  <ScaleCrop>false</ScaleCrop>
  <LinksUpToDate>false</LinksUpToDate>
  <CharactersWithSpaces>6720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Project team</dc:creator>
  <dc:description>generated by python-docx</dc:description>
  <cp:lastModifiedBy>Atul Tripathi</cp:lastModifiedBy>
  <dcterms:modified xsi:type="dcterms:W3CDTF">2026-09-25T05:38:42Z</dcterms:modified>
  <dc:subject>Data preparation, SQL, dashboard and report workflow</dc:subject>
  <dc:title>Marketing campaign analytics: project workflow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eyJoZGlkIjoiM2Q5YjAzOTYyOTBmNzY5MDczNTU5OGI5MzE5Y2JjNDAiLCJ1c2VySWQiOiI1NjcxNjA1ODk2NDEifQ==</vt:lpwstr>
  </property>
  <property fmtid="{D5CDD505-2E9C-101B-9397-08002B2CF9AE}" pid="3" name="KSOProductBuildVer">
    <vt:lpwstr>1033-12.1.0.28032</vt:lpwstr>
  </property>
  <property fmtid="{D5CDD505-2E9C-101B-9397-08002B2CF9AE}" pid="4" name="ICV">
    <vt:lpwstr>0F4C0731DABF458F8DEDD71BC5473DE7_12</vt:lpwstr>
  </property>
</Properties>
</file>