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TuraQuant KOL Platform · Assessments Module</w:t>
      </w:r>
    </w:p>
    <w:p>
      <w:pPr>
        <w:spacing w:after="240" w:line="252" w:lineRule="auto"/>
      </w:pPr>
      <w:r>
        <w:rPr>
          <w:rFonts w:ascii="Georgia" w:hAnsi="Georgia" w:cs="Georgia"/>
          <w:b/>
          <w:i w:val="0"/>
          <w:caps w:val="0"/>
          <w:color w:val="0F1A1D"/>
          <w:sz w:val="46"/>
        </w:rPr>
        <w:t>AI usage and data protection in KOL assessments</w:t>
      </w:r>
    </w:p>
    <w:p>
      <w:pPr>
        <w:spacing w:before="0" w:after="320" w:line="324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2"/>
        </w:rPr>
        <w:t>This brief sets out exactly where the assessments module uses artificial intelligence, what information is sent outside the platform when it does, and the controls that govern access to healthcare-professional data throughout.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5"/>
                <w:spacing w:val="12"/>
              </w:rPr>
              <w:t>Module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aps w:val="0"/>
                <w:color w:val="33474D"/>
                <w:sz w:val="19"/>
              </w:rPr>
              <w:t>Assessments</w:t>
            </w:r>
          </w:p>
        </w:tc>
        <w:tc>
          <w:tcPr>
            <w:tcW w:type="dxa" w:w="2340"/>
          </w:tcPr>
          <w:p>
            <w:pPr>
              <w:spacing w:after="20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5"/>
                <w:spacing w:val="12"/>
              </w:rPr>
              <w:t>Scope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aps w:val="0"/>
                <w:color w:val="33474D"/>
                <w:sz w:val="19"/>
              </w:rPr>
              <w:t>KOL scoring &amp; CV intake</w:t>
            </w:r>
          </w:p>
        </w:tc>
        <w:tc>
          <w:tcPr>
            <w:tcW w:type="dxa" w:w="2340"/>
          </w:tcPr>
          <w:p>
            <w:pPr>
              <w:spacing w:after="20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5"/>
                <w:spacing w:val="12"/>
              </w:rPr>
              <w:t>Prepared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aps w:val="0"/>
                <w:color w:val="33474D"/>
                <w:sz w:val="19"/>
              </w:rPr>
              <w:t>19 August 2026</w:t>
            </w:r>
          </w:p>
        </w:tc>
        <w:tc>
          <w:tcPr>
            <w:tcW w:type="dxa" w:w="2340"/>
          </w:tcPr>
          <w:p>
            <w:pPr>
              <w:spacing w:after="20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5"/>
                <w:spacing w:val="12"/>
              </w:rPr>
              <w:t>Classification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aps w:val="0"/>
                <w:color w:val="33474D"/>
                <w:sz w:val="19"/>
              </w:rPr>
              <w:t>Client confidential</w:t>
            </w:r>
          </w:p>
        </w:tc>
      </w:tr>
    </w:tbl>
    <w:p>
      <w:pPr>
        <w:spacing w:before="200" w:after="40"/>
        <w:pBdr>
          <w:bottom w:val="single" w:sz="12" w:space="6" w:color="0F1A1D"/>
        </w:pBdr>
      </w:pPr>
    </w:p>
    <w:p>
      <w:pPr>
        <w:keepNext/>
        <w:spacing w:before="440" w:after="40"/>
      </w:pPr>
      <w:r>
        <w:rPr>
          <w:rFonts w:ascii="Consolas" w:hAnsi="Consolas" w:cs="Consolas"/>
          <w:b/>
          <w:i w:val="0"/>
          <w:caps w:val="0"/>
          <w:color w:val="0B6B6B"/>
          <w:sz w:val="26"/>
        </w:rPr>
        <w:t xml:space="preserve">1  </w:t>
      </w:r>
      <w:r>
        <w:rPr>
          <w:rFonts w:ascii="Georgia" w:hAnsi="Georgia" w:cs="Georgia"/>
          <w:b/>
          <w:i w:val="0"/>
          <w:caps w:val="0"/>
          <w:color w:val="0F1A1D"/>
          <w:sz w:val="30"/>
        </w:rPr>
        <w:t>In summary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The assessments module uses AI in four places, all of them concerned with reading a healthcare professional's CV and turning it into structured, scored data. Every one of those calls is routed through a single, centrally configured service, so there is exactly one place in the platform where information is handed to a language model.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Alongside AI, the module draws on five public research sources to corroborate a profile. These are not AI services, but they do involve outbound queries, so they are documented here on the same footing.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AI provider credentials are held server-side only and are never exposed to the browser or to end users. The model never has the final word on a score: every response is validated, every score is capped at its configured maximum, and each parameter can be reviewed and signed off by a named human assessor.</w:t>
      </w:r>
    </w:p>
    <w:p>
      <w:pPr>
        <w:keepNext/>
        <w:spacing w:before="440" w:after="40"/>
      </w:pPr>
      <w:r>
        <w:rPr>
          <w:rFonts w:ascii="Consolas" w:hAnsi="Consolas" w:cs="Consolas"/>
          <w:b/>
          <w:i w:val="0"/>
          <w:caps w:val="0"/>
          <w:color w:val="0B6B6B"/>
          <w:sz w:val="26"/>
        </w:rPr>
        <w:t xml:space="preserve">2  </w:t>
      </w:r>
      <w:r>
        <w:rPr>
          <w:rFonts w:ascii="Georgia" w:hAnsi="Georgia" w:cs="Georgia"/>
          <w:b/>
          <w:i w:val="0"/>
          <w:caps w:val="0"/>
          <w:color w:val="0F1A1D"/>
          <w:sz w:val="30"/>
        </w:rPr>
        <w:t>What crosses the platform boundary</w:t>
      </w:r>
    </w:p>
    <w:p>
      <w:pPr>
        <w:spacing w:before="0" w:after="20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Everything to the left of the dashed line stays on TuraQuant infrastructure. The labelled arrows are the only paths on which assessment data leaves it.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3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88" w:lineRule="auto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2"/>
        </w:rPr>
        <w:t xml:space="preserve">Figure 1  </w:t>
      </w:r>
      <w:r>
        <w:rPr>
          <w:rFonts w:ascii="Calibri" w:hAnsi="Calibri" w:cs="Calibri"/>
          <w:b w:val="0"/>
          <w:i w:val="0"/>
          <w:caps w:val="0"/>
          <w:color w:val="63797F"/>
          <w:sz w:val="18"/>
        </w:rPr>
        <w:t>Data flow across the platform boundary. Assessment results, per-parameter justifications and the audit trail are written back to the platform database and are not sent anywhere outside it.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The same paths, stated row by row: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ADA"/>
          <w:left w:val="single" w:sz="4" w:space="0" w:color="D2DADA"/>
          <w:bottom w:val="single" w:sz="4" w:space="0" w:color="D2DADA"/>
          <w:right w:val="single" w:sz="4" w:space="0" w:color="D2DADA"/>
          <w:insideH w:val="single" w:sz="4" w:space="0" w:color="D2DADA"/>
          <w:insideV w:val="single" w:sz="4" w:space="0" w:color="D2DADA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9EDED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Stays on the platform</w:t>
            </w:r>
          </w:p>
        </w:tc>
        <w:tc>
          <w:tcPr>
            <w:tcW w:type="dxa" w:w="3888"/>
            <w:shd w:val="clear" w:color="auto" w:fill="E9EDED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Crosses the boundary</w:t>
            </w:r>
          </w:p>
        </w:tc>
        <w:tc>
          <w:tcPr>
            <w:tcW w:type="dxa" w:w="2304"/>
            <w:shd w:val="clear" w:color="auto" w:fill="E9EDED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Goes to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Assessment records, scores and tiers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Nothing — retained on platform only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Per-parameter justifications and audit trail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Nothing — retained on platform only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Uploaded CV files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CV text, and the image itself where the CV is a scan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Active AI provider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HCP profile record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Up to 14 profile fields, including medical registration number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Active AI provider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HCP identifying fields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Name, institution, city, specialty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Public research sources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Meeting audio</w:t>
            </w:r>
          </w:p>
        </w:tc>
        <w:tc>
          <w:tcPr>
            <w:tcW w:type="dxa" w:w="388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Nothing by default — transcribed on-server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keepNext/>
        <w:spacing w:before="240" w:after="100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Active AI provider — one at a time, selected by an administrator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ADA"/>
          <w:left w:val="single" w:sz="4" w:space="0" w:color="D2DADA"/>
          <w:bottom w:val="single" w:sz="4" w:space="0" w:color="D2DADA"/>
          <w:right w:val="single" w:sz="4" w:space="0" w:color="D2DADA"/>
          <w:insideH w:val="single" w:sz="4" w:space="0" w:color="D2DADA"/>
          <w:insideV w:val="single" w:sz="4" w:space="0" w:color="D2DADA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3F0EE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Provider</w:t>
            </w:r>
          </w:p>
        </w:tc>
        <w:tc>
          <w:tcPr>
            <w:tcW w:type="dxa" w:w="2736"/>
            <w:shd w:val="clear" w:color="auto" w:fill="E3F0EE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Models in use</w:t>
            </w:r>
          </w:p>
        </w:tc>
        <w:tc>
          <w:tcPr>
            <w:tcW w:type="dxa" w:w="4608"/>
            <w:shd w:val="clear" w:color="auto" w:fill="E3F0EE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Used for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OpenAI</w:t>
            </w:r>
          </w:p>
        </w:tc>
        <w:tc>
          <w:tcPr>
            <w:tcW w:type="dxa" w:w="273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gpt-4, gpt-4o (vision)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CV field extraction, parameter scoring, scanned-CV reading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Anthropic</w:t>
            </w:r>
          </w:p>
        </w:tc>
        <w:tc>
          <w:tcPr>
            <w:tcW w:type="dxa" w:w="273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Claude Sonnet 4 (vision)</w:t>
            </w:r>
          </w:p>
        </w:tc>
        <w:tc>
          <w:tcPr>
            <w:tcW w:type="dxa" w:w="4608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CV field extraction, parameter scoring, scanned-CV reading</w:t>
            </w:r>
          </w:p>
        </w:tc>
      </w:tr>
    </w:tbl>
    <w:p>
      <w:pPr>
        <w:spacing w:after="80"/>
      </w:pPr>
    </w:p>
    <w:p>
      <w:pPr>
        <w:keepNext/>
        <w:spacing w:before="440" w:after="40"/>
      </w:pPr>
      <w:r>
        <w:rPr>
          <w:rFonts w:ascii="Consolas" w:hAnsi="Consolas" w:cs="Consolas"/>
          <w:b/>
          <w:i w:val="0"/>
          <w:caps w:val="0"/>
          <w:color w:val="0B6B6B"/>
          <w:sz w:val="26"/>
        </w:rPr>
        <w:t xml:space="preserve">3  </w:t>
      </w:r>
      <w:r>
        <w:rPr>
          <w:rFonts w:ascii="Georgia" w:hAnsi="Georgia" w:cs="Georgia"/>
          <w:b/>
          <w:i w:val="0"/>
          <w:caps w:val="0"/>
          <w:color w:val="0F1A1D"/>
          <w:sz w:val="30"/>
        </w:rPr>
        <w:t>The four AI touchpoints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Ordered as they occur along the assessment journey, from a KOL's first submission through to a completed score.</w:t>
      </w:r>
    </w:p>
    <w:p>
      <w:pPr>
        <w:keepNext/>
        <w:spacing w:before="280" w:after="60"/>
      </w:pPr>
      <w:r>
        <w:rPr>
          <w:rFonts w:ascii="Consolas" w:hAnsi="Consolas" w:cs="Consolas"/>
          <w:b/>
          <w:i w:val="0"/>
          <w:caps w:val="0"/>
          <w:color w:val="0B6B6B"/>
          <w:sz w:val="20"/>
        </w:rPr>
        <w:t xml:space="preserve">01  </w:t>
      </w:r>
      <w:r>
        <w:rPr>
          <w:rFonts w:ascii="Georgia" w:hAnsi="Georgia" w:cs="Georgia"/>
          <w:b/>
          <w:i w:val="0"/>
          <w:caps w:val="0"/>
          <w:color w:val="0F1A1D"/>
          <w:sz w:val="23"/>
        </w:rPr>
        <w:t>Field extraction from a self-submitted CV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When a KOL completes a public invitation form and attaches a CV, the document is read and its key fields — specialty, designation, institution, experience, publications — are extracted into the form so the KOL does not have to retype them.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E8"/>
          <w:left w:val="single" w:sz="4" w:space="0" w:color="E2E8E8"/>
          <w:bottom w:val="single" w:sz="4" w:space="0" w:color="E2E8E8"/>
          <w:right w:val="single" w:sz="4" w:space="0" w:color="E2E8E8"/>
          <w:insideH w:val="single" w:sz="4" w:space="0" w:color="E2E8E8"/>
          <w:insideV w:val="single" w:sz="4" w:space="0" w:color="E2E8E8"/>
        </w:tblBorders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Triggered by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The KOL, on the public form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Sent to the model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CV text, truncated to 8,000 characters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Endpoint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POST /public/form/{token}/extract-cv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Access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Invitation link token only</w:t>
            </w:r>
          </w:p>
        </w:tc>
      </w:tr>
    </w:tbl>
    <w:p>
      <w:pPr>
        <w:spacing w:after="0"/>
      </w:pPr>
    </w:p>
    <w:p>
      <w:pPr>
        <w:keepNext/>
        <w:spacing w:before="280" w:after="60"/>
      </w:pPr>
      <w:r>
        <w:rPr>
          <w:rFonts w:ascii="Consolas" w:hAnsi="Consolas" w:cs="Consolas"/>
          <w:b/>
          <w:i w:val="0"/>
          <w:caps w:val="0"/>
          <w:color w:val="0B6B6B"/>
          <w:sz w:val="20"/>
        </w:rPr>
        <w:t xml:space="preserve">02  </w:t>
      </w:r>
      <w:r>
        <w:rPr>
          <w:rFonts w:ascii="Georgia" w:hAnsi="Georgia" w:cs="Georgia"/>
          <w:b/>
          <w:i w:val="0"/>
          <w:caps w:val="0"/>
          <w:color w:val="0F1A1D"/>
          <w:sz w:val="23"/>
        </w:rPr>
        <w:t>Field extraction from an internally uploaded CV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The same extraction, run by your own team when they add a healthcare professional and attach a CV directly. The model is run at a near-deterministic setting so that it transcribes what the document says rather than paraphrasing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E8"/>
          <w:left w:val="single" w:sz="4" w:space="0" w:color="E2E8E8"/>
          <w:bottom w:val="single" w:sz="4" w:space="0" w:color="E2E8E8"/>
          <w:right w:val="single" w:sz="4" w:space="0" w:color="E2E8E8"/>
          <w:insideH w:val="single" w:sz="4" w:space="0" w:color="E2E8E8"/>
          <w:insideV w:val="single" w:sz="4" w:space="0" w:color="E2E8E8"/>
        </w:tblBorders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Triggered by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An authenticated platform user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Sent to the model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CV text, truncated to a fixed limit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Endpoint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POST /hcp/extract-cv-fields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Access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Signed-in users</w:t>
            </w:r>
          </w:p>
        </w:tc>
      </w:tr>
    </w:tbl>
    <w:p>
      <w:pPr>
        <w:spacing w:after="0"/>
      </w:pPr>
    </w:p>
    <w:p>
      <w:pPr>
        <w:keepNext/>
        <w:spacing w:before="280" w:after="60"/>
      </w:pPr>
      <w:r>
        <w:rPr>
          <w:rFonts w:ascii="Consolas" w:hAnsi="Consolas" w:cs="Consolas"/>
          <w:b/>
          <w:i w:val="0"/>
          <w:caps w:val="0"/>
          <w:color w:val="0B6B6B"/>
          <w:sz w:val="20"/>
        </w:rPr>
        <w:t xml:space="preserve">03  </w:t>
      </w:r>
      <w:r>
        <w:rPr>
          <w:rFonts w:ascii="Georgia" w:hAnsi="Georgia" w:cs="Georgia"/>
          <w:b/>
          <w:i w:val="0"/>
          <w:caps w:val="0"/>
          <w:color w:val="0F1A1D"/>
          <w:sz w:val="23"/>
        </w:rPr>
        <w:t>Reading a scanned or photographed CV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Where a CV arrives as a scan or a phone photograph rather than a text document, the image itself is passed to a vision-capable model, which reads it directly. This is the only case in which an original document image leaves the platform, and it applies to both of the routes above.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E8"/>
          <w:left w:val="single" w:sz="4" w:space="0" w:color="E2E8E8"/>
          <w:bottom w:val="single" w:sz="4" w:space="0" w:color="E2E8E8"/>
          <w:right w:val="single" w:sz="4" w:space="0" w:color="E2E8E8"/>
          <w:insideH w:val="single" w:sz="4" w:space="0" w:color="E2E8E8"/>
          <w:insideV w:val="single" w:sz="4" w:space="0" w:color="E2E8E8"/>
        </w:tblBorders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Triggered by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Image-format CV on either intake route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Sent to the model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The CV image, encoded in full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Models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GPT-4o or Claude Sonnet 4, vision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Fallback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On-server OCR where no provider is configured</w:t>
            </w:r>
          </w:p>
        </w:tc>
      </w:tr>
    </w:tbl>
    <w:p>
      <w:pPr>
        <w:spacing w:after="0"/>
      </w:pPr>
    </w:p>
    <w:p>
      <w:pPr>
        <w:keepNext/>
        <w:spacing w:before="280" w:after="60"/>
      </w:pPr>
      <w:r>
        <w:rPr>
          <w:rFonts w:ascii="Consolas" w:hAnsi="Consolas" w:cs="Consolas"/>
          <w:b/>
          <w:i w:val="0"/>
          <w:caps w:val="0"/>
          <w:color w:val="0B6B6B"/>
          <w:sz w:val="20"/>
        </w:rPr>
        <w:t xml:space="preserve">04  </w:t>
      </w:r>
      <w:r>
        <w:rPr>
          <w:rFonts w:ascii="Georgia" w:hAnsi="Georgia" w:cs="Georgia"/>
          <w:b/>
          <w:i w:val="0"/>
          <w:caps w:val="0"/>
          <w:color w:val="0F1A1D"/>
          <w:sz w:val="23"/>
        </w:rPr>
        <w:t>Scoring the assessment parameters</w:t>
      </w:r>
    </w:p>
    <w:p>
      <w:pPr>
        <w:spacing w:before="0" w:after="16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The core of the module. The model is given the CV and the professional's profile fields alongside the definitions of each enabled assessment parameter, and returns a score and a written justification for each one. Parameters sourced from publication or trial data are scored from those records instead, not by the model.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E8"/>
          <w:left w:val="single" w:sz="4" w:space="0" w:color="E2E8E8"/>
          <w:bottom w:val="single" w:sz="4" w:space="0" w:color="E2E8E8"/>
          <w:right w:val="single" w:sz="4" w:space="0" w:color="E2E8E8"/>
          <w:insideH w:val="single" w:sz="4" w:space="0" w:color="E2E8E8"/>
          <w:insideV w:val="single" w:sz="4" w:space="0" w:color="E2E8E8"/>
        </w:tblBorders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Triggered by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“Score with AI” on the assessments screen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Sent to the model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CV text to 15,000 characters, plus up to 14 profile fields including registration number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Endpoint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POST /assessments/{id}/score-ai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Access</w:t>
            </w:r>
          </w:p>
        </w:tc>
        <w:tc>
          <w:tcPr>
            <w:tcW w:type="dxa" w:w="691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Signed-in users</w:t>
            </w:r>
          </w:p>
        </w:tc>
      </w:tr>
    </w:tbl>
    <w:p>
      <w:pPr>
        <w:spacing w:after="0"/>
      </w:pPr>
    </w:p>
    <w:p>
      <w:pPr>
        <w:keepNext/>
        <w:spacing w:before="440" w:after="40"/>
      </w:pPr>
      <w:r>
        <w:rPr>
          <w:rFonts w:ascii="Consolas" w:hAnsi="Consolas" w:cs="Consolas"/>
          <w:b/>
          <w:i w:val="0"/>
          <w:caps w:val="0"/>
          <w:color w:val="0B6B6B"/>
          <w:sz w:val="26"/>
        </w:rPr>
        <w:t xml:space="preserve">4  </w:t>
      </w:r>
      <w:r>
        <w:rPr>
          <w:rFonts w:ascii="Georgia" w:hAnsi="Georgia" w:cs="Georgia"/>
          <w:b/>
          <w:i w:val="0"/>
          <w:caps w:val="0"/>
          <w:color w:val="0F1A1D"/>
          <w:sz w:val="30"/>
        </w:rPr>
        <w:t>Public sources consulted alongside AI</w:t>
      </w:r>
    </w:p>
    <w:p>
      <w:pPr>
        <w:spacing w:before="0" w:after="20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These corroborate a profile against the public record. They are conventional data lookups, not AI services, and they receive identifying fields only — never the CV or its contents.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ADA"/>
          <w:left w:val="single" w:sz="4" w:space="0" w:color="D2DADA"/>
          <w:bottom w:val="single" w:sz="4" w:space="0" w:color="D2DADA"/>
          <w:right w:val="single" w:sz="4" w:space="0" w:color="D2DADA"/>
          <w:insideH w:val="single" w:sz="4" w:space="0" w:color="D2DADA"/>
          <w:insideV w:val="single" w:sz="4" w:space="0" w:color="D2DADA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F7EBE3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Source</w:t>
            </w:r>
          </w:p>
        </w:tc>
        <w:tc>
          <w:tcPr>
            <w:tcW w:type="dxa" w:w="4752"/>
            <w:shd w:val="clear" w:color="auto" w:fill="F7EBE3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What it contributes</w:t>
            </w:r>
          </w:p>
        </w:tc>
        <w:tc>
          <w:tcPr>
            <w:tcW w:type="dxa" w:w="2304"/>
            <w:shd w:val="clear" w:color="auto" w:fill="F7EBE3"/>
          </w:tcPr>
          <w:p>
            <w:pPr>
              <w:spacing w:before="40" w:after="40" w:line="276" w:lineRule="auto"/>
            </w:pPr>
            <w:r/>
            <w:r>
              <w:rPr>
                <w:rFonts w:ascii="Consolas" w:hAnsi="Consolas" w:cs="Consolas"/>
                <w:b/>
                <w:i w:val="0"/>
                <w:caps/>
                <w:color w:val="63797F"/>
                <w:sz w:val="17"/>
                <w:spacing w:val="12"/>
              </w:rPr>
              <w:t>What it receives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PubMed / NCBI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Publication count, authorship position, co-author network, publication growth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Name, institution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ClinicalTrials.gov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Trials led or participated in as an investigator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Name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Google Scholar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Citation footprint and guideline authorship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Name, specialty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Practo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Practice location, patient-facing profile, verification signals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Name, city, specialty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/>
                <w:i w:val="0"/>
                <w:caps w:val="0"/>
                <w:color w:val="0F1A1D"/>
                <w:sz w:val="19"/>
              </w:rPr>
              <w:t>LinkedIn discovery</w:t>
            </w:r>
          </w:p>
        </w:tc>
        <w:tc>
          <w:tcPr>
            <w:tcW w:type="dxa" w:w="4752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Current role and headline, used to enrich the profile</w:t>
            </w:r>
          </w:p>
        </w:tc>
        <w:tc>
          <w:tcPr>
            <w:tcW w:type="dxa" w:w="2304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 w:cs="Calibri"/>
                <w:b w:val="0"/>
                <w:i w:val="0"/>
                <w:caps w:val="0"/>
                <w:color w:val="33474D"/>
                <w:sz w:val="19"/>
              </w:rPr>
              <w:t>Name, institution, specialty, city</w:t>
            </w:r>
          </w:p>
        </w:tc>
      </w:tr>
    </w:tbl>
    <w:p>
      <w:pPr>
        <w:spacing w:after="80"/>
      </w:pPr>
    </w:p>
    <w:p>
      <w:pPr>
        <w:keepNext/>
        <w:spacing w:before="440" w:after="40"/>
      </w:pPr>
      <w:r>
        <w:rPr>
          <w:rFonts w:ascii="Consolas" w:hAnsi="Consolas" w:cs="Consolas"/>
          <w:b/>
          <w:i w:val="0"/>
          <w:caps w:val="0"/>
          <w:color w:val="0B6B6B"/>
          <w:sz w:val="26"/>
        </w:rPr>
        <w:t xml:space="preserve">5  </w:t>
      </w:r>
      <w:r>
        <w:rPr>
          <w:rFonts w:ascii="Georgia" w:hAnsi="Georgia" w:cs="Georgia"/>
          <w:b/>
          <w:i w:val="0"/>
          <w:caps w:val="0"/>
          <w:color w:val="0F1A1D"/>
          <w:sz w:val="30"/>
        </w:rPr>
        <w:t>Security controls in place</w:t>
      </w:r>
    </w:p>
    <w:p>
      <w:pPr>
        <w:spacing w:before="0" w:after="80" w:line="300" w:lineRule="auto"/>
      </w:pPr>
      <w:r>
        <w:rPr>
          <w:rFonts w:ascii="Calibri" w:hAnsi="Calibri" w:cs="Calibri"/>
          <w:b w:val="0"/>
          <w:i w:val="0"/>
          <w:caps w:val="0"/>
          <w:color w:val="33474D"/>
          <w:sz w:val="21"/>
        </w:rPr>
        <w:t>The controls governing who can reach assessment data, how it is protected in transit and at rest, and how its use is recorded.</w:t>
      </w:r>
    </w:p>
    <w:p>
      <w:pPr>
        <w:keepNext/>
        <w:spacing w:before="240" w:after="100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Identity &amp; access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Signed session tokens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issued on login, cryptographically verified on every request, expiring after 24 hours.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Passwords stored as bcrypt hashes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never in recoverable form.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Three-tier role model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separating standard users, administrators and super administrators, enforced server-side.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Deactivated accounts are refused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at the point of token validation, so revoking access takes effect immediately.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Automatic sign-out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when a session expires, clearing credentials from the browser.</w:t>
      </w:r>
    </w:p>
    <w:p>
      <w:pPr>
        <w:keepNext/>
        <w:spacing w:before="240" w:after="100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Data protection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Encryption at rest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for stored integration secrets, using authenticated symmetric encryption with a deployment-specific key.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Per-user storage isolation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uploaded CVs are written to separate directories under non-guessable generated filenames.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Upload allowlist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restricting attachments to ten approved document and image formats, with original filenames discarded.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Ownership enforcement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on CV upload and download, so a standard user reaches only their own records.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Record-level filtering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on assessment listings, scoped to the requesting user's own healthcare professionals.</w:t>
      </w:r>
    </w:p>
    <w:p>
      <w:pPr>
        <w:keepNext/>
        <w:spacing w:before="240" w:after="100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Controls specific to AI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Credentials never leave the server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API keys are held in platform configuration and are not exposed to the browser or to end users.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A single controlled gateway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for every model call, giving one place to audit, restrict or switch providers.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Input is bounded before it is sent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CV text is truncated to a fixed ceiling on every route.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Model output is treated as untrusted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every response is parsed and validated, and each score is capped at its configured maximum, so a model cannot inflate a rating.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Timeouts on every call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with defined fallbacks to on-server parsing when a provider is unavailable.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Speech-to-text runs on-server by default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so meeting audio does not leave the platform unless externally hosted transcription is explicitly enabled.</w:t>
      </w:r>
    </w:p>
    <w:p>
      <w:pPr>
        <w:keepNext/>
        <w:spacing w:before="240" w:after="100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Transport &amp; network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TLS 1.2 and 1.3 only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with weak and legacy ciphers disabled.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Origin allowlist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browser requests are accepted only from named application origins, not from arbitrary sites.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Cross-origin isolation headers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applied to the application shell.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Request size ceiling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of 20 MB, bounding what any single upload can consume.</w:t>
      </w:r>
    </w:p>
    <w:p>
      <w:pPr>
        <w:keepNext/>
        <w:spacing w:before="240" w:after="100"/>
      </w:pPr>
      <w:r>
        <w:rPr>
          <w:rFonts w:ascii="Consolas" w:hAnsi="Consolas" w:cs="Consolas"/>
          <w:b/>
          <w:i w:val="0"/>
          <w:caps/>
          <w:color w:val="0B6B6B"/>
          <w:sz w:val="17"/>
          <w:spacing w:val="16"/>
        </w:rPr>
        <w:t>Accountability &amp; traceability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Append-only audit trail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recording who ran each assessment, when, which data sources contributed and the resulting score and tier.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Per-parameter justification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retained with every score, so any rating can be explained after the fact.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Source data preserved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against each parameter, including the publication or trial records a score was derived from.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Human verification workflow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an assessor can review and sign off each scored parameter, with their identity and timestamp recorded.</w:t>
      </w:r>
    </w:p>
    <w:p>
      <w:pPr>
        <w:pStyle w:val="ListBullet"/>
        <w:spacing w:after="100" w:line="288" w:lineRule="auto"/>
        <w:ind w:left="403"/>
      </w:pPr>
      <w:r>
        <w:rPr>
          <w:rFonts w:ascii="Calibri" w:hAnsi="Calibri" w:cs="Calibri"/>
          <w:b/>
          <w:i w:val="0"/>
          <w:caps w:val="0"/>
          <w:color w:val="0F1A1D"/>
          <w:sz w:val="20"/>
        </w:rPr>
        <w:t xml:space="preserve">Assessments are versioned, not overwritten </w:t>
      </w:r>
      <w:r>
        <w:rPr>
          <w:rFonts w:ascii="Calibri" w:hAnsi="Calibri" w:cs="Calibri"/>
          <w:b w:val="0"/>
          <w:i w:val="0"/>
          <w:caps w:val="0"/>
          <w:color w:val="33474D"/>
          <w:sz w:val="20"/>
        </w:rPr>
        <w:t>— each run is stored as a new record, leaving earlier scores intact.</w:t>
      </w:r>
    </w:p>
    <w:p>
      <w:pPr>
        <w:spacing w:before="400" w:after="120"/>
        <w:pBdr>
          <w:bottom w:val="single" w:sz="12" w:space="6" w:color="0F1A1D"/>
        </w:pBdr>
      </w:pPr>
    </w:p>
    <w:p>
      <w:pPr>
        <w:spacing w:before="0" w:after="120" w:line="300" w:lineRule="auto"/>
      </w:pPr>
      <w:r>
        <w:rPr>
          <w:rFonts w:ascii="Calibri" w:hAnsi="Calibri" w:cs="Calibri"/>
          <w:b w:val="0"/>
          <w:i w:val="0"/>
          <w:caps w:val="0"/>
          <w:color w:val="63797F"/>
          <w:sz w:val="18"/>
        </w:rPr>
        <w:t>Prepared for client review, 19 August 2026. Covers the assessments module of the TuraQuant KOL platform as currently deployed.</w:t>
      </w:r>
    </w:p>
    <w:p>
      <w:pPr>
        <w:spacing w:before="0" w:after="0" w:line="300" w:lineRule="auto"/>
      </w:pPr>
      <w:r>
        <w:rPr>
          <w:rFonts w:ascii="Calibri" w:hAnsi="Calibri" w:cs="Calibri"/>
          <w:b w:val="0"/>
          <w:i w:val="0"/>
          <w:caps w:val="0"/>
          <w:color w:val="63797F"/>
          <w:sz w:val="18"/>
        </w:rPr>
        <w:t>AI providers are configured per deployment; the active provider and model can be changed by a platform administrator without code changes. Retention and processing terms for any given provider are governed by the agreement in force with that provider.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47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and Security in KOL Assessments</dc:title>
  <dc:subject>TuraQuant KOL Platform — Assessments Module</dc:subject>
  <dc:creator>python-docx</dc:creator>
  <cp:keywords/>
  <dc:description>Where the KOL assessments module uses AI, what data leaves the platform, and the security controls protecting 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