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0369" w14:textId="77777777" w:rsidR="000C298B" w:rsidRPr="00A335F1" w:rsidRDefault="000C298B" w:rsidP="000C298B">
      <w:pPr>
        <w:pStyle w:val="Title"/>
        <w:jc w:val="center"/>
        <w:rPr>
          <w:lang w:val="en-GB"/>
        </w:rPr>
      </w:pPr>
    </w:p>
    <w:p w14:paraId="16B659D0" w14:textId="77777777" w:rsidR="000C298B" w:rsidRDefault="000C298B" w:rsidP="000C298B">
      <w:pPr>
        <w:pStyle w:val="Title"/>
        <w:jc w:val="center"/>
      </w:pPr>
    </w:p>
    <w:p w14:paraId="5C1B3139" w14:textId="77777777" w:rsidR="000C298B" w:rsidRDefault="000C298B" w:rsidP="000C298B">
      <w:pPr>
        <w:pStyle w:val="Title"/>
        <w:jc w:val="center"/>
      </w:pPr>
    </w:p>
    <w:p w14:paraId="1262583E" w14:textId="77777777" w:rsidR="000C298B" w:rsidRDefault="000C298B" w:rsidP="000C298B">
      <w:pPr>
        <w:pStyle w:val="Title"/>
        <w:jc w:val="center"/>
      </w:pPr>
    </w:p>
    <w:p w14:paraId="676EB55C" w14:textId="77777777" w:rsidR="000C298B" w:rsidRDefault="000C298B" w:rsidP="000C298B">
      <w:pPr>
        <w:pStyle w:val="Title"/>
        <w:jc w:val="center"/>
      </w:pPr>
    </w:p>
    <w:p w14:paraId="689F40AD" w14:textId="77777777" w:rsidR="000C298B" w:rsidRDefault="000C298B" w:rsidP="000C298B">
      <w:pPr>
        <w:pStyle w:val="Title"/>
        <w:jc w:val="center"/>
      </w:pPr>
    </w:p>
    <w:p w14:paraId="34C7331F" w14:textId="77777777" w:rsidR="000C298B" w:rsidRDefault="000C298B" w:rsidP="000C298B">
      <w:pPr>
        <w:pStyle w:val="Title"/>
        <w:jc w:val="center"/>
      </w:pPr>
    </w:p>
    <w:p w14:paraId="58E19067" w14:textId="7ED39170" w:rsidR="000C298B" w:rsidRDefault="000C298B" w:rsidP="004552C9">
      <w:pPr>
        <w:pStyle w:val="Title"/>
        <w:jc w:val="center"/>
      </w:pPr>
      <w:r>
        <w:t>Analysis of “</w:t>
      </w:r>
      <w:r w:rsidR="004552C9">
        <w:t>“</w:t>
      </w:r>
      <w:proofErr w:type="spellStart"/>
      <w:r w:rsidR="004552C9">
        <w:t>theLook</w:t>
      </w:r>
      <w:proofErr w:type="spellEnd"/>
      <w:r w:rsidR="004552C9">
        <w:t>”</w:t>
      </w:r>
      <w:r>
        <w:t xml:space="preserve"> eCommerce” dataset</w:t>
      </w:r>
    </w:p>
    <w:p w14:paraId="1787A2CB" w14:textId="77777777" w:rsidR="000C298B" w:rsidRDefault="000C298B" w:rsidP="000C298B">
      <w:pPr>
        <w:jc w:val="center"/>
      </w:pPr>
    </w:p>
    <w:p w14:paraId="5AC24DC2" w14:textId="77777777" w:rsidR="000C298B" w:rsidRDefault="000C298B" w:rsidP="000C298B">
      <w:pPr>
        <w:jc w:val="center"/>
      </w:pPr>
    </w:p>
    <w:p w14:paraId="5AA66764" w14:textId="77777777" w:rsidR="000C298B" w:rsidRDefault="000C298B" w:rsidP="000C298B">
      <w:pPr>
        <w:jc w:val="center"/>
      </w:pPr>
    </w:p>
    <w:p w14:paraId="7601DC27" w14:textId="77777777" w:rsidR="000C298B" w:rsidRDefault="000C298B" w:rsidP="000C298B">
      <w:pPr>
        <w:jc w:val="center"/>
      </w:pPr>
    </w:p>
    <w:p w14:paraId="65502000" w14:textId="77777777" w:rsidR="000C298B" w:rsidRDefault="000C298B" w:rsidP="000C298B">
      <w:pPr>
        <w:jc w:val="center"/>
      </w:pPr>
    </w:p>
    <w:p w14:paraId="6FA1A4B5" w14:textId="77777777" w:rsidR="000C298B" w:rsidRDefault="000C298B" w:rsidP="000C298B">
      <w:pPr>
        <w:jc w:val="center"/>
      </w:pPr>
    </w:p>
    <w:p w14:paraId="43F53FFE" w14:textId="77777777" w:rsidR="000C298B" w:rsidRDefault="000C298B" w:rsidP="000C298B">
      <w:pPr>
        <w:jc w:val="center"/>
      </w:pPr>
    </w:p>
    <w:p w14:paraId="7618D1D1" w14:textId="77777777" w:rsidR="000C298B" w:rsidRDefault="000C298B" w:rsidP="000C298B">
      <w:pPr>
        <w:jc w:val="center"/>
      </w:pPr>
    </w:p>
    <w:p w14:paraId="09DB7E42" w14:textId="77777777" w:rsidR="000C298B" w:rsidRDefault="000C298B" w:rsidP="000C298B">
      <w:pPr>
        <w:jc w:val="center"/>
      </w:pPr>
    </w:p>
    <w:p w14:paraId="18219C6D" w14:textId="478168C7" w:rsidR="000C298B" w:rsidRDefault="000C298B" w:rsidP="000C298B">
      <w:pPr>
        <w:jc w:val="center"/>
      </w:pPr>
    </w:p>
    <w:p w14:paraId="4A9D7E79" w14:textId="1709BC2E" w:rsidR="000C298B" w:rsidRDefault="000C298B" w:rsidP="000C298B">
      <w:pPr>
        <w:jc w:val="center"/>
      </w:pPr>
    </w:p>
    <w:p w14:paraId="467BADF0" w14:textId="77777777" w:rsidR="000C298B" w:rsidRDefault="000C298B" w:rsidP="000C298B"/>
    <w:p w14:paraId="67B4499D" w14:textId="11CCB1E6" w:rsidR="000C298B" w:rsidRDefault="000C298B" w:rsidP="000C298B">
      <w:pPr>
        <w:jc w:val="center"/>
        <w:rPr>
          <w:szCs w:val="24"/>
        </w:rPr>
      </w:pPr>
      <w:r w:rsidRPr="000C298B">
        <w:rPr>
          <w:szCs w:val="24"/>
        </w:rPr>
        <w:t>Report by Andrius Tunaitis</w:t>
      </w:r>
    </w:p>
    <w:p w14:paraId="74D172A2" w14:textId="1EB3C38E" w:rsidR="000C298B" w:rsidRDefault="000C298B" w:rsidP="000C298B">
      <w:pPr>
        <w:jc w:val="center"/>
        <w:rPr>
          <w:szCs w:val="24"/>
        </w:rPr>
      </w:pPr>
      <w:r>
        <w:rPr>
          <w:szCs w:val="24"/>
        </w:rPr>
        <w:t>2023</w:t>
      </w:r>
    </w:p>
    <w:p w14:paraId="7161E4A4" w14:textId="08355040" w:rsidR="000C298B" w:rsidRDefault="00561F12" w:rsidP="00561F12">
      <w:pPr>
        <w:pStyle w:val="Heading1"/>
      </w:pPr>
      <w:r>
        <w:lastRenderedPageBreak/>
        <w:t>Executive summary</w:t>
      </w:r>
    </w:p>
    <w:p w14:paraId="00545AA8" w14:textId="3F26835F" w:rsidR="009516F3" w:rsidRDefault="009516F3" w:rsidP="009516F3"/>
    <w:p w14:paraId="438AB106" w14:textId="5D773949" w:rsidR="009516F3" w:rsidRDefault="009516F3" w:rsidP="009516F3">
      <w:r>
        <w:t xml:space="preserve">This report analyses the sales and profit results of </w:t>
      </w:r>
      <w:r w:rsidR="004552C9">
        <w:t>“</w:t>
      </w:r>
      <w:proofErr w:type="spellStart"/>
      <w:r w:rsidR="004552C9">
        <w:t>theLook</w:t>
      </w:r>
      <w:proofErr w:type="spellEnd"/>
      <w:r w:rsidR="004552C9">
        <w:t>”</w:t>
      </w:r>
      <w:r w:rsidR="00567D67">
        <w:t xml:space="preserve"> eCommerce company. </w:t>
      </w:r>
      <w:r w:rsidR="006C5DC2">
        <w:t xml:space="preserve">Both sales and profit grew by 101 % </w:t>
      </w:r>
      <w:r w:rsidR="00FA3F62">
        <w:t>in 2022 when compared to 2021. Profit margin remained almost stable as it grew by just 0.2 % in 2022 compared to 2021.</w:t>
      </w:r>
    </w:p>
    <w:p w14:paraId="2FE141FF" w14:textId="574B4CF1" w:rsidR="00567D67" w:rsidRDefault="00567D67" w:rsidP="009516F3">
      <w:r>
        <w:t xml:space="preserve">Moreover RFM (recency, frequency, monetary) analysis is carried out </w:t>
      </w:r>
      <w:proofErr w:type="gramStart"/>
      <w:r>
        <w:t>in order to</w:t>
      </w:r>
      <w:proofErr w:type="gramEnd"/>
      <w:r>
        <w:t xml:space="preserve"> separate our user segments. Most valuable and perspective segments are identified and action plans for those specific user groups are introduced.</w:t>
      </w:r>
      <w:r w:rsidR="004552C9">
        <w:t xml:space="preserve"> More specifically, we have a strong “champion” and weak “loyal” segment while the “at risk” segment should be given much attention to reactivate it.</w:t>
      </w:r>
    </w:p>
    <w:p w14:paraId="7021E374" w14:textId="24079B02" w:rsidR="00567D67" w:rsidRPr="009516F3" w:rsidRDefault="00567D67" w:rsidP="009516F3">
      <w:r>
        <w:t>Finally, user journey is researched by analyzing the customer funnel.</w:t>
      </w:r>
      <w:r w:rsidR="00FA3F62">
        <w:t xml:space="preserve"> The purchase funnel has been improving through the years.</w:t>
      </w:r>
      <w:r w:rsidR="00744B53">
        <w:t xml:space="preserve"> The percentages of the funnel seem to be quite uniform for different traffic sources and browsers.</w:t>
      </w:r>
    </w:p>
    <w:p w14:paraId="7C9EF69D" w14:textId="18A0E72A" w:rsidR="009802F3" w:rsidRDefault="00561F12" w:rsidP="009802F3">
      <w:pPr>
        <w:pStyle w:val="Heading1"/>
      </w:pPr>
      <w:r>
        <w:t>Introduction</w:t>
      </w:r>
    </w:p>
    <w:p w14:paraId="6FD0F259" w14:textId="77777777" w:rsidR="009802F3" w:rsidRPr="009802F3" w:rsidRDefault="009802F3" w:rsidP="009802F3"/>
    <w:p w14:paraId="236D347E" w14:textId="6DB8AC8F" w:rsidR="009802F3" w:rsidRDefault="004552C9" w:rsidP="009802F3">
      <w:pPr>
        <w:rPr>
          <w:szCs w:val="24"/>
        </w:rPr>
      </w:pPr>
      <w:r>
        <w:rPr>
          <w:szCs w:val="24"/>
        </w:rPr>
        <w:t>“</w:t>
      </w:r>
      <w:proofErr w:type="spellStart"/>
      <w:r>
        <w:rPr>
          <w:szCs w:val="24"/>
        </w:rPr>
        <w:t>theLook</w:t>
      </w:r>
      <w:proofErr w:type="spellEnd"/>
      <w:r>
        <w:rPr>
          <w:szCs w:val="24"/>
        </w:rPr>
        <w:t>”</w:t>
      </w:r>
      <w:r w:rsidR="009802F3">
        <w:rPr>
          <w:szCs w:val="24"/>
        </w:rPr>
        <w:t xml:space="preserve"> is a fictitious eCommerce clothing site developed by the Looker team. </w:t>
      </w:r>
      <w:r w:rsidR="009802F3" w:rsidRPr="009802F3">
        <w:rPr>
          <w:szCs w:val="24"/>
        </w:rPr>
        <w:t xml:space="preserve">The dataset contains information about customers, products, orders, logistics, web events and digital marketing campaigns. The contents of this dataset are </w:t>
      </w:r>
      <w:proofErr w:type="gramStart"/>
      <w:r w:rsidR="009802F3" w:rsidRPr="009802F3">
        <w:rPr>
          <w:szCs w:val="24"/>
        </w:rPr>
        <w:t>synthetic, and</w:t>
      </w:r>
      <w:proofErr w:type="gramEnd"/>
      <w:r w:rsidR="009802F3" w:rsidRPr="009802F3">
        <w:rPr>
          <w:szCs w:val="24"/>
        </w:rPr>
        <w:t xml:space="preserve"> are provided to industry practitioners for the purpose of product discovery, testing, and evaluation.</w:t>
      </w:r>
    </w:p>
    <w:p w14:paraId="050ABE5B" w14:textId="75127EE4" w:rsidR="009516F3" w:rsidRPr="009802F3" w:rsidRDefault="009802F3" w:rsidP="009802F3">
      <w:pPr>
        <w:rPr>
          <w:szCs w:val="24"/>
        </w:rPr>
      </w:pPr>
      <w:r>
        <w:rPr>
          <w:szCs w:val="24"/>
        </w:rPr>
        <w:t xml:space="preserve">This dataset is comprised of seven tables: distribution centers, events, inventory items, order items, orders, </w:t>
      </w:r>
      <w:proofErr w:type="gramStart"/>
      <w:r>
        <w:rPr>
          <w:szCs w:val="24"/>
        </w:rPr>
        <w:t>products</w:t>
      </w:r>
      <w:proofErr w:type="gramEnd"/>
      <w:r>
        <w:rPr>
          <w:szCs w:val="24"/>
        </w:rPr>
        <w:t xml:space="preserve"> and users. </w:t>
      </w:r>
      <w:r w:rsidR="009516F3">
        <w:rPr>
          <w:szCs w:val="24"/>
        </w:rPr>
        <w:t>The data starts at the beginning of 2019 and is being updated until today. Tables contain data about location of distribution centers, user details, information about orders, inventory descriptions and a lot more specific information.</w:t>
      </w:r>
    </w:p>
    <w:p w14:paraId="4BDB30D0" w14:textId="23571E87" w:rsidR="009802F3" w:rsidRPr="008E1FC2" w:rsidRDefault="009802F3" w:rsidP="00561F12">
      <w:pPr>
        <w:pStyle w:val="Heading1"/>
      </w:pPr>
      <w:r w:rsidRPr="008E1FC2">
        <w:t>Dashboard</w:t>
      </w:r>
    </w:p>
    <w:p w14:paraId="603ADF3B" w14:textId="4D92D17F" w:rsidR="00567D67" w:rsidRPr="008E1FC2" w:rsidRDefault="00567D67" w:rsidP="00567D67"/>
    <w:p w14:paraId="147BC0AB" w14:textId="405B67CB" w:rsidR="00567D67" w:rsidRPr="008E1FC2" w:rsidRDefault="00567D67" w:rsidP="00567D67">
      <w:proofErr w:type="gramStart"/>
      <w:r w:rsidRPr="008E1FC2">
        <w:t>In order to</w:t>
      </w:r>
      <w:proofErr w:type="gramEnd"/>
      <w:r w:rsidRPr="008E1FC2">
        <w:t xml:space="preserve"> explore the dataset more easily, first of all a </w:t>
      </w:r>
      <w:hyperlink r:id="rId7" w:history="1">
        <w:r w:rsidRPr="008E1FC2">
          <w:rPr>
            <w:rStyle w:val="Hyperlink"/>
            <w:color w:val="auto"/>
          </w:rPr>
          <w:t>dashb</w:t>
        </w:r>
        <w:r w:rsidRPr="008E1FC2">
          <w:rPr>
            <w:rStyle w:val="Hyperlink"/>
            <w:color w:val="auto"/>
          </w:rPr>
          <w:t>o</w:t>
        </w:r>
        <w:r w:rsidRPr="008E1FC2">
          <w:rPr>
            <w:rStyle w:val="Hyperlink"/>
            <w:color w:val="auto"/>
          </w:rPr>
          <w:t>ard</w:t>
        </w:r>
      </w:hyperlink>
      <w:r w:rsidRPr="008E1FC2">
        <w:t xml:space="preserve"> was developed. This dashboard consists of four pages (Monetization</w:t>
      </w:r>
      <w:r w:rsidR="00CD5281" w:rsidRPr="008E1FC2">
        <w:t>, distribution centers, purchase funnel and RFM).</w:t>
      </w:r>
    </w:p>
    <w:p w14:paraId="0DA99AEF" w14:textId="71211747" w:rsidR="00CD5281" w:rsidRDefault="00CD5281" w:rsidP="00567D67">
      <w:proofErr w:type="gramStart"/>
      <w:r w:rsidRPr="008E1FC2">
        <w:t>Monetization</w:t>
      </w:r>
      <w:proofErr w:type="gramEnd"/>
      <w:r w:rsidRPr="008E1FC2">
        <w:t xml:space="preserve"> part </w:t>
      </w:r>
      <w:proofErr w:type="gramStart"/>
      <w:r w:rsidR="008E1FC2" w:rsidRPr="008E1FC2">
        <w:t>consists</w:t>
      </w:r>
      <w:proofErr w:type="gramEnd"/>
      <w:r w:rsidR="008E1FC2" w:rsidRPr="008E1FC2">
        <w:t xml:space="preserve"> KPIs (Total sales, profit, profit margin, average order value and number of orders). This page also has monthly profit, </w:t>
      </w:r>
      <w:proofErr w:type="gramStart"/>
      <w:r w:rsidR="008E1FC2" w:rsidRPr="008E1FC2">
        <w:t>sales</w:t>
      </w:r>
      <w:proofErr w:type="gramEnd"/>
      <w:r w:rsidR="008E1FC2" w:rsidRPr="008E1FC2">
        <w:t xml:space="preserve"> and orders graphs. There is also </w:t>
      </w:r>
      <w:proofErr w:type="gramStart"/>
      <w:r w:rsidR="008E1FC2" w:rsidRPr="008E1FC2">
        <w:t>country</w:t>
      </w:r>
      <w:proofErr w:type="gramEnd"/>
      <w:r w:rsidR="008E1FC2" w:rsidRPr="008E1FC2">
        <w:t xml:space="preserve"> table, </w:t>
      </w:r>
      <w:proofErr w:type="spellStart"/>
      <w:r w:rsidR="008E1FC2" w:rsidRPr="008E1FC2">
        <w:t>geochart</w:t>
      </w:r>
      <w:proofErr w:type="spellEnd"/>
      <w:r w:rsidR="008E1FC2" w:rsidRPr="008E1FC2">
        <w:t xml:space="preserve"> and categories </w:t>
      </w:r>
      <w:proofErr w:type="spellStart"/>
      <w:r w:rsidR="008E1FC2" w:rsidRPr="008E1FC2">
        <w:t>treemap</w:t>
      </w:r>
      <w:proofErr w:type="spellEnd"/>
      <w:r w:rsidR="008E1FC2" w:rsidRPr="008E1FC2">
        <w:t xml:space="preserve">. The monetization page can be filtered by date, department, </w:t>
      </w:r>
      <w:proofErr w:type="gramStart"/>
      <w:r w:rsidR="008E1FC2" w:rsidRPr="008E1FC2">
        <w:t>category</w:t>
      </w:r>
      <w:proofErr w:type="gramEnd"/>
      <w:r w:rsidR="008E1FC2" w:rsidRPr="008E1FC2">
        <w:t xml:space="preserve"> and </w:t>
      </w:r>
      <w:r w:rsidR="004552C9" w:rsidRPr="008E1FC2">
        <w:t>user’s</w:t>
      </w:r>
      <w:r w:rsidR="008E1FC2" w:rsidRPr="008E1FC2">
        <w:t xml:space="preserve"> age.</w:t>
      </w:r>
    </w:p>
    <w:p w14:paraId="48CE51B8" w14:textId="22B51513" w:rsidR="008E1FC2" w:rsidRDefault="008E1FC2" w:rsidP="00567D67">
      <w:r>
        <w:t xml:space="preserve">The distribution centers page was developed </w:t>
      </w:r>
      <w:proofErr w:type="gramStart"/>
      <w:r>
        <w:t>in order to</w:t>
      </w:r>
      <w:proofErr w:type="gramEnd"/>
      <w:r>
        <w:t xml:space="preserve"> explore data and search for insights for different distribution centers. There are 10 distribution centers and all of them </w:t>
      </w:r>
      <w:proofErr w:type="gramStart"/>
      <w:r>
        <w:t>are located in</w:t>
      </w:r>
      <w:proofErr w:type="gramEnd"/>
      <w:r>
        <w:t xml:space="preserve"> </w:t>
      </w:r>
      <w:proofErr w:type="gramStart"/>
      <w:r>
        <w:lastRenderedPageBreak/>
        <w:t>USA</w:t>
      </w:r>
      <w:proofErr w:type="gramEnd"/>
      <w:r>
        <w:t xml:space="preserve">. This page has a distribution center table, </w:t>
      </w:r>
      <w:proofErr w:type="spellStart"/>
      <w:r>
        <w:t>geochart</w:t>
      </w:r>
      <w:proofErr w:type="spellEnd"/>
      <w:r>
        <w:t>, units sold timeline chart, units sold distribution chart, days stayed at center, units at center</w:t>
      </w:r>
      <w:r w:rsidR="001F7534">
        <w:t xml:space="preserve"> and units sold per center graphs.</w:t>
      </w:r>
    </w:p>
    <w:p w14:paraId="17F63253" w14:textId="7FB0960B" w:rsidR="001F7534" w:rsidRDefault="001F7534" w:rsidP="00567D67">
      <w:r>
        <w:t>The third page in the dashboard is for funnel analysis. It is possible to filter purchase funnel by date, traffic source, browser and state selected in map.</w:t>
      </w:r>
    </w:p>
    <w:p w14:paraId="347920AE" w14:textId="721F95BC" w:rsidR="001F7534" w:rsidRPr="008E1FC2" w:rsidRDefault="001F7534" w:rsidP="00567D67">
      <w:r>
        <w:t xml:space="preserve">The last page in the dashboard is the RFM analysis. There we can see the bubble graph with different segments and a table with recency, </w:t>
      </w:r>
      <w:proofErr w:type="gramStart"/>
      <w:r>
        <w:t>frequency</w:t>
      </w:r>
      <w:proofErr w:type="gramEnd"/>
      <w:r>
        <w:t xml:space="preserve"> and monetary values.</w:t>
      </w:r>
    </w:p>
    <w:p w14:paraId="7949C06A" w14:textId="75EDFD19" w:rsidR="00561F12" w:rsidRDefault="00561F12" w:rsidP="00561F12">
      <w:pPr>
        <w:pStyle w:val="Heading1"/>
      </w:pPr>
      <w:r>
        <w:t>Sales analysis</w:t>
      </w:r>
    </w:p>
    <w:p w14:paraId="46138F7C" w14:textId="77777777" w:rsidR="00FB1B58" w:rsidRPr="00FB1B58" w:rsidRDefault="00FB1B58" w:rsidP="00FB1B58"/>
    <w:p w14:paraId="7A2CB09A" w14:textId="4E975CFD" w:rsidR="00FB1B58" w:rsidRDefault="00FB1B58" w:rsidP="00FB1B58">
      <w:r w:rsidRPr="00FB1B58">
        <w:t xml:space="preserve">The dataset </w:t>
      </w:r>
      <w:r w:rsidR="002D6FA9" w:rsidRPr="00FB1B58">
        <w:t>consists of</w:t>
      </w:r>
      <w:r w:rsidRPr="00FB1B58">
        <w:t xml:space="preserve"> such sales information as cost of a product and its retail price. Having these parameters, it is possible to calculate and analyze revenue, profit, profit margin etc.</w:t>
      </w:r>
      <w:r>
        <w:t xml:space="preserve"> The comparison of the results for </w:t>
      </w:r>
      <w:r w:rsidR="002D6FA9">
        <w:t>the year</w:t>
      </w:r>
      <w:r>
        <w:t xml:space="preserve"> 2022 vs 2021 can be seen in table 1. </w:t>
      </w:r>
    </w:p>
    <w:p w14:paraId="060BA680" w14:textId="39E96978" w:rsidR="00320400" w:rsidRDefault="00320400" w:rsidP="00320400">
      <w:pPr>
        <w:pStyle w:val="Caption"/>
        <w:keepNext/>
      </w:pPr>
      <w:r>
        <w:t xml:space="preserve">Table </w:t>
      </w:r>
      <w:fldSimple w:instr=" SEQ Table \* ARABIC ">
        <w:r w:rsidR="0047347F">
          <w:rPr>
            <w:noProof/>
          </w:rPr>
          <w:t>1</w:t>
        </w:r>
      </w:fldSimple>
      <w:r>
        <w:t xml:space="preserve"> Monthly sales results for year 2022 vs. 2021.</w:t>
      </w:r>
    </w:p>
    <w:p w14:paraId="08B44019" w14:textId="1AF12C0A" w:rsidR="00320400" w:rsidRDefault="00320400" w:rsidP="00FB1B58">
      <w:r w:rsidRPr="00FB1B58">
        <w:rPr>
          <w:noProof/>
        </w:rPr>
        <w:drawing>
          <wp:inline distT="0" distB="0" distL="0" distR="0" wp14:anchorId="613FB9C1" wp14:editId="64C5FFBF">
            <wp:extent cx="5943600" cy="210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80E4" w14:textId="1DE523B3" w:rsidR="000E6204" w:rsidRDefault="00320400" w:rsidP="00FB1B58">
      <w:r>
        <w:t>Overall,</w:t>
      </w:r>
      <w:r w:rsidR="000E6204">
        <w:t xml:space="preserve"> we can see that sales and profit in 2022 grew by 101 % and profit margin increased by 0.2 %. When looking at the numbers </w:t>
      </w:r>
      <w:r w:rsidR="002D6FA9">
        <w:t>monthly</w:t>
      </w:r>
      <w:r w:rsidR="000E6204">
        <w:t xml:space="preserve">, every month sales and profit in 2022 increased compared to 2021. </w:t>
      </w:r>
    </w:p>
    <w:p w14:paraId="09E6E592" w14:textId="575D51DE" w:rsidR="000E6204" w:rsidRDefault="000E6204" w:rsidP="00FB1B58">
      <w:r>
        <w:t xml:space="preserve">The smallest growth </w:t>
      </w:r>
      <w:r w:rsidR="006A620A">
        <w:t xml:space="preserve">of sales and profit </w:t>
      </w:r>
      <w:r>
        <w:t>was</w:t>
      </w:r>
      <w:r w:rsidR="006A620A">
        <w:t xml:space="preserve"> in 2022 Q1 and </w:t>
      </w:r>
      <w:r w:rsidR="0000499E">
        <w:t>July</w:t>
      </w:r>
      <w:r w:rsidR="006A620A">
        <w:t>. The smallest growth for sales and profit (81 %) is still very high compared to US ecommerce sales growth (7.4 %)</w:t>
      </w:r>
      <w:r w:rsidR="0000499E">
        <w:rPr>
          <w:rStyle w:val="FootnoteReference"/>
        </w:rPr>
        <w:footnoteReference w:id="1"/>
      </w:r>
      <w:r w:rsidR="006A620A">
        <w:t xml:space="preserve">. </w:t>
      </w:r>
      <w:r>
        <w:t xml:space="preserve">December was the best month for 2022 and 2021 sales, profit, sales </w:t>
      </w:r>
      <w:proofErr w:type="gramStart"/>
      <w:r>
        <w:t>growth</w:t>
      </w:r>
      <w:proofErr w:type="gramEnd"/>
      <w:r>
        <w:t xml:space="preserve"> and profit growth.</w:t>
      </w:r>
    </w:p>
    <w:p w14:paraId="04E2DC3D" w14:textId="7FE501E0" w:rsidR="0000499E" w:rsidRDefault="0000499E" w:rsidP="00FB1B58">
      <w:r>
        <w:t xml:space="preserve">The biggest growth of sales and profit was in 2022 Q4 and August. Both sales and profit grew by 127 % in December. This shows that </w:t>
      </w:r>
      <w:r w:rsidR="004552C9">
        <w:t>“</w:t>
      </w:r>
      <w:proofErr w:type="spellStart"/>
      <w:r w:rsidR="004552C9">
        <w:t>theLook</w:t>
      </w:r>
      <w:proofErr w:type="spellEnd"/>
      <w:r w:rsidR="004552C9">
        <w:t>”</w:t>
      </w:r>
      <w:r>
        <w:t xml:space="preserve"> business is growing very fast as sales and profit more than doubled in a year.</w:t>
      </w:r>
    </w:p>
    <w:p w14:paraId="2C5932E9" w14:textId="196F74E6" w:rsidR="00320400" w:rsidRDefault="0000499E" w:rsidP="00FB1B58">
      <w:r>
        <w:lastRenderedPageBreak/>
        <w:t xml:space="preserve">A different story is seen when looking at the profit margin. There were four months (April, July, </w:t>
      </w:r>
      <w:proofErr w:type="gramStart"/>
      <w:r>
        <w:t>September</w:t>
      </w:r>
      <w:proofErr w:type="gramEnd"/>
      <w:r>
        <w:t xml:space="preserve"> and November) when profit margin was smaller in 2022 compared to 2021. </w:t>
      </w:r>
      <w:r w:rsidR="00320400">
        <w:t>Overall,</w:t>
      </w:r>
      <w:r>
        <w:t xml:space="preserve"> in 2022 we saw a small increase in profit margin as it grew by 0.2 % to 51.9 %.</w:t>
      </w:r>
      <w:r w:rsidR="00E91EFF">
        <w:t xml:space="preserve"> </w:t>
      </w:r>
      <w:r w:rsidR="002D6FA9">
        <w:t>Even though</w:t>
      </w:r>
      <w:r w:rsidR="00E91EFF">
        <w:t xml:space="preserve"> the profit margin is not growing it still looks </w:t>
      </w:r>
      <w:proofErr w:type="gramStart"/>
      <w:r w:rsidR="00E91EFF">
        <w:t>pretty healthy</w:t>
      </w:r>
      <w:proofErr w:type="gramEnd"/>
      <w:r w:rsidR="00E91EFF">
        <w:t xml:space="preserve"> well above the average in ecommerce (41.54%)</w:t>
      </w:r>
      <w:r w:rsidR="00E91EFF">
        <w:rPr>
          <w:rStyle w:val="FootnoteReference"/>
        </w:rPr>
        <w:footnoteReference w:id="2"/>
      </w:r>
      <w:r w:rsidR="00E91EFF">
        <w:t>.</w:t>
      </w:r>
    </w:p>
    <w:p w14:paraId="18E5BEDF" w14:textId="2001B6CF" w:rsidR="00320400" w:rsidRDefault="00320400" w:rsidP="00FB1B58">
      <w:r>
        <w:t xml:space="preserve">All in all, it can be said that </w:t>
      </w:r>
      <w:r w:rsidR="004552C9">
        <w:t>“</w:t>
      </w:r>
      <w:proofErr w:type="spellStart"/>
      <w:r w:rsidR="004552C9">
        <w:t>theLook</w:t>
      </w:r>
      <w:proofErr w:type="spellEnd"/>
      <w:r w:rsidR="004552C9">
        <w:t>”</w:t>
      </w:r>
      <w:r>
        <w:t xml:space="preserve"> business is performing well </w:t>
      </w:r>
      <w:proofErr w:type="gramStart"/>
      <w:r>
        <w:t xml:space="preserve">in regard </w:t>
      </w:r>
      <w:r w:rsidR="002D6FA9">
        <w:t>to</w:t>
      </w:r>
      <w:proofErr w:type="gramEnd"/>
      <w:r>
        <w:t xml:space="preserve"> sales and profit. It has a high growth rate of sales and profit and a healthy profit margin value.</w:t>
      </w:r>
    </w:p>
    <w:p w14:paraId="491B3694" w14:textId="7CE107A4" w:rsidR="00561F12" w:rsidRDefault="00561F12" w:rsidP="00561F12">
      <w:pPr>
        <w:pStyle w:val="Heading1"/>
      </w:pPr>
      <w:r>
        <w:t>RFM analysis</w:t>
      </w:r>
    </w:p>
    <w:p w14:paraId="5FEF12A4" w14:textId="71AB055A" w:rsidR="00320400" w:rsidRDefault="00320400" w:rsidP="00320400"/>
    <w:p w14:paraId="48F93D7D" w14:textId="4C1654E0" w:rsidR="00320400" w:rsidRDefault="00320400" w:rsidP="00320400">
      <w:proofErr w:type="gramStart"/>
      <w:r>
        <w:t>In order to</w:t>
      </w:r>
      <w:proofErr w:type="gramEnd"/>
      <w:r>
        <w:t xml:space="preserve"> analyze the results of </w:t>
      </w:r>
      <w:r w:rsidR="004137B3">
        <w:t>the company</w:t>
      </w:r>
      <w:r>
        <w:t xml:space="preserve"> on a customer level RFM analysis was carried out. Customers were </w:t>
      </w:r>
      <w:r w:rsidR="004137B3">
        <w:t>divided into 7 categories: champion, loyal, promising,</w:t>
      </w:r>
      <w:r w:rsidR="004137B3" w:rsidRPr="004137B3">
        <w:t xml:space="preserve"> </w:t>
      </w:r>
      <w:r w:rsidR="004137B3">
        <w:t>at risk, about to sleep, hibernating, lost. The results can be seen in table 2.</w:t>
      </w:r>
    </w:p>
    <w:p w14:paraId="7238A0DB" w14:textId="7D0226E6" w:rsidR="004137B3" w:rsidRDefault="004137B3" w:rsidP="004137B3">
      <w:pPr>
        <w:pStyle w:val="Caption"/>
        <w:keepNext/>
      </w:pPr>
      <w:r>
        <w:t xml:space="preserve">Table </w:t>
      </w:r>
      <w:fldSimple w:instr=" SEQ Table \* ARABIC ">
        <w:r w:rsidR="0047347F">
          <w:rPr>
            <w:noProof/>
          </w:rPr>
          <w:t>2</w:t>
        </w:r>
      </w:fldSimple>
      <w:r>
        <w:t xml:space="preserve"> RFM segments.</w:t>
      </w:r>
      <w:r w:rsidR="00A335F1">
        <w:t xml:space="preserve"> 2023 04 04</w:t>
      </w:r>
    </w:p>
    <w:p w14:paraId="11B5294E" w14:textId="6A682693" w:rsidR="004137B3" w:rsidRDefault="004137B3" w:rsidP="00320400">
      <w:r>
        <w:rPr>
          <w:noProof/>
        </w:rPr>
        <w:drawing>
          <wp:inline distT="0" distB="0" distL="0" distR="0" wp14:anchorId="20202184" wp14:editId="070DD45C">
            <wp:extent cx="5943600" cy="1574800"/>
            <wp:effectExtent l="0" t="0" r="0" b="6350"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C100" w14:textId="3C849C58" w:rsidR="00122F89" w:rsidRDefault="00122F89" w:rsidP="00320400">
      <w:r>
        <w:t>It can be seen that a large proportion of users belong to the “at risk”, “hibernating” and “about to sleep” segments. The most important of these groups is “at risk” as it has a high monetary value. The average order value of this segment is 176 $ which is second, the biggest value (274 $) being “champion.</w:t>
      </w:r>
      <w:r w:rsidR="003C2127">
        <w:t xml:space="preserve"> We need to figure out ways to convert these users to “loyal” or even “champion”.</w:t>
      </w:r>
    </w:p>
    <w:p w14:paraId="4FBA6369" w14:textId="05537FC9" w:rsidR="003C2127" w:rsidRDefault="003C2127" w:rsidP="00320400">
      <w:r>
        <w:t xml:space="preserve">There are a lot of different ways to engage with these customers. You can have special offers, rewards systems, use upselling techniques, recommend specific products, offer discounts, send e-mail offers etc. A list of specific </w:t>
      </w:r>
      <w:proofErr w:type="gramStart"/>
      <w:r>
        <w:t>segment</w:t>
      </w:r>
      <w:proofErr w:type="gramEnd"/>
      <w:r>
        <w:t xml:space="preserve"> tailored actionable tips can be seen in table 3.</w:t>
      </w:r>
    </w:p>
    <w:p w14:paraId="6F5A0215" w14:textId="799B9453" w:rsidR="003C2127" w:rsidRDefault="003C2127" w:rsidP="003C2127">
      <w:pPr>
        <w:pStyle w:val="Caption"/>
      </w:pPr>
      <w:r>
        <w:t xml:space="preserve">Table </w:t>
      </w:r>
      <w:fldSimple w:instr=" SEQ Table \* ARABIC ">
        <w:r w:rsidR="0047347F">
          <w:rPr>
            <w:noProof/>
          </w:rPr>
          <w:t>3</w:t>
        </w:r>
      </w:fldSimple>
      <w:r>
        <w:t xml:space="preserve"> Actionable tips for each customer segment.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2127" w:rsidRPr="003C2127" w14:paraId="420A2D59" w14:textId="77777777" w:rsidTr="002572C5">
        <w:tc>
          <w:tcPr>
            <w:tcW w:w="4675" w:type="dxa"/>
          </w:tcPr>
          <w:p w14:paraId="5DBD4452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Segment</w:t>
            </w:r>
          </w:p>
        </w:tc>
        <w:tc>
          <w:tcPr>
            <w:tcW w:w="4675" w:type="dxa"/>
          </w:tcPr>
          <w:p w14:paraId="40F2EA10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Tip</w:t>
            </w:r>
          </w:p>
        </w:tc>
      </w:tr>
      <w:tr w:rsidR="003C2127" w:rsidRPr="003C2127" w14:paraId="168714EA" w14:textId="77777777" w:rsidTr="002572C5">
        <w:tc>
          <w:tcPr>
            <w:tcW w:w="4675" w:type="dxa"/>
          </w:tcPr>
          <w:p w14:paraId="1B7A7864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Champion</w:t>
            </w:r>
          </w:p>
        </w:tc>
        <w:tc>
          <w:tcPr>
            <w:tcW w:w="4675" w:type="dxa"/>
          </w:tcPr>
          <w:p w14:paraId="44694BA0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Introduce new products for them, include to a rewards system.</w:t>
            </w:r>
          </w:p>
        </w:tc>
      </w:tr>
      <w:tr w:rsidR="003C2127" w:rsidRPr="003C2127" w14:paraId="58F6B7B2" w14:textId="77777777" w:rsidTr="002572C5">
        <w:tc>
          <w:tcPr>
            <w:tcW w:w="4675" w:type="dxa"/>
          </w:tcPr>
          <w:p w14:paraId="573A1C0A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lastRenderedPageBreak/>
              <w:t>Loyal</w:t>
            </w:r>
          </w:p>
        </w:tc>
        <w:tc>
          <w:tcPr>
            <w:tcW w:w="4675" w:type="dxa"/>
          </w:tcPr>
          <w:p w14:paraId="6B528CF6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Upsell, include to a rewards system.</w:t>
            </w:r>
          </w:p>
        </w:tc>
      </w:tr>
      <w:tr w:rsidR="003C2127" w:rsidRPr="003C2127" w14:paraId="2967EA2A" w14:textId="77777777" w:rsidTr="002572C5">
        <w:tc>
          <w:tcPr>
            <w:tcW w:w="4675" w:type="dxa"/>
          </w:tcPr>
          <w:p w14:paraId="0BF20B19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Promising</w:t>
            </w:r>
          </w:p>
        </w:tc>
        <w:tc>
          <w:tcPr>
            <w:tcW w:w="4675" w:type="dxa"/>
          </w:tcPr>
          <w:p w14:paraId="5FA072FB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Introduce to a rewards system.</w:t>
            </w:r>
          </w:p>
        </w:tc>
      </w:tr>
      <w:tr w:rsidR="003C2127" w:rsidRPr="003C2127" w14:paraId="1F518975" w14:textId="77777777" w:rsidTr="002572C5">
        <w:tc>
          <w:tcPr>
            <w:tcW w:w="4675" w:type="dxa"/>
          </w:tcPr>
          <w:p w14:paraId="128F2514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At risk</w:t>
            </w:r>
          </w:p>
        </w:tc>
        <w:tc>
          <w:tcPr>
            <w:tcW w:w="4675" w:type="dxa"/>
          </w:tcPr>
          <w:p w14:paraId="188E1F40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Recommend on previous purchases, offer discounts, limited time offers.</w:t>
            </w:r>
          </w:p>
        </w:tc>
      </w:tr>
      <w:tr w:rsidR="003C2127" w:rsidRPr="003C2127" w14:paraId="75CE74AC" w14:textId="77777777" w:rsidTr="002572C5">
        <w:tc>
          <w:tcPr>
            <w:tcW w:w="4675" w:type="dxa"/>
          </w:tcPr>
          <w:p w14:paraId="1613119E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About to sleep</w:t>
            </w:r>
          </w:p>
        </w:tc>
        <w:tc>
          <w:tcPr>
            <w:tcW w:w="4675" w:type="dxa"/>
          </w:tcPr>
          <w:p w14:paraId="74979224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Recommend popular products, offer discounts.</w:t>
            </w:r>
          </w:p>
        </w:tc>
      </w:tr>
      <w:tr w:rsidR="003C2127" w:rsidRPr="003C2127" w14:paraId="5E3D805E" w14:textId="77777777" w:rsidTr="002572C5">
        <w:tc>
          <w:tcPr>
            <w:tcW w:w="4675" w:type="dxa"/>
          </w:tcPr>
          <w:p w14:paraId="0C5EE598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Hibernating</w:t>
            </w:r>
          </w:p>
        </w:tc>
        <w:tc>
          <w:tcPr>
            <w:tcW w:w="4675" w:type="dxa"/>
          </w:tcPr>
          <w:p w14:paraId="2F9ABC7B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Offer discounts.</w:t>
            </w:r>
          </w:p>
        </w:tc>
      </w:tr>
      <w:tr w:rsidR="003C2127" w:rsidRPr="003C2127" w14:paraId="04AB8BAD" w14:textId="77777777" w:rsidTr="002572C5">
        <w:tc>
          <w:tcPr>
            <w:tcW w:w="4675" w:type="dxa"/>
          </w:tcPr>
          <w:p w14:paraId="78726D23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Lost</w:t>
            </w:r>
          </w:p>
        </w:tc>
        <w:tc>
          <w:tcPr>
            <w:tcW w:w="4675" w:type="dxa"/>
          </w:tcPr>
          <w:p w14:paraId="58D1D37F" w14:textId="77777777" w:rsidR="003C2127" w:rsidRPr="003C2127" w:rsidRDefault="003C2127" w:rsidP="003C2127">
            <w:pPr>
              <w:rPr>
                <w:sz w:val="22"/>
              </w:rPr>
            </w:pPr>
            <w:r w:rsidRPr="003C2127">
              <w:rPr>
                <w:sz w:val="22"/>
              </w:rPr>
              <w:t>Send e-mails to reach out.</w:t>
            </w:r>
          </w:p>
        </w:tc>
      </w:tr>
    </w:tbl>
    <w:p w14:paraId="3170B12A" w14:textId="77777777" w:rsidR="003C2127" w:rsidRPr="00320400" w:rsidRDefault="003C2127" w:rsidP="00320400"/>
    <w:p w14:paraId="445D94D6" w14:textId="2F54A87D" w:rsidR="00561F12" w:rsidRDefault="00561F12" w:rsidP="00CD5281">
      <w:pPr>
        <w:pStyle w:val="Heading1"/>
      </w:pPr>
      <w:r>
        <w:t>Funnel analysis</w:t>
      </w:r>
    </w:p>
    <w:p w14:paraId="5DD08B31" w14:textId="2478B117" w:rsidR="008803B1" w:rsidRDefault="008803B1" w:rsidP="008803B1"/>
    <w:p w14:paraId="70F1D5FB" w14:textId="2775CC5B" w:rsidR="006C5DC2" w:rsidRDefault="004552C9" w:rsidP="008803B1">
      <w:r>
        <w:t>“</w:t>
      </w:r>
      <w:proofErr w:type="spellStart"/>
      <w:r>
        <w:t>theLook</w:t>
      </w:r>
      <w:proofErr w:type="spellEnd"/>
      <w:r>
        <w:t>”</w:t>
      </w:r>
      <w:r w:rsidR="008803B1">
        <w:t xml:space="preserve"> dataset has </w:t>
      </w:r>
      <w:r w:rsidR="009E26E1">
        <w:t>“</w:t>
      </w:r>
      <w:r w:rsidR="008803B1">
        <w:t>events</w:t>
      </w:r>
      <w:r w:rsidR="009E26E1">
        <w:t>”</w:t>
      </w:r>
      <w:r w:rsidR="008803B1">
        <w:t xml:space="preserve"> table which holds information about various actions taken by the users. There are 6 different event types: home, department, product, cart, purchase and cancel. Some of the user sessions start at the </w:t>
      </w:r>
      <w:proofErr w:type="gramStart"/>
      <w:r w:rsidR="008803B1">
        <w:t xml:space="preserve">home </w:t>
      </w:r>
      <w:r w:rsidR="00C93CEE">
        <w:t>,</w:t>
      </w:r>
      <w:proofErr w:type="gramEnd"/>
      <w:r w:rsidR="00C93CEE">
        <w:t xml:space="preserve"> some at department and some at product step. </w:t>
      </w:r>
      <w:proofErr w:type="gramStart"/>
      <w:r w:rsidR="00C93CEE">
        <w:t>In order to</w:t>
      </w:r>
      <w:proofErr w:type="gramEnd"/>
      <w:r w:rsidR="00C93CEE">
        <w:t xml:space="preserve"> have a more logical, narrowing purchase funnel It was decided to use three steps for purchase funnel: product, cart and purchase.</w:t>
      </w:r>
    </w:p>
    <w:p w14:paraId="71DDDFE3" w14:textId="5557BDF6" w:rsidR="006C5DC2" w:rsidRDefault="006C5DC2" w:rsidP="008803B1">
      <w:r>
        <w:t xml:space="preserve">Throughout the year the purchase funnel has been improving (figure 1). In the first year, 2019 only 4 % of those users who were at the </w:t>
      </w:r>
      <w:r w:rsidR="009E26E1">
        <w:t>“</w:t>
      </w:r>
      <w:r>
        <w:t>product</w:t>
      </w:r>
      <w:r w:rsidR="009E26E1">
        <w:t>”</w:t>
      </w:r>
      <w:r>
        <w:t xml:space="preserve"> step continued and purchased. In 2020 that percentage went up to 14 %. It improved to 25 % and 42 % for 2021 and 2022 respectively. For 2023 this percentage is incredibly high at 65 %.</w:t>
      </w:r>
    </w:p>
    <w:p w14:paraId="4ABDAC5F" w14:textId="77777777" w:rsidR="006C5DC2" w:rsidRDefault="006C5DC2" w:rsidP="00FA3F62">
      <w:pPr>
        <w:keepNext/>
        <w:jc w:val="center"/>
      </w:pPr>
      <w:r>
        <w:rPr>
          <w:noProof/>
        </w:rPr>
        <w:drawing>
          <wp:inline distT="0" distB="0" distL="0" distR="0" wp14:anchorId="44704942" wp14:editId="2E385BF7">
            <wp:extent cx="4383289" cy="3752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88" cy="3782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E9479" w14:textId="20C6B16B" w:rsidR="008803B1" w:rsidRDefault="006C5DC2" w:rsidP="006C5DC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Purchase funnels.</w:t>
      </w:r>
    </w:p>
    <w:p w14:paraId="3DFAB5B3" w14:textId="01911E7B" w:rsidR="00C93CEE" w:rsidRDefault="00C93CEE" w:rsidP="008803B1">
      <w:r>
        <w:lastRenderedPageBreak/>
        <w:t xml:space="preserve">This gradual </w:t>
      </w:r>
      <w:r w:rsidR="00907FD3">
        <w:t xml:space="preserve">conversion improvement is seen for the </w:t>
      </w:r>
      <w:r w:rsidR="009E26E1">
        <w:t>“</w:t>
      </w:r>
      <w:r w:rsidR="00907FD3">
        <w:t>cart</w:t>
      </w:r>
      <w:r w:rsidR="009E26E1">
        <w:t>”</w:t>
      </w:r>
      <w:r w:rsidR="00907FD3">
        <w:t xml:space="preserve"> step too. In 2019 it was 52% and increased yearly to 57 %, 62 %, 71% and 82% for 2020, 2021, 2022 and 2023 respectively.</w:t>
      </w:r>
    </w:p>
    <w:p w14:paraId="52C271C3" w14:textId="4104C9A1" w:rsidR="00907FD3" w:rsidRDefault="00907FD3" w:rsidP="008803B1">
      <w:r>
        <w:t>If we look at the purchase funnel for all time</w:t>
      </w:r>
      <w:r w:rsidR="00E71853">
        <w:t xml:space="preserve">, </w:t>
      </w:r>
      <w:r>
        <w:t xml:space="preserve">63% of users at the </w:t>
      </w:r>
      <w:r w:rsidR="009E26E1">
        <w:t>“</w:t>
      </w:r>
      <w:r>
        <w:t>product</w:t>
      </w:r>
      <w:r w:rsidR="009E26E1">
        <w:t>”</w:t>
      </w:r>
      <w:r>
        <w:t xml:space="preserve"> step continued to the </w:t>
      </w:r>
      <w:r w:rsidR="009E26E1">
        <w:t>“</w:t>
      </w:r>
      <w:r>
        <w:t>cart</w:t>
      </w:r>
      <w:r w:rsidR="009E26E1">
        <w:t>”</w:t>
      </w:r>
      <w:r>
        <w:t xml:space="preserve"> and 27 % went to the </w:t>
      </w:r>
      <w:r w:rsidR="009E26E1">
        <w:t>“</w:t>
      </w:r>
      <w:r>
        <w:t>purchase</w:t>
      </w:r>
      <w:r w:rsidR="009E26E1">
        <w:t>”</w:t>
      </w:r>
      <w:r>
        <w:t xml:space="preserve"> step.</w:t>
      </w:r>
    </w:p>
    <w:p w14:paraId="55408995" w14:textId="7F49DC83" w:rsidR="00FA06C6" w:rsidRDefault="00FA06C6" w:rsidP="008803B1">
      <w:r>
        <w:t>The purchase funnel was also analyzed for different browsers and traffic sources.</w:t>
      </w:r>
      <w:r w:rsidR="0047347F">
        <w:t xml:space="preserve"> The results can be seen in tables 4 and 5.</w:t>
      </w:r>
    </w:p>
    <w:p w14:paraId="068E6914" w14:textId="7B6B8D3B" w:rsidR="0047347F" w:rsidRDefault="0047347F" w:rsidP="0047347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Funnel analysis for different browsers.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A06C6" w14:paraId="039F6147" w14:textId="77777777" w:rsidTr="00FA06C6">
        <w:tc>
          <w:tcPr>
            <w:tcW w:w="1558" w:type="dxa"/>
          </w:tcPr>
          <w:p w14:paraId="4A3D4F50" w14:textId="56316824" w:rsidR="00FA06C6" w:rsidRDefault="00FA06C6" w:rsidP="008803B1">
            <w:r>
              <w:t>Funnel step</w:t>
            </w:r>
          </w:p>
        </w:tc>
        <w:tc>
          <w:tcPr>
            <w:tcW w:w="1558" w:type="dxa"/>
          </w:tcPr>
          <w:p w14:paraId="2D1880C3" w14:textId="4B157072" w:rsidR="00FA06C6" w:rsidRDefault="00FA06C6" w:rsidP="008803B1">
            <w:r>
              <w:t>Chrome</w:t>
            </w:r>
          </w:p>
        </w:tc>
        <w:tc>
          <w:tcPr>
            <w:tcW w:w="1558" w:type="dxa"/>
          </w:tcPr>
          <w:p w14:paraId="2010845F" w14:textId="16F48E47" w:rsidR="00FA06C6" w:rsidRDefault="00FA06C6" w:rsidP="008803B1">
            <w:r>
              <w:t>Safari</w:t>
            </w:r>
          </w:p>
        </w:tc>
        <w:tc>
          <w:tcPr>
            <w:tcW w:w="1558" w:type="dxa"/>
          </w:tcPr>
          <w:p w14:paraId="34B2E796" w14:textId="3423BA91" w:rsidR="00FA06C6" w:rsidRDefault="00FA06C6" w:rsidP="008803B1">
            <w:r>
              <w:t>Firefox</w:t>
            </w:r>
          </w:p>
        </w:tc>
        <w:tc>
          <w:tcPr>
            <w:tcW w:w="1559" w:type="dxa"/>
          </w:tcPr>
          <w:p w14:paraId="4E6B2C60" w14:textId="2FBC7F7B" w:rsidR="00FA06C6" w:rsidRDefault="00FA06C6" w:rsidP="008803B1">
            <w:r>
              <w:t>IE</w:t>
            </w:r>
          </w:p>
        </w:tc>
        <w:tc>
          <w:tcPr>
            <w:tcW w:w="1559" w:type="dxa"/>
          </w:tcPr>
          <w:p w14:paraId="00923246" w14:textId="492B9EB4" w:rsidR="00FA06C6" w:rsidRDefault="00FA06C6" w:rsidP="008803B1">
            <w:r>
              <w:t>Other</w:t>
            </w:r>
          </w:p>
        </w:tc>
      </w:tr>
      <w:tr w:rsidR="00FA06C6" w14:paraId="414C805F" w14:textId="77777777" w:rsidTr="00FA06C6">
        <w:tc>
          <w:tcPr>
            <w:tcW w:w="1558" w:type="dxa"/>
          </w:tcPr>
          <w:p w14:paraId="14639CF7" w14:textId="20C79CB8" w:rsidR="00FA06C6" w:rsidRDefault="00FA06C6" w:rsidP="008803B1">
            <w:r>
              <w:t>Product</w:t>
            </w:r>
          </w:p>
        </w:tc>
        <w:tc>
          <w:tcPr>
            <w:tcW w:w="1558" w:type="dxa"/>
          </w:tcPr>
          <w:p w14:paraId="4C89693C" w14:textId="06C2D503" w:rsidR="00FA06C6" w:rsidRDefault="0047347F" w:rsidP="008803B1">
            <w:r>
              <w:t>100 %</w:t>
            </w:r>
          </w:p>
        </w:tc>
        <w:tc>
          <w:tcPr>
            <w:tcW w:w="1558" w:type="dxa"/>
          </w:tcPr>
          <w:p w14:paraId="4E96F187" w14:textId="713834D5" w:rsidR="00FA06C6" w:rsidRDefault="0047347F" w:rsidP="008803B1">
            <w:r>
              <w:t>100 %</w:t>
            </w:r>
          </w:p>
        </w:tc>
        <w:tc>
          <w:tcPr>
            <w:tcW w:w="1558" w:type="dxa"/>
          </w:tcPr>
          <w:p w14:paraId="0FBCA615" w14:textId="144FBBCE" w:rsidR="00FA06C6" w:rsidRDefault="0047347F" w:rsidP="008803B1">
            <w:r>
              <w:t>100 %</w:t>
            </w:r>
          </w:p>
        </w:tc>
        <w:tc>
          <w:tcPr>
            <w:tcW w:w="1559" w:type="dxa"/>
          </w:tcPr>
          <w:p w14:paraId="533C2588" w14:textId="51E47B04" w:rsidR="00FA06C6" w:rsidRDefault="0047347F" w:rsidP="008803B1">
            <w:r>
              <w:t>100 %</w:t>
            </w:r>
          </w:p>
        </w:tc>
        <w:tc>
          <w:tcPr>
            <w:tcW w:w="1559" w:type="dxa"/>
          </w:tcPr>
          <w:p w14:paraId="4578AB32" w14:textId="45503699" w:rsidR="00FA06C6" w:rsidRDefault="0047347F" w:rsidP="008803B1">
            <w:r>
              <w:t>100 %</w:t>
            </w:r>
          </w:p>
        </w:tc>
      </w:tr>
      <w:tr w:rsidR="00FA06C6" w14:paraId="1E16AF07" w14:textId="77777777" w:rsidTr="00FA06C6">
        <w:tc>
          <w:tcPr>
            <w:tcW w:w="1558" w:type="dxa"/>
          </w:tcPr>
          <w:p w14:paraId="2EE582DF" w14:textId="23C2CD08" w:rsidR="00FA06C6" w:rsidRDefault="00FA06C6" w:rsidP="008803B1">
            <w:r>
              <w:t>Cart</w:t>
            </w:r>
          </w:p>
        </w:tc>
        <w:tc>
          <w:tcPr>
            <w:tcW w:w="1558" w:type="dxa"/>
          </w:tcPr>
          <w:p w14:paraId="35DA6DFE" w14:textId="458FC127" w:rsidR="00FA06C6" w:rsidRDefault="0047347F" w:rsidP="008803B1">
            <w:r>
              <w:t>79,6 %</w:t>
            </w:r>
          </w:p>
        </w:tc>
        <w:tc>
          <w:tcPr>
            <w:tcW w:w="1558" w:type="dxa"/>
          </w:tcPr>
          <w:p w14:paraId="17BA7FF8" w14:textId="0F6AF247" w:rsidR="00FA06C6" w:rsidRPr="009E26E1" w:rsidRDefault="0047347F" w:rsidP="008803B1">
            <w:r w:rsidRPr="009E26E1">
              <w:rPr>
                <w:color w:val="FF0000"/>
              </w:rPr>
              <w:t>79,39 %</w:t>
            </w:r>
          </w:p>
        </w:tc>
        <w:tc>
          <w:tcPr>
            <w:tcW w:w="1558" w:type="dxa"/>
          </w:tcPr>
          <w:p w14:paraId="68CC06A3" w14:textId="67ADCA53" w:rsidR="00FA06C6" w:rsidRDefault="0047347F" w:rsidP="008803B1">
            <w:r>
              <w:t>79,86 %</w:t>
            </w:r>
          </w:p>
        </w:tc>
        <w:tc>
          <w:tcPr>
            <w:tcW w:w="1559" w:type="dxa"/>
          </w:tcPr>
          <w:p w14:paraId="7627883C" w14:textId="05C548ED" w:rsidR="00FA06C6" w:rsidRPr="009E26E1" w:rsidRDefault="0047347F" w:rsidP="008803B1">
            <w:pPr>
              <w:rPr>
                <w:b/>
                <w:bCs/>
                <w:color w:val="538135" w:themeColor="accent6" w:themeShade="BF"/>
              </w:rPr>
            </w:pPr>
            <w:r w:rsidRPr="009E26E1">
              <w:rPr>
                <w:b/>
                <w:bCs/>
                <w:color w:val="538135" w:themeColor="accent6" w:themeShade="BF"/>
              </w:rPr>
              <w:t>80,92 %</w:t>
            </w:r>
          </w:p>
        </w:tc>
        <w:tc>
          <w:tcPr>
            <w:tcW w:w="1559" w:type="dxa"/>
          </w:tcPr>
          <w:p w14:paraId="65A24AA6" w14:textId="4D94386B" w:rsidR="00FA06C6" w:rsidRDefault="0047347F" w:rsidP="008803B1">
            <w:r>
              <w:t>79,45 %</w:t>
            </w:r>
          </w:p>
        </w:tc>
      </w:tr>
      <w:tr w:rsidR="00FA06C6" w14:paraId="2EE8A010" w14:textId="77777777" w:rsidTr="00FA06C6">
        <w:tc>
          <w:tcPr>
            <w:tcW w:w="1558" w:type="dxa"/>
          </w:tcPr>
          <w:p w14:paraId="67456885" w14:textId="3A38AA50" w:rsidR="00FA06C6" w:rsidRDefault="00FA06C6" w:rsidP="008803B1">
            <w:r>
              <w:t>Purchase</w:t>
            </w:r>
          </w:p>
        </w:tc>
        <w:tc>
          <w:tcPr>
            <w:tcW w:w="1558" w:type="dxa"/>
          </w:tcPr>
          <w:p w14:paraId="6CC7B35F" w14:textId="7F91312B" w:rsidR="00FA06C6" w:rsidRDefault="0047347F" w:rsidP="008803B1">
            <w:r>
              <w:t>57,62 %</w:t>
            </w:r>
          </w:p>
        </w:tc>
        <w:tc>
          <w:tcPr>
            <w:tcW w:w="1558" w:type="dxa"/>
          </w:tcPr>
          <w:p w14:paraId="4439236C" w14:textId="5F6DDBDE" w:rsidR="00FA06C6" w:rsidRDefault="0047347F" w:rsidP="008803B1">
            <w:r>
              <w:t>57,89 %</w:t>
            </w:r>
          </w:p>
        </w:tc>
        <w:tc>
          <w:tcPr>
            <w:tcW w:w="1558" w:type="dxa"/>
          </w:tcPr>
          <w:p w14:paraId="5F10ACE4" w14:textId="76B49B06" w:rsidR="00FA06C6" w:rsidRPr="009E26E1" w:rsidRDefault="0047347F" w:rsidP="008803B1">
            <w:pPr>
              <w:rPr>
                <w:b/>
                <w:bCs/>
              </w:rPr>
            </w:pPr>
            <w:r w:rsidRPr="009E26E1">
              <w:rPr>
                <w:b/>
                <w:bCs/>
                <w:color w:val="538135" w:themeColor="accent6" w:themeShade="BF"/>
              </w:rPr>
              <w:t>58,27 %</w:t>
            </w:r>
          </w:p>
        </w:tc>
        <w:tc>
          <w:tcPr>
            <w:tcW w:w="1559" w:type="dxa"/>
          </w:tcPr>
          <w:p w14:paraId="1DC58BAF" w14:textId="67E11D19" w:rsidR="00FA06C6" w:rsidRDefault="0047347F" w:rsidP="008803B1">
            <w:r>
              <w:t>58,13 %</w:t>
            </w:r>
          </w:p>
        </w:tc>
        <w:tc>
          <w:tcPr>
            <w:tcW w:w="1559" w:type="dxa"/>
          </w:tcPr>
          <w:p w14:paraId="3E8C7EC8" w14:textId="58228310" w:rsidR="00FA06C6" w:rsidRPr="009E26E1" w:rsidRDefault="0047347F" w:rsidP="008803B1">
            <w:r w:rsidRPr="009E26E1">
              <w:rPr>
                <w:color w:val="FF0000"/>
              </w:rPr>
              <w:t>57,16 %</w:t>
            </w:r>
          </w:p>
        </w:tc>
      </w:tr>
    </w:tbl>
    <w:p w14:paraId="32C23A86" w14:textId="77777777" w:rsidR="009E26E1" w:rsidRDefault="009E26E1" w:rsidP="008803B1"/>
    <w:p w14:paraId="278C9033" w14:textId="49B5A986" w:rsidR="00FA06C6" w:rsidRDefault="0047347F" w:rsidP="008803B1">
      <w:r>
        <w:t xml:space="preserve">The biggest percentage of users continue to the </w:t>
      </w:r>
      <w:r w:rsidR="009E26E1">
        <w:t>“</w:t>
      </w:r>
      <w:r>
        <w:t>cart</w:t>
      </w:r>
      <w:r w:rsidR="009E26E1">
        <w:t>”</w:t>
      </w:r>
      <w:r>
        <w:t xml:space="preserve"> </w:t>
      </w:r>
      <w:r w:rsidR="009E26E1">
        <w:t>when using Internet explorer (80,92 %) while values for other four categories do not differ much (from 79,39 % to 79,86 %). The highest value for “purchase” is 58,27 % for Firefox, however other four categories do not fall behind by much as “Other” has the lowest percentage at 57,16 %.</w:t>
      </w:r>
    </w:p>
    <w:p w14:paraId="3DF1C0E0" w14:textId="260A4864" w:rsidR="0047347F" w:rsidRDefault="0047347F" w:rsidP="0047347F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 xml:space="preserve"> Funnel analysis for different traffic 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7347F" w14:paraId="24EEF482" w14:textId="77777777" w:rsidTr="00F53DF5">
        <w:tc>
          <w:tcPr>
            <w:tcW w:w="1558" w:type="dxa"/>
          </w:tcPr>
          <w:p w14:paraId="379B8091" w14:textId="77777777" w:rsidR="0047347F" w:rsidRDefault="0047347F" w:rsidP="00F53DF5">
            <w:r>
              <w:t>Funnel step</w:t>
            </w:r>
          </w:p>
        </w:tc>
        <w:tc>
          <w:tcPr>
            <w:tcW w:w="1558" w:type="dxa"/>
          </w:tcPr>
          <w:p w14:paraId="63A0176F" w14:textId="3AFB468B" w:rsidR="0047347F" w:rsidRDefault="0047347F" w:rsidP="00F53DF5">
            <w:r>
              <w:t>Email</w:t>
            </w:r>
          </w:p>
        </w:tc>
        <w:tc>
          <w:tcPr>
            <w:tcW w:w="1558" w:type="dxa"/>
          </w:tcPr>
          <w:p w14:paraId="0FAFF896" w14:textId="1176F711" w:rsidR="0047347F" w:rsidRDefault="0047347F" w:rsidP="00F53DF5">
            <w:proofErr w:type="spellStart"/>
            <w:r>
              <w:t>Adwords</w:t>
            </w:r>
            <w:proofErr w:type="spellEnd"/>
          </w:p>
        </w:tc>
        <w:tc>
          <w:tcPr>
            <w:tcW w:w="1558" w:type="dxa"/>
          </w:tcPr>
          <w:p w14:paraId="6CE03E3F" w14:textId="17940EBB" w:rsidR="0047347F" w:rsidRDefault="0047347F" w:rsidP="00F53DF5">
            <w:proofErr w:type="spellStart"/>
            <w:r>
              <w:t>Youtube</w:t>
            </w:r>
            <w:proofErr w:type="spellEnd"/>
          </w:p>
        </w:tc>
        <w:tc>
          <w:tcPr>
            <w:tcW w:w="1559" w:type="dxa"/>
          </w:tcPr>
          <w:p w14:paraId="71C0FA15" w14:textId="1A89A1AB" w:rsidR="0047347F" w:rsidRDefault="0047347F" w:rsidP="00F53DF5">
            <w:r>
              <w:t>Facebook</w:t>
            </w:r>
          </w:p>
        </w:tc>
        <w:tc>
          <w:tcPr>
            <w:tcW w:w="1559" w:type="dxa"/>
          </w:tcPr>
          <w:p w14:paraId="1346F9EF" w14:textId="7C67FA65" w:rsidR="0047347F" w:rsidRDefault="0047347F" w:rsidP="00F53DF5">
            <w:r>
              <w:t>Organic</w:t>
            </w:r>
          </w:p>
        </w:tc>
      </w:tr>
      <w:tr w:rsidR="0047347F" w14:paraId="5EAF0003" w14:textId="77777777" w:rsidTr="00F53DF5">
        <w:tc>
          <w:tcPr>
            <w:tcW w:w="1558" w:type="dxa"/>
          </w:tcPr>
          <w:p w14:paraId="7E26D8EB" w14:textId="77777777" w:rsidR="0047347F" w:rsidRDefault="0047347F" w:rsidP="00F53DF5">
            <w:r>
              <w:t>Product</w:t>
            </w:r>
          </w:p>
        </w:tc>
        <w:tc>
          <w:tcPr>
            <w:tcW w:w="1558" w:type="dxa"/>
          </w:tcPr>
          <w:p w14:paraId="335CAA54" w14:textId="314B65DF" w:rsidR="0047347F" w:rsidRDefault="0047347F" w:rsidP="00F53DF5">
            <w:r>
              <w:t>100 %</w:t>
            </w:r>
          </w:p>
        </w:tc>
        <w:tc>
          <w:tcPr>
            <w:tcW w:w="1558" w:type="dxa"/>
          </w:tcPr>
          <w:p w14:paraId="04FF3535" w14:textId="348FF122" w:rsidR="0047347F" w:rsidRDefault="0047347F" w:rsidP="00F53DF5">
            <w:r>
              <w:t>100 %</w:t>
            </w:r>
          </w:p>
        </w:tc>
        <w:tc>
          <w:tcPr>
            <w:tcW w:w="1558" w:type="dxa"/>
          </w:tcPr>
          <w:p w14:paraId="4DA8D9D1" w14:textId="11226605" w:rsidR="0047347F" w:rsidRDefault="0047347F" w:rsidP="00F53DF5">
            <w:r>
              <w:t>100 %</w:t>
            </w:r>
          </w:p>
        </w:tc>
        <w:tc>
          <w:tcPr>
            <w:tcW w:w="1559" w:type="dxa"/>
          </w:tcPr>
          <w:p w14:paraId="61B8FD2B" w14:textId="6FB077EC" w:rsidR="0047347F" w:rsidRDefault="0047347F" w:rsidP="00F53DF5">
            <w:r>
              <w:t>100 %</w:t>
            </w:r>
          </w:p>
        </w:tc>
        <w:tc>
          <w:tcPr>
            <w:tcW w:w="1559" w:type="dxa"/>
          </w:tcPr>
          <w:p w14:paraId="10D53716" w14:textId="5FF59C15" w:rsidR="0047347F" w:rsidRDefault="0047347F" w:rsidP="00F53DF5">
            <w:r>
              <w:t>100 %</w:t>
            </w:r>
          </w:p>
        </w:tc>
      </w:tr>
      <w:tr w:rsidR="0047347F" w14:paraId="4E0AE521" w14:textId="77777777" w:rsidTr="00F53DF5">
        <w:tc>
          <w:tcPr>
            <w:tcW w:w="1558" w:type="dxa"/>
          </w:tcPr>
          <w:p w14:paraId="7AA055B1" w14:textId="77777777" w:rsidR="0047347F" w:rsidRDefault="0047347F" w:rsidP="00F53DF5">
            <w:r>
              <w:t>Cart</w:t>
            </w:r>
          </w:p>
        </w:tc>
        <w:tc>
          <w:tcPr>
            <w:tcW w:w="1558" w:type="dxa"/>
          </w:tcPr>
          <w:p w14:paraId="74046900" w14:textId="392ADC6C" w:rsidR="0047347F" w:rsidRPr="0047347F" w:rsidRDefault="0047347F" w:rsidP="00F53DF5">
            <w:pPr>
              <w:rPr>
                <w:b/>
                <w:bCs/>
              </w:rPr>
            </w:pPr>
            <w:r w:rsidRPr="009E26E1">
              <w:rPr>
                <w:b/>
                <w:bCs/>
                <w:color w:val="538135" w:themeColor="accent6" w:themeShade="BF"/>
              </w:rPr>
              <w:t>79,9 %</w:t>
            </w:r>
          </w:p>
        </w:tc>
        <w:tc>
          <w:tcPr>
            <w:tcW w:w="1558" w:type="dxa"/>
          </w:tcPr>
          <w:p w14:paraId="683D0F05" w14:textId="51F994BC" w:rsidR="0047347F" w:rsidRDefault="0047347F" w:rsidP="00F53DF5">
            <w:r w:rsidRPr="009E26E1">
              <w:rPr>
                <w:color w:val="FF0000"/>
              </w:rPr>
              <w:t>79,35 %</w:t>
            </w:r>
          </w:p>
        </w:tc>
        <w:tc>
          <w:tcPr>
            <w:tcW w:w="1558" w:type="dxa"/>
          </w:tcPr>
          <w:p w14:paraId="097633EC" w14:textId="3D65A9B5" w:rsidR="0047347F" w:rsidRDefault="0047347F" w:rsidP="00F53DF5">
            <w:r>
              <w:t>79,47 %</w:t>
            </w:r>
          </w:p>
        </w:tc>
        <w:tc>
          <w:tcPr>
            <w:tcW w:w="1559" w:type="dxa"/>
          </w:tcPr>
          <w:p w14:paraId="16B296F0" w14:textId="176C79F8" w:rsidR="0047347F" w:rsidRDefault="0047347F" w:rsidP="00F53DF5">
            <w:r>
              <w:t>79,66 %</w:t>
            </w:r>
          </w:p>
        </w:tc>
        <w:tc>
          <w:tcPr>
            <w:tcW w:w="1559" w:type="dxa"/>
          </w:tcPr>
          <w:p w14:paraId="5C55437C" w14:textId="03B56C79" w:rsidR="0047347F" w:rsidRDefault="0047347F" w:rsidP="00F53DF5">
            <w:r>
              <w:t>79,83 %</w:t>
            </w:r>
          </w:p>
        </w:tc>
      </w:tr>
      <w:tr w:rsidR="0047347F" w14:paraId="24EF02D5" w14:textId="77777777" w:rsidTr="00F53DF5">
        <w:tc>
          <w:tcPr>
            <w:tcW w:w="1558" w:type="dxa"/>
          </w:tcPr>
          <w:p w14:paraId="13051136" w14:textId="77777777" w:rsidR="0047347F" w:rsidRDefault="0047347F" w:rsidP="00F53DF5">
            <w:r>
              <w:t>Purchase</w:t>
            </w:r>
          </w:p>
        </w:tc>
        <w:tc>
          <w:tcPr>
            <w:tcW w:w="1558" w:type="dxa"/>
          </w:tcPr>
          <w:p w14:paraId="4471FF83" w14:textId="6B79C904" w:rsidR="0047347F" w:rsidRDefault="0047347F" w:rsidP="00F53DF5">
            <w:r>
              <w:t>58,25 %</w:t>
            </w:r>
          </w:p>
        </w:tc>
        <w:tc>
          <w:tcPr>
            <w:tcW w:w="1558" w:type="dxa"/>
          </w:tcPr>
          <w:p w14:paraId="64641596" w14:textId="0B16AF12" w:rsidR="0047347F" w:rsidRDefault="0047347F" w:rsidP="00F53DF5">
            <w:r w:rsidRPr="009E26E1">
              <w:rPr>
                <w:color w:val="FF0000"/>
              </w:rPr>
              <w:t>57,18 %</w:t>
            </w:r>
          </w:p>
        </w:tc>
        <w:tc>
          <w:tcPr>
            <w:tcW w:w="1558" w:type="dxa"/>
          </w:tcPr>
          <w:p w14:paraId="6E9D02E4" w14:textId="591BB926" w:rsidR="0047347F" w:rsidRDefault="0047347F" w:rsidP="00F53DF5">
            <w:r>
              <w:t>57,27 %</w:t>
            </w:r>
          </w:p>
        </w:tc>
        <w:tc>
          <w:tcPr>
            <w:tcW w:w="1559" w:type="dxa"/>
          </w:tcPr>
          <w:p w14:paraId="1884D825" w14:textId="642E6322" w:rsidR="0047347F" w:rsidRDefault="0047347F" w:rsidP="00F53DF5">
            <w:r>
              <w:t>57,66 %</w:t>
            </w:r>
          </w:p>
        </w:tc>
        <w:tc>
          <w:tcPr>
            <w:tcW w:w="1559" w:type="dxa"/>
          </w:tcPr>
          <w:p w14:paraId="3B64CBE6" w14:textId="6A3F921C" w:rsidR="0047347F" w:rsidRPr="0047347F" w:rsidRDefault="0047347F" w:rsidP="00F53DF5">
            <w:pPr>
              <w:rPr>
                <w:b/>
                <w:bCs/>
              </w:rPr>
            </w:pPr>
            <w:r w:rsidRPr="009E26E1">
              <w:rPr>
                <w:b/>
                <w:bCs/>
                <w:color w:val="538135" w:themeColor="accent6" w:themeShade="BF"/>
              </w:rPr>
              <w:t>58,89 %</w:t>
            </w:r>
          </w:p>
        </w:tc>
      </w:tr>
    </w:tbl>
    <w:p w14:paraId="262D6C2B" w14:textId="29AC5B0D" w:rsidR="0047347F" w:rsidRDefault="0047347F" w:rsidP="008803B1"/>
    <w:p w14:paraId="542DCB87" w14:textId="00CE0205" w:rsidR="009E26E1" w:rsidRDefault="009E26E1" w:rsidP="008803B1">
      <w:r>
        <w:t xml:space="preserve">The highest value for “Cart” is for the email traffic source at 79,9 % while the worst is not that far behind at 79,35 % for </w:t>
      </w:r>
      <w:proofErr w:type="spellStart"/>
      <w:r>
        <w:t>Adwords</w:t>
      </w:r>
      <w:proofErr w:type="spellEnd"/>
      <w:r>
        <w:t xml:space="preserve"> traffic source. When it comes to “Purchase” step we see the highest value for organic users at 58,89 % while the worst is less than two percent lower at 57,18 % for </w:t>
      </w:r>
      <w:proofErr w:type="spellStart"/>
      <w:r>
        <w:t>Adwords</w:t>
      </w:r>
      <w:proofErr w:type="spellEnd"/>
      <w:r>
        <w:t>.</w:t>
      </w:r>
    </w:p>
    <w:p w14:paraId="7A3032AF" w14:textId="2B4427BF" w:rsidR="009E26E1" w:rsidRPr="008803B1" w:rsidRDefault="009E26E1" w:rsidP="008803B1">
      <w:r>
        <w:t xml:space="preserve">All in </w:t>
      </w:r>
      <w:r w:rsidR="00744B53">
        <w:t>all,</w:t>
      </w:r>
      <w:r>
        <w:t xml:space="preserve"> the purchase funnel seems to be improving through the years. </w:t>
      </w:r>
      <w:r w:rsidR="00710C95">
        <w:t>However,</w:t>
      </w:r>
      <w:r w:rsidR="00744B53">
        <w:t xml:space="preserve"> it is difficult to find different browsers or traffic sources that greatly outperform the others.</w:t>
      </w:r>
    </w:p>
    <w:p w14:paraId="277A630C" w14:textId="60533908" w:rsidR="00561F12" w:rsidRDefault="00CD5281" w:rsidP="00561F12">
      <w:pPr>
        <w:pStyle w:val="Heading1"/>
      </w:pPr>
      <w:r>
        <w:t>Conclusion and r</w:t>
      </w:r>
      <w:r w:rsidR="00561F12">
        <w:t>ecommendations</w:t>
      </w:r>
    </w:p>
    <w:p w14:paraId="4BAA688D" w14:textId="77777777" w:rsidR="00064CB6" w:rsidRDefault="00064CB6" w:rsidP="00064CB6"/>
    <w:p w14:paraId="50AD54F3" w14:textId="7B8347B4" w:rsidR="00064CB6" w:rsidRDefault="00064CB6" w:rsidP="00064CB6">
      <w:r>
        <w:t xml:space="preserve">Overall, </w:t>
      </w:r>
      <w:r w:rsidR="004552C9">
        <w:t>“</w:t>
      </w:r>
      <w:proofErr w:type="spellStart"/>
      <w:r w:rsidR="004552C9">
        <w:t>theLook</w:t>
      </w:r>
      <w:proofErr w:type="spellEnd"/>
      <w:r w:rsidR="004552C9">
        <w:t>”</w:t>
      </w:r>
      <w:r>
        <w:t xml:space="preserve"> has a solid growth of sales and profit. </w:t>
      </w:r>
      <w:r w:rsidR="00710C95">
        <w:t xml:space="preserve">While it has an above </w:t>
      </w:r>
      <w:r w:rsidR="003B5C6B">
        <w:t xml:space="preserve">industry </w:t>
      </w:r>
      <w:r w:rsidR="00710C95">
        <w:t xml:space="preserve">average profit margin, it is not growing, which should be </w:t>
      </w:r>
      <w:proofErr w:type="gramStart"/>
      <w:r w:rsidR="00710C95">
        <w:t>looked into</w:t>
      </w:r>
      <w:proofErr w:type="gramEnd"/>
      <w:r w:rsidR="00710C95">
        <w:t xml:space="preserve"> more carefully.</w:t>
      </w:r>
    </w:p>
    <w:p w14:paraId="1E3FEB0C" w14:textId="79956440" w:rsidR="00710C95" w:rsidRDefault="00710C95" w:rsidP="00064CB6">
      <w:r>
        <w:t>When looking at the customer segments, “</w:t>
      </w:r>
      <w:proofErr w:type="spellStart"/>
      <w:r w:rsidR="004552C9">
        <w:t>theLook</w:t>
      </w:r>
      <w:proofErr w:type="spellEnd"/>
      <w:r>
        <w:t xml:space="preserve">” has a </w:t>
      </w:r>
      <w:r w:rsidR="003B5C6B">
        <w:t>strong</w:t>
      </w:r>
      <w:r>
        <w:t xml:space="preserve"> “champion” segment, while “loyal” segment is quite small. This could be improved by converting users to “loyal” from a big “at risk” segment.</w:t>
      </w:r>
    </w:p>
    <w:p w14:paraId="3FC8BAFE" w14:textId="2A246F95" w:rsidR="00710C95" w:rsidRPr="00064CB6" w:rsidRDefault="00710C95" w:rsidP="00064CB6">
      <w:r>
        <w:lastRenderedPageBreak/>
        <w:t>Lastly, the purchase funnel for “</w:t>
      </w:r>
      <w:proofErr w:type="spellStart"/>
      <w:r w:rsidR="004552C9">
        <w:t>theLook</w:t>
      </w:r>
      <w:proofErr w:type="spellEnd"/>
      <w:r w:rsidR="004552C9">
        <w:t>”</w:t>
      </w:r>
      <w:r>
        <w:t xml:space="preserve"> is improving through the years. It does not have many differences when comparing different traffic sources or bowsers. The purchase funnel should be reviewed </w:t>
      </w:r>
      <w:proofErr w:type="gramStart"/>
      <w:r>
        <w:t>periodically</w:t>
      </w:r>
      <w:proofErr w:type="gramEnd"/>
      <w:r>
        <w:t xml:space="preserve"> and necessary actions should be taken if the funnel worsens.</w:t>
      </w:r>
    </w:p>
    <w:sectPr w:rsidR="00710C95" w:rsidRPr="0006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2E92E" w14:textId="77777777" w:rsidR="00202C0F" w:rsidRDefault="00202C0F" w:rsidP="0000499E">
      <w:pPr>
        <w:spacing w:after="0" w:line="240" w:lineRule="auto"/>
      </w:pPr>
      <w:r>
        <w:separator/>
      </w:r>
    </w:p>
  </w:endnote>
  <w:endnote w:type="continuationSeparator" w:id="0">
    <w:p w14:paraId="390CD85D" w14:textId="77777777" w:rsidR="00202C0F" w:rsidRDefault="00202C0F" w:rsidP="00004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339AD" w14:textId="77777777" w:rsidR="00202C0F" w:rsidRDefault="00202C0F" w:rsidP="0000499E">
      <w:pPr>
        <w:spacing w:after="0" w:line="240" w:lineRule="auto"/>
      </w:pPr>
      <w:r>
        <w:separator/>
      </w:r>
    </w:p>
  </w:footnote>
  <w:footnote w:type="continuationSeparator" w:id="0">
    <w:p w14:paraId="5314D359" w14:textId="77777777" w:rsidR="00202C0F" w:rsidRDefault="00202C0F" w:rsidP="0000499E">
      <w:pPr>
        <w:spacing w:after="0" w:line="240" w:lineRule="auto"/>
      </w:pPr>
      <w:r>
        <w:continuationSeparator/>
      </w:r>
    </w:p>
  </w:footnote>
  <w:footnote w:id="1">
    <w:p w14:paraId="6D2E5E4E" w14:textId="6A0B5FB8" w:rsidR="0000499E" w:rsidRDefault="0000499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:~:text=Data%20from%20the%20US%20Department,recording%20a%207.44%25%20annual%20increase." w:history="1">
        <w:r w:rsidRPr="0000499E">
          <w:rPr>
            <w:rStyle w:val="Hyperlink"/>
          </w:rPr>
          <w:t>https://www.oberlo.com/statistics/us-ecommerce-sales#:~:text=Data%20from%20the%20US%20Department,recording%20a%207.44%25%20annual%20increase.</w:t>
        </w:r>
      </w:hyperlink>
    </w:p>
  </w:footnote>
  <w:footnote w:id="2">
    <w:p w14:paraId="54262F05" w14:textId="6CDC40E2" w:rsidR="00E91EFF" w:rsidRDefault="00E91EF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:~:text=Ecommerce%20profit%20margin%20FAQs,widely%20considered%20bad%20profit%20margins." w:history="1">
        <w:r w:rsidRPr="00E91EFF">
          <w:rPr>
            <w:rStyle w:val="Hyperlink"/>
          </w:rPr>
          <w:t>https://cogsy.com/blog/good-profit-margin-ecommerce/#:~:text=Ecommerce%20profit%20margin%20FAQs,widely%20considered%20bad%20profit%20margins.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E8"/>
    <w:rsid w:val="0000499E"/>
    <w:rsid w:val="00064CB6"/>
    <w:rsid w:val="000C298B"/>
    <w:rsid w:val="000E6204"/>
    <w:rsid w:val="00122F89"/>
    <w:rsid w:val="001F7534"/>
    <w:rsid w:val="00202C0F"/>
    <w:rsid w:val="002D6FA9"/>
    <w:rsid w:val="00320400"/>
    <w:rsid w:val="003A27D7"/>
    <w:rsid w:val="003B5C6B"/>
    <w:rsid w:val="003C2127"/>
    <w:rsid w:val="004137B3"/>
    <w:rsid w:val="004552C9"/>
    <w:rsid w:val="0047347F"/>
    <w:rsid w:val="00561F12"/>
    <w:rsid w:val="00567D67"/>
    <w:rsid w:val="005802CC"/>
    <w:rsid w:val="00686127"/>
    <w:rsid w:val="006A480D"/>
    <w:rsid w:val="006A620A"/>
    <w:rsid w:val="006C5DC2"/>
    <w:rsid w:val="00710C95"/>
    <w:rsid w:val="00743611"/>
    <w:rsid w:val="00744B53"/>
    <w:rsid w:val="00784F43"/>
    <w:rsid w:val="008803B1"/>
    <w:rsid w:val="008E1FC2"/>
    <w:rsid w:val="00907FD3"/>
    <w:rsid w:val="009516F3"/>
    <w:rsid w:val="009802F3"/>
    <w:rsid w:val="00986622"/>
    <w:rsid w:val="009E26E1"/>
    <w:rsid w:val="00A335F1"/>
    <w:rsid w:val="00AD091B"/>
    <w:rsid w:val="00C93CEE"/>
    <w:rsid w:val="00CD5281"/>
    <w:rsid w:val="00D70BE8"/>
    <w:rsid w:val="00E71853"/>
    <w:rsid w:val="00E91EFF"/>
    <w:rsid w:val="00FA06C6"/>
    <w:rsid w:val="00FA3F62"/>
    <w:rsid w:val="00F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CC33"/>
  <w15:chartTrackingRefBased/>
  <w15:docId w15:val="{95E335BA-4B46-47AC-963E-185CB910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F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F1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9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1F12"/>
    <w:rPr>
      <w:rFonts w:eastAsiaTheme="majorEastAsia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7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D6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5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5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5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281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1B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49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49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499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0499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C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lookerstudio.google.com/s/txf2lEByEG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ogsy.com/blog/good-profit-margin-ecommerce/" TargetMode="External"/><Relationship Id="rId1" Type="http://schemas.openxmlformats.org/officeDocument/2006/relationships/hyperlink" Target="https://www.oberlo.com/statistics/us-ecommerce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{AC2EECE5-5BFB-4C15-AD5D-68F91F7FADF1}</b:Guid>
    <b:URL>https://www.oberlo.com/statistics/us-ecommerce-sales#:~:text=Data%20from%20the%20US%20Department,recording%20a%207.44%25%20annual%20increase.</b:URL>
    <b:RefOrder>2</b:RefOrder>
  </b:Source>
  <b:Source>
    <b:Tag>www</b:Tag>
    <b:SourceType>InternetSite</b:SourceType>
    <b:Guid>{2374F20F-09F2-47E4-9846-7F63D14D94E8}</b:Guid>
    <b:Title>www.oberlo.com</b:Title>
    <b:URL>https://www.oberlo.com/statistics/us-ecommerce-sales#:~:text=Data%20from%20the%20US%20Department,recording%20a%207.44%25%20annual%20increase.</b:URL>
    <b:RefOrder>1</b:RefOrder>
  </b:Source>
</b:Sources>
</file>

<file path=customXml/itemProps1.xml><?xml version="1.0" encoding="utf-8"?>
<ds:datastoreItem xmlns:ds="http://schemas.openxmlformats.org/officeDocument/2006/customXml" ds:itemID="{FEC849D5-DC81-4F94-A388-9576A568A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7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Andrius Tunaitis</dc:creator>
  <cp:keywords/>
  <dc:description/>
  <cp:lastModifiedBy>Andrius Tunaitis</cp:lastModifiedBy>
  <cp:revision>14</cp:revision>
  <dcterms:created xsi:type="dcterms:W3CDTF">2023-03-27T14:43:00Z</dcterms:created>
  <dcterms:modified xsi:type="dcterms:W3CDTF">2023-04-16T14:26:00Z</dcterms:modified>
</cp:coreProperties>
</file>