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973B" w14:textId="77777777" w:rsidR="001333E1" w:rsidRPr="001333E1" w:rsidRDefault="001333E1" w:rsidP="001333E1">
      <w:pPr>
        <w:rPr>
          <w:rFonts w:ascii="Times New Roman" w:hAnsi="Times New Roman" w:cs="Times New Roman"/>
          <w:sz w:val="36"/>
          <w:szCs w:val="36"/>
          <w:u w:val="single"/>
        </w:rPr>
      </w:pPr>
      <w:r w:rsidRPr="001333E1">
        <w:rPr>
          <w:rFonts w:ascii="Times New Roman" w:hAnsi="Times New Roman" w:cs="Times New Roman"/>
          <w:b/>
          <w:bCs/>
          <w:sz w:val="36"/>
          <w:szCs w:val="36"/>
          <w:u w:val="single"/>
        </w:rPr>
        <w:t>Executive Summary: Product Line Profitability &amp; Margin Performance Analysis</w:t>
      </w:r>
    </w:p>
    <w:p w14:paraId="7A9E5E7D" w14:textId="77777777" w:rsidR="001333E1" w:rsidRPr="001333E1" w:rsidRDefault="001333E1" w:rsidP="001333E1">
      <w:pPr>
        <w:jc w:val="both"/>
        <w:rPr>
          <w:rFonts w:ascii="Times New Roman" w:hAnsi="Times New Roman" w:cs="Times New Roman"/>
          <w:sz w:val="24"/>
          <w:szCs w:val="24"/>
        </w:rPr>
      </w:pPr>
      <w:r w:rsidRPr="001333E1">
        <w:rPr>
          <w:rFonts w:ascii="Times New Roman" w:hAnsi="Times New Roman" w:cs="Times New Roman"/>
          <w:sz w:val="24"/>
          <w:szCs w:val="24"/>
        </w:rPr>
        <w:t>This analysis provides a comprehensive evaluation of product profitability, cost efficiency, and revenue distribution for Nassau Candy Distributor, with the objective of enabling data-driven decision-making for improved financial performance and risk management.</w:t>
      </w:r>
    </w:p>
    <w:p w14:paraId="289BDA1F" w14:textId="77777777" w:rsidR="001333E1" w:rsidRPr="001333E1" w:rsidRDefault="001333E1" w:rsidP="001333E1">
      <w:pPr>
        <w:jc w:val="both"/>
        <w:rPr>
          <w:rFonts w:ascii="Times New Roman" w:hAnsi="Times New Roman" w:cs="Times New Roman"/>
          <w:sz w:val="24"/>
          <w:szCs w:val="24"/>
        </w:rPr>
      </w:pPr>
      <w:r w:rsidRPr="001333E1">
        <w:rPr>
          <w:rFonts w:ascii="Times New Roman" w:hAnsi="Times New Roman" w:cs="Times New Roman"/>
          <w:sz w:val="24"/>
          <w:szCs w:val="24"/>
        </w:rPr>
        <w:t xml:space="preserve">The company generated approximately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$141,783 in total sales</w:t>
      </w:r>
      <w:r w:rsidRPr="001333E1">
        <w:rPr>
          <w:rFonts w:ascii="Times New Roman" w:hAnsi="Times New Roman" w:cs="Times New Roman"/>
          <w:sz w:val="24"/>
          <w:szCs w:val="24"/>
        </w:rPr>
        <w:t xml:space="preserve">, with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Chocolate products contributing the majority share ($131,692 in sales and $88,824 in profit)</w:t>
      </w:r>
      <w:r w:rsidRPr="001333E1">
        <w:rPr>
          <w:rFonts w:ascii="Times New Roman" w:hAnsi="Times New Roman" w:cs="Times New Roman"/>
          <w:sz w:val="24"/>
          <w:szCs w:val="24"/>
        </w:rPr>
        <w:t xml:space="preserve">. The Chocolate division demonstrates strong financial efficiency, achieving an average margin of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67.45%</w:t>
      </w:r>
      <w:r w:rsidRPr="001333E1">
        <w:rPr>
          <w:rFonts w:ascii="Times New Roman" w:hAnsi="Times New Roman" w:cs="Times New Roman"/>
          <w:sz w:val="24"/>
          <w:szCs w:val="24"/>
        </w:rPr>
        <w:t xml:space="preserve">, and serves as the primary driver of organizational profitability. In contrast, the </w:t>
      </w:r>
      <w:proofErr w:type="gramStart"/>
      <w:r w:rsidRPr="001333E1">
        <w:rPr>
          <w:rFonts w:ascii="Times New Roman" w:hAnsi="Times New Roman" w:cs="Times New Roman"/>
          <w:b/>
          <w:bCs/>
          <w:sz w:val="24"/>
          <w:szCs w:val="24"/>
        </w:rPr>
        <w:t>Other</w:t>
      </w:r>
      <w:proofErr w:type="gramEnd"/>
      <w:r w:rsidRPr="001333E1">
        <w:rPr>
          <w:rFonts w:ascii="Times New Roman" w:hAnsi="Times New Roman" w:cs="Times New Roman"/>
          <w:b/>
          <w:bCs/>
          <w:sz w:val="24"/>
          <w:szCs w:val="24"/>
        </w:rPr>
        <w:t xml:space="preserve"> division</w:t>
      </w:r>
      <w:r w:rsidRPr="001333E1">
        <w:rPr>
          <w:rFonts w:ascii="Times New Roman" w:hAnsi="Times New Roman" w:cs="Times New Roman"/>
          <w:sz w:val="24"/>
          <w:szCs w:val="24"/>
        </w:rPr>
        <w:t xml:space="preserve">, with a lower margin of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44.84%</w:t>
      </w:r>
      <w:r w:rsidRPr="001333E1">
        <w:rPr>
          <w:rFonts w:ascii="Times New Roman" w:hAnsi="Times New Roman" w:cs="Times New Roman"/>
          <w:sz w:val="24"/>
          <w:szCs w:val="24"/>
        </w:rPr>
        <w:t xml:space="preserve">, shows structural inefficiencies, while the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Sugar division</w:t>
      </w:r>
      <w:r w:rsidRPr="001333E1">
        <w:rPr>
          <w:rFonts w:ascii="Times New Roman" w:hAnsi="Times New Roman" w:cs="Times New Roman"/>
          <w:sz w:val="24"/>
          <w:szCs w:val="24"/>
        </w:rPr>
        <w:t xml:space="preserve">, despite a healthy margin of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66.61%</w:t>
      </w:r>
      <w:r w:rsidRPr="001333E1">
        <w:rPr>
          <w:rFonts w:ascii="Times New Roman" w:hAnsi="Times New Roman" w:cs="Times New Roman"/>
          <w:sz w:val="24"/>
          <w:szCs w:val="24"/>
        </w:rPr>
        <w:t>, operates at a significantly smaller scale and presents an opportunity for growth.</w:t>
      </w:r>
    </w:p>
    <w:p w14:paraId="7E0BA2B6" w14:textId="77777777" w:rsidR="001333E1" w:rsidRPr="001333E1" w:rsidRDefault="001333E1" w:rsidP="001333E1">
      <w:pPr>
        <w:jc w:val="both"/>
        <w:rPr>
          <w:rFonts w:ascii="Times New Roman" w:hAnsi="Times New Roman" w:cs="Times New Roman"/>
          <w:sz w:val="24"/>
          <w:szCs w:val="24"/>
        </w:rPr>
      </w:pPr>
      <w:r w:rsidRPr="001333E1">
        <w:rPr>
          <w:rFonts w:ascii="Times New Roman" w:hAnsi="Times New Roman" w:cs="Times New Roman"/>
          <w:sz w:val="24"/>
          <w:szCs w:val="24"/>
        </w:rPr>
        <w:t xml:space="preserve">At the product level, a small group of high-performing items dominates business performance. The top four products contribute approximately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76% of total revenue</w:t>
      </w:r>
      <w:r w:rsidRPr="001333E1">
        <w:rPr>
          <w:rFonts w:ascii="Times New Roman" w:hAnsi="Times New Roman" w:cs="Times New Roman"/>
          <w:sz w:val="24"/>
          <w:szCs w:val="24"/>
        </w:rPr>
        <w:t xml:space="preserve"> and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77% of total profit</w:t>
      </w:r>
      <w:r w:rsidRPr="001333E1">
        <w:rPr>
          <w:rFonts w:ascii="Times New Roman" w:hAnsi="Times New Roman" w:cs="Times New Roman"/>
          <w:sz w:val="24"/>
          <w:szCs w:val="24"/>
        </w:rPr>
        <w:t xml:space="preserve">, indicating a moderate concentration of value generation. However, dependency analysis shows that the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top three products contribute 59.30% of total profit</w:t>
      </w:r>
      <w:r w:rsidRPr="001333E1">
        <w:rPr>
          <w:rFonts w:ascii="Times New Roman" w:hAnsi="Times New Roman" w:cs="Times New Roman"/>
          <w:sz w:val="24"/>
          <w:szCs w:val="24"/>
        </w:rPr>
        <w:t>, suggesting that while key products are important, overall dependency risk remains balanced and manageable.</w:t>
      </w:r>
    </w:p>
    <w:p w14:paraId="1F6E1CF3" w14:textId="77777777" w:rsidR="001333E1" w:rsidRPr="001333E1" w:rsidRDefault="001333E1" w:rsidP="001333E1">
      <w:pPr>
        <w:jc w:val="both"/>
        <w:rPr>
          <w:rFonts w:ascii="Times New Roman" w:hAnsi="Times New Roman" w:cs="Times New Roman"/>
          <w:sz w:val="24"/>
          <w:szCs w:val="24"/>
        </w:rPr>
      </w:pPr>
      <w:r w:rsidRPr="001333E1">
        <w:rPr>
          <w:rFonts w:ascii="Times New Roman" w:hAnsi="Times New Roman" w:cs="Times New Roman"/>
          <w:sz w:val="24"/>
          <w:szCs w:val="24"/>
        </w:rPr>
        <w:t xml:space="preserve">Cost structure diagnostics identified several underperforming products, including </w:t>
      </w:r>
      <w:proofErr w:type="spellStart"/>
      <w:r w:rsidRPr="001333E1">
        <w:rPr>
          <w:rFonts w:ascii="Times New Roman" w:hAnsi="Times New Roman" w:cs="Times New Roman"/>
          <w:b/>
          <w:bCs/>
          <w:sz w:val="24"/>
          <w:szCs w:val="24"/>
        </w:rPr>
        <w:t>Lickable</w:t>
      </w:r>
      <w:proofErr w:type="spellEnd"/>
      <w:r w:rsidRPr="001333E1">
        <w:rPr>
          <w:rFonts w:ascii="Times New Roman" w:hAnsi="Times New Roman" w:cs="Times New Roman"/>
          <w:b/>
          <w:bCs/>
          <w:sz w:val="24"/>
          <w:szCs w:val="24"/>
        </w:rPr>
        <w:t xml:space="preserve"> Wallpaper, Wonka Gum, Kazookles, </w:t>
      </w:r>
      <w:proofErr w:type="spellStart"/>
      <w:r w:rsidRPr="001333E1">
        <w:rPr>
          <w:rFonts w:ascii="Times New Roman" w:hAnsi="Times New Roman" w:cs="Times New Roman"/>
          <w:b/>
          <w:bCs/>
          <w:sz w:val="24"/>
          <w:szCs w:val="24"/>
        </w:rPr>
        <w:t>Sweetarts</w:t>
      </w:r>
      <w:proofErr w:type="spellEnd"/>
      <w:r w:rsidRPr="001333E1">
        <w:rPr>
          <w:rFonts w:ascii="Times New Roman" w:hAnsi="Times New Roman" w:cs="Times New Roman"/>
          <w:b/>
          <w:bCs/>
          <w:sz w:val="24"/>
          <w:szCs w:val="24"/>
        </w:rPr>
        <w:t>, Nerds, and Fun Dip</w:t>
      </w:r>
      <w:r w:rsidRPr="001333E1">
        <w:rPr>
          <w:rFonts w:ascii="Times New Roman" w:hAnsi="Times New Roman" w:cs="Times New Roman"/>
          <w:sz w:val="24"/>
          <w:szCs w:val="24"/>
        </w:rPr>
        <w:t xml:space="preserve">, which exhibit </w:t>
      </w:r>
      <w:proofErr w:type="gramStart"/>
      <w:r w:rsidRPr="001333E1">
        <w:rPr>
          <w:rFonts w:ascii="Times New Roman" w:hAnsi="Times New Roman" w:cs="Times New Roman"/>
          <w:sz w:val="24"/>
          <w:szCs w:val="24"/>
        </w:rPr>
        <w:t>high cost</w:t>
      </w:r>
      <w:proofErr w:type="gramEnd"/>
      <w:r w:rsidRPr="001333E1">
        <w:rPr>
          <w:rFonts w:ascii="Times New Roman" w:hAnsi="Times New Roman" w:cs="Times New Roman"/>
          <w:sz w:val="24"/>
          <w:szCs w:val="24"/>
        </w:rPr>
        <w:t xml:space="preserve"> structures and low margins. These products are recommended for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cost renegotiation or discontinuation</w:t>
      </w:r>
      <w:r w:rsidRPr="001333E1">
        <w:rPr>
          <w:rFonts w:ascii="Times New Roman" w:hAnsi="Times New Roman" w:cs="Times New Roman"/>
          <w:sz w:val="24"/>
          <w:szCs w:val="24"/>
        </w:rPr>
        <w:t xml:space="preserve">, as they dilute overall profitability. Conversely, core chocolate products such as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Wonka Bar variants</w:t>
      </w:r>
      <w:r w:rsidRPr="001333E1">
        <w:rPr>
          <w:rFonts w:ascii="Times New Roman" w:hAnsi="Times New Roman" w:cs="Times New Roman"/>
          <w:sz w:val="24"/>
          <w:szCs w:val="24"/>
        </w:rPr>
        <w:t xml:space="preserve"> demonstrate strong margins and should be prioritized for scaling and investment.</w:t>
      </w:r>
    </w:p>
    <w:p w14:paraId="5E59616E" w14:textId="77777777" w:rsidR="001333E1" w:rsidRPr="001333E1" w:rsidRDefault="001333E1" w:rsidP="001333E1">
      <w:pPr>
        <w:jc w:val="both"/>
        <w:rPr>
          <w:rFonts w:ascii="Times New Roman" w:hAnsi="Times New Roman" w:cs="Times New Roman"/>
          <w:sz w:val="24"/>
          <w:szCs w:val="24"/>
        </w:rPr>
      </w:pPr>
      <w:r w:rsidRPr="001333E1">
        <w:rPr>
          <w:rFonts w:ascii="Times New Roman" w:hAnsi="Times New Roman" w:cs="Times New Roman"/>
          <w:sz w:val="24"/>
          <w:szCs w:val="24"/>
        </w:rPr>
        <w:t xml:space="preserve">Regional analysis indicates a well-distributed revenue base, with the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Pacific region contributing 32.66% of total sales</w:t>
      </w:r>
      <w:r w:rsidRPr="001333E1">
        <w:rPr>
          <w:rFonts w:ascii="Times New Roman" w:hAnsi="Times New Roman" w:cs="Times New Roman"/>
          <w:sz w:val="24"/>
          <w:szCs w:val="24"/>
        </w:rPr>
        <w:t>, followed by the Atlantic (29.06%), Interior (22.60%), and Gulf (15.69%). This balanced geographic distribution reduces exposure to regional concentration risk and enhances business stability.</w:t>
      </w:r>
    </w:p>
    <w:p w14:paraId="25FB99EC" w14:textId="77777777" w:rsidR="001333E1" w:rsidRPr="001333E1" w:rsidRDefault="001333E1" w:rsidP="001333E1">
      <w:pPr>
        <w:jc w:val="both"/>
      </w:pPr>
      <w:r w:rsidRPr="001333E1">
        <w:rPr>
          <w:rFonts w:ascii="Times New Roman" w:hAnsi="Times New Roman" w:cs="Times New Roman"/>
          <w:sz w:val="24"/>
          <w:szCs w:val="24"/>
        </w:rPr>
        <w:t xml:space="preserve">In conclusion, Nassau Candy Distributor is supported by a strong core portfolio of high-margin chocolate products and a balanced regional presence. Strategic priorities should focus on </w:t>
      </w:r>
      <w:r w:rsidRPr="001333E1">
        <w:rPr>
          <w:rFonts w:ascii="Times New Roman" w:hAnsi="Times New Roman" w:cs="Times New Roman"/>
          <w:b/>
          <w:bCs/>
          <w:sz w:val="24"/>
          <w:szCs w:val="24"/>
        </w:rPr>
        <w:t>scaling high-performing products, optimizing underperforming divisions, eliminating cost-inefficient products, and maintaining di</w:t>
      </w:r>
      <w:r w:rsidRPr="001333E1">
        <w:rPr>
          <w:b/>
          <w:bCs/>
        </w:rPr>
        <w:t>versification</w:t>
      </w:r>
      <w:r w:rsidRPr="001333E1">
        <w:t xml:space="preserve"> to ensure sustainable growth and improved profitability.</w:t>
      </w:r>
    </w:p>
    <w:p w14:paraId="01720BD0" w14:textId="77777777" w:rsidR="00C0422C" w:rsidRDefault="00C0422C"/>
    <w:sectPr w:rsidR="00C0422C" w:rsidSect="001333E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E1"/>
    <w:rsid w:val="001333E1"/>
    <w:rsid w:val="00513FB0"/>
    <w:rsid w:val="00C0422C"/>
    <w:rsid w:val="00CA35A3"/>
    <w:rsid w:val="00E6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4003"/>
  <w15:chartTrackingRefBased/>
  <w15:docId w15:val="{2ECE05E9-FB0E-4948-BFE7-50842295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Pareek</dc:creator>
  <cp:keywords/>
  <dc:description/>
  <cp:lastModifiedBy>Tushar Pareek</cp:lastModifiedBy>
  <cp:revision>1</cp:revision>
  <dcterms:created xsi:type="dcterms:W3CDTF">2026-04-28T11:06:00Z</dcterms:created>
  <dcterms:modified xsi:type="dcterms:W3CDTF">2026-04-28T11:08:00Z</dcterms:modified>
</cp:coreProperties>
</file>