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E3A9" w14:textId="77777777" w:rsidR="00B47307" w:rsidRPr="00CB3D9F" w:rsidRDefault="00E42B95" w:rsidP="0025022A">
      <w:pPr>
        <w:spacing w:after="0" w:line="280" w:lineRule="exact"/>
        <w:jc w:val="center"/>
        <w:rPr>
          <w:rFonts w:ascii="Times New Roman" w:eastAsia="Times New Roman" w:hAnsi="Times New Roman" w:cs="Times New Roman"/>
          <w:b/>
          <w:color w:val="00B0F0"/>
          <w:sz w:val="30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30"/>
        </w:rPr>
        <w:t>Выдача разрешени</w:t>
      </w:r>
      <w:r w:rsidR="00B47307" w:rsidRPr="00CB3D9F">
        <w:rPr>
          <w:rFonts w:ascii="Times New Roman" w:eastAsia="Times New Roman" w:hAnsi="Times New Roman" w:cs="Times New Roman"/>
          <w:b/>
          <w:color w:val="00B0F0"/>
          <w:sz w:val="30"/>
        </w:rPr>
        <w:t xml:space="preserve">я на открытие, </w:t>
      </w:r>
    </w:p>
    <w:p w14:paraId="5632B9D0" w14:textId="77777777" w:rsidR="004863F4" w:rsidRPr="00CB3D9F" w:rsidRDefault="00B47307" w:rsidP="0025022A">
      <w:pPr>
        <w:spacing w:after="0" w:line="280" w:lineRule="exact"/>
        <w:jc w:val="center"/>
        <w:rPr>
          <w:rFonts w:ascii="Times New Roman" w:eastAsia="Times New Roman" w:hAnsi="Times New Roman" w:cs="Times New Roman"/>
          <w:b/>
          <w:color w:val="00B0F0"/>
          <w:sz w:val="30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30"/>
        </w:rPr>
        <w:t xml:space="preserve">прекращение деятельности </w:t>
      </w:r>
      <w:r w:rsidR="0025022A" w:rsidRPr="00CB3D9F">
        <w:rPr>
          <w:rFonts w:ascii="Times New Roman" w:eastAsia="Times New Roman" w:hAnsi="Times New Roman" w:cs="Times New Roman"/>
          <w:b/>
          <w:color w:val="00B0F0"/>
          <w:sz w:val="30"/>
        </w:rPr>
        <w:t>представительства</w:t>
      </w:r>
    </w:p>
    <w:p w14:paraId="730F3E38" w14:textId="77777777" w:rsidR="0025022A" w:rsidRPr="00CB3D9F" w:rsidRDefault="00E42B95" w:rsidP="0025022A">
      <w:pPr>
        <w:spacing w:after="0" w:line="280" w:lineRule="exact"/>
        <w:jc w:val="center"/>
        <w:rPr>
          <w:rFonts w:ascii="Times New Roman" w:eastAsia="Times New Roman" w:hAnsi="Times New Roman" w:cs="Times New Roman"/>
          <w:b/>
          <w:color w:val="00B0F0"/>
          <w:sz w:val="30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30"/>
        </w:rPr>
        <w:t xml:space="preserve">иностранной организации на территории </w:t>
      </w:r>
    </w:p>
    <w:p w14:paraId="2AD2EC7F" w14:textId="77777777" w:rsidR="004863F4" w:rsidRPr="00CB3D9F" w:rsidRDefault="00E42B95" w:rsidP="0025022A">
      <w:pPr>
        <w:spacing w:after="0" w:line="280" w:lineRule="exact"/>
        <w:jc w:val="center"/>
        <w:rPr>
          <w:rFonts w:ascii="Times New Roman" w:eastAsia="Times New Roman" w:hAnsi="Times New Roman" w:cs="Times New Roman"/>
          <w:b/>
          <w:color w:val="00B0F0"/>
          <w:sz w:val="30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30"/>
        </w:rPr>
        <w:t>Китайско-Белорусского индустриального парка «Великий камень»</w:t>
      </w:r>
    </w:p>
    <w:p w14:paraId="78C78B3E" w14:textId="77777777" w:rsidR="004863F4" w:rsidRDefault="004863F4">
      <w:pPr>
        <w:rPr>
          <w:rFonts w:ascii="Times New Roman" w:eastAsia="Times New Roman" w:hAnsi="Times New Roman" w:cs="Times New Roman"/>
          <w:sz w:val="24"/>
        </w:rPr>
      </w:pPr>
    </w:p>
    <w:p w14:paraId="1A35B1D4" w14:textId="77777777" w:rsidR="004863F4" w:rsidRPr="00546CE2" w:rsidRDefault="00E42B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</w:pPr>
      <w:r w:rsidRPr="00546CE2"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  <w:t>1. Перечень документов для открытия представительства иностранных организаций:</w:t>
      </w:r>
    </w:p>
    <w:p w14:paraId="18F3BF80" w14:textId="77777777" w:rsidR="004863F4" w:rsidRDefault="00E42B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заявление о выдаче разрешения на открытие представительства, подписанное уполномоченным лицом этой организации</w:t>
      </w:r>
      <w:r w:rsidR="00724A3B">
        <w:rPr>
          <w:rFonts w:ascii="Times New Roman" w:eastAsia="Times New Roman" w:hAnsi="Times New Roman" w:cs="Times New Roman"/>
          <w:sz w:val="24"/>
        </w:rPr>
        <w:t>, по форме приложения № 1 к Положению о порядке открытия деятельности в Республике Беларусь представительств иностранных организаций, утверждённому постановлением Совета Министров Республики Беларусь от 30</w:t>
      </w:r>
      <w:r w:rsidR="0064600A">
        <w:rPr>
          <w:rFonts w:ascii="Times New Roman" w:eastAsia="Times New Roman" w:hAnsi="Times New Roman" w:cs="Times New Roman"/>
          <w:sz w:val="24"/>
          <w:lang w:val="en-US"/>
        </w:rPr>
        <w:t> </w:t>
      </w:r>
      <w:r w:rsidR="00724A3B">
        <w:rPr>
          <w:rFonts w:ascii="Times New Roman" w:eastAsia="Times New Roman" w:hAnsi="Times New Roman" w:cs="Times New Roman"/>
          <w:sz w:val="24"/>
        </w:rPr>
        <w:t>мая 2018 г. № 408 (далее – Положение)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A064ECA" w14:textId="77777777" w:rsidR="004863F4" w:rsidRDefault="00E42B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легализованная выписка из торгового регистра страны учреждения или иное эквивалентное доказательство юридического статуса организации или органа управления административно-территориальной единицы иностранного государства в соответствии с законодательством страны учреждения либо нотариально засвидетельствованная копия указанных документов (выписка должна быть датирована не позднее шести месяцев до дня ее представления в администрацию парка);</w:t>
      </w:r>
    </w:p>
    <w:p w14:paraId="3F098B8D" w14:textId="77777777" w:rsidR="004863F4" w:rsidRDefault="00E42B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положение о представительстве иностранной организации, утвержденное данной иностранной организацией, в котором указываются цель (цели) открытия такого представительства, его местонахождение, организационная структура, компетенция руководителя этого представительства, порядок прекращения деятельности указанного представительства;</w:t>
      </w:r>
    </w:p>
    <w:p w14:paraId="6C3B76D6" w14:textId="77777777" w:rsidR="004863F4" w:rsidRDefault="00E42B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программа деятельности по форме установленной Советом Министров Республики Беларусь (для представительств некоммерческих иностранных организаций) – утвержденный иностранной организацией и соответствующий приоритетным направлениям ее деятельности комплекс мероприятий по решению конкретных задач, соответствующих цели (целям) открытия представительства некоммерческой иностранной организации, предусматривающий сроки и ресурсы для выполнения таких мероприятий</w:t>
      </w:r>
      <w:r w:rsidR="00724A3B">
        <w:rPr>
          <w:rFonts w:ascii="Times New Roman" w:eastAsia="Times New Roman" w:hAnsi="Times New Roman" w:cs="Times New Roman"/>
          <w:sz w:val="24"/>
        </w:rPr>
        <w:t>, по форме приложения 2 к Положению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404AEF0C" w14:textId="77777777" w:rsidR="004863F4" w:rsidRDefault="00E42B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нотариально удостоверенные доверенности либо их нотариально засвидетельствованные копии на руководителя представительства иностранной организации и лицо, уполномоченное осуществлять действия, связанные с открытием представительства иностранной организации (при наличии такого лица). Данные документы могут не представляться в случае, если руководитель представительства иностранной организации или лицо, уполномоченное осуществлять действия, связанные с открытием представительства иностранной организации, является руководителем иностранной организации и информация об этом содержится в легализованной выписке из торгового регистра страны учреждения или ином эквивалентном доказательстве юридического статуса организации или органа управления административно-территориальной единицы иностранного государства;</w:t>
      </w:r>
    </w:p>
    <w:p w14:paraId="15C16A37" w14:textId="77777777" w:rsidR="004863F4" w:rsidRDefault="00E42B95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документ, подтверждающий уплату государственной пошлины за выдачу разрешения на открытие представительства иностранной организации.</w:t>
      </w:r>
    </w:p>
    <w:p w14:paraId="38148511" w14:textId="77777777" w:rsidR="004863F4" w:rsidRDefault="00E42B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FFFFFF"/>
        </w:rPr>
        <w:t xml:space="preserve">ВНИМАНИЕ! </w:t>
      </w:r>
      <w:r>
        <w:rPr>
          <w:rFonts w:ascii="Times New Roman" w:eastAsia="Times New Roman" w:hAnsi="Times New Roman" w:cs="Times New Roman"/>
          <w:i/>
          <w:sz w:val="24"/>
          <w:shd w:val="clear" w:color="auto" w:fill="FFFFFF"/>
        </w:rPr>
        <w:t>Документы, составленные на иностранном языке, должны сопровождаться переводом на белорусский или русский язык (верность перевода или подлинность подписи переводчика должна быть засвидетельствована нотариально), а документы, выданные или засвидетельствованные (заверенные) компетентным органом иностранного государства, – легализованы, если иное не предусмотрено международными договорами Республики Беларусь.</w:t>
      </w:r>
    </w:p>
    <w:p w14:paraId="0641A2CA" w14:textId="77777777" w:rsidR="004863F4" w:rsidRDefault="004863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1F0EC90C" w14:textId="77777777" w:rsidR="004863F4" w:rsidRPr="00CB3D9F" w:rsidRDefault="00E42B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B0F0"/>
          <w:sz w:val="24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24"/>
        </w:rPr>
        <w:t>Документы представляются по почте либо нарочным (курьером).</w:t>
      </w:r>
    </w:p>
    <w:p w14:paraId="1543848A" w14:textId="77777777" w:rsidR="004863F4" w:rsidRDefault="00E42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ab/>
      </w:r>
      <w:r w:rsidRPr="00CB3D9F">
        <w:rPr>
          <w:rFonts w:ascii="Times New Roman" w:eastAsia="Times New Roman" w:hAnsi="Times New Roman" w:cs="Times New Roman"/>
          <w:b/>
          <w:color w:val="00B0F0"/>
          <w:sz w:val="24"/>
        </w:rPr>
        <w:t>Срок рассмотрения документов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составляет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CB3D9F">
        <w:rPr>
          <w:rFonts w:ascii="Times New Roman" w:eastAsia="Times New Roman" w:hAnsi="Times New Roman" w:cs="Times New Roman"/>
          <w:b/>
          <w:color w:val="00B0F0"/>
          <w:sz w:val="24"/>
        </w:rPr>
        <w:t xml:space="preserve">30 дней </w:t>
      </w:r>
      <w:r>
        <w:rPr>
          <w:rFonts w:ascii="Times New Roman" w:eastAsia="Times New Roman" w:hAnsi="Times New Roman" w:cs="Times New Roman"/>
          <w:sz w:val="24"/>
        </w:rPr>
        <w:t xml:space="preserve">с даты их представления (в случае необходимости направления запроса в другие государственные органы, организации данный срок продлевается </w:t>
      </w:r>
      <w:r w:rsidRPr="00CB3D9F">
        <w:rPr>
          <w:rFonts w:ascii="Times New Roman" w:eastAsia="Times New Roman" w:hAnsi="Times New Roman" w:cs="Times New Roman"/>
          <w:b/>
          <w:color w:val="00B0F0"/>
          <w:sz w:val="24"/>
        </w:rPr>
        <w:t>до 2 месяцев</w:t>
      </w:r>
      <w:r>
        <w:rPr>
          <w:rFonts w:ascii="Times New Roman" w:eastAsia="Times New Roman" w:hAnsi="Times New Roman" w:cs="Times New Roman"/>
          <w:sz w:val="24"/>
        </w:rPr>
        <w:t>).</w:t>
      </w:r>
    </w:p>
    <w:p w14:paraId="5A4057EE" w14:textId="77777777" w:rsidR="004863F4" w:rsidRDefault="00E42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17A2F55" w14:textId="77777777" w:rsidR="004863F4" w:rsidRPr="00546CE2" w:rsidRDefault="00E42B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546CE2">
        <w:rPr>
          <w:rFonts w:ascii="Times New Roman" w:eastAsia="Times New Roman" w:hAnsi="Times New Roman" w:cs="Times New Roman"/>
          <w:b/>
          <w:color w:val="FF0000"/>
          <w:sz w:val="24"/>
        </w:rPr>
        <w:t>2.</w:t>
      </w:r>
      <w:r w:rsidRPr="00546CE2">
        <w:rPr>
          <w:rFonts w:ascii="Times New Roman" w:eastAsia="Times New Roman" w:hAnsi="Times New Roman" w:cs="Times New Roman"/>
          <w:b/>
          <w:color w:val="FF0000"/>
          <w:sz w:val="24"/>
          <w:u w:val="single"/>
          <w:shd w:val="clear" w:color="auto" w:fill="FFFFFF"/>
        </w:rPr>
        <w:t>Выдача дубликата разрешения</w:t>
      </w:r>
    </w:p>
    <w:p w14:paraId="7776C2F7" w14:textId="77777777" w:rsidR="004863F4" w:rsidRDefault="004863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14:paraId="22227DEF" w14:textId="77777777" w:rsidR="004863F4" w:rsidRDefault="00E42B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24"/>
          <w:shd w:val="clear" w:color="auto" w:fill="FFFFFF"/>
        </w:rPr>
        <w:t>Выдача дубликата разрешения на открытие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представительства иностранной организации в случае утраты (хищения) разрешения либо непригодности его к использованию осуществляется по заявлению иностранной организации. К заявлению прилагается копия публикации в печатных средствах массовой информации об утрате (хищении) разрешения либо разрешение, пришедшее в негодность.</w:t>
      </w:r>
    </w:p>
    <w:p w14:paraId="20460B93" w14:textId="77777777" w:rsidR="004863F4" w:rsidRDefault="00E42B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24"/>
          <w:shd w:val="clear" w:color="auto" w:fill="FFFFFF"/>
        </w:rPr>
        <w:t>Срок рассмотрения заявления – 10 рабочих дней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с даты представления соответствующих документов.</w:t>
      </w:r>
    </w:p>
    <w:p w14:paraId="3A36C066" w14:textId="77777777" w:rsidR="004863F4" w:rsidRDefault="004863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17FD328" w14:textId="77777777" w:rsidR="004863F4" w:rsidRPr="00546CE2" w:rsidRDefault="00E42B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FF0000"/>
          <w:sz w:val="24"/>
          <w:u w:val="single"/>
          <w:shd w:val="clear" w:color="auto" w:fill="FFFFFF"/>
        </w:rPr>
      </w:pPr>
      <w:r w:rsidRPr="00546CE2">
        <w:rPr>
          <w:rFonts w:ascii="Times New Roman" w:eastAsia="Times New Roman" w:hAnsi="Times New Roman" w:cs="Times New Roman"/>
          <w:b/>
          <w:color w:val="FF0000"/>
          <w:sz w:val="24"/>
          <w:u w:val="single"/>
          <w:shd w:val="clear" w:color="auto" w:fill="FFFFFF"/>
        </w:rPr>
        <w:t>3. Уплата государственной пошлины</w:t>
      </w:r>
    </w:p>
    <w:p w14:paraId="7FD49805" w14:textId="77777777" w:rsidR="004863F4" w:rsidRDefault="004863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</w:p>
    <w:p w14:paraId="19D8E6A3" w14:textId="77777777" w:rsidR="004863F4" w:rsidRDefault="00E42B95" w:rsidP="00686FEB">
      <w:pPr>
        <w:spacing w:after="0" w:line="280" w:lineRule="exact"/>
        <w:jc w:val="right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Приложение 22</w:t>
      </w:r>
    </w:p>
    <w:p w14:paraId="3114C791" w14:textId="77777777" w:rsidR="004863F4" w:rsidRDefault="00E42B95" w:rsidP="00686FEB">
      <w:pPr>
        <w:spacing w:after="0" w:line="280" w:lineRule="exact"/>
        <w:jc w:val="right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к Налоговому кодексу</w:t>
      </w:r>
    </w:p>
    <w:p w14:paraId="0538E30A" w14:textId="77777777" w:rsidR="004863F4" w:rsidRDefault="00E42B95" w:rsidP="00686FEB">
      <w:pPr>
        <w:spacing w:after="0" w:line="280" w:lineRule="exact"/>
        <w:jc w:val="right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Республики Беларусь</w:t>
      </w:r>
    </w:p>
    <w:p w14:paraId="726AB68B" w14:textId="77777777" w:rsidR="004863F4" w:rsidRDefault="00E42B95">
      <w:pPr>
        <w:spacing w:after="150" w:line="36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СТАВКИ ГОСУДАРСТВЕННОЙ ПОШЛИНЫ ПО ИНЫМ ОБЪЕКТАМ ОБЛОЖЕНИЯ ГОСУДАРСТВЕННОЙ ПОШЛИНОЙ</w:t>
      </w: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4"/>
        <w:gridCol w:w="2638"/>
      </w:tblGrid>
      <w:tr w:rsidR="004863F4" w14:paraId="0FB86FD0" w14:textId="77777777">
        <w:tc>
          <w:tcPr>
            <w:tcW w:w="7223" w:type="dxa"/>
            <w:tcBorders>
              <w:top w:val="single" w:sz="6" w:space="0" w:color="D7E1EA"/>
              <w:left w:val="single" w:sz="6" w:space="0" w:color="D7E1EA"/>
              <w:bottom w:val="single" w:sz="6" w:space="0" w:color="D7E1EA"/>
              <w:right w:val="single" w:sz="6" w:space="0" w:color="D7E1EA"/>
            </w:tcBorders>
            <w:shd w:val="clear" w:color="auto" w:fill="ECF3F9"/>
            <w:tcMar>
              <w:left w:w="120" w:type="dxa"/>
              <w:right w:w="120" w:type="dxa"/>
            </w:tcMar>
            <w:vAlign w:val="center"/>
          </w:tcPr>
          <w:p w14:paraId="02E9F061" w14:textId="77777777" w:rsidR="004863F4" w:rsidRDefault="00E42B95">
            <w:pPr>
              <w:spacing w:after="300"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документов и действий, за которые взимается государственная пошлина</w:t>
            </w:r>
          </w:p>
        </w:tc>
        <w:tc>
          <w:tcPr>
            <w:tcW w:w="2693" w:type="dxa"/>
            <w:tcBorders>
              <w:top w:val="single" w:sz="6" w:space="0" w:color="D7E1EA"/>
              <w:left w:val="single" w:sz="6" w:space="0" w:color="D7E1EA"/>
              <w:bottom w:val="single" w:sz="6" w:space="0" w:color="D7E1EA"/>
              <w:right w:val="single" w:sz="6" w:space="0" w:color="D7E1EA"/>
            </w:tcBorders>
            <w:shd w:val="clear" w:color="auto" w:fill="ECF3F9"/>
            <w:tcMar>
              <w:left w:w="120" w:type="dxa"/>
              <w:right w:w="120" w:type="dxa"/>
            </w:tcMar>
            <w:vAlign w:val="center"/>
          </w:tcPr>
          <w:p w14:paraId="63B772B5" w14:textId="77777777" w:rsidR="004863F4" w:rsidRDefault="00E42B95">
            <w:pPr>
              <w:spacing w:after="300"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Ставки государственной пошлины</w:t>
            </w:r>
          </w:p>
        </w:tc>
      </w:tr>
      <w:tr w:rsidR="004863F4" w14:paraId="40E5FB0E" w14:textId="77777777">
        <w:trPr>
          <w:trHeight w:val="1"/>
        </w:trPr>
        <w:tc>
          <w:tcPr>
            <w:tcW w:w="7223" w:type="dxa"/>
            <w:tcBorders>
              <w:top w:val="single" w:sz="6" w:space="0" w:color="D7E1EA"/>
              <w:left w:val="single" w:sz="6" w:space="0" w:color="D7E1EA"/>
              <w:bottom w:val="single" w:sz="6" w:space="0" w:color="D7E1EA"/>
              <w:right w:val="single" w:sz="6" w:space="0" w:color="D7E1E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1A631D1" w14:textId="77777777" w:rsidR="004863F4" w:rsidRDefault="00E42B95">
            <w:pPr>
              <w:spacing w:after="300" w:line="300" w:lineRule="auto"/>
            </w:pPr>
            <w:r w:rsidRPr="00CB3D9F"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>56. Выдача (продление срока действия) разрешения на открытие представительства:</w:t>
            </w:r>
          </w:p>
        </w:tc>
        <w:tc>
          <w:tcPr>
            <w:tcW w:w="2693" w:type="dxa"/>
            <w:tcBorders>
              <w:top w:val="single" w:sz="6" w:space="0" w:color="D7E1EA"/>
              <w:left w:val="single" w:sz="6" w:space="0" w:color="D7E1EA"/>
              <w:bottom w:val="single" w:sz="6" w:space="0" w:color="D7E1EA"/>
              <w:right w:val="single" w:sz="6" w:space="0" w:color="D7E1E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FD1DBB1" w14:textId="77777777" w:rsidR="004863F4" w:rsidRDefault="00E42B95">
            <w:pPr>
              <w:spacing w:after="30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4863F4" w14:paraId="1490D78C" w14:textId="77777777">
        <w:trPr>
          <w:trHeight w:val="1"/>
        </w:trPr>
        <w:tc>
          <w:tcPr>
            <w:tcW w:w="7223" w:type="dxa"/>
            <w:tcBorders>
              <w:top w:val="single" w:sz="6" w:space="0" w:color="D7E1EA"/>
              <w:left w:val="single" w:sz="6" w:space="0" w:color="D7E1EA"/>
              <w:bottom w:val="single" w:sz="6" w:space="0" w:color="D7E1EA"/>
              <w:right w:val="single" w:sz="6" w:space="0" w:color="D7E1EA"/>
            </w:tcBorders>
            <w:shd w:val="clear" w:color="auto" w:fill="ECF3F9"/>
            <w:tcMar>
              <w:left w:w="120" w:type="dxa"/>
              <w:right w:w="120" w:type="dxa"/>
            </w:tcMar>
          </w:tcPr>
          <w:p w14:paraId="51DD1530" w14:textId="77777777" w:rsidR="004863F4" w:rsidRDefault="00E42B95">
            <w:pPr>
              <w:spacing w:after="300" w:line="300" w:lineRule="auto"/>
            </w:pPr>
            <w:r w:rsidRPr="00CB3D9F">
              <w:rPr>
                <w:rFonts w:ascii="Times New Roman" w:eastAsia="Times New Roman" w:hAnsi="Times New Roman" w:cs="Times New Roman"/>
                <w:sz w:val="24"/>
              </w:rPr>
              <w:t>56.1.</w:t>
            </w:r>
            <w:r>
              <w:rPr>
                <w:rFonts w:ascii="Times New Roman" w:eastAsia="Times New Roman" w:hAnsi="Times New Roman" w:cs="Times New Roman"/>
                <w:sz w:val="24"/>
              </w:rPr>
              <w:t> иностранной организации в Республике Беларусь, за исключением указанных в подпункте 56.2 настоящего пункта</w:t>
            </w:r>
          </w:p>
        </w:tc>
        <w:tc>
          <w:tcPr>
            <w:tcW w:w="2693" w:type="dxa"/>
            <w:tcBorders>
              <w:top w:val="single" w:sz="6" w:space="0" w:color="D7E1EA"/>
              <w:left w:val="single" w:sz="6" w:space="0" w:color="D7E1EA"/>
              <w:bottom w:val="single" w:sz="6" w:space="0" w:color="D7E1EA"/>
              <w:right w:val="single" w:sz="6" w:space="0" w:color="D7E1EA"/>
            </w:tcBorders>
            <w:shd w:val="clear" w:color="auto" w:fill="ECF3F9"/>
            <w:tcMar>
              <w:left w:w="120" w:type="dxa"/>
              <w:right w:w="120" w:type="dxa"/>
            </w:tcMar>
          </w:tcPr>
          <w:p w14:paraId="2982A8C2" w14:textId="77777777" w:rsidR="004863F4" w:rsidRPr="00CB3D9F" w:rsidRDefault="00E42B95">
            <w:pPr>
              <w:spacing w:after="300" w:line="300" w:lineRule="auto"/>
            </w:pPr>
            <w:r w:rsidRPr="00CB3D9F">
              <w:rPr>
                <w:rFonts w:ascii="Times New Roman" w:eastAsia="Times New Roman" w:hAnsi="Times New Roman" w:cs="Times New Roman"/>
                <w:sz w:val="24"/>
              </w:rPr>
              <w:t xml:space="preserve">65 базовых величин </w:t>
            </w:r>
          </w:p>
        </w:tc>
      </w:tr>
      <w:tr w:rsidR="004863F4" w14:paraId="342BFB52" w14:textId="77777777">
        <w:tc>
          <w:tcPr>
            <w:tcW w:w="7223" w:type="dxa"/>
            <w:tcBorders>
              <w:top w:val="single" w:sz="6" w:space="0" w:color="D7E1EA"/>
              <w:left w:val="single" w:sz="6" w:space="0" w:color="D7E1EA"/>
              <w:bottom w:val="single" w:sz="6" w:space="0" w:color="D7E1EA"/>
              <w:right w:val="single" w:sz="6" w:space="0" w:color="D7E1E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3A9CAC3" w14:textId="77777777" w:rsidR="004863F4" w:rsidRDefault="00E42B95">
            <w:pPr>
              <w:spacing w:after="300" w:line="300" w:lineRule="auto"/>
            </w:pPr>
            <w:r w:rsidRPr="00CB3D9F">
              <w:rPr>
                <w:rFonts w:ascii="Times New Roman" w:eastAsia="Times New Roman" w:hAnsi="Times New Roman" w:cs="Times New Roman"/>
                <w:sz w:val="24"/>
              </w:rPr>
              <w:t>56.2.</w:t>
            </w:r>
            <w:r>
              <w:rPr>
                <w:rFonts w:ascii="Times New Roman" w:eastAsia="Times New Roman" w:hAnsi="Times New Roman" w:cs="Times New Roman"/>
                <w:sz w:val="24"/>
              </w:rPr>
              <w:t> некоммерческой иностранной организации в Республике Беларусь, а также иностранной организации, осуществляющей исключительно благотворительную деятельность на территории Республики Беларусь</w:t>
            </w:r>
          </w:p>
        </w:tc>
        <w:tc>
          <w:tcPr>
            <w:tcW w:w="2693" w:type="dxa"/>
            <w:tcBorders>
              <w:top w:val="single" w:sz="6" w:space="0" w:color="D7E1EA"/>
              <w:left w:val="single" w:sz="6" w:space="0" w:color="D7E1EA"/>
              <w:bottom w:val="single" w:sz="6" w:space="0" w:color="D7E1EA"/>
              <w:right w:val="single" w:sz="6" w:space="0" w:color="D7E1E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3D45774" w14:textId="77777777" w:rsidR="004863F4" w:rsidRPr="00CB3D9F" w:rsidRDefault="00E42B95">
            <w:pPr>
              <w:spacing w:after="300" w:line="300" w:lineRule="auto"/>
            </w:pPr>
            <w:r w:rsidRPr="00CB3D9F">
              <w:rPr>
                <w:rFonts w:ascii="Times New Roman" w:eastAsia="Times New Roman" w:hAnsi="Times New Roman" w:cs="Times New Roman"/>
                <w:sz w:val="24"/>
              </w:rPr>
              <w:t xml:space="preserve">20 базовых величин </w:t>
            </w:r>
          </w:p>
        </w:tc>
      </w:tr>
    </w:tbl>
    <w:p w14:paraId="16554E23" w14:textId="77777777" w:rsidR="004863F4" w:rsidRDefault="004863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</w:p>
    <w:p w14:paraId="61A343EB" w14:textId="77777777" w:rsidR="004863F4" w:rsidRPr="00CB3D9F" w:rsidRDefault="00E42B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B0F0"/>
          <w:sz w:val="24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24"/>
          <w:u w:val="single"/>
          <w:shd w:val="clear" w:color="auto" w:fill="FFFFFF"/>
        </w:rPr>
        <w:t>Реквизиты для оплаты в белорусских рублях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863F4" w14:paraId="457E01AB" w14:textId="77777777">
        <w:trPr>
          <w:trHeight w:val="1"/>
        </w:trPr>
        <w:tc>
          <w:tcPr>
            <w:tcW w:w="97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F7178D8" w14:textId="77777777" w:rsidR="004863F4" w:rsidRDefault="00E42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получателя (бенефициара) — ГУ МФ РБ по г. Минской области (Главное управление Министерства финансов Республики Беларусь по Минской области), УНП получателя (бенефициара) – 100437065</w:t>
            </w:r>
          </w:p>
          <w:p w14:paraId="4F35D494" w14:textId="77777777" w:rsidR="004863F4" w:rsidRDefault="0048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F2910FF" w14:textId="77777777" w:rsidR="004863F4" w:rsidRDefault="00E42B9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Наименование банка— ОАО «АСБ Беларусбанк»,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г.Минск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код банка— AKBBBY2X номер счета— BY38 AKBB36029160 1000 9000 0000код платежа — 3001 Адрес головного банка — 220050, г. Минск, ул. Мясникова,32.</w:t>
            </w:r>
          </w:p>
        </w:tc>
      </w:tr>
    </w:tbl>
    <w:p w14:paraId="0E12E0B4" w14:textId="77777777" w:rsidR="004863F4" w:rsidRDefault="004863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05431C3B" w14:textId="77777777" w:rsidR="004863F4" w:rsidRPr="00CB3D9F" w:rsidRDefault="00E42B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F0"/>
          <w:sz w:val="24"/>
          <w:u w:val="single"/>
          <w:shd w:val="clear" w:color="auto" w:fill="FFFFFF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24"/>
          <w:u w:val="single"/>
          <w:shd w:val="clear" w:color="auto" w:fill="FFFFFF"/>
        </w:rPr>
        <w:t>Реквизиты для международных банковских переводов в валюте на счета Главного управления Министерства финансов Республики Беларусь по Минской области</w:t>
      </w:r>
    </w:p>
    <w:p w14:paraId="7A9EB7CE" w14:textId="77777777" w:rsidR="004863F4" w:rsidRDefault="004863F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1656"/>
        <w:gridCol w:w="2613"/>
        <w:gridCol w:w="3508"/>
      </w:tblGrid>
      <w:tr w:rsidR="004863F4" w14:paraId="6D364E47" w14:textId="77777777">
        <w:trPr>
          <w:trHeight w:val="1"/>
        </w:trPr>
        <w:tc>
          <w:tcPr>
            <w:tcW w:w="18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FE58C4" w14:textId="77777777" w:rsidR="004863F4" w:rsidRDefault="00E42B9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A025A6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для платежей в USD </w:t>
            </w:r>
            <w:r>
              <w:rPr>
                <w:rFonts w:ascii="Times New Roman" w:eastAsia="Times New Roman" w:hAnsi="Times New Roman" w:cs="Times New Roman"/>
                <w:sz w:val="24"/>
              </w:rPr>
              <w:t>(код валюты 840)</w:t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D15854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для платежей в EUR</w:t>
            </w:r>
            <w:r>
              <w:rPr>
                <w:rFonts w:ascii="Times New Roman" w:eastAsia="Times New Roman" w:hAnsi="Times New Roman" w:cs="Times New Roman"/>
                <w:sz w:val="24"/>
              </w:rPr>
              <w:t> (код валюты 978)</w:t>
            </w:r>
          </w:p>
        </w:tc>
      </w:tr>
      <w:tr w:rsidR="004863F4" w:rsidRPr="002B4FBE" w14:paraId="48842D83" w14:textId="77777777">
        <w:trPr>
          <w:trHeight w:val="1"/>
        </w:trPr>
        <w:tc>
          <w:tcPr>
            <w:tcW w:w="18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765E9BC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BC4B985" w14:textId="77777777" w:rsidR="004863F4" w:rsidRPr="00AA05E5" w:rsidRDefault="00E42B95">
            <w:pPr>
              <w:spacing w:after="0" w:line="240" w:lineRule="auto"/>
              <w:jc w:val="both"/>
              <w:rPr>
                <w:lang w:val="en-US"/>
              </w:rPr>
            </w:pPr>
            <w:r w:rsidRPr="00AA05E5">
              <w:rPr>
                <w:rFonts w:ascii="Times New Roman" w:eastAsia="Times New Roman" w:hAnsi="Times New Roman" w:cs="Times New Roman"/>
                <w:sz w:val="24"/>
                <w:lang w:val="en-US"/>
              </w:rPr>
              <w:t>Citibank N.A., New York</w:t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50E168E" w14:textId="77777777" w:rsidR="004863F4" w:rsidRPr="00AA05E5" w:rsidRDefault="00E42B95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00AA05E5">
              <w:rPr>
                <w:rFonts w:ascii="Times New Roman" w:eastAsia="Times New Roman" w:hAnsi="Times New Roman" w:cs="Times New Roman"/>
                <w:sz w:val="24"/>
                <w:lang w:val="en-US"/>
              </w:rPr>
              <w:t>Landesbank</w:t>
            </w:r>
            <w:proofErr w:type="spellEnd"/>
            <w:r w:rsidRPr="00AA05E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Hessen-</w:t>
            </w:r>
            <w:proofErr w:type="spellStart"/>
            <w:r w:rsidRPr="00AA05E5">
              <w:rPr>
                <w:rFonts w:ascii="Times New Roman" w:eastAsia="Times New Roman" w:hAnsi="Times New Roman" w:cs="Times New Roman"/>
                <w:sz w:val="24"/>
                <w:lang w:val="en-US"/>
              </w:rPr>
              <w:t>thueringenGirozentrale</w:t>
            </w:r>
            <w:proofErr w:type="spellEnd"/>
            <w:r w:rsidRPr="00AA05E5">
              <w:rPr>
                <w:rFonts w:ascii="Times New Roman" w:eastAsia="Times New Roman" w:hAnsi="Times New Roman" w:cs="Times New Roman"/>
                <w:sz w:val="24"/>
                <w:lang w:val="en-US"/>
              </w:rPr>
              <w:t>, Frankfurt am Main</w:t>
            </w:r>
          </w:p>
        </w:tc>
      </w:tr>
      <w:tr w:rsidR="004863F4" w14:paraId="3714FB0F" w14:textId="77777777">
        <w:trPr>
          <w:trHeight w:val="1"/>
        </w:trPr>
        <w:tc>
          <w:tcPr>
            <w:tcW w:w="18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1D2D1F6" w14:textId="77777777" w:rsidR="004863F4" w:rsidRPr="00AA05E5" w:rsidRDefault="004863F4">
            <w:pPr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FCD75E6" w14:textId="77777777" w:rsidR="004863F4" w:rsidRDefault="00E42B95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36316365</w:t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830E6D9" w14:textId="77777777" w:rsidR="004863F4" w:rsidRDefault="00E42B95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00 96012 000</w:t>
            </w:r>
          </w:p>
        </w:tc>
      </w:tr>
      <w:tr w:rsidR="004863F4" w14:paraId="07C441F8" w14:textId="77777777">
        <w:trPr>
          <w:trHeight w:val="1"/>
        </w:trPr>
        <w:tc>
          <w:tcPr>
            <w:tcW w:w="18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AF03B54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D20C6EE" w14:textId="77777777" w:rsidR="004863F4" w:rsidRDefault="00E42B9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SWIFT: CITIUS33</w:t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D7C61E4" w14:textId="77777777" w:rsidR="004863F4" w:rsidRDefault="00E42B9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SWIFT: HELADEFF</w:t>
            </w:r>
          </w:p>
        </w:tc>
      </w:tr>
      <w:tr w:rsidR="004863F4" w14:paraId="01725CC1" w14:textId="77777777">
        <w:trPr>
          <w:trHeight w:val="1"/>
        </w:trPr>
        <w:tc>
          <w:tcPr>
            <w:tcW w:w="18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238E47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Банк получателя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21602B2" w14:textId="77777777" w:rsidR="004863F4" w:rsidRDefault="00E42B95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JSSBBelarusbank</w:t>
            </w:r>
            <w:proofErr w:type="spellEnd"/>
          </w:p>
        </w:tc>
      </w:tr>
      <w:tr w:rsidR="004863F4" w14:paraId="31826E11" w14:textId="77777777">
        <w:trPr>
          <w:trHeight w:val="1"/>
        </w:trPr>
        <w:tc>
          <w:tcPr>
            <w:tcW w:w="18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B5D15C8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D195FF0" w14:textId="77777777" w:rsidR="004863F4" w:rsidRDefault="00E42B9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Dzerzhinskiave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Minsk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220089, Belarus</w:t>
            </w:r>
          </w:p>
        </w:tc>
      </w:tr>
      <w:tr w:rsidR="004863F4" w14:paraId="265D6B38" w14:textId="77777777">
        <w:trPr>
          <w:trHeight w:val="1"/>
        </w:trPr>
        <w:tc>
          <w:tcPr>
            <w:tcW w:w="18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3C5454F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200DE4F" w14:textId="77777777" w:rsidR="004863F4" w:rsidRDefault="00E42B9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SWIFT: AKBBBY2X</w:t>
            </w:r>
          </w:p>
        </w:tc>
      </w:tr>
      <w:tr w:rsidR="004863F4" w14:paraId="5DFF644F" w14:textId="77777777">
        <w:trPr>
          <w:trHeight w:val="1"/>
        </w:trPr>
        <w:tc>
          <w:tcPr>
            <w:tcW w:w="18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8E71A2F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Получатель: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4E46AEC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счета:</w:t>
            </w:r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9E69E26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BY23 AKBB 3602 9010 1002 7000 0000</w:t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4DFD69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BY74 AKBB 3602 9010 1004 3000 0000</w:t>
            </w:r>
          </w:p>
        </w:tc>
      </w:tr>
      <w:tr w:rsidR="004863F4" w14:paraId="6FD6DF11" w14:textId="77777777">
        <w:trPr>
          <w:trHeight w:val="1"/>
        </w:trPr>
        <w:tc>
          <w:tcPr>
            <w:tcW w:w="18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9B80943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4480BA9" w14:textId="77777777" w:rsidR="004863F4" w:rsidRDefault="00E42B9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наименование, адрес:</w:t>
            </w:r>
          </w:p>
        </w:tc>
        <w:tc>
          <w:tcPr>
            <w:tcW w:w="62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AF40E57" w14:textId="77777777" w:rsidR="004863F4" w:rsidRDefault="00E42B95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GlavnoeupravlenieMinisterstvaFinansov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poMinsku</w:t>
            </w:r>
            <w:proofErr w:type="spellEnd"/>
          </w:p>
        </w:tc>
      </w:tr>
      <w:tr w:rsidR="004863F4" w14:paraId="43D784AA" w14:textId="77777777">
        <w:trPr>
          <w:trHeight w:val="1"/>
        </w:trPr>
        <w:tc>
          <w:tcPr>
            <w:tcW w:w="18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138899C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103F805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2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04EA331" w14:textId="77777777" w:rsidR="004863F4" w:rsidRDefault="00E42B9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220050,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Minsk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Myasnikova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26</w:t>
            </w:r>
          </w:p>
        </w:tc>
      </w:tr>
      <w:tr w:rsidR="004863F4" w14:paraId="33CB92A4" w14:textId="77777777">
        <w:trPr>
          <w:trHeight w:val="1"/>
        </w:trPr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093CE2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Назначение:</w:t>
            </w:r>
          </w:p>
        </w:tc>
        <w:tc>
          <w:tcPr>
            <w:tcW w:w="7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717CC0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назначение платежа, УНП бенефициара (100061550), код платежа в бюджет 03001 для обращения в ГУ «Администрация Китайско-Белорусского индустриального парка «Великий камень»</w:t>
            </w:r>
          </w:p>
        </w:tc>
      </w:tr>
    </w:tbl>
    <w:p w14:paraId="23C55C98" w14:textId="77777777" w:rsidR="004863F4" w:rsidRDefault="00E42B9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для платежей в российских рублях (код валюты 643)</w:t>
      </w:r>
      <w:r>
        <w:rPr>
          <w:rFonts w:ascii="Times New Roman" w:eastAsia="Times New Roman" w:hAnsi="Times New Roman" w:cs="Times New Roman"/>
          <w:sz w:val="24"/>
        </w:rPr>
        <w:br/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3"/>
        <w:gridCol w:w="7541"/>
      </w:tblGrid>
      <w:tr w:rsidR="004863F4" w14:paraId="22CD001A" w14:textId="77777777">
        <w:trPr>
          <w:trHeight w:val="1"/>
        </w:trPr>
        <w:tc>
          <w:tcPr>
            <w:tcW w:w="20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7E03D7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Банк получателя: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663A08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БИК 044525225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кор.счет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30101810400000000225</w:t>
            </w:r>
          </w:p>
        </w:tc>
      </w:tr>
      <w:tr w:rsidR="004863F4" w14:paraId="4AB4EA66" w14:textId="77777777">
        <w:trPr>
          <w:trHeight w:val="1"/>
        </w:trPr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D89ABF4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596868F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ПАО "Сбербанк", Москва</w:t>
            </w:r>
          </w:p>
        </w:tc>
      </w:tr>
      <w:tr w:rsidR="004863F4" w14:paraId="43EA39BA" w14:textId="77777777">
        <w:trPr>
          <w:trHeight w:val="1"/>
        </w:trPr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9912BB7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46CB18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ИНН: 770708393</w:t>
            </w:r>
          </w:p>
        </w:tc>
      </w:tr>
      <w:tr w:rsidR="004863F4" w14:paraId="14D3117F" w14:textId="77777777">
        <w:trPr>
          <w:trHeight w:val="1"/>
        </w:trPr>
        <w:tc>
          <w:tcPr>
            <w:tcW w:w="20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B55E87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Получатель: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7F81F3C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счет 30111810700000000063</w:t>
            </w:r>
          </w:p>
        </w:tc>
      </w:tr>
      <w:tr w:rsidR="004863F4" w14:paraId="3116E00D" w14:textId="77777777">
        <w:trPr>
          <w:trHeight w:val="1"/>
        </w:trPr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05300AB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4D5732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ОАО "АСБ БЕЛАРУСБАНК",</w:t>
            </w:r>
          </w:p>
        </w:tc>
      </w:tr>
      <w:tr w:rsidR="004863F4" w14:paraId="73E7791C" w14:textId="77777777">
        <w:trPr>
          <w:trHeight w:val="1"/>
        </w:trPr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59E0E21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B90FA85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г. Минск</w:t>
            </w:r>
          </w:p>
        </w:tc>
      </w:tr>
      <w:tr w:rsidR="004863F4" w14:paraId="4AA734D5" w14:textId="77777777">
        <w:trPr>
          <w:trHeight w:val="1"/>
        </w:trPr>
        <w:tc>
          <w:tcPr>
            <w:tcW w:w="20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1E1B3D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Назначение платежа: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807B493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 счет BY24 AKBB 3602 9010 1001 4000 0000</w:t>
            </w:r>
          </w:p>
        </w:tc>
      </w:tr>
      <w:tr w:rsidR="004863F4" w14:paraId="215B6968" w14:textId="77777777">
        <w:trPr>
          <w:trHeight w:val="1"/>
        </w:trPr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BA2A985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4E1A7F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ГУ Минфина РБ по г. Минску, </w:t>
            </w:r>
          </w:p>
        </w:tc>
      </w:tr>
      <w:tr w:rsidR="004863F4" w14:paraId="6327335D" w14:textId="77777777"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AE78A94" w14:textId="77777777" w:rsidR="004863F4" w:rsidRDefault="004863F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BC3AC4" w14:textId="77777777" w:rsidR="004863F4" w:rsidRDefault="00E42B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назначение платежа, УНП бенефициара (100061550), код платежа в бюджет 03001 для обращения в ГУ «Администрация Китайско-Белорусского индустриального парка «Великий камень»</w:t>
            </w:r>
          </w:p>
        </w:tc>
      </w:tr>
    </w:tbl>
    <w:p w14:paraId="71EA5F88" w14:textId="77777777" w:rsidR="004863F4" w:rsidRDefault="004863F4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475FE210" w14:textId="77777777" w:rsidR="003D4B7A" w:rsidRPr="002B4FBE" w:rsidRDefault="00E42B95" w:rsidP="003D4B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FF0000"/>
          <w:sz w:val="24"/>
          <w:u w:val="single"/>
          <w:shd w:val="clear" w:color="auto" w:fill="FFFFFF"/>
        </w:rPr>
      </w:pPr>
      <w:r w:rsidRPr="00546CE2">
        <w:rPr>
          <w:rFonts w:ascii="Times New Roman" w:eastAsia="Times New Roman" w:hAnsi="Times New Roman" w:cs="Times New Roman"/>
          <w:b/>
          <w:color w:val="FF0000"/>
          <w:sz w:val="24"/>
          <w:u w:val="single"/>
          <w:shd w:val="clear" w:color="auto" w:fill="FFFFFF"/>
        </w:rPr>
        <w:t>4. Представительство иностранной организации:</w:t>
      </w:r>
    </w:p>
    <w:p w14:paraId="44704AD1" w14:textId="77777777" w:rsidR="004863F4" w:rsidRDefault="00E42B95" w:rsidP="003D4B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в течение месяца с даты выдачи разрешения на открытие представительства</w:t>
      </w:r>
      <w:r w:rsidR="003D4B7A" w:rsidRPr="003D4B7A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иностранной организации направляет в администрацию парка:</w:t>
      </w:r>
    </w:p>
    <w:p w14:paraId="22F306F3" w14:textId="77777777" w:rsidR="004863F4" w:rsidRDefault="00E42B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письменную информацию о штатном расписании;</w:t>
      </w:r>
    </w:p>
    <w:p w14:paraId="605E55A4" w14:textId="77777777" w:rsidR="004863F4" w:rsidRDefault="00E42B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контактную информацию представительства иностранной организации;</w:t>
      </w:r>
    </w:p>
    <w:p w14:paraId="1E086BB7" w14:textId="77777777" w:rsidR="004863F4" w:rsidRDefault="00E42B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о постановке иностранной организации на учет в налоговых и иных органах (организациях) Республики Беларусь;</w:t>
      </w:r>
    </w:p>
    <w:p w14:paraId="44191DFA" w14:textId="77777777" w:rsidR="004863F4" w:rsidRDefault="00E42B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в течение 10 рабочих дней со дня изменения местонахождения представительства иностранной организации представляет в администрацию парка уведомление об изменении местонахождения</w:t>
      </w:r>
      <w:r w:rsidR="00724A3B">
        <w:rPr>
          <w:rFonts w:ascii="Times New Roman" w:eastAsia="Times New Roman" w:hAnsi="Times New Roman" w:cs="Times New Roman"/>
          <w:sz w:val="24"/>
          <w:shd w:val="clear" w:color="auto" w:fill="FFFFFF"/>
        </w:rPr>
        <w:t>, по форме приложения 3 к Положению,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утвержденное иностранной организацией;</w:t>
      </w:r>
    </w:p>
    <w:p w14:paraId="129FD923" w14:textId="77777777" w:rsidR="004863F4" w:rsidRDefault="00E42B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выполняет иные обязанности, предусмотренные Положением и иными актами законодательства Республики Беларусь.</w:t>
      </w:r>
    </w:p>
    <w:p w14:paraId="1959DAF9" w14:textId="77777777" w:rsidR="00724A3B" w:rsidRDefault="00724A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7325255" w14:textId="77777777" w:rsidR="00546CE2" w:rsidRPr="00901C68" w:rsidRDefault="00901C68" w:rsidP="00546C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901C6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5.</w:t>
      </w:r>
      <w:r w:rsidR="00546CE2" w:rsidRPr="00901C6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Прекращение деятельности представительства иностранной организации осуществляется:</w:t>
      </w:r>
    </w:p>
    <w:p w14:paraId="508D527B" w14:textId="77777777" w:rsidR="00546CE2" w:rsidRPr="00980EB0" w:rsidRDefault="00546CE2" w:rsidP="00546C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По решению иностранной организации, открывшей свое представительство. 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Решение иностранной организации о прекращении деятельности своего представительства представляется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администрацию парка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A21D16" w14:textId="77777777" w:rsidR="00546CE2" w:rsidRPr="00980EB0" w:rsidRDefault="00546CE2" w:rsidP="00546C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Иностранная организация, в случае прекращения деятельности своего представительства:</w:t>
      </w:r>
    </w:p>
    <w:p w14:paraId="5E42BE1D" w14:textId="77777777" w:rsidR="00546CE2" w:rsidRPr="00980EB0" w:rsidRDefault="00546CE2" w:rsidP="00546CE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предоставляет в </w:t>
      </w:r>
      <w:r w:rsidR="0063616E"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администрацию парка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решение 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иностранной организации о прекращении деятельности своего представительства;</w:t>
      </w:r>
    </w:p>
    <w:p w14:paraId="418458AB" w14:textId="77777777" w:rsidR="00546CE2" w:rsidRPr="00980EB0" w:rsidRDefault="00546CE2" w:rsidP="00546CE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все обязательства перед налоговыми и таможенными органами Республики Беларусь, бюджетом государственного внебюджетного фонда социальной защиты населения Республики Беларусь, Белорусским республиканским ун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итарным страховым предприятием «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Белгосстрах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D4A74D0" w14:textId="77777777" w:rsidR="00546CE2" w:rsidRPr="00980EB0" w:rsidRDefault="00546CE2" w:rsidP="00546CE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сдает документы по личному составу работников в территориальный (городской или районный) архив местного исполнительного и распорядительного органа;</w:t>
      </w:r>
    </w:p>
    <w:p w14:paraId="7C6FF71F" w14:textId="77777777" w:rsidR="00546CE2" w:rsidRPr="00980EB0" w:rsidRDefault="00546CE2" w:rsidP="00546CE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закрывает счета в банках Республики Беларусь;</w:t>
      </w:r>
    </w:p>
    <w:p w14:paraId="6E685CDD" w14:textId="77777777" w:rsidR="00546CE2" w:rsidRPr="00980EB0" w:rsidRDefault="00546CE2" w:rsidP="00546CE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представляет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E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письмо о выполнен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ии соответствующих обязанностей </w:t>
      </w:r>
      <w:r w:rsidRPr="00980E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(в месячный срок после исполнения обязательств).</w:t>
      </w:r>
    </w:p>
    <w:p w14:paraId="34BF8D30" w14:textId="77777777" w:rsidR="00546CE2" w:rsidRDefault="00546CE2" w:rsidP="00546C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К письму иностранной организации о выполнении обязанностей, прилагаются следующие документы:</w:t>
      </w:r>
    </w:p>
    <w:p w14:paraId="33982A81" w14:textId="77777777" w:rsidR="00546CE2" w:rsidRPr="00980EB0" w:rsidRDefault="00546CE2" w:rsidP="00546CE2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выписка из данных учета налогового органа об исчисленных и уплаченных суммах налогов, сборов (пошлин), пеней;</w:t>
      </w:r>
    </w:p>
    <w:p w14:paraId="6FA355F3" w14:textId="77777777" w:rsidR="00546CE2" w:rsidRPr="00980EB0" w:rsidRDefault="00546CE2" w:rsidP="00546CE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справка, подтверждающая отсутствие не уплаченных таможенных платежей, пеней, процентов, а также обязательств, не прекращенных перед таможенными органами, выдаваемая таможенными органами;</w:t>
      </w:r>
    </w:p>
    <w:p w14:paraId="6825493B" w14:textId="77777777" w:rsidR="00546CE2" w:rsidRPr="00980EB0" w:rsidRDefault="00546CE2" w:rsidP="00546CE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справка банка о закрытии текущего (расчетного) счета;</w:t>
      </w:r>
    </w:p>
    <w:p w14:paraId="7977434F" w14:textId="77777777" w:rsidR="00546CE2" w:rsidRPr="00980EB0" w:rsidRDefault="00546CE2" w:rsidP="00546CE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справка, подтверждающая отсутствие задолженности по обязательному страхованию от несчастных случаев на производстве и профессиональных заболеваний, выдаваемая обособленными подразделениями Белорусского республиканского уни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тарного страхового предприятия «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Белгосстрах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F5E1699" w14:textId="77777777" w:rsidR="00546CE2" w:rsidRPr="00980EB0" w:rsidRDefault="00546CE2" w:rsidP="00546CE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документ, подтверждающий передачу документов по личному составу работников прекратившего свою деятельность представительства иностранной организации в территориальный (городской или районный) архив местного исполнительного и распорядительного органа;</w:t>
      </w:r>
    </w:p>
    <w:p w14:paraId="0795D0D0" w14:textId="77777777" w:rsidR="00546CE2" w:rsidRPr="00980EB0" w:rsidRDefault="00546CE2" w:rsidP="00546CE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оригинал разрешения на открытие представительства иностранной организации (разрешения на продление срока действия разрешения на открытие такого представительства).</w:t>
      </w:r>
    </w:p>
    <w:p w14:paraId="19787E54" w14:textId="77777777" w:rsidR="00546CE2" w:rsidRPr="00980EB0" w:rsidRDefault="00546CE2" w:rsidP="00546C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течение 10 рабочих дней со дня представления вышеуказанных документов </w:t>
      </w:r>
      <w:r w:rsidR="0063616E"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администрация парка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предоставляет иностранной организации письменное подтверждение о завершении процедуры прекращения деятельности представительства данной иностранной организации в Республике Беларусь. В случае необходимости направления </w:t>
      </w:r>
      <w:r w:rsidR="0063616E"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администрацией парка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запроса в другие государственные органы, организации указанный срок продлевается до двух месяцев.</w:t>
      </w:r>
    </w:p>
    <w:p w14:paraId="3E9309EC" w14:textId="77777777" w:rsidR="00546CE2" w:rsidRPr="00CB3D9F" w:rsidRDefault="00546CE2" w:rsidP="00546C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CB3D9F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По решению администрации парка в случае:</w:t>
      </w:r>
    </w:p>
    <w:p w14:paraId="29F07F6C" w14:textId="77777777" w:rsidR="00546CE2" w:rsidRPr="00980EB0" w:rsidRDefault="00546CE2" w:rsidP="00546CE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ликвидации иностранной организации, открывшей свое представительство;</w:t>
      </w:r>
    </w:p>
    <w:p w14:paraId="0A55202A" w14:textId="77777777" w:rsidR="00546CE2" w:rsidRPr="00980EB0" w:rsidRDefault="00546CE2" w:rsidP="00546CE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прекращения действия международного договора Республики Беларусь, на основании которого открыто представительство иностранной организации, если иное не предусмотрено данным договором;</w:t>
      </w:r>
    </w:p>
    <w:p w14:paraId="7EBF9B22" w14:textId="77777777" w:rsidR="00546CE2" w:rsidRPr="00980EB0" w:rsidRDefault="00546CE2" w:rsidP="00546CE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истечения срока действия разрешения на открытие представительства иностранной организации, если он не был продлен в срок не позднее 30 дней, но не ранее трех месяцев до даты его истечения;</w:t>
      </w:r>
    </w:p>
    <w:p w14:paraId="17AF6A2E" w14:textId="77777777" w:rsidR="00546CE2" w:rsidRPr="00980EB0" w:rsidRDefault="00546CE2" w:rsidP="00546CE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не осуществления представительством иностранной организации деятельности, в целях осуществления которой оно было открыто, в течение шести месяцев подряд с даты открытия данного представительства;</w:t>
      </w:r>
    </w:p>
    <w:p w14:paraId="3F891FE2" w14:textId="77777777" w:rsidR="00546CE2" w:rsidRPr="00980EB0" w:rsidRDefault="00546CE2" w:rsidP="00546CE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внесения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администрацию парка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соответствующего требования заинтересованного государственного органа Республики Беларусь (его территориального органа);</w:t>
      </w:r>
    </w:p>
    <w:p w14:paraId="0A98EB49" w14:textId="77777777" w:rsidR="00546CE2" w:rsidRPr="00980EB0" w:rsidRDefault="00546CE2" w:rsidP="00546CE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превышения численности иностранных граждан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сотрудников представительства иностранной организации (численность иностранных граждан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сотрудников 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представительства иностранной организации (включая руководителя) не может превышать пяти человек) ;</w:t>
      </w:r>
    </w:p>
    <w:p w14:paraId="2786FC41" w14:textId="77777777" w:rsidR="00546CE2" w:rsidRPr="00980EB0" w:rsidRDefault="00546CE2" w:rsidP="00546CE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невыполнения представительством иностранной организации требований, содержащихся в письменном предупреждении </w:t>
      </w:r>
      <w:r w:rsidR="0063616E"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администрации парка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 необходимости устранения допущенных нарушений.</w:t>
      </w:r>
    </w:p>
    <w:p w14:paraId="00880DF4" w14:textId="77777777" w:rsidR="00546CE2" w:rsidRPr="00980EB0" w:rsidRDefault="00546CE2" w:rsidP="00546C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Прекращение деятельности представительства иностранной организации, признанной экстремистской, осуществляется в соответствии со статьей 16 Закона Республики Беларусь от 4 января 2007 г. № 203-З «О противодействии экстремизму».</w:t>
      </w:r>
    </w:p>
    <w:p w14:paraId="7E8BEFED" w14:textId="77777777" w:rsidR="00546CE2" w:rsidRPr="00980EB0" w:rsidRDefault="00546CE2" w:rsidP="00546C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Иностранная организация, получившая уведомление о принятом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администрацией парка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решении о прекращении деятельности своего представительства:</w:t>
      </w:r>
    </w:p>
    <w:p w14:paraId="59805055" w14:textId="77777777" w:rsidR="00546CE2" w:rsidRPr="00980EB0" w:rsidRDefault="00546CE2" w:rsidP="00546C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все обязательства перед налоговыми и таможенными органами Республики Беларусь, бюджетом государственного внебюджетного фонда социальной защиты населения Республики Беларусь, Белорусским республиканским унитарным страховым предприятием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Белгосстрах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A96AE36" w14:textId="77777777" w:rsidR="00546CE2" w:rsidRPr="00980EB0" w:rsidRDefault="00546CE2" w:rsidP="00546C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сдает документы по личному составу работников в территориальный (городской или районный) архив местного исполнительного и распорядительного органа;</w:t>
      </w:r>
    </w:p>
    <w:p w14:paraId="71A62595" w14:textId="77777777" w:rsidR="00546CE2" w:rsidRPr="00980EB0" w:rsidRDefault="00546CE2" w:rsidP="00546C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закрывает счета в банках Республики Беларусь;</w:t>
      </w:r>
    </w:p>
    <w:p w14:paraId="0DFCA86A" w14:textId="77777777" w:rsidR="00546CE2" w:rsidRPr="00980EB0" w:rsidRDefault="00546CE2" w:rsidP="00546C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представляет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E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письмо о выполнении соответствующих обязанностей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E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(в месячный срок после исполнения обязательств).</w:t>
      </w:r>
    </w:p>
    <w:p w14:paraId="30D5918C" w14:textId="77777777" w:rsidR="00546CE2" w:rsidRDefault="00546CE2" w:rsidP="00546C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К письму иностранной организации о выполнении обязанностей, прилагаются следующие документы:</w:t>
      </w:r>
    </w:p>
    <w:p w14:paraId="0C3D73B1" w14:textId="77777777" w:rsidR="00546CE2" w:rsidRDefault="00546CE2" w:rsidP="00546CE2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справка, подтверждающая отсутствие не уплаченных таможенных платежей, пеней, процентов, а также обязательств, не прекращенных перед таможенными органами, выдаваемая таможенными органами;</w:t>
      </w:r>
    </w:p>
    <w:p w14:paraId="2C8BF9E2" w14:textId="77777777" w:rsidR="00546CE2" w:rsidRPr="00980EB0" w:rsidRDefault="00546CE2" w:rsidP="00546CE2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выписка из данных учета налогового органа об исчисленных и уплаченных суммах налогов, сборов (пошлин), пеней;</w:t>
      </w:r>
    </w:p>
    <w:p w14:paraId="10FE2FDE" w14:textId="77777777" w:rsidR="00546CE2" w:rsidRPr="00980EB0" w:rsidRDefault="00546CE2" w:rsidP="00546CE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справка банка о закрытии текущего (расчетного) счета;</w:t>
      </w:r>
    </w:p>
    <w:p w14:paraId="027F062F" w14:textId="77777777" w:rsidR="00546CE2" w:rsidRPr="00980EB0" w:rsidRDefault="00546CE2" w:rsidP="00546CE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справка, подтверждающая отсутствие задолженности по обязательному страхованию от несчастных случаев на производстве и профессиональных заболеваний, выдаваемая обособленными подразделениями Белорусского республиканского уни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тарного страхового предприятия «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Белгосстрах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E1CE4D5" w14:textId="77777777" w:rsidR="00546CE2" w:rsidRPr="00980EB0" w:rsidRDefault="00546CE2" w:rsidP="00546CE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документ, подтверждающий передачу документов по личному составу работников прекратившего свою деятельность представительства иностранной организации в территориальный (городской или районный) архив местного исполнительного и распорядительного органа;</w:t>
      </w:r>
    </w:p>
    <w:p w14:paraId="15839C38" w14:textId="77777777" w:rsidR="00546CE2" w:rsidRPr="00980EB0" w:rsidRDefault="00546CE2" w:rsidP="00546CE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>оригинал разрешения на открытие представительства иностранной организации (разрешения на продление срока действия разрешения на открытие такого представительства).</w:t>
      </w:r>
    </w:p>
    <w:p w14:paraId="750CDCD8" w14:textId="77777777" w:rsidR="00546CE2" w:rsidRDefault="00546CE2" w:rsidP="00546C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C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Уведомление о принятом администрацией парка решении о прекращении деятельности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представительства иностранной организации в течение 10 рабочих дней направляется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D340DE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министрацией парка</w:t>
      </w:r>
      <w:r w:rsidRPr="00980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последнему известному местонахождению данной иностранной организации и ее представительства.</w:t>
      </w:r>
    </w:p>
    <w:p w14:paraId="098135C5" w14:textId="77777777" w:rsidR="007E1FE4" w:rsidRDefault="007E1FE4" w:rsidP="007E1FE4">
      <w:pPr>
        <w:autoSpaceDE w:val="0"/>
        <w:autoSpaceDN w:val="0"/>
        <w:adjustRightInd w:val="0"/>
        <w:spacing w:after="0" w:line="240" w:lineRule="exact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7E1FE4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en-US"/>
        </w:rPr>
        <w:t xml:space="preserve">Прием документов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en-US"/>
        </w:rPr>
        <w:t>на выдачу разрешения, прекращения деятельности представительств иностранных организаций на территории Китайско-Белорусского индустриального парка «Великий камень» осуществляется</w:t>
      </w:r>
      <w:r w:rsidRPr="007E1FE4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en-US"/>
        </w:rPr>
        <w:t xml:space="preserve"> специалистами управления правовой, корпоративной и кадровой работы администрации парка «Великий камень», по адресу: пр. Пекинский, 18, кабинет 709в – управление правовой, корпоративной и кадровой работы (7 этаж) или в Центре комплексного обслуживания «одна станция» </w:t>
      </w:r>
    </w:p>
    <w:p w14:paraId="3CF87E3D" w14:textId="77777777" w:rsidR="007E1FE4" w:rsidRPr="007E1FE4" w:rsidRDefault="007E1FE4" w:rsidP="002B4FBE">
      <w:pPr>
        <w:autoSpaceDE w:val="0"/>
        <w:autoSpaceDN w:val="0"/>
        <w:adjustRightInd w:val="0"/>
        <w:spacing w:after="0" w:line="240" w:lineRule="exact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7E1FE4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en-US"/>
        </w:rPr>
        <w:t>(2 этаж), тел.+37517 517 28 74)</w:t>
      </w:r>
    </w:p>
    <w:p w14:paraId="240FC26D" w14:textId="77777777" w:rsidR="007E1FE4" w:rsidRPr="007E1FE4" w:rsidRDefault="007E1FE4" w:rsidP="007E1F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E1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Время работы: </w:t>
      </w:r>
      <w:r w:rsidRPr="007E1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понедельник – пятница 9.00-17.30; обед 13.00-13.30</w:t>
      </w:r>
      <w:r w:rsidRPr="007E1F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BA2A864" w14:textId="77777777" w:rsidR="007E1FE4" w:rsidRPr="00980EB0" w:rsidRDefault="007E1FE4" w:rsidP="00546C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828282"/>
          <w:sz w:val="24"/>
          <w:szCs w:val="24"/>
        </w:rPr>
      </w:pPr>
    </w:p>
    <w:p w14:paraId="7A22C12B" w14:textId="77777777" w:rsidR="00724A3B" w:rsidRDefault="00724A3B" w:rsidP="00A34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sectPr w:rsidR="00724A3B" w:rsidSect="007E1FE4">
      <w:headerReference w:type="default" r:id="rId7"/>
      <w:pgSz w:w="11906" w:h="16838"/>
      <w:pgMar w:top="1276" w:right="567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FCEC" w14:textId="77777777" w:rsidR="00270659" w:rsidRDefault="00270659" w:rsidP="00000F0C">
      <w:pPr>
        <w:spacing w:after="0" w:line="240" w:lineRule="auto"/>
      </w:pPr>
      <w:r>
        <w:separator/>
      </w:r>
    </w:p>
  </w:endnote>
  <w:endnote w:type="continuationSeparator" w:id="0">
    <w:p w14:paraId="30E96893" w14:textId="77777777" w:rsidR="00270659" w:rsidRDefault="00270659" w:rsidP="00000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74F2" w14:textId="77777777" w:rsidR="00270659" w:rsidRDefault="00270659" w:rsidP="00000F0C">
      <w:pPr>
        <w:spacing w:after="0" w:line="240" w:lineRule="auto"/>
      </w:pPr>
      <w:r>
        <w:separator/>
      </w:r>
    </w:p>
  </w:footnote>
  <w:footnote w:type="continuationSeparator" w:id="0">
    <w:p w14:paraId="61F8B90C" w14:textId="77777777" w:rsidR="00270659" w:rsidRDefault="00270659" w:rsidP="00000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6811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9F0E89C" w14:textId="77777777" w:rsidR="00000F0C" w:rsidRPr="00000F0C" w:rsidRDefault="00000F0C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00F0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0F0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0F0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B4FBE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000F0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64A0"/>
    <w:multiLevelType w:val="multilevel"/>
    <w:tmpl w:val="14CE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11DFD"/>
    <w:multiLevelType w:val="multilevel"/>
    <w:tmpl w:val="427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618B0"/>
    <w:multiLevelType w:val="multilevel"/>
    <w:tmpl w:val="BE7C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F0A56"/>
    <w:multiLevelType w:val="hybridMultilevel"/>
    <w:tmpl w:val="8D6E2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283001"/>
    <w:multiLevelType w:val="multilevel"/>
    <w:tmpl w:val="8EA6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E08AA"/>
    <w:multiLevelType w:val="multilevel"/>
    <w:tmpl w:val="0790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02B9D"/>
    <w:multiLevelType w:val="multilevel"/>
    <w:tmpl w:val="CCD4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748702">
    <w:abstractNumId w:val="0"/>
  </w:num>
  <w:num w:numId="2" w16cid:durableId="1829901484">
    <w:abstractNumId w:val="2"/>
  </w:num>
  <w:num w:numId="3" w16cid:durableId="1003318706">
    <w:abstractNumId w:val="1"/>
  </w:num>
  <w:num w:numId="4" w16cid:durableId="89395852">
    <w:abstractNumId w:val="6"/>
  </w:num>
  <w:num w:numId="5" w16cid:durableId="277953088">
    <w:abstractNumId w:val="4"/>
  </w:num>
  <w:num w:numId="6" w16cid:durableId="1245144502">
    <w:abstractNumId w:val="5"/>
  </w:num>
  <w:num w:numId="7" w16cid:durableId="520439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F4"/>
    <w:rsid w:val="00000F0C"/>
    <w:rsid w:val="000062BB"/>
    <w:rsid w:val="001A02E2"/>
    <w:rsid w:val="0025022A"/>
    <w:rsid w:val="00270659"/>
    <w:rsid w:val="002B4FBE"/>
    <w:rsid w:val="002F482F"/>
    <w:rsid w:val="00313AA6"/>
    <w:rsid w:val="003D4B7A"/>
    <w:rsid w:val="004863F4"/>
    <w:rsid w:val="004C626F"/>
    <w:rsid w:val="005251D0"/>
    <w:rsid w:val="00546CE2"/>
    <w:rsid w:val="0063616E"/>
    <w:rsid w:val="0064600A"/>
    <w:rsid w:val="00686FEB"/>
    <w:rsid w:val="006B52A4"/>
    <w:rsid w:val="006C66C7"/>
    <w:rsid w:val="00724A3B"/>
    <w:rsid w:val="00755C4E"/>
    <w:rsid w:val="007B42D2"/>
    <w:rsid w:val="007B4DB2"/>
    <w:rsid w:val="007E1FE4"/>
    <w:rsid w:val="00901C68"/>
    <w:rsid w:val="00954ED2"/>
    <w:rsid w:val="009F79A0"/>
    <w:rsid w:val="00A33CE4"/>
    <w:rsid w:val="00A34BD8"/>
    <w:rsid w:val="00A70727"/>
    <w:rsid w:val="00AA05E5"/>
    <w:rsid w:val="00B47307"/>
    <w:rsid w:val="00C55BB5"/>
    <w:rsid w:val="00CB3D9F"/>
    <w:rsid w:val="00D203C9"/>
    <w:rsid w:val="00D340DE"/>
    <w:rsid w:val="00D37716"/>
    <w:rsid w:val="00D41385"/>
    <w:rsid w:val="00DA0F3A"/>
    <w:rsid w:val="00DA280E"/>
    <w:rsid w:val="00E42B95"/>
    <w:rsid w:val="00E72998"/>
    <w:rsid w:val="00F0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CF46"/>
  <w15:docId w15:val="{94E9FA4A-50BE-4FD6-8E06-918F2587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C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0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0F0C"/>
  </w:style>
  <w:style w:type="paragraph" w:styleId="a6">
    <w:name w:val="footer"/>
    <w:basedOn w:val="a"/>
    <w:link w:val="a7"/>
    <w:uiPriority w:val="99"/>
    <w:unhideWhenUsed/>
    <w:rsid w:val="00000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0F0C"/>
  </w:style>
  <w:style w:type="paragraph" w:styleId="a8">
    <w:name w:val="Balloon Text"/>
    <w:basedOn w:val="a"/>
    <w:link w:val="a9"/>
    <w:uiPriority w:val="99"/>
    <w:semiHidden/>
    <w:unhideWhenUsed/>
    <w:rsid w:val="003D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4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Владимирович Бурак</dc:creator>
  <cp:lastModifiedBy>Виктория Кручко</cp:lastModifiedBy>
  <cp:revision>2</cp:revision>
  <cp:lastPrinted>2022-06-21T07:03:00Z</cp:lastPrinted>
  <dcterms:created xsi:type="dcterms:W3CDTF">2023-11-08T07:28:00Z</dcterms:created>
  <dcterms:modified xsi:type="dcterms:W3CDTF">2023-11-08T07:28:00Z</dcterms:modified>
</cp:coreProperties>
</file>