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7.png" ContentType="image/png"/>
  <Override PartName="/word/media/rId115.png" ContentType="image/png"/>
  <Override PartName="/word/media/rId100.png" ContentType="image/png"/>
  <Override PartName="/word/media/rId109.png" ContentType="image/png"/>
  <Override PartName="/word/media/rId51.png" ContentType="image/png"/>
  <Override PartName="/word/media/rId119.png" ContentType="image/png"/>
  <Override PartName="/word/media/rId90.png" ContentType="image/png"/>
  <Override PartName="/word/media/rId69.png" ContentType="image/png"/>
  <Override PartName="/word/media/rId71.png" ContentType="image/png"/>
  <Override PartName="/word/media/rId118.png" ContentType="image/png"/>
  <Override PartName="/word/media/rId126.png" ContentType="image/png"/>
  <Override PartName="/word/media/rId127.png" ContentType="image/png"/>
  <Override PartName="/word/media/rId128.png" ContentType="image/png"/>
  <Override PartName="/word/media/rId1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December</w:t>
      </w:r>
      <w:r>
        <w:t xml:space="preserve"> </w:t>
      </w:r>
      <w:r>
        <w:t xml:space="preserve">07</w:t>
      </w:r>
      <w:r>
        <w:t xml:space="preserve"> </w:t>
      </w:r>
      <w:r>
        <w:t xml:space="preserve">2016</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Information for Species Descriptors file:</w:t>
      </w:r>
    </w:p>
    <w:p>
      <w:pPr>
        <w:pStyle w:val="BodyText"/>
      </w:pPr>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pPr>
        <w:pStyle w:val="FirstParagraph"/>
      </w:pPr>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pPr>
        <w:pStyle w:val="BodyText"/>
      </w:pPr>
      <w:r>
        <w:t xml:space="preserve">__Information for the Stacked</w:t>
      </w:r>
      <w:r>
        <w:t xml:space="preserve"> </w:t>
      </w:r>
      <w:hyperlink r:id="rId36">
        <w:r>
          <w:rPr>
            <w:rStyle w:val="Hyperlink"/>
          </w:rPr>
          <w:t xml:space="preserve">File:__</w:t>
        </w:r>
      </w:hyperlink>
    </w:p>
    <w:p>
      <w:pPr>
        <w:pStyle w:val="BodyText"/>
      </w:pPr>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pPr>
        <w:pStyle w:val="FirstParagraph"/>
      </w:pPr>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organismtype"/>
      <w:bookmarkEnd w:id="43"/>
      <w:r>
        <w:t xml:space="preserve">OrganismType</w:t>
      </w:r>
    </w:p>
    <w:p>
      <w:pPr>
        <w:pStyle w:val="Heading3"/>
      </w:pPr>
      <w:bookmarkStart w:id="44" w:name="plants-compadre"/>
      <w:bookmarkEnd w:id="44"/>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45" w:name="animals-comadre"/>
      <w:bookmarkEnd w:id="45"/>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pPr>
        <w:pStyle w:val="Compact"/>
        <w:numPr>
          <w:numId w:val="1009"/>
          <w:ilvl w:val="0"/>
        </w:numPr>
      </w:pPr>
      <w:r>
        <w:t xml:space="preserve">Homo_sapiens</w:t>
      </w:r>
    </w:p>
    <w:p>
      <w:r>
        <w:pict>
          <v:rect style="width:0;height:1.5pt" o:hralign="center" o:hrstd="t" o:hr="t"/>
        </w:pict>
      </w:r>
    </w:p>
    <w:p>
      <w:pPr>
        <w:pStyle w:val="Heading2"/>
      </w:pPr>
      <w:bookmarkStart w:id="46" w:name="speciesauthor"/>
      <w:bookmarkEnd w:id="46"/>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7" w:name="commonname"/>
      <w:bookmarkEnd w:id="47"/>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48" w:name="taxonomy-columns"/>
      <w:bookmarkEnd w:id="48"/>
      <w:r>
        <w:t xml:space="preserve">Taxonomy columns</w:t>
      </w:r>
    </w:p>
    <w:p>
      <w:pPr>
        <w:pStyle w:val="FirstParagraph"/>
      </w:pPr>
      <w:r>
        <w:t xml:space="preserve">This series of columns includes taxonomic information. Please obtain (and check) this information using The Plant List (</w:t>
      </w:r>
      <w:hyperlink r:id="rId49">
        <w:r>
          <w:rPr>
            <w:rStyle w:val="Hyperlink"/>
          </w:rPr>
          <w:t xml:space="preserve">http://www.theplantlist.org</w:t>
        </w:r>
      </w:hyperlink>
      <w:r>
        <w:t xml:space="preserve">) for plants and the Catalogue of Life (</w:t>
      </w:r>
      <w:hyperlink r:id="rId50">
        <w:r>
          <w:rPr>
            <w:rStyle w:val="Hyperlink"/>
          </w:rPr>
          <w:t xml:space="preserve">http://www.catalogueoflife.org/col/</w:t>
        </w:r>
      </w:hyperlink>
      <w:r>
        <w:t xml:space="preserve">) for animals.</w:t>
      </w:r>
    </w:p>
    <w:p>
      <w:pPr>
        <w:pStyle w:val="Compact"/>
        <w:numPr>
          <w:numId w:val="1010"/>
          <w:ilvl w:val="0"/>
        </w:numPr>
      </w:pPr>
      <w:r>
        <w:t xml:space="preserve">Kingdom - Kingdom to which species belongs.</w:t>
      </w:r>
    </w:p>
    <w:p>
      <w:pPr>
        <w:pStyle w:val="Compact"/>
        <w:numPr>
          <w:numId w:val="1010"/>
          <w:ilvl w:val="0"/>
        </w:numPr>
      </w:pPr>
      <w:r>
        <w:t xml:space="preserve">Phylum - Phylum to which species belongs e.g. Magnoliophyta.</w:t>
      </w:r>
    </w:p>
    <w:p>
      <w:pPr>
        <w:pStyle w:val="Compact"/>
        <w:numPr>
          <w:numId w:val="1010"/>
          <w:ilvl w:val="0"/>
        </w:numPr>
      </w:pPr>
      <w:r>
        <w:t xml:space="preserve">Class - Class to which species belongs e.g. Magnoliopsida.</w:t>
      </w:r>
    </w:p>
    <w:p>
      <w:pPr>
        <w:pStyle w:val="Compact"/>
        <w:numPr>
          <w:numId w:val="1010"/>
          <w:ilvl w:val="0"/>
        </w:numPr>
      </w:pPr>
      <w:r>
        <w:t xml:space="preserve">Family - Family to which species belongs e.g. Polygonaceae.</w:t>
      </w:r>
    </w:p>
    <w:p>
      <w:pPr>
        <w:pStyle w:val="Compact"/>
        <w:numPr>
          <w:numId w:val="1010"/>
          <w:ilvl w:val="0"/>
        </w:numPr>
      </w:pPr>
      <w:r>
        <w:t xml:space="preserve">Order - Order to which species belongs e.g. Caryophyllales.</w:t>
      </w:r>
    </w:p>
    <w:p>
      <w:pPr>
        <w:pStyle w:val="Compact"/>
        <w:numPr>
          <w:numId w:val="1010"/>
          <w:ilvl w:val="0"/>
        </w:numPr>
      </w:pPr>
      <w:r>
        <w:t xml:space="preserve">Genus - Genus used in SpeciesAuthor e.g. Chorizanthe.</w:t>
      </w:r>
    </w:p>
    <w:p>
      <w:pPr>
        <w:pStyle w:val="Compact"/>
        <w:numPr>
          <w:numId w:val="1010"/>
          <w:ilvl w:val="0"/>
        </w:numPr>
      </w:pPr>
      <w:r>
        <w:t xml:space="preserve">SpeciesAccepted - Currently accepted Latin name.</w:t>
      </w:r>
    </w:p>
    <w:p>
      <w:pPr>
        <w:pStyle w:val="Compact"/>
        <w:numPr>
          <w:numId w:val="1010"/>
          <w:ilvl w:val="0"/>
        </w:numPr>
      </w:pPr>
      <w:r>
        <w:t xml:space="preserve">DateOfCheck - the date when the taxonomy was checked.</w:t>
      </w:r>
    </w:p>
    <w:p>
      <w:pPr>
        <w:pStyle w:val="Compact"/>
        <w:numPr>
          <w:numId w:val="1010"/>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0"/>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1"/>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2" w:name="authors"/>
      <w:bookmarkEnd w:id="52"/>
      <w:r>
        <w:t xml:space="preserve">Authors</w:t>
      </w:r>
    </w:p>
    <w:p>
      <w:pPr>
        <w:pStyle w:val="FirstParagraph"/>
      </w:pPr>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3" w:name="journal"/>
      <w:bookmarkEnd w:id="53"/>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54">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1"/>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1"/>
          <w:ilvl w:val="0"/>
        </w:numPr>
      </w:pPr>
      <w:r>
        <w:t xml:space="preserve">Book - Matrices are from a book, or book chapter. Note: If our source is a book name the author of the related chapter in Authors, not the author of the book.</w:t>
      </w:r>
    </w:p>
    <w:p>
      <w:pPr>
        <w:pStyle w:val="Compact"/>
        <w:numPr>
          <w:numId w:val="1011"/>
          <w:ilvl w:val="0"/>
        </w:numPr>
      </w:pPr>
      <w:r>
        <w:t xml:space="preserve">PhD thesis - Matrices are from a doctoral thesis.</w:t>
      </w:r>
    </w:p>
    <w:p>
      <w:pPr>
        <w:pStyle w:val="Compact"/>
        <w:numPr>
          <w:numId w:val="1011"/>
          <w:ilvl w:val="0"/>
        </w:numPr>
      </w:pPr>
      <w:r>
        <w:t xml:space="preserve">MSc thesis - Matrices are from a masters thesis.</w:t>
      </w:r>
    </w:p>
    <w:p>
      <w:pPr>
        <w:pStyle w:val="Compact"/>
        <w:numPr>
          <w:numId w:val="1011"/>
          <w:ilvl w:val="0"/>
        </w:numPr>
      </w:pPr>
      <w:r>
        <w:t xml:space="preserve">Report - Matrices are from a report.</w:t>
      </w:r>
    </w:p>
    <w:p>
      <w:pPr>
        <w:pStyle w:val="Compact"/>
        <w:numPr>
          <w:numId w:val="1011"/>
          <w:ilvl w:val="0"/>
        </w:numPr>
      </w:pPr>
      <w:r>
        <w:t xml:space="preserve">Conference talk - Matrices reported in a conference talk.</w:t>
      </w:r>
    </w:p>
    <w:p>
      <w:pPr>
        <w:pStyle w:val="Compact"/>
        <w:numPr>
          <w:numId w:val="1011"/>
          <w:ilvl w:val="0"/>
        </w:numPr>
      </w:pPr>
      <w:r>
        <w:t xml:space="preserve">Conference poster - Matrices reported in a conference poster.</w:t>
      </w:r>
    </w:p>
    <w:p>
      <w:r>
        <w:pict>
          <v:rect style="width:0;height:1.5pt" o:hralign="center" o:hrstd="t" o:hr="t"/>
        </w:pict>
      </w:r>
    </w:p>
    <w:p>
      <w:pPr>
        <w:pStyle w:val="Heading2"/>
      </w:pPr>
      <w:bookmarkStart w:id="55" w:name="yearpublication"/>
      <w:bookmarkEnd w:id="55"/>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56" w:name="correspondingauthor"/>
      <w:bookmarkEnd w:id="56"/>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7" w:name="email"/>
      <w:bookmarkEnd w:id="57"/>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58" w:name="contacted"/>
      <w:bookmarkEnd w:id="58"/>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2"/>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2"/>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9" w:name="contentemail"/>
      <w:bookmarkEnd w:id="59"/>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0" w:name="reply"/>
      <w:bookmarkEnd w:id="60"/>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1" w:name="doi.isbn"/>
      <w:bookmarkEnd w:id="61"/>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2">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3">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64" w:name="additionalsource"/>
      <w:bookmarkEnd w:id="64"/>
      <w:r>
        <w:t xml:space="preserve">AdditionalSource</w:t>
      </w:r>
    </w:p>
    <w:p>
      <w:pPr>
        <w:pStyle w:val="FirstParagraph"/>
      </w:pPr>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5" w:name="database"/>
      <w:bookmarkEnd w:id="65"/>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3"/>
          <w:ilvl w:val="0"/>
        </w:numPr>
      </w:pPr>
      <w:r>
        <w:t xml:space="preserve">Exeter - David Hodgson</w:t>
      </w:r>
    </w:p>
    <w:p>
      <w:pPr>
        <w:pStyle w:val="Compact"/>
        <w:numPr>
          <w:numId w:val="1013"/>
          <w:ilvl w:val="0"/>
        </w:numPr>
      </w:pPr>
      <w:r>
        <w:t xml:space="preserve">COMPADRE I - Miguel Franco &amp; Jonathan Silvertown</w:t>
      </w:r>
    </w:p>
    <w:p>
      <w:pPr>
        <w:pStyle w:val="Compact"/>
        <w:numPr>
          <w:numId w:val="1013"/>
          <w:ilvl w:val="0"/>
        </w:numPr>
      </w:pPr>
      <w:r>
        <w:t xml:space="preserve">Ramula - Satu Ramula</w:t>
      </w:r>
    </w:p>
    <w:p>
      <w:pPr>
        <w:pStyle w:val="Compact"/>
        <w:numPr>
          <w:numId w:val="1013"/>
          <w:ilvl w:val="0"/>
        </w:numPr>
      </w:pPr>
      <w:r>
        <w:t xml:space="preserve">NCEAS - Jennifer Williams et al.</w:t>
      </w:r>
    </w:p>
    <w:p>
      <w:pPr>
        <w:pStyle w:val="Compact"/>
        <w:numPr>
          <w:numId w:val="1013"/>
          <w:ilvl w:val="0"/>
        </w:numPr>
      </w:pPr>
      <w:r>
        <w:t xml:space="preserve">UQ - Yvonne Buckley and collaborators</w:t>
      </w:r>
    </w:p>
    <w:p>
      <w:r>
        <w:pict>
          <v:rect style="width:0;height:1.5pt" o:hralign="center" o:hrstd="t" o:hr="t"/>
        </w:pict>
      </w:r>
    </w:p>
    <w:p>
      <w:pPr>
        <w:pStyle w:val="Heading2"/>
      </w:pPr>
      <w:bookmarkStart w:id="66" w:name="iucnstatus-invasivestatus-conservationstatusus"/>
      <w:bookmarkEnd w:id="66"/>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67" w:name="ecoregion"/>
      <w:bookmarkEnd w:id="67"/>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4"/>
          <w:ilvl w:val="0"/>
        </w:numPr>
      </w:pPr>
      <w:r>
        <w:t xml:space="preserve">TMB tropical and subtropical moist broadleaf forests</w:t>
      </w:r>
    </w:p>
    <w:p>
      <w:pPr>
        <w:pStyle w:val="Compact"/>
        <w:numPr>
          <w:numId w:val="1014"/>
          <w:ilvl w:val="0"/>
        </w:numPr>
      </w:pPr>
      <w:r>
        <w:t xml:space="preserve">TDB tropical and subtropical dry broadleaf forests</w:t>
      </w:r>
    </w:p>
    <w:p>
      <w:pPr>
        <w:pStyle w:val="Compact"/>
        <w:numPr>
          <w:numId w:val="1014"/>
          <w:ilvl w:val="0"/>
        </w:numPr>
      </w:pPr>
      <w:r>
        <w:t xml:space="preserve">TSC tropical and subtropical coniferous forests</w:t>
      </w:r>
    </w:p>
    <w:p>
      <w:pPr>
        <w:pStyle w:val="Compact"/>
        <w:numPr>
          <w:numId w:val="1014"/>
          <w:ilvl w:val="0"/>
        </w:numPr>
      </w:pPr>
      <w:r>
        <w:t xml:space="preserve">TBM temperate broadleaf and mixed forests</w:t>
      </w:r>
    </w:p>
    <w:p>
      <w:pPr>
        <w:pStyle w:val="Compact"/>
        <w:numPr>
          <w:numId w:val="1014"/>
          <w:ilvl w:val="0"/>
        </w:numPr>
      </w:pPr>
      <w:r>
        <w:t xml:space="preserve">TCF temperate coniferous forests</w:t>
      </w:r>
    </w:p>
    <w:p>
      <w:pPr>
        <w:pStyle w:val="Compact"/>
        <w:numPr>
          <w:numId w:val="1014"/>
          <w:ilvl w:val="0"/>
        </w:numPr>
      </w:pPr>
      <w:r>
        <w:t xml:space="preserve">BOR boreal forests/ taiga</w:t>
      </w:r>
    </w:p>
    <w:p>
      <w:pPr>
        <w:pStyle w:val="Compact"/>
        <w:numPr>
          <w:numId w:val="1014"/>
          <w:ilvl w:val="0"/>
        </w:numPr>
      </w:pPr>
      <w:r>
        <w:t xml:space="preserve">TGV tropical and subtropical grasslands, savannas and shrublands</w:t>
      </w:r>
    </w:p>
    <w:p>
      <w:pPr>
        <w:pStyle w:val="Compact"/>
        <w:numPr>
          <w:numId w:val="1014"/>
          <w:ilvl w:val="0"/>
        </w:numPr>
      </w:pPr>
      <w:r>
        <w:t xml:space="preserve">TGS temperate grasslands, savannas, and shrublands</w:t>
      </w:r>
    </w:p>
    <w:p>
      <w:pPr>
        <w:pStyle w:val="Compact"/>
        <w:numPr>
          <w:numId w:val="1014"/>
          <w:ilvl w:val="0"/>
        </w:numPr>
      </w:pPr>
      <w:r>
        <w:t xml:space="preserve">FGS flooded grasslands and savannas</w:t>
      </w:r>
    </w:p>
    <w:p>
      <w:pPr>
        <w:pStyle w:val="Compact"/>
        <w:numPr>
          <w:numId w:val="1014"/>
          <w:ilvl w:val="0"/>
        </w:numPr>
      </w:pPr>
      <w:r>
        <w:t xml:space="preserve">MON montane grasslands and shrublands</w:t>
      </w:r>
    </w:p>
    <w:p>
      <w:pPr>
        <w:pStyle w:val="Compact"/>
        <w:numPr>
          <w:numId w:val="1014"/>
          <w:ilvl w:val="0"/>
        </w:numPr>
      </w:pPr>
      <w:r>
        <w:t xml:space="preserve">TUN tundra</w:t>
      </w:r>
    </w:p>
    <w:p>
      <w:pPr>
        <w:pStyle w:val="Compact"/>
        <w:numPr>
          <w:numId w:val="1014"/>
          <w:ilvl w:val="0"/>
        </w:numPr>
      </w:pPr>
      <w:r>
        <w:t xml:space="preserve">MED Mediterranean forests, woodlands and scrubs</w:t>
      </w:r>
    </w:p>
    <w:p>
      <w:pPr>
        <w:pStyle w:val="Compact"/>
        <w:numPr>
          <w:numId w:val="1014"/>
          <w:ilvl w:val="0"/>
        </w:numPr>
      </w:pPr>
      <w:r>
        <w:t xml:space="preserve">DES deserts and xeric shrublands</w:t>
      </w:r>
    </w:p>
    <w:p>
      <w:pPr>
        <w:pStyle w:val="Compact"/>
        <w:numPr>
          <w:numId w:val="1014"/>
          <w:ilvl w:val="0"/>
        </w:numPr>
      </w:pPr>
      <w:r>
        <w:t xml:space="preserve">MAN mangroves</w:t>
      </w:r>
    </w:p>
    <w:p>
      <w:pPr>
        <w:pStyle w:val="FirstParagraph"/>
      </w:pPr>
      <w:r>
        <w:rPr>
          <w:b/>
        </w:rPr>
        <w:t xml:space="preserve">Freshwater ecoregions</w:t>
      </w:r>
    </w:p>
    <w:p>
      <w:pPr>
        <w:pStyle w:val="Compact"/>
        <w:numPr>
          <w:numId w:val="1015"/>
          <w:ilvl w:val="0"/>
        </w:numPr>
      </w:pPr>
      <w:r>
        <w:t xml:space="preserve">LRE large river ecosystems</w:t>
      </w:r>
    </w:p>
    <w:p>
      <w:pPr>
        <w:pStyle w:val="Compact"/>
        <w:numPr>
          <w:numId w:val="1015"/>
          <w:ilvl w:val="0"/>
        </w:numPr>
      </w:pPr>
      <w:r>
        <w:t xml:space="preserve">LRH large river headwater ecosystems</w:t>
      </w:r>
    </w:p>
    <w:p>
      <w:pPr>
        <w:pStyle w:val="Compact"/>
        <w:numPr>
          <w:numId w:val="1015"/>
          <w:ilvl w:val="0"/>
        </w:numPr>
      </w:pPr>
      <w:r>
        <w:t xml:space="preserve">LRD large river delta ecosystems</w:t>
      </w:r>
    </w:p>
    <w:p>
      <w:pPr>
        <w:pStyle w:val="Compact"/>
        <w:numPr>
          <w:numId w:val="1015"/>
          <w:ilvl w:val="0"/>
        </w:numPr>
      </w:pPr>
      <w:r>
        <w:t xml:space="preserve">SRE small river ecosystems</w:t>
      </w:r>
    </w:p>
    <w:p>
      <w:pPr>
        <w:pStyle w:val="Compact"/>
        <w:numPr>
          <w:numId w:val="1015"/>
          <w:ilvl w:val="0"/>
        </w:numPr>
      </w:pPr>
      <w:r>
        <w:t xml:space="preserve">SLE small lake ecosystems</w:t>
      </w:r>
    </w:p>
    <w:p>
      <w:pPr>
        <w:pStyle w:val="Compact"/>
        <w:numPr>
          <w:numId w:val="1015"/>
          <w:ilvl w:val="0"/>
        </w:numPr>
      </w:pPr>
      <w:r>
        <w:t xml:space="preserve">LLE large lake ecosystems</w:t>
      </w:r>
    </w:p>
    <w:p>
      <w:pPr>
        <w:pStyle w:val="Compact"/>
        <w:numPr>
          <w:numId w:val="1015"/>
          <w:ilvl w:val="0"/>
        </w:numPr>
      </w:pPr>
      <w:r>
        <w:t xml:space="preserve">XBE xeric basin ecosystems</w:t>
      </w:r>
    </w:p>
    <w:p>
      <w:pPr>
        <w:pStyle w:val="FirstParagraph"/>
      </w:pPr>
      <w:r>
        <w:rPr>
          <w:b/>
        </w:rPr>
        <w:t xml:space="preserve">Marine ecoregions</w:t>
      </w:r>
    </w:p>
    <w:p>
      <w:pPr>
        <w:pStyle w:val="Compact"/>
        <w:numPr>
          <w:numId w:val="1016"/>
          <w:ilvl w:val="0"/>
        </w:numPr>
      </w:pPr>
      <w:r>
        <w:t xml:space="preserve">POE polar ecosystems</w:t>
      </w:r>
    </w:p>
    <w:p>
      <w:pPr>
        <w:pStyle w:val="Compact"/>
        <w:numPr>
          <w:numId w:val="1016"/>
          <w:ilvl w:val="0"/>
        </w:numPr>
      </w:pPr>
      <w:r>
        <w:t xml:space="preserve">TSS temperate shelf and seas ecosystems</w:t>
      </w:r>
    </w:p>
    <w:p>
      <w:pPr>
        <w:pStyle w:val="Compact"/>
        <w:numPr>
          <w:numId w:val="1016"/>
          <w:ilvl w:val="0"/>
        </w:numPr>
      </w:pPr>
      <w:r>
        <w:t xml:space="preserve">TEU temperate upwellings</w:t>
      </w:r>
    </w:p>
    <w:p>
      <w:pPr>
        <w:pStyle w:val="Compact"/>
        <w:numPr>
          <w:numId w:val="1016"/>
          <w:ilvl w:val="0"/>
        </w:numPr>
      </w:pPr>
      <w:r>
        <w:t xml:space="preserve">TRU tropical upwellings</w:t>
      </w:r>
    </w:p>
    <w:p>
      <w:pPr>
        <w:pStyle w:val="Compact"/>
        <w:numPr>
          <w:numId w:val="1016"/>
          <w:ilvl w:val="0"/>
        </w:numPr>
      </w:pPr>
      <w:r>
        <w:t xml:space="preserve">TRC tropical coral</w:t>
      </w:r>
    </w:p>
    <w:p>
      <w:pPr>
        <w:pStyle w:val="FirstParagraph"/>
      </w:pPr>
      <w:r>
        <w:t xml:space="preserve">For a more inclusive description of water ecoregions, see</w:t>
      </w:r>
      <w:r>
        <w:t xml:space="preserve"> </w:t>
      </w:r>
      <w:hyperlink r:id="rId68">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0650"/>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9"/>
                    <a:stretch>
                      <a:fillRect/>
                    </a:stretch>
                  </pic:blipFill>
                  <pic:spPr bwMode="auto">
                    <a:xfrm>
                      <a:off x="0" y="0"/>
                      <a:ext cx="5334000" cy="4120650"/>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0" w:name="growthformraunkiaer-p"/>
      <w:bookmarkEnd w:id="70"/>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17"/>
          <w:ilvl w:val="0"/>
        </w:numPr>
      </w:pPr>
      <w:r>
        <w:t xml:space="preserve">Megaphanerophyte Overwintering buds positioned at &gt;30 m height (e.g. large trees)</w:t>
      </w:r>
    </w:p>
    <w:p>
      <w:pPr>
        <w:pStyle w:val="Compact"/>
        <w:numPr>
          <w:numId w:val="1017"/>
          <w:ilvl w:val="0"/>
        </w:numPr>
      </w:pPr>
      <w:r>
        <w:t xml:space="preserve">Mesophanerophyte Overwintering buds positioned at 8-30 m height (e.g. medium trees)</w:t>
      </w:r>
    </w:p>
    <w:p>
      <w:pPr>
        <w:pStyle w:val="Compact"/>
        <w:numPr>
          <w:numId w:val="1017"/>
          <w:ilvl w:val="0"/>
        </w:numPr>
      </w:pPr>
      <w:r>
        <w:t xml:space="preserve">Nanophanerophyte Overwintering buds positioned at0.25-8 m max height (e.g. small trees and all shrubs)</w:t>
      </w:r>
    </w:p>
    <w:p>
      <w:pPr>
        <w:pStyle w:val="Compact"/>
        <w:numPr>
          <w:numId w:val="1017"/>
          <w:ilvl w:val="0"/>
        </w:numPr>
      </w:pPr>
      <w:r>
        <w:t xml:space="preserve">Chamaephyte Buds on persistent shoots near the ground</w:t>
      </w:r>
    </w:p>
    <w:p>
      <w:pPr>
        <w:pStyle w:val="Compact"/>
        <w:numPr>
          <w:numId w:val="1017"/>
          <w:ilvl w:val="0"/>
        </w:numPr>
      </w:pPr>
      <w:r>
        <w:t xml:space="preserve">Hemicryptophyte Buds at or near the soil surface (e.g. daisy, dandelion)</w:t>
      </w:r>
    </w:p>
    <w:p>
      <w:pPr>
        <w:pStyle w:val="Compact"/>
        <w:numPr>
          <w:numId w:val="1017"/>
          <w:ilvl w:val="0"/>
        </w:numPr>
      </w:pPr>
      <w:r>
        <w:t xml:space="preserve">Geophyte Buds resting under dry ground (e.g. crocus, tulip)</w:t>
      </w:r>
    </w:p>
    <w:p>
      <w:pPr>
        <w:pStyle w:val="Compact"/>
        <w:numPr>
          <w:numId w:val="1017"/>
          <w:ilvl w:val="0"/>
        </w:numPr>
      </w:pPr>
      <w:r>
        <w:t xml:space="preserve">Helophyte Buds resting in marshy ground (e.g. reedmace, marsh-marigold)</w:t>
      </w:r>
    </w:p>
    <w:p>
      <w:pPr>
        <w:pStyle w:val="Compact"/>
        <w:numPr>
          <w:numId w:val="1017"/>
          <w:ilvl w:val="0"/>
        </w:numPr>
      </w:pPr>
      <w:r>
        <w:t xml:space="preserve">Hydrophyte Resting by being submerged under water (e.g. water-lily, frogbit)</w:t>
      </w:r>
    </w:p>
    <w:p>
      <w:pPr>
        <w:pStyle w:val="Compact"/>
        <w:numPr>
          <w:numId w:val="1017"/>
          <w:ilvl w:val="0"/>
        </w:numPr>
      </w:pPr>
      <w:r>
        <w:t xml:space="preserve">Therophyte Mostly annual and biennial plants</w:t>
      </w:r>
    </w:p>
    <w:p>
      <w:pPr>
        <w:pStyle w:val="Compact"/>
        <w:numPr>
          <w:numId w:val="1017"/>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6345"/>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71"/>
                    <a:stretch>
                      <a:fillRect/>
                    </a:stretch>
                  </pic:blipFill>
                  <pic:spPr bwMode="auto">
                    <a:xfrm>
                      <a:off x="0" y="0"/>
                      <a:ext cx="5334000" cy="2636345"/>
                    </a:xfrm>
                    <a:prstGeom prst="rect">
                      <a:avLst/>
                    </a:prstGeom>
                    <a:noFill/>
                    <a:ln w="9525">
                      <a:noFill/>
                      <a:headEnd/>
                      <a:tailEnd/>
                    </a:ln>
                  </pic:spPr>
                </pic:pic>
              </a:graphicData>
            </a:graphic>
          </wp:inline>
        </w:drawing>
      </w:r>
    </w:p>
    <w:p>
      <w:pPr>
        <w:pStyle w:val="ImageCaption"/>
      </w:pPr>
      <w:r>
        <w:t xml:space="preserve">Raunkiaer</w:t>
      </w:r>
    </w:p>
    <w:p>
      <w:pPr>
        <w:pStyle w:val="Compact"/>
        <w:numPr>
          <w:numId w:val="1018"/>
          <w:ilvl w:val="0"/>
        </w:numPr>
      </w:pPr>
      <w:r>
        <w:t xml:space="preserve">Phanerophytes</w:t>
      </w:r>
    </w:p>
    <w:p>
      <w:pPr>
        <w:pStyle w:val="Compact"/>
        <w:numPr>
          <w:numId w:val="1018"/>
          <w:ilvl w:val="0"/>
        </w:numPr>
      </w:pPr>
      <w:r>
        <w:t xml:space="preserve">Chamaephyte</w:t>
      </w:r>
    </w:p>
    <w:p>
      <w:pPr>
        <w:pStyle w:val="Compact"/>
        <w:numPr>
          <w:numId w:val="1018"/>
          <w:ilvl w:val="0"/>
        </w:numPr>
      </w:pPr>
      <w:r>
        <w:t xml:space="preserve">Chamaephyte</w:t>
      </w:r>
    </w:p>
    <w:p>
      <w:pPr>
        <w:pStyle w:val="Compact"/>
        <w:numPr>
          <w:numId w:val="1018"/>
          <w:ilvl w:val="0"/>
        </w:numPr>
      </w:pPr>
      <w:r>
        <w:t xml:space="preserve">Hemicryptophyte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Helophyte</w:t>
      </w:r>
    </w:p>
    <w:p>
      <w:pPr>
        <w:pStyle w:val="Compact"/>
        <w:numPr>
          <w:numId w:val="1018"/>
          <w:ilvl w:val="0"/>
        </w:numPr>
      </w:pPr>
      <w:r>
        <w:t xml:space="preserve">Cryptophytes, more specifically: Hydrophyte</w:t>
      </w:r>
    </w:p>
    <w:p>
      <w:pPr>
        <w:pStyle w:val="Compact"/>
        <w:numPr>
          <w:numId w:val="1018"/>
          <w:ilvl w:val="0"/>
        </w:numPr>
      </w:pPr>
      <w:r>
        <w:t xml:space="preserve">Cryptophytes, more specifically: Hydrophyte</w:t>
      </w:r>
    </w:p>
    <w:p>
      <w:pPr>
        <w:pStyle w:val="Compact"/>
        <w:numPr>
          <w:numId w:val="1018"/>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9"/>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9"/>
          <w:ilvl w:val="0"/>
        </w:numPr>
      </w:pPr>
      <w:r>
        <w:t xml:space="preserve">“Herbaceous perennials” may be “Hydrophyte”, “Helophyte”, “Epiphyte”, “Geophyte”, “Hemicryptophyte” or “Chamaephyte”.</w:t>
      </w:r>
    </w:p>
    <w:p>
      <w:pPr>
        <w:pStyle w:val="Compact"/>
        <w:numPr>
          <w:numId w:val="1020"/>
          <w:ilvl w:val="1"/>
        </w:numPr>
      </w:pPr>
      <w:r>
        <w:t xml:space="preserve">Hydrophyte: herbaceous perennial that lives in or really close to a lake, river or sea</w:t>
      </w:r>
    </w:p>
    <w:p>
      <w:pPr>
        <w:pStyle w:val="Compact"/>
        <w:numPr>
          <w:numId w:val="1020"/>
          <w:ilvl w:val="1"/>
        </w:numPr>
      </w:pPr>
      <w:r>
        <w:t xml:space="preserve">Helophyte: herbaceous perennial that lives in a marsh or wetland</w:t>
      </w:r>
    </w:p>
    <w:p>
      <w:pPr>
        <w:pStyle w:val="Compact"/>
        <w:numPr>
          <w:numId w:val="1020"/>
          <w:ilvl w:val="1"/>
        </w:numPr>
      </w:pPr>
      <w:r>
        <w:t xml:space="preserve">Geophyte: herbaceous perennial that overwinters below ground. These species have a storage below ground of the following types: rhizome, tuber, bulb or similar</w:t>
      </w:r>
    </w:p>
    <w:p>
      <w:pPr>
        <w:pStyle w:val="Compact"/>
        <w:numPr>
          <w:numId w:val="1020"/>
          <w:ilvl w:val="1"/>
        </w:numPr>
      </w:pPr>
      <w:r>
        <w:t xml:space="preserve">Hemicryptophyte: herbaceous perennial without storage organ below ground that will overwinter right at ground level</w:t>
      </w:r>
    </w:p>
    <w:p>
      <w:pPr>
        <w:pStyle w:val="Compact"/>
        <w:numPr>
          <w:numId w:val="1020"/>
          <w:ilvl w:val="1"/>
        </w:numPr>
      </w:pPr>
      <w:r>
        <w:t xml:space="preserve">Chamaephyte: herbaceous perennial that will overwinter above ground but no higher than 25 cm.</w:t>
      </w:r>
    </w:p>
    <w:p>
      <w:pPr>
        <w:pStyle w:val="Compact"/>
        <w:numPr>
          <w:numId w:val="1019"/>
          <w:ilvl w:val="0"/>
        </w:numPr>
      </w:pPr>
      <w:r>
        <w:t xml:space="preserve">“Annual” (and biennials or pseudo-annuals) are “Therophyte”.</w:t>
      </w:r>
    </w:p>
    <w:p>
      <w:pPr>
        <w:pStyle w:val="Compact"/>
        <w:numPr>
          <w:numId w:val="1019"/>
          <w:ilvl w:val="0"/>
        </w:numPr>
      </w:pPr>
      <w:r>
        <w:t xml:space="preserve">“Algae” is “Hydrophyte”.</w:t>
      </w:r>
    </w:p>
    <w:p>
      <w:pPr>
        <w:pStyle w:val="Compact"/>
        <w:numPr>
          <w:numId w:val="1019"/>
          <w:ilvl w:val="0"/>
        </w:numPr>
      </w:pPr>
      <w:r>
        <w:t xml:space="preserve">“Bryophyte” can be “Epiphyte” or “Hemicryptophyte”.</w:t>
      </w:r>
    </w:p>
    <w:p>
      <w:pPr>
        <w:pStyle w:val="Compact"/>
        <w:numPr>
          <w:numId w:val="1019"/>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2" w:name="purposes"/>
      <w:bookmarkEnd w:id="72"/>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1"/>
          <w:ilvl w:val="0"/>
        </w:numPr>
      </w:pPr>
      <w:r>
        <w:t xml:space="preserve">Comparative demography - When the authors studied two or more species</w:t>
      </w:r>
    </w:p>
    <w:p>
      <w:pPr>
        <w:pStyle w:val="Compact"/>
        <w:numPr>
          <w:numId w:val="1021"/>
          <w:ilvl w:val="0"/>
        </w:numPr>
      </w:pPr>
      <w:r>
        <w:t xml:space="preserve">Spatial demography - When the authors studied the demography of two or more populations within the same species</w:t>
      </w:r>
    </w:p>
    <w:p>
      <w:pPr>
        <w:pStyle w:val="Compact"/>
        <w:numPr>
          <w:numId w:val="1021"/>
          <w:ilvl w:val="0"/>
        </w:numPr>
      </w:pPr>
      <w:r>
        <w:t xml:space="preserve">Abiotic impacts - When the authors studied the effects of abiotic factors (e.g fire, hurricanes, rain, fertilisers, droughts, etc)</w:t>
      </w:r>
    </w:p>
    <w:p>
      <w:pPr>
        <w:pStyle w:val="Compact"/>
        <w:numPr>
          <w:numId w:val="1021"/>
          <w:ilvl w:val="0"/>
        </w:numPr>
      </w:pPr>
      <w:r>
        <w:t xml:space="preserve">PVA - When the authors report a Population Viability Analysis of an endangered species</w:t>
      </w:r>
    </w:p>
    <w:p>
      <w:pPr>
        <w:pStyle w:val="Compact"/>
        <w:numPr>
          <w:numId w:val="1021"/>
          <w:ilvl w:val="0"/>
        </w:numPr>
      </w:pPr>
      <w:r>
        <w:t xml:space="preserve">Species dynamics description - When there is no actual treatment in the study (Unmanipulated). Instead, the goal was to describe the natural dynamics of a species</w:t>
      </w:r>
    </w:p>
    <w:p>
      <w:pPr>
        <w:pStyle w:val="Compact"/>
        <w:numPr>
          <w:numId w:val="1021"/>
          <w:ilvl w:val="0"/>
        </w:numPr>
      </w:pPr>
      <w:r>
        <w:t xml:space="preserve">Interspecific interactions - When the authors studied the interactions between different species (e.g herbivory, pollinators, inter-specific competition, predation, parasitism, etc)</w:t>
      </w:r>
    </w:p>
    <w:p>
      <w:pPr>
        <w:pStyle w:val="Compact"/>
        <w:numPr>
          <w:numId w:val="1021"/>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1"/>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3" w:name="treatment"/>
      <w:bookmarkEnd w:id="73"/>
      <w:r>
        <w:t xml:space="preserve">Treatment</w:t>
      </w:r>
    </w:p>
    <w:p>
      <w:pPr>
        <w:pStyle w:val="FirstParagraph"/>
      </w:pPr>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4" w:name="studystart"/>
      <w:bookmarkEnd w:id="74"/>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75" w:name="studyend"/>
      <w:bookmarkEnd w:id="75"/>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76" w:name="studyduration"/>
      <w:bookmarkEnd w:id="76"/>
      <w:r>
        <w:t xml:space="preserve">StudyDuration</w:t>
      </w:r>
    </w:p>
    <w:p>
      <w:pPr>
        <w:pStyle w:val="FirstParagraph"/>
      </w:pPr>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7" w:name="annualperiodicity"/>
      <w:bookmarkEnd w:id="77"/>
      <w:r>
        <w:t xml:space="preserve">AnnualPeriodicity</w:t>
      </w:r>
    </w:p>
    <w:p>
      <w:pPr>
        <w:pStyle w:val="FirstParagraph"/>
      </w:pPr>
      <w:r>
        <w:t xml:space="preserve">Frequency with which seasonal or annual the matrix population model was constructed. For example:</w:t>
      </w:r>
    </w:p>
    <w:p>
      <w:pPr>
        <w:pStyle w:val="Compact"/>
        <w:numPr>
          <w:numId w:val="1022"/>
          <w:ilvl w:val="0"/>
        </w:numPr>
      </w:pPr>
      <w:r>
        <w:t xml:space="preserve">1 - Once a year</w:t>
      </w:r>
    </w:p>
    <w:p>
      <w:pPr>
        <w:pStyle w:val="Compact"/>
        <w:numPr>
          <w:numId w:val="1022"/>
          <w:ilvl w:val="0"/>
        </w:numPr>
      </w:pPr>
      <w:r>
        <w:t xml:space="preserve">2 - Twice per year (e.g. in January and in June)</w:t>
      </w:r>
    </w:p>
    <w:p>
      <w:pPr>
        <w:pStyle w:val="Compact"/>
        <w:numPr>
          <w:numId w:val="1022"/>
          <w:ilvl w:val="0"/>
        </w:numPr>
      </w:pPr>
      <w:r>
        <w:t xml:space="preserve">0.2 - Once every five years</w:t>
      </w:r>
    </w:p>
    <w:p>
      <w:pPr>
        <w:pStyle w:val="Compact"/>
        <w:numPr>
          <w:numId w:val="1022"/>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rPr/>
          <m:t>1</m:t>
        </m:r>
        <m:r>
          <m:rPr/>
          <m:t>*</m:t>
        </m:r>
        <m:r>
          <m:rPr/>
          <m:t>N</m:t>
        </m:r>
      </m:oMath>
      <w:r>
        <w:t xml:space="preserve">, where N is the number of visits to the site per year, e.g.</w:t>
      </w:r>
      <w:r>
        <w:t xml:space="preserve"> </w:t>
      </w:r>
      <m:oMath>
        <m:r>
          <m:rPr/>
          <m:t>1</m:t>
        </m:r>
        <m:r>
          <m:rPr/>
          <m:t>*</m:t>
        </m:r>
        <m:r>
          <m:rPr/>
          <m:t>2</m:t>
        </m:r>
        <m:r>
          <m:rPr/>
          <m:t>=</m:t>
        </m:r>
        <m:r>
          <m:rPr/>
          <m:t>2</m:t>
        </m:r>
      </m:oMath>
      <w:r>
        <w:t xml:space="preserve">. If the study site has been revisited less than once per year calculate</w:t>
      </w:r>
      <w:r>
        <w:t xml:space="preserve"> </w:t>
      </w:r>
      <m:oMath>
        <m:r>
          <m:rPr/>
          <m:t>1</m:t>
        </m:r>
        <m:r>
          <m:rPr/>
          <m:t>/</m:t>
        </m:r>
        <m:r>
          <m:rPr/>
          <m:t>Y</m:t>
        </m:r>
      </m:oMath>
      <w:r>
        <w:t xml:space="preserve">, where Y is the number of years, e.g.</w:t>
      </w:r>
      <w:r>
        <w:t xml:space="preserve"> </w:t>
      </w:r>
      <m:oMath>
        <m:r>
          <m:rPr/>
          <m:t>1</m:t>
        </m:r>
        <m:r>
          <m:rPr/>
          <m:t>/</m:t>
        </m:r>
        <m:r>
          <m:rPr/>
          <m:t>5</m:t>
        </m:r>
        <m:r>
          <m:rPr/>
          <m:t>=</m:t>
        </m:r>
        <m:r>
          <m:rPr/>
          <m:t>0.2</m:t>
        </m:r>
      </m:oMath>
      <w:r>
        <w:t xml:space="preserve">.</w:t>
      </w:r>
    </w:p>
    <w:p>
      <w:r>
        <w:pict>
          <v:rect style="width:0;height:1.5pt" o:hralign="center" o:hrstd="t" o:hr="t"/>
        </w:pict>
      </w:r>
    </w:p>
    <w:p>
      <w:pPr>
        <w:pStyle w:val="Heading2"/>
      </w:pPr>
      <w:bookmarkStart w:id="78" w:name="numberpopulations"/>
      <w:bookmarkEnd w:id="78"/>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9" w:name="withinsitereplication"/>
      <w:bookmarkEnd w:id="79"/>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0" w:name="matrixcriteriasize"/>
      <w:bookmarkEnd w:id="80"/>
      <w:r>
        <w:t xml:space="preserve">MatrixCriteriaSize</w:t>
      </w:r>
    </w:p>
    <w:p>
      <w:pPr>
        <w:pStyle w:val="FirstParagraph"/>
      </w:pPr>
      <w:r>
        <w:t xml:space="preserve">Records whether the matrix model is based on size (e.g. stem length/number, body length/mass, etc).</w:t>
      </w:r>
    </w:p>
    <w:p>
      <w:pPr>
        <w:pStyle w:val="Compact"/>
        <w:numPr>
          <w:numId w:val="1023"/>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3"/>
          <w:ilvl w:val="0"/>
        </w:numPr>
      </w:pPr>
      <w:r>
        <w:t xml:space="preserve">No - The matrix population model is not based on size.</w:t>
      </w:r>
    </w:p>
    <w:p>
      <w:r>
        <w:pict>
          <v:rect style="width:0;height:1.5pt" o:hralign="center" o:hrstd="t" o:hr="t"/>
        </w:pict>
      </w:r>
    </w:p>
    <w:p>
      <w:pPr>
        <w:pStyle w:val="Heading2"/>
      </w:pPr>
      <w:bookmarkStart w:id="81" w:name="matrixcriteriaontogeny"/>
      <w:bookmarkEnd w:id="81"/>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4"/>
          <w:ilvl w:val="0"/>
        </w:numPr>
      </w:pPr>
      <w:r>
        <w:t xml:space="preserve">Yes - The matrix population model contains at least one class that is based on development/ontogeny (e.g. seedbank, reproductive, vegetative, dormant, etc).</w:t>
      </w:r>
    </w:p>
    <w:p>
      <w:pPr>
        <w:pStyle w:val="Compact"/>
        <w:numPr>
          <w:numId w:val="1024"/>
          <w:ilvl w:val="0"/>
        </w:numPr>
      </w:pPr>
      <w:r>
        <w:t xml:space="preserve">No - Matrix population model is not based on ontogeny.</w:t>
      </w:r>
    </w:p>
    <w:p>
      <w:pPr>
        <w:pStyle w:val="Compact"/>
        <w:numPr>
          <w:numId w:val="1024"/>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2" w:name="matrixcriteriaage"/>
      <w:bookmarkEnd w:id="82"/>
      <w:r>
        <w:t xml:space="preserve">MatrixCriteriaAge</w:t>
      </w:r>
    </w:p>
    <w:p>
      <w:pPr>
        <w:pStyle w:val="FirstParagraph"/>
      </w:pPr>
      <w:r>
        <w:t xml:space="preserve">Records whether there are any classes that are based on age.</w:t>
      </w:r>
    </w:p>
    <w:p>
      <w:pPr>
        <w:pStyle w:val="Compact"/>
        <w:numPr>
          <w:numId w:val="1025"/>
          <w:ilvl w:val="0"/>
        </w:numPr>
      </w:pPr>
      <w:r>
        <w:t xml:space="preserve">Yes - The matrix population model contains at least one class that is based on age (e.g. individuals of 0 year old)</w:t>
      </w:r>
    </w:p>
    <w:p>
      <w:pPr>
        <w:pStyle w:val="Compact"/>
        <w:numPr>
          <w:numId w:val="1025"/>
          <w:ilvl w:val="0"/>
        </w:numPr>
      </w:pPr>
      <w:r>
        <w:t xml:space="preserve">No - The matrix population model is not based on age</w:t>
      </w:r>
    </w:p>
    <w:p>
      <w:pPr>
        <w:pStyle w:val="Compact"/>
        <w:numPr>
          <w:numId w:val="1025"/>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pPr>
        <w:pStyle w:val="FirstParagraph"/>
      </w:pPr>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6"/>
          <w:ilvl w:val="0"/>
        </w:numPr>
      </w:pPr>
      <w:r>
        <w:t xml:space="preserve">Author communication - Matrices derived from personal communication with author.</w:t>
      </w:r>
    </w:p>
    <w:p>
      <w:pPr>
        <w:pStyle w:val="Compact"/>
        <w:numPr>
          <w:numId w:val="1026"/>
          <w:ilvl w:val="0"/>
        </w:numPr>
      </w:pPr>
      <w:r>
        <w:t xml:space="preserve">Paper - Matrices derived from a published manuscript</w:t>
      </w:r>
    </w:p>
    <w:p>
      <w:pPr>
        <w:pStyle w:val="Compact"/>
        <w:numPr>
          <w:numId w:val="1026"/>
          <w:ilvl w:val="0"/>
        </w:numPr>
      </w:pPr>
      <w:r>
        <w:t xml:space="preserve">Old matrices - Matrices derived from an old matrices file (no more detailed description is available)</w:t>
      </w:r>
    </w:p>
    <w:p>
      <w:pPr>
        <w:pStyle w:val="Compact"/>
        <w:numPr>
          <w:numId w:val="1026"/>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6"/>
          <w:ilvl w:val="0"/>
        </w:numPr>
      </w:pPr>
      <w:r>
        <w:t xml:space="preserve">Online appendix - Matrices derived from the online appendix of publication</w:t>
      </w:r>
    </w:p>
    <w:p>
      <w:pPr>
        <w:pStyle w:val="Compact"/>
        <w:numPr>
          <w:numId w:val="1026"/>
          <w:ilvl w:val="0"/>
        </w:numPr>
      </w:pPr>
      <w:r>
        <w:t xml:space="preserve">Book - Matrices derived from a book</w:t>
      </w:r>
    </w:p>
    <w:p>
      <w:pPr>
        <w:pStyle w:val="Compact"/>
        <w:numPr>
          <w:numId w:val="1026"/>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pPr>
        <w:pStyle w:val="FirstParagraph"/>
      </w:pPr>
      <w:r>
        <w:t xml:space="preserve">Indication of the sex(es) considered when constructing the matrix population model.</w:t>
      </w:r>
    </w:p>
    <w:p>
      <w:pPr>
        <w:pStyle w:val="Compact"/>
        <w:numPr>
          <w:numId w:val="1027"/>
          <w:ilvl w:val="0"/>
        </w:numPr>
      </w:pPr>
      <w:r>
        <w:t xml:space="preserve">M - Studied only males</w:t>
      </w:r>
    </w:p>
    <w:p>
      <w:pPr>
        <w:pStyle w:val="Compact"/>
        <w:numPr>
          <w:numId w:val="1027"/>
          <w:ilvl w:val="0"/>
        </w:numPr>
      </w:pPr>
      <w:r>
        <w:t xml:space="preserve">F - Studied only females</w:t>
      </w:r>
    </w:p>
    <w:p>
      <w:pPr>
        <w:pStyle w:val="Compact"/>
        <w:numPr>
          <w:numId w:val="1027"/>
          <w:ilvl w:val="0"/>
        </w:numPr>
      </w:pPr>
      <w:r>
        <w:t xml:space="preserve">H - Hermaphrodites</w:t>
      </w:r>
    </w:p>
    <w:p>
      <w:pPr>
        <w:pStyle w:val="Compact"/>
        <w:numPr>
          <w:numId w:val="1027"/>
          <w:ilvl w:val="0"/>
        </w:numPr>
      </w:pPr>
      <w:r>
        <w:t xml:space="preserve">M/F - Males and females separately in the same population matrix model</w:t>
      </w:r>
    </w:p>
    <w:p>
      <w:pPr>
        <w:pStyle w:val="Compact"/>
        <w:numPr>
          <w:numId w:val="1027"/>
          <w:ilvl w:val="0"/>
        </w:numPr>
      </w:pPr>
      <w:r>
        <w:t xml:space="preserve">A - All sexes together</w:t>
      </w:r>
    </w:p>
    <w:p>
      <w:pPr>
        <w:pStyle w:val="Compact"/>
        <w:numPr>
          <w:numId w:val="1027"/>
          <w:ilvl w:val="0"/>
        </w:numPr>
      </w:pPr>
      <w:r>
        <w:t xml:space="preserve">NA - There are no distinct sexes (e.g. a virus)</w:t>
      </w:r>
    </w:p>
    <w:p>
      <w:r>
        <w:pict>
          <v:rect style="width:0;height:1.5pt" o:hralign="center" o:hrstd="t" o:hr="t"/>
        </w:pict>
      </w:r>
    </w:p>
    <w:p>
      <w:pPr>
        <w:pStyle w:val="Heading2"/>
      </w:pPr>
      <w:bookmarkStart w:id="89" w:name="matrixcomposite"/>
      <w:bookmarkEnd w:id="89"/>
      <w:r>
        <w:t xml:space="preserve">MatrixComposite</w:t>
      </w:r>
    </w:p>
    <w:p>
      <w:pPr>
        <w:pStyle w:val="FirstParagraph"/>
      </w:pPr>
      <w:r>
        <w:t xml:space="preserve">Indicates the type of matrix population model (See the figure below for more information).</w:t>
      </w:r>
    </w:p>
    <w:p>
      <w:pPr>
        <w:pStyle w:val="Compact"/>
        <w:numPr>
          <w:numId w:val="1028"/>
          <w:ilvl w:val="0"/>
        </w:numPr>
      </w:pPr>
      <w:r>
        <w:t xml:space="preserve">Individual - A matrix population model constructed for a single study × species × population × treatment × period combination</w:t>
      </w:r>
    </w:p>
    <w:p>
      <w:pPr>
        <w:pStyle w:val="Compact"/>
        <w:numPr>
          <w:numId w:val="1028"/>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29"/>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29"/>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pPr>
        <w:pStyle w:val="FirstParagraph"/>
      </w:pPr>
      <w:r>
        <w:t xml:space="preserve">Describes if a treatment was applied or not, and the nature of the treatment.</w:t>
      </w:r>
    </w:p>
    <w:p>
      <w:pPr>
        <w:numPr>
          <w:numId w:val="1030"/>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0"/>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1"/>
          <w:ilvl w:val="0"/>
        </w:numPr>
      </w:pPr>
      <w:r>
        <w:rPr>
          <w:b/>
        </w:rPr>
        <w:t xml:space="preserve">W</w:t>
      </w:r>
      <w:r>
        <w:t xml:space="preserve"> </w:t>
      </w:r>
      <w:r>
        <w:t xml:space="preserve">- Wild: the study was carried out in natural conditions.</w:t>
      </w:r>
    </w:p>
    <w:p>
      <w:pPr>
        <w:pStyle w:val="Compact"/>
        <w:numPr>
          <w:numId w:val="1031"/>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1"/>
          <w:ilvl w:val="0"/>
        </w:numPr>
      </w:pPr>
      <w:r>
        <w:rPr>
          <w:b/>
        </w:rPr>
        <w:t xml:space="preserve">CW</w:t>
      </w:r>
      <w:r>
        <w:t xml:space="preserve"> </w:t>
      </w:r>
      <w:r>
        <w:t xml:space="preserve">- Captured from wild: the study was carried out on a population that was captured from wild.</w:t>
      </w:r>
    </w:p>
    <w:p>
      <w:pPr>
        <w:pStyle w:val="Compact"/>
        <w:numPr>
          <w:numId w:val="1031"/>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pPr>
        <w:pStyle w:val="FirstParagraph"/>
      </w:pPr>
      <w:r>
        <w:t xml:space="preserve">These 6 columns describe the temporal aspects of the study for each matrix.</w:t>
      </w:r>
    </w:p>
    <w:p>
      <w:pPr>
        <w:pStyle w:val="Heading3"/>
      </w:pPr>
      <w:bookmarkStart w:id="94" w:name="matrixstartyear"/>
      <w:bookmarkEnd w:id="94"/>
      <w:r>
        <w:t xml:space="preserve">MatrixStartYear</w:t>
      </w:r>
    </w:p>
    <w:p>
      <w:pPr>
        <w:pStyle w:val="FirstParagraph"/>
      </w:pPr>
      <w:r>
        <w:t xml:space="preserve">First year of study. Year</w:t>
      </w:r>
      <w:r>
        <w:t xml:space="preserve"> </w:t>
      </w:r>
      <m:oMath>
        <m:r>
          <m:rPr/>
          <m:t>t</m:t>
        </m:r>
      </m:oMath>
      <w:r>
        <w:t xml:space="preserve"> </w:t>
      </w:r>
      <w:r>
        <w:t xml:space="preserve">in annual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pPr>
        <w:pStyle w:val="FirstParagraph"/>
      </w:pPr>
      <w:r>
        <w:t xml:space="preserve">Numeric indication of the first season of study. Season</w:t>
      </w:r>
      <w:r>
        <w:t xml:space="preserve"> </w:t>
      </w:r>
      <m:oMath>
        <m:r>
          <m:rPr/>
          <m:t>s</m:t>
        </m:r>
      </m:oMath>
      <w:r>
        <w:t xml:space="preserve"> </w:t>
      </w:r>
      <w:r>
        <w:t xml:space="preserve">in periodic matrix population model that describes population dynamics from season</w:t>
      </w:r>
      <w:r>
        <w:t xml:space="preserve"> </w:t>
      </w:r>
      <m:oMath>
        <m:r>
          <m:rPr/>
          <m:t>s</m:t>
        </m:r>
      </m:oMath>
      <w:r>
        <w:t xml:space="preserve"> </w:t>
      </w:r>
      <w:r>
        <w:t xml:space="preserve">to</w:t>
      </w:r>
      <w:r>
        <w:t xml:space="preserve"> </w:t>
      </w:r>
      <m:oMath>
        <m:r>
          <m:rPr/>
          <m:t>s</m:t>
        </m:r>
        <m:r>
          <m:rPr/>
          <m:t>+</m:t>
        </m:r>
        <m:r>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2"/>
          <w:ilvl w:val="0"/>
        </w:numPr>
      </w:pPr>
      <w:r>
        <w:t xml:space="preserve">Spring</w:t>
      </w:r>
    </w:p>
    <w:p>
      <w:pPr>
        <w:pStyle w:val="Compact"/>
        <w:numPr>
          <w:numId w:val="1032"/>
          <w:ilvl w:val="0"/>
        </w:numPr>
      </w:pPr>
      <w:r>
        <w:t xml:space="preserve">Summer</w:t>
      </w:r>
    </w:p>
    <w:p>
      <w:pPr>
        <w:pStyle w:val="Compact"/>
        <w:numPr>
          <w:numId w:val="1032"/>
          <w:ilvl w:val="0"/>
        </w:numPr>
      </w:pPr>
      <w:r>
        <w:t xml:space="preserve">Autumn or Fall</w:t>
      </w:r>
    </w:p>
    <w:p>
      <w:pPr>
        <w:pStyle w:val="Compact"/>
        <w:numPr>
          <w:numId w:val="1032"/>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pPr>
        <w:pStyle w:val="FirstParagraph"/>
      </w:pPr>
      <w:r>
        <w:t xml:space="preserve">Numeric indication of the first month of study. Month</w:t>
      </w:r>
      <w:r>
        <w:t xml:space="preserve"> </w:t>
      </w:r>
      <m:oMath>
        <m:r>
          <m:rPr/>
          <m:t>m</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p>
    <w:p>
      <w:pPr>
        <w:pStyle w:val="Compact"/>
        <w:numPr>
          <w:numId w:val="1033"/>
          <w:ilvl w:val="0"/>
        </w:numPr>
      </w:pPr>
      <w:r>
        <w:t xml:space="preserve">January</w:t>
      </w:r>
    </w:p>
    <w:p>
      <w:pPr>
        <w:pStyle w:val="Compact"/>
        <w:numPr>
          <w:numId w:val="1033"/>
          <w:ilvl w:val="0"/>
        </w:numPr>
      </w:pPr>
      <w:r>
        <w:t xml:space="preserve">February</w:t>
      </w:r>
    </w:p>
    <w:p>
      <w:pPr>
        <w:pStyle w:val="Compact"/>
        <w:numPr>
          <w:numId w:val="1033"/>
          <w:ilvl w:val="0"/>
        </w:numPr>
      </w:pPr>
      <w:r>
        <w:t xml:space="preserve">March</w:t>
      </w:r>
    </w:p>
    <w:p>
      <w:pPr>
        <w:pStyle w:val="Compact"/>
        <w:numPr>
          <w:numId w:val="1033"/>
          <w:ilvl w:val="0"/>
        </w:numPr>
      </w:pPr>
      <w:r>
        <w:t xml:space="preserve">April</w:t>
      </w:r>
    </w:p>
    <w:p>
      <w:pPr>
        <w:pStyle w:val="Compact"/>
        <w:numPr>
          <w:numId w:val="1033"/>
          <w:ilvl w:val="0"/>
        </w:numPr>
      </w:pPr>
      <w:r>
        <w:t xml:space="preserve">May</w:t>
      </w:r>
    </w:p>
    <w:p>
      <w:pPr>
        <w:pStyle w:val="Compact"/>
        <w:numPr>
          <w:numId w:val="1033"/>
          <w:ilvl w:val="0"/>
        </w:numPr>
      </w:pPr>
      <w:r>
        <w:t xml:space="preserve">June</w:t>
      </w:r>
    </w:p>
    <w:p>
      <w:pPr>
        <w:pStyle w:val="Compact"/>
        <w:numPr>
          <w:numId w:val="1033"/>
          <w:ilvl w:val="0"/>
        </w:numPr>
      </w:pPr>
      <w:r>
        <w:t xml:space="preserve">July</w:t>
      </w:r>
    </w:p>
    <w:p>
      <w:pPr>
        <w:pStyle w:val="Compact"/>
        <w:numPr>
          <w:numId w:val="1033"/>
          <w:ilvl w:val="0"/>
        </w:numPr>
      </w:pPr>
      <w:r>
        <w:t xml:space="preserve">August</w:t>
      </w:r>
    </w:p>
    <w:p>
      <w:pPr>
        <w:pStyle w:val="Compact"/>
        <w:numPr>
          <w:numId w:val="1033"/>
          <w:ilvl w:val="0"/>
        </w:numPr>
      </w:pPr>
      <w:r>
        <w:t xml:space="preserve">September</w:t>
      </w:r>
    </w:p>
    <w:p>
      <w:pPr>
        <w:pStyle w:val="Compact"/>
        <w:numPr>
          <w:numId w:val="1033"/>
          <w:ilvl w:val="0"/>
        </w:numPr>
      </w:pPr>
      <w:r>
        <w:t xml:space="preserve">October</w:t>
      </w:r>
    </w:p>
    <w:p>
      <w:pPr>
        <w:pStyle w:val="Compact"/>
        <w:numPr>
          <w:numId w:val="1033"/>
          <w:ilvl w:val="0"/>
        </w:numPr>
      </w:pPr>
      <w:r>
        <w:t xml:space="preserve">November</w:t>
      </w:r>
    </w:p>
    <w:p>
      <w:pPr>
        <w:pStyle w:val="Compact"/>
        <w:numPr>
          <w:numId w:val="1033"/>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pPr>
        <w:pStyle w:val="FirstParagraph"/>
      </w:pPr>
      <w:r>
        <w:t xml:space="preserve">Last year of study. Year</w:t>
      </w:r>
      <w:r>
        <w:t xml:space="preserve"> </w:t>
      </w:r>
      <m:oMath>
        <m:r>
          <m:rPr/>
          <m:t>t</m:t>
        </m:r>
        <m:r>
          <m:rPr/>
          <m:t>+</m:t>
        </m:r>
        <m:r>
          <m:rPr/>
          <m:t>1</m:t>
        </m:r>
      </m:oMath>
      <w:r>
        <w:t xml:space="preserve"> </w:t>
      </w:r>
      <w:r>
        <w:t xml:space="preserve">in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pPr>
        <w:pStyle w:val="FirstParagraph"/>
      </w:pPr>
      <w:r>
        <w:t xml:space="preserve">Numeric indication of the end season of the matrix.</w:t>
      </w:r>
    </w:p>
    <w:p>
      <w:pPr>
        <w:pStyle w:val="Compact"/>
        <w:numPr>
          <w:numId w:val="1034"/>
          <w:ilvl w:val="0"/>
        </w:numPr>
      </w:pPr>
      <w:r>
        <w:t xml:space="preserve">Spring</w:t>
      </w:r>
    </w:p>
    <w:p>
      <w:pPr>
        <w:pStyle w:val="Compact"/>
        <w:numPr>
          <w:numId w:val="1034"/>
          <w:ilvl w:val="0"/>
        </w:numPr>
      </w:pPr>
      <w:r>
        <w:t xml:space="preserve">Summer</w:t>
      </w:r>
    </w:p>
    <w:p>
      <w:pPr>
        <w:pStyle w:val="Compact"/>
        <w:numPr>
          <w:numId w:val="1034"/>
          <w:ilvl w:val="0"/>
        </w:numPr>
      </w:pPr>
      <w:r>
        <w:t xml:space="preserve">Autumn or Fall</w:t>
      </w:r>
    </w:p>
    <w:p>
      <w:pPr>
        <w:pStyle w:val="Compact"/>
        <w:numPr>
          <w:numId w:val="1034"/>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pPr>
        <w:pStyle w:val="FirstParagraph"/>
      </w:pPr>
      <w:r>
        <w:t xml:space="preserve">Numeric indication of the last month</w:t>
      </w:r>
      <w:r>
        <w:t xml:space="preserve"> </w:t>
      </w:r>
      <m:oMath>
        <m:r>
          <m:rPr/>
          <m:t>m</m:t>
        </m:r>
      </m:oMath>
      <w:r>
        <w:t xml:space="preserve"> </w:t>
      </w:r>
      <w:r>
        <w:t xml:space="preserve">of study. Month</w:t>
      </w:r>
      <w:r>
        <w:t xml:space="preserve"> </w:t>
      </w:r>
      <m:oMath>
        <m:r>
          <m:rPr/>
          <m:t>m</m:t>
        </m:r>
        <m:r>
          <m:rPr/>
          <m:t>+</m:t>
        </m:r>
        <m:r>
          <m:rPr/>
          <m:t>1</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r>
        <w:t xml:space="preserve">.</w:t>
      </w:r>
    </w:p>
    <w:p>
      <w:pPr>
        <w:pStyle w:val="Compact"/>
        <w:numPr>
          <w:numId w:val="1035"/>
          <w:ilvl w:val="0"/>
        </w:numPr>
      </w:pPr>
      <w:r>
        <w:t xml:space="preserve">January</w:t>
      </w:r>
    </w:p>
    <w:p>
      <w:pPr>
        <w:pStyle w:val="Compact"/>
        <w:numPr>
          <w:numId w:val="1035"/>
          <w:ilvl w:val="0"/>
        </w:numPr>
      </w:pPr>
      <w:r>
        <w:t xml:space="preserve">February</w:t>
      </w:r>
    </w:p>
    <w:p>
      <w:pPr>
        <w:pStyle w:val="Compact"/>
        <w:numPr>
          <w:numId w:val="1035"/>
          <w:ilvl w:val="0"/>
        </w:numPr>
      </w:pPr>
      <w:r>
        <w:t xml:space="preserve">March</w:t>
      </w:r>
    </w:p>
    <w:p>
      <w:pPr>
        <w:pStyle w:val="Compact"/>
        <w:numPr>
          <w:numId w:val="1035"/>
          <w:ilvl w:val="0"/>
        </w:numPr>
      </w:pPr>
      <w:r>
        <w:t xml:space="preserve">April</w:t>
      </w:r>
    </w:p>
    <w:p>
      <w:pPr>
        <w:pStyle w:val="Compact"/>
        <w:numPr>
          <w:numId w:val="1035"/>
          <w:ilvl w:val="0"/>
        </w:numPr>
      </w:pPr>
      <w:r>
        <w:t xml:space="preserve">May</w:t>
      </w:r>
    </w:p>
    <w:p>
      <w:pPr>
        <w:pStyle w:val="Compact"/>
        <w:numPr>
          <w:numId w:val="1035"/>
          <w:ilvl w:val="0"/>
        </w:numPr>
      </w:pPr>
      <w:r>
        <w:t xml:space="preserve">June</w:t>
      </w:r>
    </w:p>
    <w:p>
      <w:pPr>
        <w:pStyle w:val="Compact"/>
        <w:numPr>
          <w:numId w:val="1035"/>
          <w:ilvl w:val="0"/>
        </w:numPr>
      </w:pPr>
      <w:r>
        <w:t xml:space="preserve">July</w:t>
      </w:r>
    </w:p>
    <w:p>
      <w:pPr>
        <w:pStyle w:val="Compact"/>
        <w:numPr>
          <w:numId w:val="1035"/>
          <w:ilvl w:val="0"/>
        </w:numPr>
      </w:pPr>
      <w:r>
        <w:t xml:space="preserve">August</w:t>
      </w:r>
    </w:p>
    <w:p>
      <w:pPr>
        <w:pStyle w:val="Compact"/>
        <w:numPr>
          <w:numId w:val="1035"/>
          <w:ilvl w:val="0"/>
        </w:numPr>
      </w:pPr>
      <w:r>
        <w:t xml:space="preserve">September</w:t>
      </w:r>
    </w:p>
    <w:p>
      <w:pPr>
        <w:pStyle w:val="Compact"/>
        <w:numPr>
          <w:numId w:val="1035"/>
          <w:ilvl w:val="0"/>
        </w:numPr>
      </w:pPr>
      <w:r>
        <w:t xml:space="preserve">October</w:t>
      </w:r>
    </w:p>
    <w:p>
      <w:pPr>
        <w:pStyle w:val="Compact"/>
        <w:numPr>
          <w:numId w:val="1035"/>
          <w:ilvl w:val="0"/>
        </w:numPr>
      </w:pPr>
      <w:r>
        <w:t xml:space="preserve">November</w:t>
      </w:r>
    </w:p>
    <w:p>
      <w:pPr>
        <w:pStyle w:val="Compact"/>
        <w:numPr>
          <w:numId w:val="1035"/>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1" w:name="matrixpopulation"/>
      <w:bookmarkEnd w:id="101"/>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pPr>
        <w:pStyle w:val="FirstParagraph"/>
      </w:pPr>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04" w:name="latns"/>
      <w:bookmarkEnd w:id="104"/>
      <w:r>
        <w:t xml:space="preserve">LatNS</w:t>
      </w:r>
    </w:p>
    <w:p>
      <w:pPr>
        <w:pStyle w:val="FirstParagraph"/>
      </w:pPr>
      <w:r>
        <w:t xml:space="preserve">Cardinal direction</w:t>
      </w:r>
    </w:p>
    <w:p>
      <w:pPr>
        <w:pStyle w:val="Compact"/>
        <w:numPr>
          <w:numId w:val="1036"/>
          <w:ilvl w:val="0"/>
        </w:numPr>
      </w:pPr>
      <w:r>
        <w:t xml:space="preserve">N - North</w:t>
      </w:r>
    </w:p>
    <w:p>
      <w:pPr>
        <w:pStyle w:val="Compact"/>
        <w:numPr>
          <w:numId w:val="1036"/>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pPr>
        <w:pStyle w:val="FirstParagraph"/>
      </w:pPr>
      <w:r>
        <w:t xml:space="preserve">Records the degree (0-90), minute (0-60) and second (0-60) values of the locations of the matrix.</w:t>
      </w:r>
    </w:p>
    <w:p>
      <w:pPr>
        <w:pStyle w:val="Heading3"/>
      </w:pPr>
      <w:bookmarkStart w:id="106" w:name="lonwe"/>
      <w:bookmarkEnd w:id="106"/>
      <w:r>
        <w:t xml:space="preserve">LonWE</w:t>
      </w:r>
    </w:p>
    <w:p>
      <w:pPr>
        <w:pStyle w:val="FirstParagraph"/>
      </w:pPr>
      <w:r>
        <w:t xml:space="preserve">Cardinal direction</w:t>
      </w:r>
    </w:p>
    <w:p>
      <w:pPr>
        <w:pStyle w:val="Compact"/>
        <w:numPr>
          <w:numId w:val="1037"/>
          <w:ilvl w:val="0"/>
        </w:numPr>
      </w:pPr>
      <w:r>
        <w:t xml:space="preserve">W - West</w:t>
      </w:r>
    </w:p>
    <w:p>
      <w:pPr>
        <w:pStyle w:val="Compact"/>
        <w:numPr>
          <w:numId w:val="1037"/>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07">
        <w:r>
          <w:rPr>
            <w:rStyle w:val="Hyperlink"/>
          </w:rPr>
          <w:t xml:space="preserve">http://www.earthpoint.us/Convert.aspx</w:t>
        </w:r>
      </w:hyperlink>
    </w:p>
    <w:p>
      <w:pPr>
        <w:pStyle w:val="Heading3"/>
      </w:pPr>
      <w:bookmarkStart w:id="108" w:name="altitude"/>
      <w:bookmarkEnd w:id="108"/>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59781"/>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9"/>
                    <a:stretch>
                      <a:fillRect/>
                    </a:stretch>
                  </pic:blipFill>
                  <pic:spPr bwMode="auto">
                    <a:xfrm>
                      <a:off x="0" y="0"/>
                      <a:ext cx="5334000" cy="2259781"/>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0" w:name="country"/>
      <w:bookmarkEnd w:id="110"/>
      <w:r>
        <w:t xml:space="preserve">Country</w:t>
      </w:r>
    </w:p>
    <w:p>
      <w:pPr>
        <w:pStyle w:val="FirstParagraph"/>
      </w:pPr>
      <w:r>
        <w:t xml:space="preserve">The ISO 3 Country Code(s) of where the study took place. If the study involves multiple countries, these are separated by "; ".</w:t>
      </w:r>
      <w:r>
        <w:t xml:space="preserve"> </w:t>
      </w:r>
      <w:hyperlink r:id="rId111">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2" w:name="continent"/>
      <w:bookmarkEnd w:id="112"/>
      <w:r>
        <w:t xml:space="preserve">Continent</w:t>
      </w:r>
    </w:p>
    <w:p>
      <w:pPr>
        <w:pStyle w:val="FirstParagraph"/>
      </w:pPr>
      <w:r>
        <w:t xml:space="preserve">Continent where study took place</w:t>
      </w:r>
    </w:p>
    <w:p>
      <w:pPr>
        <w:pStyle w:val="Compact"/>
        <w:numPr>
          <w:numId w:val="1038"/>
          <w:ilvl w:val="0"/>
        </w:numPr>
      </w:pPr>
      <w:r>
        <w:t xml:space="preserve">Africa</w:t>
      </w:r>
    </w:p>
    <w:p>
      <w:pPr>
        <w:pStyle w:val="Compact"/>
        <w:numPr>
          <w:numId w:val="1038"/>
          <w:ilvl w:val="0"/>
        </w:numPr>
      </w:pPr>
      <w:r>
        <w:t xml:space="preserve">Asia</w:t>
      </w:r>
    </w:p>
    <w:p>
      <w:pPr>
        <w:pStyle w:val="Compact"/>
        <w:numPr>
          <w:numId w:val="1038"/>
          <w:ilvl w:val="0"/>
        </w:numPr>
      </w:pPr>
      <w:r>
        <w:t xml:space="preserve">Europe</w:t>
      </w:r>
    </w:p>
    <w:p>
      <w:pPr>
        <w:pStyle w:val="Compact"/>
        <w:numPr>
          <w:numId w:val="1038"/>
          <w:ilvl w:val="0"/>
        </w:numPr>
      </w:pPr>
      <w:r>
        <w:t xml:space="preserve">N America (includes Canada, USA and Mexico)</w:t>
      </w:r>
    </w:p>
    <w:p>
      <w:pPr>
        <w:pStyle w:val="Compact"/>
        <w:numPr>
          <w:numId w:val="1038"/>
          <w:ilvl w:val="0"/>
        </w:numPr>
      </w:pPr>
      <w:r>
        <w:t xml:space="preserve">S America (incluces the rest of the countries in the Americas not outlined in "N America")</w:t>
      </w:r>
    </w:p>
    <w:p>
      <w:pPr>
        <w:pStyle w:val="Compact"/>
        <w:numPr>
          <w:numId w:val="1038"/>
          <w:ilvl w:val="0"/>
        </w:numPr>
      </w:pPr>
      <w:r>
        <w:t xml:space="preserve">Antarctica</w:t>
      </w:r>
    </w:p>
    <w:p>
      <w:pPr>
        <w:pStyle w:val="Compact"/>
        <w:numPr>
          <w:numId w:val="1038"/>
          <w:ilvl w:val="0"/>
        </w:numPr>
      </w:pPr>
      <w:r>
        <w:t xml:space="preserve">Oceania (various definitions for Oceania exist, but here we opted for this one:</w:t>
      </w:r>
      <w:r>
        <w:t xml:space="preserve"> </w:t>
      </w:r>
      <w:hyperlink r:id="rId113">
        <w:r>
          <w:rPr>
            <w:rStyle w:val="Hyperlink"/>
          </w:rPr>
          <w:t xml:space="preserve">https://en.wikipedia.org/wiki/List_of_Oceanian_countries_by_population</w:t>
        </w:r>
      </w:hyperlink>
      <w:r>
        <w:t xml:space="preserve">)</w:t>
      </w:r>
    </w:p>
    <w:p>
      <w:pPr>
        <w:pStyle w:val="Heading3"/>
      </w:pPr>
      <w:bookmarkStart w:id="114" w:name="general-notes-on-location-information"/>
      <w:bookmarkEnd w:id="114"/>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5"/>
                    <a:stretch>
                      <a:fillRect/>
                    </a:stretch>
                  </pic:blipFill>
                  <pic:spPr bwMode="auto">
                    <a:xfrm>
                      <a:off x="0" y="0"/>
                      <a:ext cx="3695700" cy="2336800"/>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16" w:name="matrixsplit"/>
      <w:bookmarkEnd w:id="116"/>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39"/>
          <w:ilvl w:val="0"/>
        </w:numPr>
      </w:pPr>
      <w:r>
        <w:t xml:space="preserve">Divided - The matrix population model A has successfully been divided into the process-based sub matrices U, F and C.</w:t>
      </w:r>
    </w:p>
    <w:p>
      <w:pPr>
        <w:pStyle w:val="Compact"/>
        <w:numPr>
          <w:numId w:val="1039"/>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25799"/>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7"/>
                    <a:stretch>
                      <a:fillRect/>
                    </a:stretch>
                  </pic:blipFill>
                  <pic:spPr bwMode="auto">
                    <a:xfrm>
                      <a:off x="0" y="0"/>
                      <a:ext cx="5334000" cy="1125799"/>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8"/>
                    <a:stretch>
                      <a:fillRect/>
                    </a:stretch>
                  </pic:blipFill>
                  <pic:spPr bwMode="auto">
                    <a:xfrm>
                      <a:off x="0" y="0"/>
                      <a:ext cx="3733800" cy="1536700"/>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0879"/>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9"/>
                    <a:stretch>
                      <a:fillRect/>
                    </a:stretch>
                  </pic:blipFill>
                  <pic:spPr bwMode="auto">
                    <a:xfrm>
                      <a:off x="0" y="0"/>
                      <a:ext cx="5334000" cy="7540879"/>
                    </a:xfrm>
                    <a:prstGeom prst="rect">
                      <a:avLst/>
                    </a:prstGeom>
                    <a:noFill/>
                    <a:ln w="9525">
                      <a:noFill/>
                      <a:headEnd/>
                      <a:tailEnd/>
                    </a:ln>
                  </pic:spPr>
                </pic:pic>
              </a:graphicData>
            </a:graphic>
          </wp:inline>
        </w:drawing>
      </w:r>
      <w:r>
        <w:t xml:space="preserve"> </w:t>
      </w:r>
      <w:r>
        <w:t xml:space="preserve">************************************************ ## MatrixFec</w:t>
      </w:r>
    </w:p>
    <w:p>
      <w:pPr>
        <w:pStyle w:val="BodyText"/>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0"/>
          <w:ilvl w:val="0"/>
        </w:numPr>
      </w:pPr>
      <w:r>
        <w:t xml:space="preserve">Yes - fecundity was measured for the matrix</w:t>
      </w:r>
    </w:p>
    <w:p>
      <w:pPr>
        <w:pStyle w:val="Compact"/>
        <w:numPr>
          <w:numId w:val="1040"/>
          <w:ilvl w:val="0"/>
        </w:numPr>
      </w:pPr>
      <w:r>
        <w:t xml:space="preserve">No - fecundity was not measured for the matrix</w:t>
      </w:r>
    </w:p>
    <w:p>
      <w:pPr>
        <w:pStyle w:val="Compact"/>
        <w:numPr>
          <w:numId w:val="1040"/>
          <w:ilvl w:val="0"/>
        </w:numPr>
      </w:pPr>
      <w:r>
        <w:t xml:space="preserve">NA - it is not known whether fecundity was measured for the matrix</w:t>
      </w:r>
    </w:p>
    <w:p>
      <w:r>
        <w:pict>
          <v:rect style="width:0;height:1.5pt" o:hralign="center" o:hrstd="t" o:hr="t"/>
        </w:pict>
      </w:r>
    </w:p>
    <w:p>
      <w:pPr>
        <w:pStyle w:val="Heading2"/>
      </w:pPr>
      <w:bookmarkStart w:id="120" w:name="observation"/>
      <w:bookmarkEnd w:id="120"/>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1"/>
          <w:ilvl w:val="0"/>
        </w:numPr>
      </w:pPr>
      <w:r>
        <w:t xml:space="preserve">The GPS coordinates were approximated to the closest geographic location described in the reference. (see Geolocation)</w:t>
      </w:r>
    </w:p>
    <w:p>
      <w:pPr>
        <w:pStyle w:val="Compact"/>
        <w:numPr>
          <w:numId w:val="1041"/>
          <w:ilvl w:val="0"/>
        </w:numPr>
      </w:pPr>
      <w:r>
        <w:t xml:space="preserve">GPS co-ordinates cited exactly as reported in original paper. These do not match written study site description. (see Geolocation)</w:t>
      </w:r>
    </w:p>
    <w:p>
      <w:pPr>
        <w:pStyle w:val="Compact"/>
        <w:numPr>
          <w:numId w:val="1041"/>
          <w:ilvl w:val="0"/>
        </w:numPr>
      </w:pPr>
      <w:r>
        <w:t xml:space="preserve">Geolocation / Altitude from descriptor: (if no matrices are enters yet but a geolocation information are available)</w:t>
      </w:r>
    </w:p>
    <w:p>
      <w:pPr>
        <w:pStyle w:val="Compact"/>
        <w:numPr>
          <w:numId w:val="1041"/>
          <w:ilvl w:val="0"/>
        </w:numPr>
      </w:pPr>
      <w:r>
        <w:t xml:space="preserve">Matrix is calculated with stochastic model</w:t>
      </w:r>
    </w:p>
    <w:p>
      <w:pPr>
        <w:pStyle w:val="Compact"/>
        <w:numPr>
          <w:numId w:val="1041"/>
          <w:ilvl w:val="0"/>
        </w:numPr>
      </w:pPr>
      <w:r>
        <w:t xml:space="preserve">X years since last fire</w:t>
      </w:r>
    </w:p>
    <w:p>
      <w:pPr>
        <w:pStyle w:val="Compact"/>
        <w:numPr>
          <w:numId w:val="1041"/>
          <w:ilvl w:val="0"/>
        </w:numPr>
      </w:pPr>
      <w:r>
        <w:t xml:space="preserve">Calculated with demographic data from Author JournalName YearPublished</w:t>
      </w:r>
    </w:p>
    <w:p>
      <w:pPr>
        <w:pStyle w:val="Compact"/>
        <w:numPr>
          <w:numId w:val="1041"/>
          <w:ilvl w:val="0"/>
        </w:numPr>
      </w:pPr>
      <w:r>
        <w:t xml:space="preserve">Data is from a greenhouse experiment</w:t>
      </w:r>
    </w:p>
    <w:p>
      <w:pPr>
        <w:pStyle w:val="Compact"/>
        <w:numPr>
          <w:numId w:val="1041"/>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1" w:name="matrixclassorganized"/>
      <w:bookmarkEnd w:id="121"/>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2"/>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2"/>
          <w:ilvl w:val="0"/>
        </w:numPr>
      </w:pPr>
      <w:r>
        <w:t xml:space="preserve">active - This includes stages that can neither be placed in the “prop” nor “dorm” (see below) stages.</w:t>
      </w:r>
    </w:p>
    <w:p>
      <w:pPr>
        <w:pStyle w:val="Compact"/>
        <w:numPr>
          <w:numId w:val="1042"/>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2" w:name="matrixclassauthor"/>
      <w:bookmarkEnd w:id="122"/>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3"/>
          <w:ilvl w:val="0"/>
        </w:numPr>
      </w:pPr>
      <w:r>
        <w:t xml:space="preserve">First letter must be a capital letter (e.g. Adult: 100-150 cm DBH)</w:t>
      </w:r>
    </w:p>
    <w:p>
      <w:pPr>
        <w:pStyle w:val="Compact"/>
        <w:numPr>
          <w:numId w:val="1043"/>
          <w:ilvl w:val="0"/>
        </w:numPr>
      </w:pPr>
      <w:r>
        <w:t xml:space="preserve">If the Author uses abbreviations first write them down, followed by a “:” and the explanation of that abbreviations</w:t>
      </w:r>
    </w:p>
    <w:p>
      <w:pPr>
        <w:pStyle w:val="Compact"/>
        <w:numPr>
          <w:numId w:val="1043"/>
          <w:ilvl w:val="0"/>
        </w:numPr>
      </w:pPr>
      <w:r>
        <w:t xml:space="preserve">Use the most detailed description</w:t>
      </w:r>
    </w:p>
    <w:p>
      <w:pPr>
        <w:pStyle w:val="Compact"/>
        <w:numPr>
          <w:numId w:val="1043"/>
          <w:ilvl w:val="0"/>
        </w:numPr>
      </w:pPr>
      <w:r>
        <w:t xml:space="preserve">Always add units (when possible) (e.g. 0-9 cm DBH, not 0-9 DBH)</w:t>
      </w:r>
    </w:p>
    <w:p>
      <w:pPr>
        <w:pStyle w:val="Compact"/>
        <w:numPr>
          <w:numId w:val="1043"/>
          <w:ilvl w:val="0"/>
        </w:numPr>
      </w:pPr>
      <w:r>
        <w:t xml:space="preserve">Be clear in what is described (e.g. 0-9 cm DBH/ height, not only 0-9 cm)</w:t>
      </w:r>
    </w:p>
    <w:p>
      <w:pPr>
        <w:pStyle w:val="Compact"/>
        <w:numPr>
          <w:numId w:val="1043"/>
          <w:ilvl w:val="0"/>
        </w:numPr>
      </w:pPr>
      <w:r>
        <w:t xml:space="preserve">Make sure that you use “.” Instead of “,” when typing numbers (e.g. 1.45 cm, not 1,45 cm)</w:t>
      </w:r>
    </w:p>
    <w:p>
      <w:pPr>
        <w:pStyle w:val="Compact"/>
        <w:numPr>
          <w:numId w:val="1043"/>
          <w:ilvl w:val="0"/>
        </w:numPr>
      </w:pPr>
      <w:r>
        <w:t xml:space="preserve">Make sure that there is space between the number and the unit (e.g. 1.45 cm, not 1.45cm)</w:t>
      </w:r>
    </w:p>
    <w:p>
      <w:pPr>
        <w:pStyle w:val="Compact"/>
        <w:numPr>
          <w:numId w:val="1043"/>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3"/>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3" w:name="matrixclassnumber"/>
      <w:bookmarkEnd w:id="123"/>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rPr/>
          <m:t>n</m:t>
        </m:r>
      </m:oMath>
      <w:r>
        <w:t xml:space="preserve">, where</w:t>
      </w:r>
      <w:r>
        <w:t xml:space="preserve"> </w:t>
      </w:r>
      <m:oMath>
        <m:r>
          <m:rPr/>
          <m:t>n</m:t>
        </m:r>
      </m:oMath>
      <w:r>
        <w:t xml:space="preserve"> </w:t>
      </w:r>
      <w:r>
        <w:t xml:space="preserve">is the dimension of the population matrix.</w:t>
      </w:r>
    </w:p>
    <w:p>
      <w:r>
        <w:pict>
          <v:rect style="width:0;height:1.5pt" o:hralign="center" o:hrstd="t" o:hr="t"/>
        </w:pict>
      </w:r>
    </w:p>
    <w:p>
      <w:pPr>
        <w:pStyle w:val="Heading2"/>
      </w:pPr>
      <w:bookmarkStart w:id="124" w:name="matumatfmatc"/>
      <w:bookmarkEnd w:id="124"/>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4"/>
          <w:ilvl w:val="0"/>
        </w:numPr>
      </w:pPr>
      <w:r>
        <w:t xml:space="preserve">The A matrix - Transition probabilities are constrained between 0 and 1. Reproductive values are always positive but have no upper bound.</w:t>
      </w:r>
    </w:p>
    <w:p>
      <w:pPr>
        <w:numPr>
          <w:numId w:val="1044"/>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4"/>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4"/>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5" w:name="color-coding"/>
      <w:bookmarkEnd w:id="125"/>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6"/>
                    <a:stretch>
                      <a:fillRect/>
                    </a:stretch>
                  </pic:blipFill>
                  <pic:spPr bwMode="auto">
                    <a:xfrm>
                      <a:off x="0" y="0"/>
                      <a:ext cx="5003800" cy="2374900"/>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0545"/>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7"/>
                    <a:stretch>
                      <a:fillRect/>
                    </a:stretch>
                  </pic:blipFill>
                  <pic:spPr bwMode="auto">
                    <a:xfrm>
                      <a:off x="0" y="0"/>
                      <a:ext cx="5334000" cy="900545"/>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3906"/>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8"/>
                    <a:stretch>
                      <a:fillRect/>
                    </a:stretch>
                  </pic:blipFill>
                  <pic:spPr bwMode="auto">
                    <a:xfrm>
                      <a:off x="0" y="0"/>
                      <a:ext cx="5334000" cy="1093906"/>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rPr/>
              <m:t>a</m:t>
            </m:r>
          </m:e>
          <m:sub>
            <m:r>
              <m:rPr/>
              <m:t>i</m:t>
            </m:r>
            <m:r>
              <m:rPr/>
              <m:t>j</m:t>
            </m:r>
          </m:sub>
        </m:sSub>
        <m:r>
          <m:rPr/>
          <m:t>&gt;</m:t>
        </m:r>
        <m:r>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6522"/>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9"/>
                    <a:stretch>
                      <a:fillRect/>
                    </a:stretch>
                  </pic:blipFill>
                  <pic:spPr bwMode="auto">
                    <a:xfrm>
                      <a:off x="0" y="0"/>
                      <a:ext cx="5334000" cy="2146522"/>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3ae1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f66aab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1515b0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7" Target="media/rId117.png" /><Relationship Type="http://schemas.openxmlformats.org/officeDocument/2006/relationships/image" Id="rId115" Target="media/rId115.png" /><Relationship Type="http://schemas.openxmlformats.org/officeDocument/2006/relationships/image" Id="rId100" Target="media/rId100.png" /><Relationship Type="http://schemas.openxmlformats.org/officeDocument/2006/relationships/image" Id="rId109" Target="media/rId109.png" /><Relationship Type="http://schemas.openxmlformats.org/officeDocument/2006/relationships/image" Id="rId51" Target="media/rId51.png" /><Relationship Type="http://schemas.openxmlformats.org/officeDocument/2006/relationships/image" Id="rId119" Target="media/rId119.png" /><Relationship Type="http://schemas.openxmlformats.org/officeDocument/2006/relationships/image" Id="rId90" Target="media/rId9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18" Target="media/rId118.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107"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1" Target="https://en.wikipedia.org/wiki/ISO_3166-1_alpha-3" TargetMode="External" /><Relationship Type="http://schemas.openxmlformats.org/officeDocument/2006/relationships/hyperlink" Id="rId113"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107"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1" Target="https://en.wikipedia.org/wiki/ISO_3166-1_alpha-3" TargetMode="External" /><Relationship Type="http://schemas.openxmlformats.org/officeDocument/2006/relationships/hyperlink" Id="rId113"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