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marine heatwave cumulative index over the central GOA: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Late spring (May-June) daily sea surface temperatures (SST) for the eastern GOA from the NOAA Coral Reef Watch Program: Late spring (May-June) daily sea surface temperatures (SST) for the eastern GOA from the NOAA Coral Reef Watch Program (contact: Jordan Watson)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Late spring (May-June) daily sea surface temperatures (SST) for the southeastern Bering Sea from the NOAA Coral Reef Watch Program: Late spring (May-June) daily sea surface temperatures (SST) for the southeastern Bering Sea from the NOAA Coral Reef Watch Program (contact: Jordan Watson)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d.) Summer temperature anomalies at 250 m isobath during the AFSC annual longline survey: Summer temperature anomalies at 250 m isobath during the AFSC annual longline survey (contact: Kevin Siwicke)</w:t>
      </w:r>
    </w:p>
    <w:p>
      <w:pPr>
        <w:pStyle w:val="BodyText"/>
      </w:pPr>
      <w:r>
        <w:t xml:space="preserve">Status and trends: 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Abundance of copepod community size from the continuous plankton recorder (CPR) for the offshore eastern GOA: Abundance of copepod community size from the continuous plankton recorder (CPR) for the offshore eastern GOA (contact: Clare Ostle)</w:t>
      </w:r>
    </w:p>
    <w:p>
      <w:pPr>
        <w:pStyle w:val="BodyText"/>
      </w:pPr>
      <w:r>
        <w:t xml:space="preserve">Status and trends: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b.) Abundance of copepod community size from the continuous plankton recorder (CPR) for the offshore western GOA: Abundance of copepod community size from the continuous plankton recorder (CPR) for the offshore western GOA (contact: Clare Ostle)</w:t>
      </w:r>
    </w:p>
    <w:p>
      <w:pPr>
        <w:pStyle w:val="BodyText"/>
      </w:pPr>
      <w:r>
        <w:t xml:space="preserve">Status and trends: .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c.) Age-0 sablefish growth rate from auklet diets in Middleton Island :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Derived chlorophyll a concentration during spring seasonal peak (May) in the eastern GOA from the MODIS satellite: Derived chlorophyll a concentration during spring seasonal peak (May) in the eastern GOA from the MODIS satellite (contact: Jordan Watson)</w:t>
      </w:r>
    </w:p>
    <w:p>
      <w:pPr>
        <w:pStyle w:val="BodyText"/>
      </w:pPr>
      <w:r>
        <w:t xml:space="preserve">Status and trends: Variable</w:t>
      </w:r>
    </w:p>
    <w:p>
      <w:pPr>
        <w:pStyle w:val="BodyText"/>
      </w:pPr>
      <w:r>
        <w:t xml:space="preserve">Influential factors: Oceanography</w:t>
      </w:r>
    </w:p>
    <w:p>
      <w:pPr>
        <w:pStyle w:val="BodyText"/>
      </w:pPr>
      <w:r>
        <w:t xml:space="preserve">e.) Derived chlorophyll a concentration during spring seasonal peak (May) in the southeastern Bering Sea from the MODIS 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f.) Peak timing of the spring bloom averaged across individual ADF&amp;G statistical areas in the eastern GOA region from the MODIS satellite : Peak timing of the spring bloom averaged across individual ADF&amp;G statistical areas in the eastern GOA region from the MODIS satellite (contact: Jordan Watson)</w:t>
      </w:r>
    </w:p>
    <w:p>
      <w:pPr>
        <w:pStyle w:val="BodyText"/>
      </w:pPr>
      <w:r>
        <w:t xml:space="preserve">Status and trends: NA</w:t>
      </w:r>
    </w:p>
    <w:p>
      <w:pPr>
        <w:pStyle w:val="BodyText"/>
      </w:pPr>
      <w:r>
        <w:t xml:space="preserve">Influential factors: NA</w:t>
      </w:r>
    </w:p>
    <w:p>
      <w:pPr>
        <w:pStyle w:val="BodyText"/>
      </w:pPr>
      <w:r>
        <w:t xml:space="preserve">g.) Peak timing of the spring bloom averaged across individual ADF&amp;G statistical areas in the southeastern Bering Sea from the MODIS 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h.) Summer euphausiid abundance for the Kodiak core survey area from the AFSC acoustic survey :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Measure of evenness or concentration of age composition by cohort of female sablefish from the most recent sablefish stock assessment model :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Incidental catch of sablefish in the GOA arrowtooth flounder 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Mean age of sablefish female spawning stock biomass from the most recent sablefish stock assessment 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Catch-per-unit-of-effort (CPUE) of juvenile sablefish (&lt;400 mm, likely age-1) collected on summer AFSC bottom-trawl surveys: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Sablefish catch-per-unit-effort (CPUE) and lengths from the ADF&amp;G large mesh bottom trawl survey of crab and groundfish: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Sablefish catches in kg have been above average for 6 of the last 7 years.</w:t>
      </w:r>
    </w:p>
    <w:p>
      <w:pPr>
        <w:pStyle w:val="BodyText"/>
      </w:pPr>
      <w:r>
        <w:t xml:space="preserve">Influential factors: NA</w:t>
      </w:r>
    </w:p>
    <w:p>
      <w:pPr>
        <w:pStyle w:val="BodyText"/>
      </w:pPr>
      <w:r>
        <w:t xml:space="preserve">g.) Summer sablefish condition for large adult (&gt;=750 mm) female sablefish from the GOA AFSC longline 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third consecutive year.</w:t>
      </w:r>
    </w:p>
    <w:p>
      <w:pPr>
        <w:pStyle w:val="BodyText"/>
      </w:pPr>
      <w:r>
        <w:t xml:space="preserve">Influential factors: NA</w:t>
      </w:r>
    </w:p>
    <w:p>
      <w:pPr>
        <w:pStyle w:val="BodyText"/>
      </w:pPr>
      <w:r>
        <w:t xml:space="preserve">h.) Summer sablefish condition for age-4, immature female sablefish from the GOA AFSC longline survey: Summer sablefish condition for age-4, immature female sablefish from the GOA AFSC longline survey (contact: Jane Sullivan)</w:t>
      </w:r>
    </w:p>
    <w:p>
      <w:pPr>
        <w:pStyle w:val="BodyText"/>
      </w:pPr>
      <w:r>
        <w:t xml:space="preserve">Status and trends: The condition index for the 2020 age-4 immature females collected in the longline survey was below average for the third consecutive year.</w:t>
      </w:r>
    </w:p>
    <w:p>
      <w:pPr>
        <w:pStyle w:val="BodyText"/>
      </w:pPr>
      <w:r>
        <w:t xml:space="preserve">Influential factors: NA</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Sablefish condition for large (&gt;= 750 mm) female sablefish from data collected randomly by observers in the BSAI fisheries: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b.) Sablefish condition for large (&gt;= 750 mm) female sablefish from data collected randomly by observers in the GOA fisheries: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c.) Incidental catch estimates of sablefish in the Bering Sea fisheries excluding the sablefish 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d.) Incidental catch estimates of sablefish in the GOA fisheries excluding the sablefish fishery :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Catch-per-unit-of-effort of sablefish from the longline fisheries in the GOA: Catch-per-unit-of-effort of sablefish from the longline fisheries in the GOA (contact: Kalei Shotwell)</w:t>
      </w:r>
    </w:p>
    <w:p>
      <w:pPr>
        <w:pStyle w:val="BodyText"/>
      </w:pPr>
      <w:r>
        <w:t xml:space="preserve">Status and trends: NA</w:t>
      </w:r>
    </w:p>
    <w:p>
      <w:pPr>
        <w:pStyle w:val="BodyText"/>
      </w:pPr>
      <w:r>
        <w:t xml:space="preserve">Influential factors: NA</w:t>
      </w:r>
    </w:p>
    <w:p>
      <w:pPr>
        <w:pStyle w:val="BodyText"/>
      </w:pPr>
      <w:r>
        <w:t xml:space="preserve">f.) Catch per unit of effort of sablefish estimated from the pot fisheries in the eastern Bering Sea: Catch per unit of effort of sablefish estimated from the pot fisheries in the eastern Bering Sea (contact: Cara Rodgveller)</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Average real ex-vessel price per pound of sablefish from fish ticket information: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sablefish: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6f541441-3b21-4118-b1d3-23cd1896d618"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6f541441-3b21-4118-b1d3-23cd1896d61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bl>
    <w:p>
      <w:pPr>
        <w:pStyle w:val="TableCaption"/>
      </w:pPr>
      <w:r>
        <w:t xml:space="preserve">Table 2:</w:t>
      </w:r>
      <w:r>
        <w:t xml:space="preserve"> </w:t>
      </w:r>
      <w:bookmarkStart w:id="e5cbba35-c31d-4b9d-a2e2-f804f6968a32"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e5cbba35-c31d-4b9d-a2e2-f804f6968a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51"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NMFS-R-example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5d178cc6d66b5c7b3b30853454abaecf6ddb0d7"/>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NMFS-R-example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55211cacd5a11479dd5f533f0cdf78e236a93aa"/>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NMFS-R-example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26fb5f1807ce3dced6b254a9c1266a3ffe08f95"/>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NMFS-R-example_files/figure-docx/traffic-eco-4.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4c0f7c9e614de7cce93f53569a03a8aa86de473"/>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C:/Users/abigail.tyrell/Documents/AKesp/NMFS-R-example_files/figure-docx/traffic-soci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cff0235bb243c9d98a42641c2dc7344a181a047"/>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C:/Users/abigail.tyrell/Documents/AKesp/NMFS-R-example_files/figure-docx/traffic-soci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db23958067f422bdebf236632e219c9e233fa08"/>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C:/Users/abigail.tyrell/Documents/AKesp/NMFS-R-example_files/figure-docx/overall-1.png" id="0" name="Picture"/>
                    <pic:cNvPicPr>
                      <a:picLocks noChangeArrowheads="1" noChangeAspect="1"/>
                    </pic:cNvPicPr>
                  </pic:nvPicPr>
                  <pic:blipFill>
                    <a:blip r:embed="rId47"/>
                    <a:stretch>
                      <a:fillRect/>
                    </a:stretch>
                  </pic:blipFill>
                  <pic:spPr bwMode="auto">
                    <a:xfrm>
                      <a:off x="0" y="0"/>
                      <a:ext cx="4620126" cy="6468176"/>
                    </a:xfrm>
                    <a:prstGeom prst="rect">
                      <a:avLst/>
                    </a:prstGeom>
                    <a:noFill/>
                    <a:ln w="9525">
                      <a:noFill/>
                      <a:headEnd/>
                      <a:tailEnd/>
                    </a:ln>
                  </pic:spPr>
                </pic:pic>
              </a:graphicData>
            </a:graphic>
          </wp:inline>
        </w:drawing>
      </w:r>
    </w:p>
    <w:bookmarkEnd w:id="48"/>
    <w:bookmarkStart w:id="49" w:name="X806e1e34f26b33290f9c4044bb7bbb2f9c2ba64"/>
    <w:p>
      <w:pPr>
        <w:pStyle w:val="Heading5"/>
      </w:pPr>
      <w:r>
        <w:t xml:space="preserve">Figure</w:t>
      </w:r>
      <w:r>
        <w:t xml:space="preserve"> </w:t>
      </w:r>
      <w:r>
        <w:t xml:space="preserve">4</w:t>
      </w:r>
      <w:r>
        <w:t xml:space="preserve">. Simple traffic light score for overall ecosystem and socioeconomic categories from 1977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9"/>
    <w:bookmarkStart w:id="50" w:name="X7e2fa21ee60c091e8287a55e07cfd48df8d1686"/>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0"/>
    <w:bookmarkEnd w:id="51"/>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2022-02-01T20:37:12Z</dcterms:created>
  <dcterms:modified xsi:type="dcterms:W3CDTF">2022-02-01T20:37:12Z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