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20.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physical-indicators"/>
    <w:p>
      <w:pPr>
        <w:pStyle w:val="Heading4"/>
      </w:pPr>
      <w:r>
        <w:t xml:space="preserve">1. Physical Indicators</w:t>
      </w:r>
    </w:p>
    <w:p>
      <w:pPr>
        <w:numPr>
          <w:ilvl w:val="0"/>
          <w:numId w:val="1001"/>
        </w:numPr>
        <w:pStyle w:val="Compact"/>
      </w:pPr>
      <w:r>
        <w:t xml:space="preserve">Annual_Heatwave_GOA_Model: Annual marine heatwave cumulative index over the central GOA</w:t>
      </w:r>
    </w:p>
    <w:p>
      <w:pPr>
        <w:numPr>
          <w:ilvl w:val="1"/>
          <w:numId w:val="1002"/>
        </w:numPr>
        <w:pStyle w:val="Compact"/>
      </w:pPr>
      <w:r>
        <w:t xml:space="preserve">Contact: Steve Barbeaux</w:t>
      </w:r>
    </w:p>
    <w:p>
      <w:pPr>
        <w:numPr>
          <w:ilvl w:val="1"/>
          <w:numId w:val="1002"/>
        </w:numPr>
        <w:pStyle w:val="Compact"/>
      </w:pPr>
      <w:r>
        <w:t xml:space="preserve">Status and trends:</w:t>
      </w:r>
      <w:r>
        <w:t xml:space="preserve"> </w:t>
      </w:r>
      <w:r>
        <w:rPr>
          <w:bCs/>
          <w:b/>
        </w:rPr>
        <w:t xml:space="preserve">Information not present in database</w:t>
      </w:r>
    </w:p>
    <w:p>
      <w:pPr>
        <w:numPr>
          <w:ilvl w:val="1"/>
          <w:numId w:val="1002"/>
        </w:numPr>
        <w:pStyle w:val="Compact"/>
      </w:pPr>
      <w:r>
        <w:t xml:space="preserve">Factors influencing trends:</w:t>
      </w:r>
      <w:r>
        <w:t xml:space="preserve"> </w:t>
      </w:r>
      <w:r>
        <w:rPr>
          <w:bCs/>
          <w:b/>
        </w:rPr>
        <w:t xml:space="preserve">Information not present in database</w:t>
      </w:r>
    </w:p>
    <w:p>
      <w:pPr>
        <w:numPr>
          <w:ilvl w:val="1"/>
          <w:numId w:val="1002"/>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Spring_Temperature_Surface_GOA_Satellite: Late spring (May-June) daily sea surface temperatures (SST) for the GOA from the NOAA Coral Reef Watch Program</w:t>
      </w:r>
    </w:p>
    <w:p>
      <w:pPr>
        <w:numPr>
          <w:ilvl w:val="1"/>
          <w:numId w:val="1003"/>
        </w:numPr>
        <w:pStyle w:val="Compact"/>
      </w:pPr>
      <w:r>
        <w:t xml:space="preserve">Contact: Matt Callahan</w:t>
      </w:r>
    </w:p>
    <w:p>
      <w:pPr>
        <w:numPr>
          <w:ilvl w:val="1"/>
          <w:numId w:val="1003"/>
        </w:numPr>
        <w:pStyle w:val="Compact"/>
      </w:pPr>
      <w:r>
        <w:t xml:space="preserve">Status and trends: Slight trend in overall time series</w:t>
      </w:r>
    </w:p>
    <w:p>
      <w:pPr>
        <w:numPr>
          <w:ilvl w:val="1"/>
          <w:numId w:val="1003"/>
        </w:numPr>
        <w:pStyle w:val="Compact"/>
      </w:pPr>
      <w:r>
        <w:t xml:space="preserve">Factors influencing trends:</w:t>
      </w:r>
      <w:r>
        <w:t xml:space="preserve"> </w:t>
      </w:r>
      <w:r>
        <w:rPr>
          <w:bCs/>
          <w:b/>
        </w:rPr>
        <w:t xml:space="preserve">Information not present in database</w:t>
      </w:r>
    </w:p>
    <w:p>
      <w:pPr>
        <w:numPr>
          <w:ilvl w:val="1"/>
          <w:numId w:val="1003"/>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Spring_Temperature_Surface_EGOA_Satellite: Late spring (May-June) daily sea surface temperatures (SST) for the eastern GOA from the NOAA Coral Reef Watch Program</w:t>
      </w:r>
    </w:p>
    <w:p>
      <w:pPr>
        <w:numPr>
          <w:ilvl w:val="1"/>
          <w:numId w:val="1004"/>
        </w:numPr>
        <w:pStyle w:val="Compact"/>
      </w:pPr>
      <w:r>
        <w:t xml:space="preserve">Contact: Matt Callahan</w:t>
      </w:r>
    </w:p>
    <w:p>
      <w:pPr>
        <w:numPr>
          <w:ilvl w:val="1"/>
          <w:numId w:val="1004"/>
        </w:numPr>
        <w:pStyle w:val="Compact"/>
      </w:pPr>
      <w:r>
        <w:t xml:space="preserve">Status and trends: Despite marked inter-annual variability, there appears to only be a slight upward trend in the overall time series.</w:t>
      </w:r>
    </w:p>
    <w:p>
      <w:pPr>
        <w:numPr>
          <w:ilvl w:val="1"/>
          <w:numId w:val="1004"/>
        </w:numPr>
        <w:pStyle w:val="Compact"/>
      </w:pPr>
      <w:r>
        <w:t xml:space="preserve">Factors influencing trends: Oceanography.</w:t>
      </w:r>
    </w:p>
    <w:p>
      <w:pPr>
        <w:numPr>
          <w:ilvl w:val="1"/>
          <w:numId w:val="1004"/>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Spring_Temperature_Surface_SEBS_Satellite: Late spring (May-June) daily sea surface temperatures (SST) for the southeastern Bering Sea from the NOAA Coral Reef Watch Program</w:t>
      </w:r>
    </w:p>
    <w:p>
      <w:pPr>
        <w:numPr>
          <w:ilvl w:val="1"/>
          <w:numId w:val="1005"/>
        </w:numPr>
        <w:pStyle w:val="Compact"/>
      </w:pPr>
      <w:r>
        <w:t xml:space="preserve">Contact: Matt Callahan</w:t>
      </w:r>
    </w:p>
    <w:p>
      <w:pPr>
        <w:numPr>
          <w:ilvl w:val="1"/>
          <w:numId w:val="1005"/>
        </w:numPr>
        <w:pStyle w:val="Compac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numPr>
          <w:ilvl w:val="1"/>
          <w:numId w:val="1005"/>
        </w:numPr>
        <w:pStyle w:val="Compact"/>
      </w:pPr>
      <w:r>
        <w:t xml:space="preserve">Factors influencing trends: Um, global climate change?</w:t>
      </w:r>
    </w:p>
    <w:p>
      <w:pPr>
        <w:numPr>
          <w:ilvl w:val="1"/>
          <w:numId w:val="1005"/>
        </w:numPr>
        <w:pStyle w:val="Compact"/>
      </w:pPr>
      <w:r>
        <w:t xml:space="preserve">Implications:</w:t>
      </w:r>
      <w:r>
        <w:t xml:space="preserve"> </w:t>
      </w:r>
      <w:r>
        <w:rPr>
          <w:bCs/>
          <w:b/>
        </w:rPr>
        <w:t xml:space="preserve">Information not present in database</w:t>
      </w:r>
    </w:p>
    <w:p>
      <w:pPr>
        <w:numPr>
          <w:ilvl w:val="0"/>
          <w:numId w:val="1001"/>
        </w:numPr>
        <w:pStyle w:val="Compact"/>
      </w:pPr>
      <w:r>
        <w:t xml:space="preserve">Summer_Temperature_250m_GOA_Survey: Summer temperature anomalies at 250 m isobath during the AFSC annual longline survey</w:t>
      </w:r>
    </w:p>
    <w:p>
      <w:pPr>
        <w:numPr>
          <w:ilvl w:val="1"/>
          <w:numId w:val="1006"/>
        </w:numPr>
        <w:pStyle w:val="Compact"/>
      </w:pPr>
      <w:r>
        <w:t xml:space="preserve">Contact: Kevin Siwicke</w:t>
      </w:r>
    </w:p>
    <w:p>
      <w:pPr>
        <w:numPr>
          <w:ilvl w:val="1"/>
          <w:numId w:val="1006"/>
        </w:numPr>
        <w:pStyle w:val="Compac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numPr>
          <w:ilvl w:val="1"/>
          <w:numId w:val="1006"/>
        </w:numPr>
        <w:pStyle w:val="Compact"/>
      </w:pPr>
      <w:r>
        <w:t xml:space="preserve">Factors influencing trends: Warming that has been evident in bottom temperatures throughout the shelf environment has not been particularly present over much of the slope environment, which may provide a buffer during spawning and egg deposition for sablefish.</w:t>
      </w:r>
    </w:p>
    <w:p>
      <w:pPr>
        <w:numPr>
          <w:ilvl w:val="1"/>
          <w:numId w:val="1006"/>
        </w:numPr>
        <w:pStyle w:val="Compact"/>
      </w:pPr>
      <w:r>
        <w:t xml:space="preserve">Implications:</w:t>
      </w:r>
      <w:r>
        <w:t xml:space="preserve"> </w:t>
      </w:r>
      <w:r>
        <w:rPr>
          <w:bCs/>
          <w:b/>
        </w:rPr>
        <w:t xml:space="preserve">Information not present in database</w:t>
      </w:r>
    </w:p>
    <w:bookmarkEnd w:id="27"/>
    <w:bookmarkStart w:id="28" w:name="lower-trophic-indicators"/>
    <w:p>
      <w:pPr>
        <w:pStyle w:val="Heading4"/>
      </w:pPr>
      <w:r>
        <w:t xml:space="preserve">2. Lower Trophic Indicators</w:t>
      </w:r>
    </w:p>
    <w:p>
      <w:pPr>
        <w:numPr>
          <w:ilvl w:val="0"/>
          <w:numId w:val="1007"/>
        </w:numPr>
        <w:pStyle w:val="Compact"/>
      </w:pPr>
      <w:r>
        <w:t xml:space="preserve">Spring_Chlorophylla_Biomass_GOA_Satellite: Derived chlorophyll a concentration during spring seasonal peak (May) in the GOA from the MODIS satellite</w:t>
      </w:r>
    </w:p>
    <w:p>
      <w:pPr>
        <w:numPr>
          <w:ilvl w:val="1"/>
          <w:numId w:val="1008"/>
        </w:numPr>
        <w:pStyle w:val="Compact"/>
      </w:pPr>
      <w:r>
        <w:t xml:space="preserve">Contact: Matt Callahan</w:t>
      </w:r>
    </w:p>
    <w:p>
      <w:pPr>
        <w:numPr>
          <w:ilvl w:val="1"/>
          <w:numId w:val="1008"/>
        </w:numPr>
        <w:pStyle w:val="Compact"/>
      </w:pPr>
      <w:r>
        <w:t xml:space="preserve">Status and trends:</w:t>
      </w:r>
      <w:r>
        <w:t xml:space="preserve"> </w:t>
      </w:r>
      <w:r>
        <w:rPr>
          <w:bCs/>
          <w:b/>
        </w:rPr>
        <w:t xml:space="preserve">Information not present in database</w:t>
      </w:r>
    </w:p>
    <w:p>
      <w:pPr>
        <w:numPr>
          <w:ilvl w:val="1"/>
          <w:numId w:val="1008"/>
        </w:numPr>
        <w:pStyle w:val="Compact"/>
      </w:pPr>
      <w:r>
        <w:t xml:space="preserve">Factors influencing trends:</w:t>
      </w:r>
      <w:r>
        <w:t xml:space="preserve"> </w:t>
      </w:r>
      <w:r>
        <w:rPr>
          <w:bCs/>
          <w:b/>
        </w:rPr>
        <w:t xml:space="preserve">Information not present in database</w:t>
      </w:r>
    </w:p>
    <w:p>
      <w:pPr>
        <w:numPr>
          <w:ilvl w:val="1"/>
          <w:numId w:val="1008"/>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Spring_Chlorophylla_Biomass_EGOA_Satellite: Derived chlorophyll a concentration during spring seasonal peak (May) in the eastern GOA from the MODIS satellite</w:t>
      </w:r>
    </w:p>
    <w:p>
      <w:pPr>
        <w:numPr>
          <w:ilvl w:val="1"/>
          <w:numId w:val="1009"/>
        </w:numPr>
        <w:pStyle w:val="Compact"/>
      </w:pPr>
      <w:r>
        <w:t xml:space="preserve">Contact: Matt Callahan</w:t>
      </w:r>
    </w:p>
    <w:p>
      <w:pPr>
        <w:numPr>
          <w:ilvl w:val="1"/>
          <w:numId w:val="1009"/>
        </w:numPr>
        <w:pStyle w:val="Compact"/>
      </w:pPr>
      <w:r>
        <w:t xml:space="preserve">Status and trends: Variable</w:t>
      </w:r>
    </w:p>
    <w:p>
      <w:pPr>
        <w:numPr>
          <w:ilvl w:val="1"/>
          <w:numId w:val="1009"/>
        </w:numPr>
        <w:pStyle w:val="Compact"/>
      </w:pPr>
      <w:r>
        <w:t xml:space="preserve">Factors influencing trends: Oceanography</w:t>
      </w:r>
    </w:p>
    <w:p>
      <w:pPr>
        <w:numPr>
          <w:ilvl w:val="1"/>
          <w:numId w:val="1009"/>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Spring_Chlorophylla_Biomass_SEBS_Satellite: Derived chlorophyll a concentration during spring seasonal peak (May) in the southeastern Bering Sea from the MODIS satellite</w:t>
      </w:r>
    </w:p>
    <w:p>
      <w:pPr>
        <w:numPr>
          <w:ilvl w:val="1"/>
          <w:numId w:val="1010"/>
        </w:numPr>
        <w:pStyle w:val="Compact"/>
      </w:pPr>
      <w:r>
        <w:t xml:space="preserve">Contact: Jens Nielsen</w:t>
      </w:r>
    </w:p>
    <w:p>
      <w:pPr>
        <w:numPr>
          <w:ilvl w:val="1"/>
          <w:numId w:val="1010"/>
        </w:numPr>
        <w:pStyle w:val="Compact"/>
      </w:pPr>
      <w:r>
        <w:t xml:space="preserve">Status and trends:</w:t>
      </w:r>
      <w:r>
        <w:t xml:space="preserve"> </w:t>
      </w:r>
      <w:r>
        <w:rPr>
          <w:bCs/>
          <w:b/>
        </w:rPr>
        <w:t xml:space="preserve">Information not present in database</w:t>
      </w:r>
    </w:p>
    <w:p>
      <w:pPr>
        <w:numPr>
          <w:ilvl w:val="1"/>
          <w:numId w:val="1010"/>
        </w:numPr>
        <w:pStyle w:val="Compact"/>
      </w:pPr>
      <w:r>
        <w:t xml:space="preserve">Factors influencing trends:</w:t>
      </w:r>
      <w:r>
        <w:t xml:space="preserve"> </w:t>
      </w:r>
      <w:r>
        <w:rPr>
          <w:bCs/>
          <w:b/>
        </w:rPr>
        <w:t xml:space="preserve">Information not present in database</w:t>
      </w:r>
    </w:p>
    <w:p>
      <w:pPr>
        <w:numPr>
          <w:ilvl w:val="1"/>
          <w:numId w:val="1010"/>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Spring_Chlorophylla_Peak_GOA_Satellite: Peak timing of the spring bloom averaged across individual ADF&amp;G statistical areas in the GOA region from the MODIS satellite</w:t>
      </w:r>
    </w:p>
    <w:p>
      <w:pPr>
        <w:numPr>
          <w:ilvl w:val="1"/>
          <w:numId w:val="1011"/>
        </w:numPr>
        <w:pStyle w:val="Compact"/>
      </w:pPr>
      <w:r>
        <w:t xml:space="preserve">Contact: Matt Callahan</w:t>
      </w:r>
    </w:p>
    <w:p>
      <w:pPr>
        <w:numPr>
          <w:ilvl w:val="1"/>
          <w:numId w:val="1011"/>
        </w:numPr>
        <w:pStyle w:val="Compact"/>
      </w:pPr>
      <w:r>
        <w:t xml:space="preserve">Status and trends:</w:t>
      </w:r>
      <w:r>
        <w:t xml:space="preserve"> </w:t>
      </w:r>
      <w:r>
        <w:rPr>
          <w:bCs/>
          <w:b/>
        </w:rPr>
        <w:t xml:space="preserve">Information not present in database</w:t>
      </w:r>
    </w:p>
    <w:p>
      <w:pPr>
        <w:numPr>
          <w:ilvl w:val="1"/>
          <w:numId w:val="1011"/>
        </w:numPr>
        <w:pStyle w:val="Compact"/>
      </w:pPr>
      <w:r>
        <w:t xml:space="preserve">Factors influencing trends:</w:t>
      </w:r>
      <w:r>
        <w:t xml:space="preserve"> </w:t>
      </w:r>
      <w:r>
        <w:rPr>
          <w:bCs/>
          <w:b/>
        </w:rPr>
        <w:t xml:space="preserve">Information not present in database</w:t>
      </w:r>
    </w:p>
    <w:p>
      <w:pPr>
        <w:numPr>
          <w:ilvl w:val="1"/>
          <w:numId w:val="1011"/>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Spring_Chlorophylla_Peak_EGOA_Satellite: Peak timing of the spring bloom averaged across individual ADF&amp;G statistical areas in the eastern GOA region from the MODIS satellite</w:t>
      </w:r>
    </w:p>
    <w:p>
      <w:pPr>
        <w:numPr>
          <w:ilvl w:val="1"/>
          <w:numId w:val="1012"/>
        </w:numPr>
        <w:pStyle w:val="Compact"/>
      </w:pPr>
      <w:r>
        <w:t xml:space="preserve">Contact: Matt Callahan</w:t>
      </w:r>
    </w:p>
    <w:p>
      <w:pPr>
        <w:numPr>
          <w:ilvl w:val="1"/>
          <w:numId w:val="1012"/>
        </w:numPr>
        <w:pStyle w:val="Compact"/>
      </w:pPr>
      <w:r>
        <w:t xml:space="preserve">Status and trends:</w:t>
      </w:r>
      <w:r>
        <w:t xml:space="preserve"> </w:t>
      </w:r>
      <w:r>
        <w:rPr>
          <w:bCs/>
          <w:b/>
        </w:rPr>
        <w:t xml:space="preserve">Information not present in database</w:t>
      </w:r>
    </w:p>
    <w:p>
      <w:pPr>
        <w:numPr>
          <w:ilvl w:val="1"/>
          <w:numId w:val="1012"/>
        </w:numPr>
        <w:pStyle w:val="Compact"/>
      </w:pPr>
      <w:r>
        <w:t xml:space="preserve">Factors influencing trends:</w:t>
      </w:r>
      <w:r>
        <w:t xml:space="preserve"> </w:t>
      </w:r>
      <w:r>
        <w:rPr>
          <w:bCs/>
          <w:b/>
        </w:rPr>
        <w:t xml:space="preserve">Information not present in database</w:t>
      </w:r>
    </w:p>
    <w:p>
      <w:pPr>
        <w:numPr>
          <w:ilvl w:val="1"/>
          <w:numId w:val="1012"/>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Spring_Chlorophylla_Peak_SEBS_Satellite: Peak timing of the spring bloom averaged across individual ADF&amp;G statistical areas in the southeastern Bering Sea from the MODIS satellite</w:t>
      </w:r>
    </w:p>
    <w:p>
      <w:pPr>
        <w:numPr>
          <w:ilvl w:val="1"/>
          <w:numId w:val="1013"/>
        </w:numPr>
        <w:pStyle w:val="Compact"/>
      </w:pPr>
      <w:r>
        <w:t xml:space="preserve">Contact: Jens Nielsen</w:t>
      </w:r>
    </w:p>
    <w:p>
      <w:pPr>
        <w:numPr>
          <w:ilvl w:val="1"/>
          <w:numId w:val="1013"/>
        </w:numPr>
        <w:pStyle w:val="Compact"/>
      </w:pPr>
      <w:r>
        <w:t xml:space="preserve">Status and trends: 2021 spring bloom timing was close to the long-term mean peak timing</w:t>
      </w:r>
    </w:p>
    <w:p>
      <w:pPr>
        <w:numPr>
          <w:ilvl w:val="1"/>
          <w:numId w:val="1013"/>
        </w:numPr>
        <w:pStyle w:val="Compact"/>
      </w:pPr>
      <w:r>
        <w:t xml:space="preserve">Factors influencing trends:</w:t>
      </w:r>
      <w:r>
        <w:t xml:space="preserve"> </w:t>
      </w:r>
      <w:r>
        <w:rPr>
          <w:bCs/>
          <w:b/>
        </w:rPr>
        <w:t xml:space="preserve">Information not present in database</w:t>
      </w:r>
    </w:p>
    <w:p>
      <w:pPr>
        <w:numPr>
          <w:ilvl w:val="1"/>
          <w:numId w:val="1013"/>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Annual_Copepod_Community_Size_EGOA_Survey: Abundance of copepod community size from the continuous plankton recorder (CPR) for the offshore eastern GOA</w:t>
      </w:r>
    </w:p>
    <w:p>
      <w:pPr>
        <w:numPr>
          <w:ilvl w:val="1"/>
          <w:numId w:val="1014"/>
        </w:numPr>
        <w:pStyle w:val="Compact"/>
      </w:pPr>
      <w:r>
        <w:t xml:space="preserve">Contact: Clare Ostle</w:t>
      </w:r>
    </w:p>
    <w:p>
      <w:pPr>
        <w:numPr>
          <w:ilvl w:val="1"/>
          <w:numId w:val="1014"/>
        </w:numPr>
        <w:pStyle w:val="Compac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numPr>
          <w:ilvl w:val="1"/>
          <w:numId w:val="1014"/>
        </w:numPr>
        <w:pStyle w:val="Compact"/>
      </w:pPr>
      <w:r>
        <w:t xml:space="preserve">Factors influencing trends: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numPr>
          <w:ilvl w:val="1"/>
          <w:numId w:val="1014"/>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Annual_Copepod_Community_Size_WGOA_Survey: Abundance of copepod community size from the continuous plankton recorder (CPR) for the offshore western GOA</w:t>
      </w:r>
    </w:p>
    <w:p>
      <w:pPr>
        <w:numPr>
          <w:ilvl w:val="1"/>
          <w:numId w:val="1015"/>
        </w:numPr>
        <w:pStyle w:val="Compact"/>
      </w:pPr>
      <w:r>
        <w:t xml:space="preserve">Contact: Clare Ostle</w:t>
      </w:r>
    </w:p>
    <w:p>
      <w:pPr>
        <w:numPr>
          <w:ilvl w:val="1"/>
          <w:numId w:val="1015"/>
        </w:numPr>
        <w:pStyle w:val="Compac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numPr>
          <w:ilvl w:val="1"/>
          <w:numId w:val="1015"/>
        </w:numPr>
        <w:pStyle w:val="Compact"/>
      </w:pPr>
      <w:r>
        <w:t xml:space="preserve">Factors influencing trends: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numPr>
          <w:ilvl w:val="1"/>
          <w:numId w:val="1015"/>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Summer_Euphausiid_Abundance_Kodiak_Survey: Summer euphausiid abundance for the Kodiak core survey area from the AFSC acoustic survey</w:t>
      </w:r>
    </w:p>
    <w:p>
      <w:pPr>
        <w:numPr>
          <w:ilvl w:val="1"/>
          <w:numId w:val="1016"/>
        </w:numPr>
        <w:pStyle w:val="Compact"/>
      </w:pPr>
      <w:r>
        <w:t xml:space="preserve">Contact: Patrick Ressler</w:t>
      </w:r>
    </w:p>
    <w:p>
      <w:pPr>
        <w:numPr>
          <w:ilvl w:val="1"/>
          <w:numId w:val="1016"/>
        </w:numPr>
        <w:pStyle w:val="Compact"/>
      </w:pPr>
      <w:r>
        <w:t xml:space="preserve">Status and trends:</w:t>
      </w:r>
      <w:r>
        <w:t xml:space="preserve"> </w:t>
      </w:r>
      <w:r>
        <w:rPr>
          <w:bCs/>
          <w:b/>
        </w:rPr>
        <w:t xml:space="preserve">Information not present in database</w:t>
      </w:r>
    </w:p>
    <w:p>
      <w:pPr>
        <w:numPr>
          <w:ilvl w:val="1"/>
          <w:numId w:val="1016"/>
        </w:numPr>
        <w:pStyle w:val="Compact"/>
      </w:pPr>
      <w:r>
        <w:t xml:space="preserve">Factors influencing trends:</w:t>
      </w:r>
      <w:r>
        <w:t xml:space="preserve"> </w:t>
      </w:r>
      <w:r>
        <w:rPr>
          <w:bCs/>
          <w:b/>
        </w:rPr>
        <w:t xml:space="preserve">Information not present in database</w:t>
      </w:r>
    </w:p>
    <w:p>
      <w:pPr>
        <w:numPr>
          <w:ilvl w:val="1"/>
          <w:numId w:val="1016"/>
        </w:numPr>
        <w:pStyle w:val="Compact"/>
      </w:pPr>
      <w:r>
        <w:t xml:space="preserve">Implications:</w:t>
      </w:r>
      <w:r>
        <w:t xml:space="preserve"> </w:t>
      </w:r>
      <w:r>
        <w:rPr>
          <w:bCs/>
          <w:b/>
        </w:rPr>
        <w:t xml:space="preserve">Information not present in database</w:t>
      </w:r>
    </w:p>
    <w:p>
      <w:pPr>
        <w:numPr>
          <w:ilvl w:val="0"/>
          <w:numId w:val="1007"/>
        </w:numPr>
        <w:pStyle w:val="Compact"/>
      </w:pPr>
      <w:r>
        <w:t xml:space="preserve">Annual_Sablefish_Growth_YOY_Middleton_Survey: Age-0 sablefish growth rate from auklet diets in Middleton Island</w:t>
      </w:r>
    </w:p>
    <w:p>
      <w:pPr>
        <w:numPr>
          <w:ilvl w:val="1"/>
          <w:numId w:val="1017"/>
        </w:numPr>
        <w:pStyle w:val="Compact"/>
      </w:pPr>
      <w:r>
        <w:t xml:space="preserve">Contact: Mayumi Arimitsu</w:t>
      </w:r>
    </w:p>
    <w:p>
      <w:pPr>
        <w:numPr>
          <w:ilvl w:val="1"/>
          <w:numId w:val="1017"/>
        </w:numPr>
        <w:pStyle w:val="Compact"/>
      </w:pPr>
      <w:r>
        <w:t xml:space="preserve">Status and trends:</w:t>
      </w:r>
      <w:r>
        <w:t xml:space="preserve"> </w:t>
      </w:r>
      <w:r>
        <w:rPr>
          <w:bCs/>
          <w:b/>
        </w:rPr>
        <w:t xml:space="preserve">Information not present in database</w:t>
      </w:r>
    </w:p>
    <w:p>
      <w:pPr>
        <w:numPr>
          <w:ilvl w:val="1"/>
          <w:numId w:val="1017"/>
        </w:numPr>
        <w:pStyle w:val="Compact"/>
      </w:pPr>
      <w:r>
        <w:t xml:space="preserve">Factors influencing trends:</w:t>
      </w:r>
      <w:r>
        <w:t xml:space="preserve"> </w:t>
      </w:r>
      <w:r>
        <w:rPr>
          <w:bCs/>
          <w:b/>
        </w:rPr>
        <w:t xml:space="preserve">Information not present in database</w:t>
      </w:r>
    </w:p>
    <w:p>
      <w:pPr>
        <w:numPr>
          <w:ilvl w:val="1"/>
          <w:numId w:val="1017"/>
        </w:numPr>
        <w:pStyle w:val="Compact"/>
      </w:pPr>
      <w:r>
        <w:t xml:space="preserve">Implications:</w:t>
      </w:r>
      <w:r>
        <w:t xml:space="preserve"> </w:t>
      </w:r>
      <w:r>
        <w:rPr>
          <w:bCs/>
          <w:b/>
        </w:rPr>
        <w:t xml:space="preserve">Information not present in database</w:t>
      </w:r>
    </w:p>
    <w:bookmarkEnd w:id="28"/>
    <w:bookmarkStart w:id="29" w:name="upper-trophic-indicators"/>
    <w:p>
      <w:pPr>
        <w:pStyle w:val="Heading4"/>
      </w:pPr>
      <w:r>
        <w:t xml:space="preserve">3. Upper Trophic Indicators</w:t>
      </w:r>
    </w:p>
    <w:p>
      <w:pPr>
        <w:numPr>
          <w:ilvl w:val="0"/>
          <w:numId w:val="1018"/>
        </w:numPr>
        <w:pStyle w:val="Compact"/>
      </w:pPr>
      <w:r>
        <w:t xml:space="preserve">Summer_Sablefish_CPUE_Juvenile_Nearshore_GOAAI_Survey: Sablefish catch-per-unit-effort (CPUE) and lengths from the ADF&amp;G large mesh bottom trawl survey of crab and groundfish</w:t>
      </w:r>
    </w:p>
    <w:p>
      <w:pPr>
        <w:numPr>
          <w:ilvl w:val="1"/>
          <w:numId w:val="1019"/>
        </w:numPr>
        <w:pStyle w:val="Compact"/>
      </w:pPr>
      <w:r>
        <w:t xml:space="preserve">Contact: Kally Spalinger</w:t>
      </w:r>
    </w:p>
    <w:p>
      <w:pPr>
        <w:numPr>
          <w:ilvl w:val="1"/>
          <w:numId w:val="1019"/>
        </w:numPr>
        <w:pStyle w:val="Compac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numPr>
          <w:ilvl w:val="1"/>
          <w:numId w:val="1019"/>
        </w:numPr>
        <w:pStyle w:val="Compact"/>
      </w:pPr>
      <w:r>
        <w:t xml:space="preserve">Factors influencing trends:</w:t>
      </w:r>
      <w:r>
        <w:t xml:space="preserve"> </w:t>
      </w:r>
      <w:r>
        <w:rPr>
          <w:bCs/>
          <w:b/>
        </w:rPr>
        <w:t xml:space="preserve">Information not present in database</w:t>
      </w:r>
    </w:p>
    <w:p>
      <w:pPr>
        <w:numPr>
          <w:ilvl w:val="1"/>
          <w:numId w:val="1019"/>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Summer_Sablefish_CPUE_Juvenile_GOA_Survey: Catch-per-unit-of-effort (CPUE) of juvenile sablefish (&lt;400 mm, likely age-1) collected on summer AFSC bottom-trawl surveys</w:t>
      </w:r>
    </w:p>
    <w:p>
      <w:pPr>
        <w:numPr>
          <w:ilvl w:val="1"/>
          <w:numId w:val="1020"/>
        </w:numPr>
        <w:pStyle w:val="Compact"/>
      </w:pPr>
      <w:r>
        <w:t xml:space="preserve">Contact: Kalei Shotwell</w:t>
      </w:r>
    </w:p>
    <w:p>
      <w:pPr>
        <w:numPr>
          <w:ilvl w:val="1"/>
          <w:numId w:val="1020"/>
        </w:numPr>
        <w:pStyle w:val="Compact"/>
      </w:pPr>
      <w:r>
        <w:t xml:space="preserve">Status and trends:</w:t>
      </w:r>
      <w:r>
        <w:t xml:space="preserve"> </w:t>
      </w:r>
      <w:r>
        <w:rPr>
          <w:bCs/>
          <w:b/>
        </w:rPr>
        <w:t xml:space="preserve">Information not present in database</w:t>
      </w:r>
    </w:p>
    <w:p>
      <w:pPr>
        <w:numPr>
          <w:ilvl w:val="1"/>
          <w:numId w:val="1020"/>
        </w:numPr>
        <w:pStyle w:val="Compact"/>
      </w:pPr>
      <w:r>
        <w:t xml:space="preserve">Factors influencing trends:</w:t>
      </w:r>
      <w:r>
        <w:t xml:space="preserve"> </w:t>
      </w:r>
      <w:r>
        <w:rPr>
          <w:bCs/>
          <w:b/>
        </w:rPr>
        <w:t xml:space="preserve">Information not present in database</w:t>
      </w:r>
    </w:p>
    <w:p>
      <w:pPr>
        <w:numPr>
          <w:ilvl w:val="1"/>
          <w:numId w:val="1020"/>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Annual_Sablefish_Mean_Age_Female_Adult_Model: Mean age of sablefish female spawning stock biomass from the most recent sablefish stock assessment model</w:t>
      </w:r>
    </w:p>
    <w:p>
      <w:pPr>
        <w:numPr>
          <w:ilvl w:val="1"/>
          <w:numId w:val="1021"/>
        </w:numPr>
        <w:pStyle w:val="Compact"/>
      </w:pPr>
      <w:r>
        <w:t xml:space="preserve">Contact: Dan Goethel</w:t>
      </w:r>
    </w:p>
    <w:p>
      <w:pPr>
        <w:numPr>
          <w:ilvl w:val="1"/>
          <w:numId w:val="1021"/>
        </w:numPr>
        <w:pStyle w:val="Compact"/>
      </w:pPr>
      <w:r>
        <w:t xml:space="preserve">Status and trends:</w:t>
      </w:r>
      <w:r>
        <w:t xml:space="preserve"> </w:t>
      </w:r>
      <w:r>
        <w:rPr>
          <w:bCs/>
          <w:b/>
        </w:rPr>
        <w:t xml:space="preserve">Information not present in database</w:t>
      </w:r>
    </w:p>
    <w:p>
      <w:pPr>
        <w:numPr>
          <w:ilvl w:val="1"/>
          <w:numId w:val="1021"/>
        </w:numPr>
        <w:pStyle w:val="Compact"/>
      </w:pPr>
      <w:r>
        <w:t xml:space="preserve">Factors influencing trends:</w:t>
      </w:r>
      <w:r>
        <w:t xml:space="preserve"> </w:t>
      </w:r>
      <w:r>
        <w:rPr>
          <w:bCs/>
          <w:b/>
        </w:rPr>
        <w:t xml:space="preserve">Information not present in database</w:t>
      </w:r>
    </w:p>
    <w:p>
      <w:pPr>
        <w:numPr>
          <w:ilvl w:val="1"/>
          <w:numId w:val="1021"/>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Annual_Sablefish_Age_Evenness_Female_Adult_Model: Measure of evenness or concentration of age composition by cohort of female sablefish from the most recent sablefish stock assessment model</w:t>
      </w:r>
    </w:p>
    <w:p>
      <w:pPr>
        <w:numPr>
          <w:ilvl w:val="1"/>
          <w:numId w:val="1022"/>
        </w:numPr>
        <w:pStyle w:val="Compact"/>
      </w:pPr>
      <w:r>
        <w:t xml:space="preserve">Contact: Dan Goethel</w:t>
      </w:r>
    </w:p>
    <w:p>
      <w:pPr>
        <w:numPr>
          <w:ilvl w:val="1"/>
          <w:numId w:val="1022"/>
        </w:numPr>
        <w:pStyle w:val="Compact"/>
      </w:pPr>
      <w:r>
        <w:t xml:space="preserve">Status and trends:</w:t>
      </w:r>
      <w:r>
        <w:t xml:space="preserve"> </w:t>
      </w:r>
      <w:r>
        <w:rPr>
          <w:bCs/>
          <w:b/>
        </w:rPr>
        <w:t xml:space="preserve">Information not present in database</w:t>
      </w:r>
    </w:p>
    <w:p>
      <w:pPr>
        <w:numPr>
          <w:ilvl w:val="1"/>
          <w:numId w:val="1022"/>
        </w:numPr>
        <w:pStyle w:val="Compact"/>
      </w:pPr>
      <w:r>
        <w:t xml:space="preserve">Factors influencing trends:</w:t>
      </w:r>
      <w:r>
        <w:t xml:space="preserve"> </w:t>
      </w:r>
      <w:r>
        <w:rPr>
          <w:bCs/>
          <w:b/>
        </w:rPr>
        <w:t xml:space="preserve">Information not present in database</w:t>
      </w:r>
    </w:p>
    <w:p>
      <w:pPr>
        <w:numPr>
          <w:ilvl w:val="1"/>
          <w:numId w:val="1022"/>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Summer_Sablefish_Condition_Female_Age4_GOA_Survey: Summer sablefish condition for age-4, immature female sablefish from the GOA AFSC longline survey</w:t>
      </w:r>
    </w:p>
    <w:p>
      <w:pPr>
        <w:numPr>
          <w:ilvl w:val="1"/>
          <w:numId w:val="1023"/>
        </w:numPr>
        <w:pStyle w:val="Compact"/>
      </w:pPr>
      <w:r>
        <w:t xml:space="preserve">Contact: Jane Sullivan</w:t>
      </w:r>
    </w:p>
    <w:p>
      <w:pPr>
        <w:numPr>
          <w:ilvl w:val="1"/>
          <w:numId w:val="1023"/>
        </w:numPr>
        <w:pStyle w:val="Compact"/>
      </w:pPr>
      <w:r>
        <w:t xml:space="preserve">Status and trends: The condition index for the 2021 age-4 immature females collected in the longline survey was above average for the first time since 2014.</w:t>
      </w:r>
    </w:p>
    <w:p>
      <w:pPr>
        <w:numPr>
          <w:ilvl w:val="1"/>
          <w:numId w:val="1023"/>
        </w:numPr>
        <w:pStyle w:val="Compact"/>
      </w:pPr>
      <w:r>
        <w:t xml:space="preserve">Factors influencing trends:</w:t>
      </w:r>
      <w:r>
        <w:t xml:space="preserve"> </w:t>
      </w:r>
      <w:r>
        <w:rPr>
          <w:bCs/>
          <w:b/>
        </w:rPr>
        <w:t xml:space="preserve">Information not present in database</w:t>
      </w:r>
    </w:p>
    <w:p>
      <w:pPr>
        <w:numPr>
          <w:ilvl w:val="1"/>
          <w:numId w:val="1023"/>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Annual_Arrowtooth_Biomass_GOA_Model: Arrowtooth flounder total biomass from the most recent stock assessment model in the GOA</w:t>
      </w:r>
    </w:p>
    <w:p>
      <w:pPr>
        <w:numPr>
          <w:ilvl w:val="1"/>
          <w:numId w:val="1024"/>
        </w:numPr>
        <w:pStyle w:val="Compact"/>
      </w:pPr>
      <w:r>
        <w:t xml:space="preserve">Contact: Kalei Shotwell</w:t>
      </w:r>
    </w:p>
    <w:p>
      <w:pPr>
        <w:numPr>
          <w:ilvl w:val="1"/>
          <w:numId w:val="1024"/>
        </w:numPr>
        <w:pStyle w:val="Compact"/>
      </w:pPr>
      <w:r>
        <w:t xml:space="preserve">Status and trends:</w:t>
      </w:r>
      <w:r>
        <w:t xml:space="preserve"> </w:t>
      </w:r>
      <w:r>
        <w:rPr>
          <w:bCs/>
          <w:b/>
        </w:rPr>
        <w:t xml:space="preserve">Information not present in database</w:t>
      </w:r>
    </w:p>
    <w:p>
      <w:pPr>
        <w:numPr>
          <w:ilvl w:val="1"/>
          <w:numId w:val="1024"/>
        </w:numPr>
        <w:pStyle w:val="Compact"/>
      </w:pPr>
      <w:r>
        <w:t xml:space="preserve">Factors influencing trends:</w:t>
      </w:r>
      <w:r>
        <w:t xml:space="preserve"> </w:t>
      </w:r>
      <w:r>
        <w:rPr>
          <w:bCs/>
          <w:b/>
        </w:rPr>
        <w:t xml:space="preserve">Information not present in database</w:t>
      </w:r>
    </w:p>
    <w:p>
      <w:pPr>
        <w:numPr>
          <w:ilvl w:val="1"/>
          <w:numId w:val="1024"/>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Annual_Sablefish_Incidental_Catch_Arrowtooth_Target_GOA_Fishery: Incidental catch of sablefish in the GOA arrowtooth flounder fishery</w:t>
      </w:r>
    </w:p>
    <w:p>
      <w:pPr>
        <w:numPr>
          <w:ilvl w:val="1"/>
          <w:numId w:val="1025"/>
        </w:numPr>
        <w:pStyle w:val="Compact"/>
      </w:pPr>
      <w:r>
        <w:t xml:space="preserve">Contact: Kalei Shotwell</w:t>
      </w:r>
    </w:p>
    <w:p>
      <w:pPr>
        <w:numPr>
          <w:ilvl w:val="1"/>
          <w:numId w:val="1025"/>
        </w:numPr>
        <w:pStyle w:val="Compact"/>
      </w:pPr>
      <w:r>
        <w:t xml:space="preserve">Status and trends:</w:t>
      </w:r>
      <w:r>
        <w:t xml:space="preserve"> </w:t>
      </w:r>
      <w:r>
        <w:rPr>
          <w:bCs/>
          <w:b/>
        </w:rPr>
        <w:t xml:space="preserve">Information not present in database</w:t>
      </w:r>
    </w:p>
    <w:p>
      <w:pPr>
        <w:numPr>
          <w:ilvl w:val="1"/>
          <w:numId w:val="1025"/>
        </w:numPr>
        <w:pStyle w:val="Compact"/>
      </w:pPr>
      <w:r>
        <w:t xml:space="preserve">Factors influencing trends:</w:t>
      </w:r>
      <w:r>
        <w:t xml:space="preserve"> </w:t>
      </w:r>
      <w:r>
        <w:rPr>
          <w:bCs/>
          <w:b/>
        </w:rPr>
        <w:t xml:space="preserve">Information not present in database</w:t>
      </w:r>
    </w:p>
    <w:p>
      <w:pPr>
        <w:numPr>
          <w:ilvl w:val="1"/>
          <w:numId w:val="1025"/>
        </w:numPr>
        <w:pStyle w:val="Compact"/>
      </w:pPr>
      <w:r>
        <w:t xml:space="preserve">Implications:</w:t>
      </w:r>
      <w:r>
        <w:t xml:space="preserve"> </w:t>
      </w:r>
      <w:r>
        <w:rPr>
          <w:bCs/>
          <w:b/>
        </w:rPr>
        <w:t xml:space="preserve">Information not present in database</w:t>
      </w:r>
    </w:p>
    <w:p>
      <w:pPr>
        <w:numPr>
          <w:ilvl w:val="0"/>
          <w:numId w:val="1018"/>
        </w:numPr>
        <w:pStyle w:val="Compact"/>
      </w:pPr>
      <w:r>
        <w:t xml:space="preserve">Summer_Sablefish_Condition_Female_Adult_GOA_Survey: Summer sablefish condition for large adult (&gt;=750 mm) female sablefish from the GOA AFSC longline survey</w:t>
      </w:r>
    </w:p>
    <w:p>
      <w:pPr>
        <w:numPr>
          <w:ilvl w:val="1"/>
          <w:numId w:val="1026"/>
        </w:numPr>
        <w:pStyle w:val="Compact"/>
      </w:pPr>
      <w:r>
        <w:t xml:space="preserve">Contact: Jane Sullivan</w:t>
      </w:r>
    </w:p>
    <w:p>
      <w:pPr>
        <w:numPr>
          <w:ilvl w:val="1"/>
          <w:numId w:val="1026"/>
        </w:numPr>
        <w:pStyle w:val="Compact"/>
      </w:pPr>
      <w:r>
        <w:t xml:space="preserve">Status and trends: The condition of large female sablefish in the longline survey was below average for the fourth consecutive year.</w:t>
      </w:r>
    </w:p>
    <w:p>
      <w:pPr>
        <w:numPr>
          <w:ilvl w:val="1"/>
          <w:numId w:val="1026"/>
        </w:numPr>
        <w:pStyle w:val="Compact"/>
      </w:pPr>
      <w:r>
        <w:t xml:space="preserve">Factors influencing trends:</w:t>
      </w:r>
      <w:r>
        <w:t xml:space="preserve"> </w:t>
      </w:r>
      <w:r>
        <w:rPr>
          <w:bCs/>
          <w:b/>
        </w:rPr>
        <w:t xml:space="preserve">Information not present in database</w:t>
      </w:r>
    </w:p>
    <w:p>
      <w:pPr>
        <w:numPr>
          <w:ilvl w:val="1"/>
          <w:numId w:val="1026"/>
        </w:numPr>
        <w:pStyle w:val="Compact"/>
      </w:pPr>
      <w:r>
        <w:t xml:space="preserve">Implications:</w:t>
      </w:r>
      <w:r>
        <w:t xml:space="preserve"> </w:t>
      </w:r>
      <w:r>
        <w:rPr>
          <w:bCs/>
          <w:b/>
        </w:rPr>
        <w:t xml:space="preserve">Information not present in database</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27"/>
        </w:numPr>
        <w:pStyle w:val="Compact"/>
      </w:pPr>
      <w:r>
        <w:t xml:space="preserve">Annual_Sablefish_Combined_CPUE_Alaska_Fishery: Catch per unit of effort of sablefish estimated from the longline and pot fisheries combined in Alaska</w:t>
      </w:r>
    </w:p>
    <w:p>
      <w:pPr>
        <w:numPr>
          <w:ilvl w:val="1"/>
          <w:numId w:val="1028"/>
        </w:numPr>
        <w:pStyle w:val="Compact"/>
      </w:pPr>
      <w:r>
        <w:t xml:space="preserve">Contact: Matt Cheng</w:t>
      </w:r>
    </w:p>
    <w:p>
      <w:pPr>
        <w:numPr>
          <w:ilvl w:val="1"/>
          <w:numId w:val="1028"/>
        </w:numPr>
        <w:pStyle w:val="Compac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numPr>
          <w:ilvl w:val="1"/>
          <w:numId w:val="1028"/>
        </w:numPr>
        <w:pStyle w:val="Compact"/>
      </w:pPr>
      <w:r>
        <w:t xml:space="preserve">Factors influencing trends: Increases in relative indices of abundance for sablefish can be attributed to a variety of factors. Notably, there has been an influx of sablefish resulting from large recruitment events in recent years.</w:t>
      </w:r>
    </w:p>
    <w:p>
      <w:pPr>
        <w:numPr>
          <w:ilvl w:val="1"/>
          <w:numId w:val="1028"/>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Annual_Sablefish_Longline_CPUE_GOA_Fishery: Catch-per-unit-of-effort of sablefish from the longline fisheries in the GOA</w:t>
      </w:r>
    </w:p>
    <w:p>
      <w:pPr>
        <w:numPr>
          <w:ilvl w:val="1"/>
          <w:numId w:val="1029"/>
        </w:numPr>
        <w:pStyle w:val="Compact"/>
      </w:pPr>
      <w:r>
        <w:t xml:space="preserve">Contact: Kalei Shotwell</w:t>
      </w:r>
    </w:p>
    <w:p>
      <w:pPr>
        <w:numPr>
          <w:ilvl w:val="1"/>
          <w:numId w:val="1029"/>
        </w:numPr>
        <w:pStyle w:val="Compact"/>
      </w:pPr>
      <w:r>
        <w:t xml:space="preserve">Status and trends:</w:t>
      </w:r>
      <w:r>
        <w:t xml:space="preserve"> </w:t>
      </w:r>
      <w:r>
        <w:rPr>
          <w:bCs/>
          <w:b/>
        </w:rPr>
        <w:t xml:space="preserve">Information not present in database</w:t>
      </w:r>
    </w:p>
    <w:p>
      <w:pPr>
        <w:numPr>
          <w:ilvl w:val="1"/>
          <w:numId w:val="1029"/>
        </w:numPr>
        <w:pStyle w:val="Compact"/>
      </w:pPr>
      <w:r>
        <w:t xml:space="preserve">Factors influencing trends:</w:t>
      </w:r>
      <w:r>
        <w:t xml:space="preserve"> </w:t>
      </w:r>
      <w:r>
        <w:rPr>
          <w:bCs/>
          <w:b/>
        </w:rPr>
        <w:t xml:space="preserve">Information not present in database</w:t>
      </w:r>
    </w:p>
    <w:p>
      <w:pPr>
        <w:numPr>
          <w:ilvl w:val="1"/>
          <w:numId w:val="1029"/>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Annual_Sablefish_Pot_CPUE_Alaska_Fishery: Catch per unit of effort of sablefish estimated from the pot fisheries in Alaska</w:t>
      </w:r>
    </w:p>
    <w:p>
      <w:pPr>
        <w:numPr>
          <w:ilvl w:val="1"/>
          <w:numId w:val="1030"/>
        </w:numPr>
        <w:pStyle w:val="Compact"/>
      </w:pPr>
      <w:r>
        <w:t xml:space="preserve">Contact: Matt Cheng</w:t>
      </w:r>
    </w:p>
    <w:p>
      <w:pPr>
        <w:numPr>
          <w:ilvl w:val="1"/>
          <w:numId w:val="1030"/>
        </w:numPr>
        <w:pStyle w:val="Compac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numPr>
          <w:ilvl w:val="1"/>
          <w:numId w:val="1030"/>
        </w:numPr>
        <w:pStyle w:val="Compact"/>
      </w:pPr>
      <w:r>
        <w:t xml:space="preserve">Factors influencing trends: Increases in standardized indices of abundance from the pot fishery are attributed to a variety of factors, which include high recruitment events in recent years, and the expansion of the pot fleet into the GOA.</w:t>
      </w:r>
    </w:p>
    <w:p>
      <w:pPr>
        <w:numPr>
          <w:ilvl w:val="1"/>
          <w:numId w:val="1030"/>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Annual_Sablefish_Pot_CPUE_EBS_Fishery: Catch per unit of effort of sablefish estimated from the pot fisheries in the eastern Bering Sea</w:t>
      </w:r>
    </w:p>
    <w:p>
      <w:pPr>
        <w:numPr>
          <w:ilvl w:val="1"/>
          <w:numId w:val="1031"/>
        </w:numPr>
        <w:pStyle w:val="Compact"/>
      </w:pPr>
      <w:r>
        <w:t xml:space="preserve">Contact: Matt Cheng</w:t>
      </w:r>
    </w:p>
    <w:p>
      <w:pPr>
        <w:numPr>
          <w:ilvl w:val="1"/>
          <w:numId w:val="1031"/>
        </w:numPr>
        <w:pStyle w:val="Compact"/>
      </w:pPr>
      <w:r>
        <w:t xml:space="preserve">Status and trends:</w:t>
      </w:r>
      <w:r>
        <w:t xml:space="preserve"> </w:t>
      </w:r>
      <w:r>
        <w:rPr>
          <w:bCs/>
          <w:b/>
        </w:rPr>
        <w:t xml:space="preserve">Information not present in database</w:t>
      </w:r>
    </w:p>
    <w:p>
      <w:pPr>
        <w:numPr>
          <w:ilvl w:val="1"/>
          <w:numId w:val="1031"/>
        </w:numPr>
        <w:pStyle w:val="Compact"/>
      </w:pPr>
      <w:r>
        <w:t xml:space="preserve">Factors influencing trends:</w:t>
      </w:r>
      <w:r>
        <w:t xml:space="preserve"> </w:t>
      </w:r>
      <w:r>
        <w:rPr>
          <w:bCs/>
          <w:b/>
        </w:rPr>
        <w:t xml:space="preserve">Information not present in database</w:t>
      </w:r>
    </w:p>
    <w:p>
      <w:pPr>
        <w:numPr>
          <w:ilvl w:val="1"/>
          <w:numId w:val="1031"/>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Annual_Sablefish_Incidental_Catch_GOA_Fishery: Incidental catch estimates of sablefish in the GOA fisheries excluding the sablefish fishery</w:t>
      </w:r>
    </w:p>
    <w:p>
      <w:pPr>
        <w:numPr>
          <w:ilvl w:val="1"/>
          <w:numId w:val="1032"/>
        </w:numPr>
        <w:pStyle w:val="Compact"/>
      </w:pPr>
      <w:r>
        <w:t xml:space="preserve">Contact: Kalei Shotwell</w:t>
      </w:r>
    </w:p>
    <w:p>
      <w:pPr>
        <w:numPr>
          <w:ilvl w:val="1"/>
          <w:numId w:val="1032"/>
        </w:numPr>
        <w:pStyle w:val="Compact"/>
      </w:pPr>
      <w:r>
        <w:t xml:space="preserve">Status and trends:</w:t>
      </w:r>
      <w:r>
        <w:t xml:space="preserve"> </w:t>
      </w:r>
      <w:r>
        <w:rPr>
          <w:bCs/>
          <w:b/>
        </w:rPr>
        <w:t xml:space="preserve">Information not present in database</w:t>
      </w:r>
    </w:p>
    <w:p>
      <w:pPr>
        <w:numPr>
          <w:ilvl w:val="1"/>
          <w:numId w:val="1032"/>
        </w:numPr>
        <w:pStyle w:val="Compact"/>
      </w:pPr>
      <w:r>
        <w:t xml:space="preserve">Factors influencing trends:</w:t>
      </w:r>
      <w:r>
        <w:t xml:space="preserve"> </w:t>
      </w:r>
      <w:r>
        <w:rPr>
          <w:bCs/>
          <w:b/>
        </w:rPr>
        <w:t xml:space="preserve">Information not present in database</w:t>
      </w:r>
    </w:p>
    <w:p>
      <w:pPr>
        <w:numPr>
          <w:ilvl w:val="1"/>
          <w:numId w:val="1032"/>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Annual_Sablefish_Incidental_Catch_BSAI_Fishery: Incidental catch estimates of sablefish in the Bering Sea fisheries excluding the sablefish fishery</w:t>
      </w:r>
    </w:p>
    <w:p>
      <w:pPr>
        <w:numPr>
          <w:ilvl w:val="1"/>
          <w:numId w:val="1033"/>
        </w:numPr>
        <w:pStyle w:val="Compact"/>
      </w:pPr>
      <w:r>
        <w:t xml:space="preserve">Contact: Kalei Shotwell</w:t>
      </w:r>
    </w:p>
    <w:p>
      <w:pPr>
        <w:numPr>
          <w:ilvl w:val="1"/>
          <w:numId w:val="1033"/>
        </w:numPr>
        <w:pStyle w:val="Compact"/>
      </w:pPr>
      <w:r>
        <w:t xml:space="preserve">Status and trends:</w:t>
      </w:r>
      <w:r>
        <w:t xml:space="preserve"> </w:t>
      </w:r>
      <w:r>
        <w:rPr>
          <w:bCs/>
          <w:b/>
        </w:rPr>
        <w:t xml:space="preserve">Information not present in database</w:t>
      </w:r>
    </w:p>
    <w:p>
      <w:pPr>
        <w:numPr>
          <w:ilvl w:val="1"/>
          <w:numId w:val="1033"/>
        </w:numPr>
        <w:pStyle w:val="Compact"/>
      </w:pPr>
      <w:r>
        <w:t xml:space="preserve">Factors influencing trends:</w:t>
      </w:r>
      <w:r>
        <w:t xml:space="preserve"> </w:t>
      </w:r>
      <w:r>
        <w:rPr>
          <w:bCs/>
          <w:b/>
        </w:rPr>
        <w:t xml:space="preserve">Information not present in database</w:t>
      </w:r>
    </w:p>
    <w:p>
      <w:pPr>
        <w:numPr>
          <w:ilvl w:val="1"/>
          <w:numId w:val="1033"/>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Annual_Sablefish_Condition_Female_Adult_GOA_Fishery: Sablefish condition for large (&gt;= 750 mm) female sablefish from data collected randomly by observers in the GOA fisheries</w:t>
      </w:r>
    </w:p>
    <w:p>
      <w:pPr>
        <w:numPr>
          <w:ilvl w:val="1"/>
          <w:numId w:val="1034"/>
        </w:numPr>
        <w:pStyle w:val="Compact"/>
      </w:pPr>
      <w:r>
        <w:t xml:space="preserve">Contact: Jane Sullivan</w:t>
      </w:r>
    </w:p>
    <w:p>
      <w:pPr>
        <w:numPr>
          <w:ilvl w:val="1"/>
          <w:numId w:val="1034"/>
        </w:numPr>
        <w:pStyle w:val="Compact"/>
      </w:pPr>
      <w:r>
        <w:t xml:space="preserve">Status and trends: The 2021 condition index for large female sablefish in the fishery is the lowest for the time series.</w:t>
      </w:r>
    </w:p>
    <w:p>
      <w:pPr>
        <w:numPr>
          <w:ilvl w:val="1"/>
          <w:numId w:val="1034"/>
        </w:numPr>
        <w:pStyle w:val="Compact"/>
      </w:pPr>
      <w:r>
        <w:t xml:space="preserve">Factors influencing trends: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numPr>
          <w:ilvl w:val="1"/>
          <w:numId w:val="1034"/>
        </w:numPr>
        <w:pStyle w:val="Compact"/>
      </w:pPr>
      <w:r>
        <w:t xml:space="preserve">Implications:</w:t>
      </w:r>
      <w:r>
        <w:t xml:space="preserve"> </w:t>
      </w:r>
      <w:r>
        <w:rPr>
          <w:bCs/>
          <w:b/>
        </w:rPr>
        <w:t xml:space="preserve">Information not present in database</w:t>
      </w:r>
    </w:p>
    <w:p>
      <w:pPr>
        <w:numPr>
          <w:ilvl w:val="0"/>
          <w:numId w:val="1027"/>
        </w:numPr>
        <w:pStyle w:val="Compact"/>
      </w:pPr>
      <w:r>
        <w:t xml:space="preserve">Annual_Sablefish_Condition_Female_Adult_BSAI_Fishery: Sablefish condition for large (&gt;= 750 mm) female sablefish from data collected randomly by observers in the BSAI fisheries</w:t>
      </w:r>
    </w:p>
    <w:p>
      <w:pPr>
        <w:numPr>
          <w:ilvl w:val="1"/>
          <w:numId w:val="1035"/>
        </w:numPr>
        <w:pStyle w:val="Compact"/>
      </w:pPr>
      <w:r>
        <w:t xml:space="preserve">Contact: Jane Sullivan</w:t>
      </w:r>
    </w:p>
    <w:p>
      <w:pPr>
        <w:numPr>
          <w:ilvl w:val="1"/>
          <w:numId w:val="1035"/>
        </w:numPr>
        <w:pStyle w:val="Compact"/>
      </w:pPr>
      <w:r>
        <w:t xml:space="preserve">Status and trends: There has been no update to this indicator since 2016 due to lack of data.</w:t>
      </w:r>
    </w:p>
    <w:p>
      <w:pPr>
        <w:numPr>
          <w:ilvl w:val="1"/>
          <w:numId w:val="1035"/>
        </w:numPr>
        <w:pStyle w:val="Compact"/>
      </w:pPr>
      <w:r>
        <w:t xml:space="preserve">Factors influencing trends:</w:t>
      </w:r>
      <w:r>
        <w:t xml:space="preserve"> </w:t>
      </w:r>
      <w:r>
        <w:rPr>
          <w:bCs/>
          <w:b/>
        </w:rPr>
        <w:t xml:space="preserve">Information not present in database</w:t>
      </w:r>
    </w:p>
    <w:p>
      <w:pPr>
        <w:numPr>
          <w:ilvl w:val="1"/>
          <w:numId w:val="1035"/>
        </w:numPr>
        <w:pStyle w:val="Compact"/>
      </w:pPr>
      <w:r>
        <w:t xml:space="preserve">Implications:</w:t>
      </w:r>
      <w:r>
        <w:t xml:space="preserve"> </w:t>
      </w:r>
      <w:r>
        <w:rPr>
          <w:bCs/>
          <w:b/>
        </w:rPr>
        <w:t xml:space="preserve">Information not present in database</w:t>
      </w:r>
    </w:p>
    <w:bookmarkEnd w:id="31"/>
    <w:bookmarkStart w:id="32" w:name="economic-indicators"/>
    <w:p>
      <w:pPr>
        <w:pStyle w:val="Heading4"/>
      </w:pPr>
      <w:r>
        <w:t xml:space="preserve">2. Economic Indicators</w:t>
      </w:r>
    </w:p>
    <w:p>
      <w:pPr>
        <w:numPr>
          <w:ilvl w:val="0"/>
          <w:numId w:val="1036"/>
        </w:numPr>
        <w:pStyle w:val="Compact"/>
      </w:pPr>
      <w:r>
        <w:t xml:space="preserve">Annual_Sablefish_Real_Exvessel_Value_Fishery: Annual estimated real ex-vessel value of sablefish</w:t>
      </w:r>
    </w:p>
    <w:p>
      <w:pPr>
        <w:numPr>
          <w:ilvl w:val="1"/>
          <w:numId w:val="1037"/>
        </w:numPr>
        <w:pStyle w:val="Compact"/>
      </w:pPr>
      <w:r>
        <w:t xml:space="preserve">Contact: Ben Fissel</w:t>
      </w:r>
    </w:p>
    <w:p>
      <w:pPr>
        <w:numPr>
          <w:ilvl w:val="1"/>
          <w:numId w:val="1037"/>
        </w:numPr>
        <w:pStyle w:val="Compact"/>
      </w:pPr>
      <w:r>
        <w:t xml:space="preserve">Status and trends:</w:t>
      </w:r>
      <w:r>
        <w:t xml:space="preserve"> </w:t>
      </w:r>
      <w:r>
        <w:rPr>
          <w:bCs/>
          <w:b/>
        </w:rPr>
        <w:t xml:space="preserve">Information not present in database</w:t>
      </w:r>
    </w:p>
    <w:p>
      <w:pPr>
        <w:numPr>
          <w:ilvl w:val="1"/>
          <w:numId w:val="1037"/>
        </w:numPr>
        <w:pStyle w:val="Compact"/>
      </w:pPr>
      <w:r>
        <w:t xml:space="preserve">Factors influencing trends:</w:t>
      </w:r>
      <w:r>
        <w:t xml:space="preserve"> </w:t>
      </w:r>
      <w:r>
        <w:rPr>
          <w:bCs/>
          <w:b/>
        </w:rPr>
        <w:t xml:space="preserve">Information not present in database</w:t>
      </w:r>
    </w:p>
    <w:p>
      <w:pPr>
        <w:numPr>
          <w:ilvl w:val="1"/>
          <w:numId w:val="1037"/>
        </w:numPr>
        <w:pStyle w:val="Compact"/>
      </w:pPr>
      <w:r>
        <w:t xml:space="preserve">Implications:</w:t>
      </w:r>
      <w:r>
        <w:t xml:space="preserve"> </w:t>
      </w:r>
      <w:r>
        <w:rPr>
          <w:bCs/>
          <w:b/>
        </w:rPr>
        <w:t xml:space="preserve">Information not present in database</w:t>
      </w:r>
    </w:p>
    <w:p>
      <w:pPr>
        <w:numPr>
          <w:ilvl w:val="0"/>
          <w:numId w:val="1036"/>
        </w:numPr>
        <w:pStyle w:val="Compact"/>
      </w:pPr>
      <w:r>
        <w:t xml:space="preserve">Annual_Sablefish_Real_Exvessel_Price_Fishery: Average real ex-vessel price per pound of sablefish from fish ticket information</w:t>
      </w:r>
    </w:p>
    <w:p>
      <w:pPr>
        <w:numPr>
          <w:ilvl w:val="1"/>
          <w:numId w:val="1038"/>
        </w:numPr>
        <w:pStyle w:val="Compact"/>
      </w:pPr>
      <w:r>
        <w:t xml:space="preserve">Contact: Ben Fissel</w:t>
      </w:r>
    </w:p>
    <w:p>
      <w:pPr>
        <w:numPr>
          <w:ilvl w:val="1"/>
          <w:numId w:val="1038"/>
        </w:numPr>
        <w:pStyle w:val="Compact"/>
      </w:pPr>
      <w:r>
        <w:t xml:space="preserve">Status and trends:</w:t>
      </w:r>
      <w:r>
        <w:t xml:space="preserve"> </w:t>
      </w:r>
      <w:r>
        <w:rPr>
          <w:bCs/>
          <w:b/>
        </w:rPr>
        <w:t xml:space="preserve">Information not present in database</w:t>
      </w:r>
    </w:p>
    <w:p>
      <w:pPr>
        <w:numPr>
          <w:ilvl w:val="1"/>
          <w:numId w:val="1038"/>
        </w:numPr>
        <w:pStyle w:val="Compact"/>
      </w:pPr>
      <w:r>
        <w:t xml:space="preserve">Factors influencing trends:</w:t>
      </w:r>
      <w:r>
        <w:t xml:space="preserve"> </w:t>
      </w:r>
      <w:r>
        <w:rPr>
          <w:bCs/>
          <w:b/>
        </w:rPr>
        <w:t xml:space="preserve">Information not present in database</w:t>
      </w:r>
    </w:p>
    <w:p>
      <w:pPr>
        <w:numPr>
          <w:ilvl w:val="1"/>
          <w:numId w:val="1038"/>
        </w:numPr>
        <w:pStyle w:val="Compact"/>
      </w:pPr>
      <w:r>
        <w:t xml:space="preserve">Implications:</w:t>
      </w:r>
      <w:r>
        <w:t xml:space="preserve"> </w:t>
      </w:r>
      <w:r>
        <w:rPr>
          <w:bCs/>
          <w:b/>
        </w:rPr>
        <w:t xml:space="preserve">Information not present in database</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34"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Heatwave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6" w:space="0" w:color="666666"/>
              <w:top w:val="single" w:sz="12"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250m GOA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 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43"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78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GOA Satellite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78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 SEBS Satellite</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028"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EGOA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028"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Copepod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Community Size WGOA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81"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Euphausiid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Abundance Kodiak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3"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Growth YOY Middleton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1106" w:hRule="auto"/>
        </w:trPr>
        body13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Upper Trophic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Nearshore GOAAI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Juvenile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Age4 GOA Survey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34"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Arrowtooth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GOA Model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1147"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Arrowtooth Target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 Fishery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3" w:hRule="auto"/>
        </w:trPr>
        body18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bl>
    <w:p>
      <w:pPr>
        <w:pStyle w:val="TableCaption"/>
      </w:pPr>
      <w:bookmarkStart w:id="43" w:name="tab:socio-table"/>
      <w:bookmarkEnd w:id="43"/>
      <w:r>
        <w:t xml:space="preserve">Table 2:</w:t>
      </w:r>
      <w:r>
        <w:t xml:space="preserve"> </w:t>
      </w:r>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940"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Combined CPUE Alaska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780" w:hRule="auto"/>
        </w:trPr>
        body2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 Pot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CPUE Alaska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40" w:hRule="auto"/>
        </w:trPr>
        body3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GOA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r>
        <w:trPr>
          <w:trHeight w:val="943" w:hRule="auto"/>
        </w:trPr>
        body4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BSAI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r>
      <w:tr>
        <w:trPr>
          <w:trHeight w:val="943" w:hRule="auto"/>
        </w:trPr>
        body5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Condition 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 GOA 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37" w:hRule="auto"/>
        </w:trPr>
        body6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r>
        <w:trPr>
          <w:trHeight w:val="937" w:hRule="auto"/>
        </w:trPr>
        body7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Sablefish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Real Exvessel Price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r>
    </w:tbl>
    <w:p>
      <w:r>
        <w:br w:type="page"/>
      </w:r>
    </w:p>
    <w:bookmarkEnd w:id="44"/>
    <w:bookmarkStart w:id="80"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2024-08-20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5bf6609b15fae65207cc3e09e1f6a9737dc5828"/>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2024-08-20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c002b3ed38a50800b23e880a4046664046e4be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2024-08-20_files/figure-docx/traffic-eco-3.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b2dbdd23907ee6c9e0162a4efa898b533f816f0"/>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5: Alt text" title="" id="61" name="Picture"/>
            <a:graphic>
              <a:graphicData uri="http://schemas.openxmlformats.org/drawingml/2006/picture">
                <pic:pic>
                  <pic:nvPicPr>
                    <pic:cNvPr descr="C:/Users/abigail.tyrell/Desktop/AKesp/data-raw/dev_2024/report_card_2024-08-20_files/figure-docx/traffic-eco-4.png" id="62" name="Picture"/>
                    <pic:cNvPicPr>
                      <a:picLocks noChangeArrowheads="1" noChangeAspect="1"/>
                    </pic:cNvPicPr>
                  </pic:nvPicPr>
                  <pic:blipFill>
                    <a:blip r:embed="rId60"/>
                    <a:stretch>
                      <a:fillRect/>
                    </a:stretch>
                  </pic:blipFill>
                  <pic:spPr bwMode="auto">
                    <a:xfrm>
                      <a:off x="0" y="0"/>
                      <a:ext cx="5544151" cy="6468176"/>
                    </a:xfrm>
                    <a:prstGeom prst="rect">
                      <a:avLst/>
                    </a:prstGeom>
                    <a:noFill/>
                    <a:ln w="9525">
                      <a:noFill/>
                      <a:headEnd/>
                      <a:tailEnd/>
                    </a:ln>
                  </pic:spPr>
                </pic:pic>
              </a:graphicData>
            </a:graphic>
          </wp:inline>
        </w:drawing>
      </w:r>
    </w:p>
    <w:bookmarkEnd w:id="63"/>
    <w:bookmarkStart w:id="67" w:name="X2d7166a24cac6a08eac99412c50d46c1190ef84"/>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6: Alt text" title="" id="65" name="Picture"/>
            <a:graphic>
              <a:graphicData uri="http://schemas.openxmlformats.org/drawingml/2006/picture">
                <pic:pic>
                  <pic:nvPicPr>
                    <pic:cNvPr descr="C:/Users/abigail.tyrell/Desktop/AKesp/data-raw/dev_2024/report_card_2024-08-20_files/figure-docx/traffic-socio-1.png" id="66" name="Picture"/>
                    <pic:cNvPicPr>
                      <a:picLocks noChangeArrowheads="1" noChangeAspect="1"/>
                    </pic:cNvPicPr>
                  </pic:nvPicPr>
                  <pic:blipFill>
                    <a:blip r:embed="rId64"/>
                    <a:stretch>
                      <a:fillRect/>
                    </a:stretch>
                  </pic:blipFill>
                  <pic:spPr bwMode="auto">
                    <a:xfrm>
                      <a:off x="0" y="0"/>
                      <a:ext cx="5544151" cy="6468176"/>
                    </a:xfrm>
                    <a:prstGeom prst="rect">
                      <a:avLst/>
                    </a:prstGeom>
                    <a:noFill/>
                    <a:ln w="9525">
                      <a:noFill/>
                      <a:headEnd/>
                      <a:tailEnd/>
                    </a:ln>
                  </pic:spPr>
                </pic:pic>
              </a:graphicData>
            </a:graphic>
          </wp:inline>
        </w:drawing>
      </w:r>
    </w:p>
    <w:bookmarkEnd w:id="67"/>
    <w:bookmarkStart w:id="71" w:name="Xb407e7693673a5eecc65611d80498eac6958c5a"/>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7: Alt text" title="" id="69" name="Picture"/>
            <a:graphic>
              <a:graphicData uri="http://schemas.openxmlformats.org/drawingml/2006/picture">
                <pic:pic>
                  <pic:nvPicPr>
                    <pic:cNvPr descr="C:/Users/abigail.tyrell/Desktop/AKesp/data-raw/dev_2024/report_card_2024-08-20_files/figure-docx/traffic-socio-2.png" id="70" name="Picture"/>
                    <pic:cNvPicPr>
                      <a:picLocks noChangeArrowheads="1" noChangeAspect="1"/>
                    </pic:cNvPicPr>
                  </pic:nvPicPr>
                  <pic:blipFill>
                    <a:blip r:embed="rId68"/>
                    <a:stretch>
                      <a:fillRect/>
                    </a:stretch>
                  </pic:blipFill>
                  <pic:spPr bwMode="auto">
                    <a:xfrm>
                      <a:off x="0" y="0"/>
                      <a:ext cx="5544151" cy="6468176"/>
                    </a:xfrm>
                    <a:prstGeom prst="rect">
                      <a:avLst/>
                    </a:prstGeom>
                    <a:noFill/>
                    <a:ln w="9525">
                      <a:noFill/>
                      <a:headEnd/>
                      <a:tailEnd/>
                    </a:ln>
                  </pic:spPr>
                </pic:pic>
              </a:graphicData>
            </a:graphic>
          </wp:inline>
        </w:drawing>
      </w:r>
    </w:p>
    <w:bookmarkEnd w:id="71"/>
    <w:bookmarkStart w:id="75" w:name="X4fc799d280e434691f04e4e6c25fd6a6cd5b081"/>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8: Alt text" title="" id="73" name="Picture"/>
            <a:graphic>
              <a:graphicData uri="http://schemas.openxmlformats.org/drawingml/2006/picture">
                <pic:pic>
                  <pic:nvPicPr>
                    <pic:cNvPr descr="C:/Users/abigail.tyrell/Desktop/AKesp/data-raw/dev_2024/report_card_2024-08-20_files/figure-docx/overall-1.png" id="74" name="Picture"/>
                    <pic:cNvPicPr>
                      <a:picLocks noChangeArrowheads="1" noChangeAspect="1"/>
                    </pic:cNvPicPr>
                  </pic:nvPicPr>
                  <pic:blipFill>
                    <a:blip r:embed="rId72"/>
                    <a:stretch>
                      <a:fillRect/>
                    </a:stretch>
                  </pic:blipFill>
                  <pic:spPr bwMode="auto">
                    <a:xfrm>
                      <a:off x="0" y="0"/>
                      <a:ext cx="4620126" cy="6468176"/>
                    </a:xfrm>
                    <a:prstGeom prst="rect">
                      <a:avLst/>
                    </a:prstGeom>
                    <a:noFill/>
                    <a:ln w="9525">
                      <a:noFill/>
                      <a:headEnd/>
                      <a:tailEnd/>
                    </a:ln>
                  </pic:spPr>
                </pic:pic>
              </a:graphicData>
            </a:graphic>
          </wp:inline>
        </w:drawing>
      </w:r>
    </w:p>
    <w:bookmarkEnd w:id="75"/>
    <w:bookmarkStart w:id="78" w:name="Xcd19b0d5b9666f5387bc2ac27a85f59a565223a"/>
    <w:p>
      <w:pPr>
        <w:pStyle w:val="Heading5"/>
      </w:pPr>
      <w:r>
        <w:t xml:space="preserve">Figure</w:t>
      </w:r>
      <w:r>
        <w:t xml:space="preserve"> </w:t>
      </w:r>
      <w:r>
        <w:t xml:space="preserve">8</w:t>
      </w:r>
      <w:r>
        <w:t xml:space="preserve">. Simple traffic light score for overall ecosystem and socioeconomic categories from 2000 to present.</w:t>
      </w:r>
    </w:p>
    <w:p>
      <w:pPr>
        <w:pStyle w:val="FirstParagraph"/>
      </w:pPr>
      <w:r>
        <w:drawing>
          <wp:inline>
            <wp:extent cx="5943600" cy="4818561"/>
            <wp:effectExtent b="0" l="0" r="0" t="0"/>
            <wp:docPr descr="Figure 9: Alt text" title="" id="76" name="Picture"/>
            <a:graphic>
              <a:graphicData uri="http://schemas.openxmlformats.org/drawingml/2006/picture">
                <pic:pic>
                  <pic:nvPicPr>
                    <pic:cNvPr descr="images/noaa.jpg" id="7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78"/>
    <w:bookmarkStart w:id="79" w:name="Xf270d21f94928fabca33bcaa3e7ad04cab82190"/>
    <w:p>
      <w:pPr>
        <w:pStyle w:val="Heading5"/>
      </w:pPr>
      <w:r>
        <w:t xml:space="preserve">Figure</w:t>
      </w:r>
      <w:r>
        <w:t xml:space="preserve"> </w:t>
      </w:r>
      <w:r>
        <w:t xml:space="preserve">9</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79"/>
    <w:bookmarkEnd w:id="80"/>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0" Target="media/rId20.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Report Card</dc:title>
  <dc:creator>Erin Fedewa, Kalei Shotwell, Abby Tyrell</dc:creator>
  <cp:keywords/>
  <dcterms:created xsi:type="dcterms:W3CDTF">2024-08-20T21:58:25Z</dcterms:created>
  <dcterms:modified xsi:type="dcterms:W3CDTF">2024-08-20T21:58:25Z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