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8.png" ContentType="image/png"/>
  <Override PartName="/word/media/rId52.png" ContentType="image/png"/>
  <Override PartName="/word/media/rId56.png" ContentType="image/png"/>
  <Override PartName="/word/media/rId20.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Tanner</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EBS</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Tanner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larval-indicators"/>
    <w:p>
      <w:pPr>
        <w:pStyle w:val="Heading4"/>
      </w:pPr>
      <w:r>
        <w:t xml:space="preserve">1. Larval Indicators</w:t>
      </w:r>
    </w:p>
    <w:p>
      <w:pPr>
        <w:numPr>
          <w:ilvl w:val="0"/>
          <w:numId w:val="1001"/>
        </w:numPr>
        <w:pStyle w:val="Compact"/>
      </w:pPr>
      <w:r>
        <w:t xml:space="preserve">AMJ_Chlorophylla_Biomass_Tanner_Satellite: Derived chlorophyll a concentration during spring and summer season (April, May, June) in the south outer-middle shelft of the eastern Bering Sea from the ESA GlobColour blended satellite product</w:t>
      </w:r>
    </w:p>
    <w:p>
      <w:pPr>
        <w:numPr>
          <w:ilvl w:val="1"/>
          <w:numId w:val="1002"/>
        </w:numPr>
        <w:pStyle w:val="Compact"/>
      </w:pPr>
      <w:r>
        <w:t xml:space="preserve">Contact: Erin Fedewa</w:t>
      </w:r>
    </w:p>
    <w:p>
      <w:pPr>
        <w:numPr>
          <w:ilvl w:val="1"/>
          <w:numId w:val="1002"/>
        </w:numPr>
        <w:pStyle w:val="Compact"/>
      </w:pPr>
      <w:r>
        <w:t xml:space="preserve">Status and trends:</w:t>
      </w:r>
      <w:r>
        <w:t xml:space="preserve"> </w:t>
      </w:r>
      <w:r>
        <w:rPr>
          <w:bCs/>
          <w:b/>
        </w:rPr>
        <w:t xml:space="preserve">Information not present in database</w:t>
      </w:r>
    </w:p>
    <w:p>
      <w:pPr>
        <w:numPr>
          <w:ilvl w:val="1"/>
          <w:numId w:val="1002"/>
        </w:numPr>
        <w:pStyle w:val="Compact"/>
      </w:pPr>
      <w:r>
        <w:t xml:space="preserve">Factors influencing trends:</w:t>
      </w:r>
      <w:r>
        <w:t xml:space="preserve"> </w:t>
      </w:r>
      <w:r>
        <w:rPr>
          <w:bCs/>
          <w:b/>
        </w:rPr>
        <w:t xml:space="preserve">Information not present in database</w:t>
      </w:r>
    </w:p>
    <w:p>
      <w:pPr>
        <w:numPr>
          <w:ilvl w:val="1"/>
          <w:numId w:val="1002"/>
        </w:numPr>
        <w:pStyle w:val="Compact"/>
      </w:pPr>
      <w:r>
        <w:t xml:space="preserve">Implications:</w:t>
      </w:r>
      <w:r>
        <w:t xml:space="preserve"> </w:t>
      </w:r>
      <w:r>
        <w:rPr>
          <w:bCs/>
          <w:b/>
        </w:rPr>
        <w:t xml:space="preserve">Information not present in database</w:t>
      </w:r>
    </w:p>
    <w:bookmarkEnd w:id="27"/>
    <w:bookmarkStart w:id="28" w:name="juvenile-indicators"/>
    <w:p>
      <w:pPr>
        <w:pStyle w:val="Heading4"/>
      </w:pPr>
      <w:r>
        <w:t xml:space="preserve">2. Juvenile Indicators</w:t>
      </w:r>
    </w:p>
    <w:p>
      <w:pPr>
        <w:numPr>
          <w:ilvl w:val="0"/>
          <w:numId w:val="1003"/>
        </w:numPr>
        <w:pStyle w:val="Compact"/>
      </w:pPr>
      <w:r>
        <w:t xml:space="preserve">Summer_Temperature_Bottom_Tanner_Survey: Average summer bottom temperature in the eastern Bering Sea</w:t>
      </w:r>
    </w:p>
    <w:p>
      <w:pPr>
        <w:numPr>
          <w:ilvl w:val="1"/>
          <w:numId w:val="1004"/>
        </w:numPr>
        <w:pStyle w:val="Compact"/>
      </w:pPr>
      <w:r>
        <w:t xml:space="preserve">Contact: Erin Fedewa</w:t>
      </w:r>
    </w:p>
    <w:p>
      <w:pPr>
        <w:numPr>
          <w:ilvl w:val="1"/>
          <w:numId w:val="1004"/>
        </w:numPr>
        <w:pStyle w:val="Compact"/>
      </w:pPr>
      <w:r>
        <w:t xml:space="preserve">Status and trends:</w:t>
      </w:r>
      <w:r>
        <w:t xml:space="preserve"> </w:t>
      </w:r>
      <w:r>
        <w:rPr>
          <w:bCs/>
          <w:b/>
        </w:rPr>
        <w:t xml:space="preserve">Information not present in database</w:t>
      </w:r>
    </w:p>
    <w:p>
      <w:pPr>
        <w:numPr>
          <w:ilvl w:val="1"/>
          <w:numId w:val="1004"/>
        </w:numPr>
        <w:pStyle w:val="Compact"/>
      </w:pPr>
      <w:r>
        <w:t xml:space="preserve">Factors influencing trends:</w:t>
      </w:r>
      <w:r>
        <w:t xml:space="preserve"> </w:t>
      </w:r>
      <w:r>
        <w:rPr>
          <w:bCs/>
          <w:b/>
        </w:rPr>
        <w:t xml:space="preserve">Information not present in database</w:t>
      </w:r>
    </w:p>
    <w:p>
      <w:pPr>
        <w:numPr>
          <w:ilvl w:val="1"/>
          <w:numId w:val="1004"/>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Summer_Cold_Pool_SEBS_Tanner_Survey: The areal extent of EBS bottom trawl survey stations with bottom temperatures &lt; 2 degrees C</w:t>
      </w:r>
    </w:p>
    <w:p>
      <w:pPr>
        <w:numPr>
          <w:ilvl w:val="1"/>
          <w:numId w:val="1005"/>
        </w:numPr>
        <w:pStyle w:val="Compact"/>
      </w:pPr>
      <w:r>
        <w:t xml:space="preserve">Contact: Erin Fedewa</w:t>
      </w:r>
    </w:p>
    <w:p>
      <w:pPr>
        <w:numPr>
          <w:ilvl w:val="1"/>
          <w:numId w:val="1005"/>
        </w:numPr>
        <w:pStyle w:val="Compact"/>
      </w:pPr>
      <w:r>
        <w:t xml:space="preserve">Status and trends:</w:t>
      </w:r>
      <w:r>
        <w:t xml:space="preserve"> </w:t>
      </w:r>
      <w:r>
        <w:rPr>
          <w:bCs/>
          <w:b/>
        </w:rPr>
        <w:t xml:space="preserve">Information not present in database</w:t>
      </w:r>
    </w:p>
    <w:p>
      <w:pPr>
        <w:numPr>
          <w:ilvl w:val="1"/>
          <w:numId w:val="1005"/>
        </w:numPr>
        <w:pStyle w:val="Compact"/>
      </w:pPr>
      <w:r>
        <w:t xml:space="preserve">Factors influencing trends:</w:t>
      </w:r>
      <w:r>
        <w:t xml:space="preserve"> </w:t>
      </w:r>
      <w:r>
        <w:rPr>
          <w:bCs/>
          <w:b/>
        </w:rPr>
        <w:t xml:space="preserve">Information not present in database</w:t>
      </w:r>
    </w:p>
    <w:p>
      <w:pPr>
        <w:numPr>
          <w:ilvl w:val="1"/>
          <w:numId w:val="1005"/>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Summer_Tanner_Juvenile_Temperature_Occupancy: Mean bottom temperature weighted by immature tanner crab CPUE at each station of the EBS summer bottom trawl survey</w:t>
      </w:r>
    </w:p>
    <w:p>
      <w:pPr>
        <w:numPr>
          <w:ilvl w:val="1"/>
          <w:numId w:val="1006"/>
        </w:numPr>
        <w:pStyle w:val="Compact"/>
      </w:pPr>
      <w:r>
        <w:t xml:space="preserve">Contact: Erin Fedewa</w:t>
      </w:r>
    </w:p>
    <w:p>
      <w:pPr>
        <w:numPr>
          <w:ilvl w:val="1"/>
          <w:numId w:val="1006"/>
        </w:numPr>
        <w:pStyle w:val="Compact"/>
      </w:pPr>
      <w:r>
        <w:t xml:space="preserve">Status and trends:</w:t>
      </w:r>
      <w:r>
        <w:t xml:space="preserve"> </w:t>
      </w:r>
      <w:r>
        <w:rPr>
          <w:bCs/>
          <w:b/>
        </w:rPr>
        <w:t xml:space="preserve">Information not present in database</w:t>
      </w:r>
    </w:p>
    <w:p>
      <w:pPr>
        <w:numPr>
          <w:ilvl w:val="1"/>
          <w:numId w:val="1006"/>
        </w:numPr>
        <w:pStyle w:val="Compact"/>
      </w:pPr>
      <w:r>
        <w:t xml:space="preserve">Factors influencing trends:</w:t>
      </w:r>
      <w:r>
        <w:t xml:space="preserve"> </w:t>
      </w:r>
      <w:r>
        <w:rPr>
          <w:bCs/>
          <w:b/>
        </w:rPr>
        <w:t xml:space="preserve">Information not present in database</w:t>
      </w:r>
    </w:p>
    <w:p>
      <w:pPr>
        <w:numPr>
          <w:ilvl w:val="1"/>
          <w:numId w:val="1006"/>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Summer_Pacific_Cod_Density_Tanner_Survey: Summer Pacific cod biomass in eastern Bering Sea from the AFSC EBS bottom trawl survey</w:t>
      </w:r>
    </w:p>
    <w:p>
      <w:pPr>
        <w:numPr>
          <w:ilvl w:val="1"/>
          <w:numId w:val="1007"/>
        </w:numPr>
        <w:pStyle w:val="Compact"/>
      </w:pPr>
      <w:r>
        <w:t xml:space="preserve">Contact: Erin Fedewa</w:t>
      </w:r>
    </w:p>
    <w:p>
      <w:pPr>
        <w:numPr>
          <w:ilvl w:val="1"/>
          <w:numId w:val="1007"/>
        </w:numPr>
        <w:pStyle w:val="Compact"/>
      </w:pPr>
      <w:r>
        <w:t xml:space="preserve">Status and trends:</w:t>
      </w:r>
      <w:r>
        <w:t xml:space="preserve"> </w:t>
      </w:r>
      <w:r>
        <w:rPr>
          <w:bCs/>
          <w:b/>
        </w:rPr>
        <w:t xml:space="preserve">Information not present in database</w:t>
      </w:r>
    </w:p>
    <w:p>
      <w:pPr>
        <w:numPr>
          <w:ilvl w:val="1"/>
          <w:numId w:val="1007"/>
        </w:numPr>
        <w:pStyle w:val="Compact"/>
      </w:pPr>
      <w:r>
        <w:t xml:space="preserve">Factors influencing trends:</w:t>
      </w:r>
      <w:r>
        <w:t xml:space="preserve"> </w:t>
      </w:r>
      <w:r>
        <w:rPr>
          <w:bCs/>
          <w:b/>
        </w:rPr>
        <w:t xml:space="preserve">Information not present in database</w:t>
      </w:r>
    </w:p>
    <w:p>
      <w:pPr>
        <w:numPr>
          <w:ilvl w:val="1"/>
          <w:numId w:val="1007"/>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Summer_Tanner_Juvenile_Disease_Prevalence: Prevalence of immature tanner crab showing visual evidence of Bitter Crab Syndrome during the summer EBS bottom trawl survey</w:t>
      </w:r>
    </w:p>
    <w:p>
      <w:pPr>
        <w:numPr>
          <w:ilvl w:val="1"/>
          <w:numId w:val="1008"/>
        </w:numPr>
        <w:pStyle w:val="Compact"/>
      </w:pPr>
      <w:r>
        <w:t xml:space="preserve">Contact: Erin Fedewa</w:t>
      </w:r>
    </w:p>
    <w:p>
      <w:pPr>
        <w:numPr>
          <w:ilvl w:val="1"/>
          <w:numId w:val="1008"/>
        </w:numPr>
        <w:pStyle w:val="Compact"/>
      </w:pPr>
      <w:r>
        <w:t xml:space="preserve">Status and trends:</w:t>
      </w:r>
      <w:r>
        <w:t xml:space="preserve"> </w:t>
      </w:r>
      <w:r>
        <w:rPr>
          <w:bCs/>
          <w:b/>
        </w:rPr>
        <w:t xml:space="preserve">Information not present in database</w:t>
      </w:r>
    </w:p>
    <w:p>
      <w:pPr>
        <w:numPr>
          <w:ilvl w:val="1"/>
          <w:numId w:val="1008"/>
        </w:numPr>
        <w:pStyle w:val="Compact"/>
      </w:pPr>
      <w:r>
        <w:t xml:space="preserve">Factors influencing trends:</w:t>
      </w:r>
      <w:r>
        <w:t xml:space="preserve"> </w:t>
      </w:r>
      <w:r>
        <w:rPr>
          <w:bCs/>
          <w:b/>
        </w:rPr>
        <w:t xml:space="preserve">Information not present in database</w:t>
      </w:r>
    </w:p>
    <w:p>
      <w:pPr>
        <w:numPr>
          <w:ilvl w:val="1"/>
          <w:numId w:val="1008"/>
        </w:numPr>
        <w:pStyle w:val="Compact"/>
      </w:pPr>
      <w:r>
        <w:t xml:space="preserve">Implications:</w:t>
      </w:r>
      <w:r>
        <w:t xml:space="preserve"> </w:t>
      </w:r>
      <w:r>
        <w:rPr>
          <w:bCs/>
          <w:b/>
        </w:rPr>
        <w:t xml:space="preserve">Information not present in database</w:t>
      </w:r>
    </w:p>
    <w:bookmarkEnd w:id="28"/>
    <w:bookmarkStart w:id="29" w:name="adult-indicators"/>
    <w:p>
      <w:pPr>
        <w:pStyle w:val="Heading4"/>
      </w:pPr>
      <w:r>
        <w:t xml:space="preserve">3. Adult Indicators</w:t>
      </w:r>
    </w:p>
    <w:p>
      <w:pPr>
        <w:numPr>
          <w:ilvl w:val="0"/>
          <w:numId w:val="1009"/>
        </w:numPr>
        <w:pStyle w:val="Compact"/>
      </w:pPr>
      <w:r>
        <w:t xml:space="preserve">Summer_Benthic_Invertebrate_Density_SEBS_Tanner_Survey: Summer benthic invertebrate biomass included in the 50th percentile of mean Tanner crab CPUE from the AFSC EBS bottom trawl survey</w:t>
      </w:r>
    </w:p>
    <w:p>
      <w:pPr>
        <w:numPr>
          <w:ilvl w:val="1"/>
          <w:numId w:val="1010"/>
        </w:numPr>
        <w:pStyle w:val="Compact"/>
      </w:pPr>
      <w:r>
        <w:t xml:space="preserve">Contact: Erin Fedewa</w:t>
      </w:r>
    </w:p>
    <w:p>
      <w:pPr>
        <w:numPr>
          <w:ilvl w:val="1"/>
          <w:numId w:val="1010"/>
        </w:numPr>
        <w:pStyle w:val="Compact"/>
      </w:pPr>
      <w:r>
        <w:t xml:space="preserve">Status and trends:</w:t>
      </w:r>
      <w:r>
        <w:t xml:space="preserve"> </w:t>
      </w:r>
      <w:r>
        <w:rPr>
          <w:bCs/>
          <w:b/>
        </w:rPr>
        <w:t xml:space="preserve">Information not present in database</w:t>
      </w:r>
    </w:p>
    <w:p>
      <w:pPr>
        <w:numPr>
          <w:ilvl w:val="1"/>
          <w:numId w:val="1010"/>
        </w:numPr>
        <w:pStyle w:val="Compact"/>
      </w:pPr>
      <w:r>
        <w:t xml:space="preserve">Factors influencing trends:</w:t>
      </w:r>
      <w:r>
        <w:t xml:space="preserve"> </w:t>
      </w:r>
      <w:r>
        <w:rPr>
          <w:bCs/>
          <w:b/>
        </w:rPr>
        <w:t xml:space="preserve">Information not present in database</w:t>
      </w:r>
    </w:p>
    <w:p>
      <w:pPr>
        <w:numPr>
          <w:ilvl w:val="1"/>
          <w:numId w:val="1010"/>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Annual_Tanner_Size_Terminal_Molt_Model: Mean carapace width of male tanner crab at 50% probability of maturation, as determined from maturity ogive developed from EBS bottom trawl survey data</w:t>
      </w:r>
    </w:p>
    <w:p>
      <w:pPr>
        <w:numPr>
          <w:ilvl w:val="1"/>
          <w:numId w:val="1011"/>
        </w:numPr>
        <w:pStyle w:val="Compact"/>
      </w:pPr>
      <w:r>
        <w:t xml:space="preserve">Contact: Jon Richar</w:t>
      </w:r>
    </w:p>
    <w:p>
      <w:pPr>
        <w:numPr>
          <w:ilvl w:val="1"/>
          <w:numId w:val="1011"/>
        </w:numPr>
        <w:pStyle w:val="Compact"/>
      </w:pPr>
      <w:r>
        <w:t xml:space="preserve">Status and trends:</w:t>
      </w:r>
      <w:r>
        <w:t xml:space="preserve"> </w:t>
      </w:r>
      <w:r>
        <w:rPr>
          <w:bCs/>
          <w:b/>
        </w:rPr>
        <w:t xml:space="preserve">Information not present in database</w:t>
      </w:r>
    </w:p>
    <w:p>
      <w:pPr>
        <w:numPr>
          <w:ilvl w:val="1"/>
          <w:numId w:val="1011"/>
        </w:numPr>
        <w:pStyle w:val="Compact"/>
      </w:pPr>
      <w:r>
        <w:t xml:space="preserve">Factors influencing trends:</w:t>
      </w:r>
      <w:r>
        <w:t xml:space="preserve"> </w:t>
      </w:r>
      <w:r>
        <w:rPr>
          <w:bCs/>
          <w:b/>
        </w:rPr>
        <w:t xml:space="preserve">Information not present in database</w:t>
      </w:r>
    </w:p>
    <w:p>
      <w:pPr>
        <w:numPr>
          <w:ilvl w:val="1"/>
          <w:numId w:val="1011"/>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Summer_Tanner_Male_Area_Occupied_SEBS_Survey: Calculated as the minimum area containing 95% of the cumulative male tanner crab CPUE during the EBS summer bottom trawl survey</w:t>
      </w:r>
    </w:p>
    <w:p>
      <w:pPr>
        <w:numPr>
          <w:ilvl w:val="1"/>
          <w:numId w:val="1012"/>
        </w:numPr>
        <w:pStyle w:val="Compact"/>
      </w:pPr>
      <w:r>
        <w:t xml:space="preserve">Contact: Erin Fedewa</w:t>
      </w:r>
    </w:p>
    <w:p>
      <w:pPr>
        <w:numPr>
          <w:ilvl w:val="1"/>
          <w:numId w:val="1012"/>
        </w:numPr>
        <w:pStyle w:val="Compact"/>
      </w:pPr>
      <w:r>
        <w:t xml:space="preserve">Status and trends:</w:t>
      </w:r>
      <w:r>
        <w:t xml:space="preserve"> </w:t>
      </w:r>
      <w:r>
        <w:rPr>
          <w:bCs/>
          <w:b/>
        </w:rPr>
        <w:t xml:space="preserve">Information not present in database</w:t>
      </w:r>
    </w:p>
    <w:p>
      <w:pPr>
        <w:numPr>
          <w:ilvl w:val="1"/>
          <w:numId w:val="1012"/>
        </w:numPr>
        <w:pStyle w:val="Compact"/>
      </w:pPr>
      <w:r>
        <w:t xml:space="preserve">Factors influencing trends:</w:t>
      </w:r>
      <w:r>
        <w:t xml:space="preserve"> </w:t>
      </w:r>
      <w:r>
        <w:rPr>
          <w:bCs/>
          <w:b/>
        </w:rPr>
        <w:t xml:space="preserve">Information not present in database</w:t>
      </w:r>
    </w:p>
    <w:p>
      <w:pPr>
        <w:numPr>
          <w:ilvl w:val="1"/>
          <w:numId w:val="1012"/>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Summer_Tanner_Male_Center_Distribution_SEBS_Survey: CPUE-weighted average longtitude of the male tanner crab stock during the EBS summer bottom trawl survey</w:t>
      </w:r>
    </w:p>
    <w:p>
      <w:pPr>
        <w:numPr>
          <w:ilvl w:val="1"/>
          <w:numId w:val="1013"/>
        </w:numPr>
        <w:pStyle w:val="Compact"/>
      </w:pPr>
      <w:r>
        <w:t xml:space="preserve">Contact: Erin Fedewa</w:t>
      </w:r>
    </w:p>
    <w:p>
      <w:pPr>
        <w:numPr>
          <w:ilvl w:val="1"/>
          <w:numId w:val="1013"/>
        </w:numPr>
        <w:pStyle w:val="Compact"/>
      </w:pPr>
      <w:r>
        <w:t xml:space="preserve">Status and trends:</w:t>
      </w:r>
      <w:r>
        <w:t xml:space="preserve"> </w:t>
      </w:r>
      <w:r>
        <w:rPr>
          <w:bCs/>
          <w:b/>
        </w:rPr>
        <w:t xml:space="preserve">Information not present in database</w:t>
      </w:r>
    </w:p>
    <w:p>
      <w:pPr>
        <w:numPr>
          <w:ilvl w:val="1"/>
          <w:numId w:val="1013"/>
        </w:numPr>
        <w:pStyle w:val="Compact"/>
      </w:pPr>
      <w:r>
        <w:t xml:space="preserve">Factors influencing trends:</w:t>
      </w:r>
      <w:r>
        <w:t xml:space="preserve"> </w:t>
      </w:r>
      <w:r>
        <w:rPr>
          <w:bCs/>
          <w:b/>
        </w:rPr>
        <w:t xml:space="preserve">Information not present in database</w:t>
      </w:r>
    </w:p>
    <w:p>
      <w:pPr>
        <w:numPr>
          <w:ilvl w:val="1"/>
          <w:numId w:val="1013"/>
        </w:numPr>
        <w:pStyle w:val="Compact"/>
      </w:pPr>
      <w:r>
        <w:t xml:space="preserve">Implications:</w:t>
      </w:r>
      <w:r>
        <w:t xml:space="preserve"> </w:t>
      </w:r>
      <w:r>
        <w:rPr>
          <w:bCs/>
          <w:b/>
        </w:rPr>
        <w:t xml:space="preserve">Information not present in database</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4"/>
        </w:numPr>
        <w:pStyle w:val="Compact"/>
      </w:pPr>
      <w:r>
        <w:t xml:space="preserve">Annual_Tanner_Active_Vessels_EBS_Fishery: Annual number of active vessels in the tanner crab fishery to represent the level of fishing effort assigned to the fishery</w:t>
      </w:r>
    </w:p>
    <w:p>
      <w:pPr>
        <w:numPr>
          <w:ilvl w:val="1"/>
          <w:numId w:val="1015"/>
        </w:numPr>
        <w:pStyle w:val="Compact"/>
      </w:pPr>
      <w:r>
        <w:t xml:space="preserve">Contact: Brian Garber-Yonts</w:t>
      </w:r>
    </w:p>
    <w:p>
      <w:pPr>
        <w:numPr>
          <w:ilvl w:val="1"/>
          <w:numId w:val="1015"/>
        </w:numPr>
        <w:pStyle w:val="Compact"/>
      </w:pPr>
      <w:r>
        <w:t xml:space="preserve">Status and trends:</w:t>
      </w:r>
      <w:r>
        <w:t xml:space="preserve"> </w:t>
      </w:r>
      <w:r>
        <w:rPr>
          <w:bCs/>
          <w:b/>
        </w:rPr>
        <w:t xml:space="preserve">Information not present in database</w:t>
      </w:r>
    </w:p>
    <w:p>
      <w:pPr>
        <w:numPr>
          <w:ilvl w:val="1"/>
          <w:numId w:val="1015"/>
        </w:numPr>
        <w:pStyle w:val="Compact"/>
      </w:pPr>
      <w:r>
        <w:t xml:space="preserve">Factors influencing trends:</w:t>
      </w:r>
      <w:r>
        <w:t xml:space="preserve"> </w:t>
      </w:r>
      <w:r>
        <w:rPr>
          <w:bCs/>
          <w:b/>
        </w:rPr>
        <w:t xml:space="preserve">Information not present in database</w:t>
      </w:r>
    </w:p>
    <w:p>
      <w:pPr>
        <w:numPr>
          <w:ilvl w:val="1"/>
          <w:numId w:val="1015"/>
        </w:numPr>
        <w:pStyle w:val="Compact"/>
      </w:pPr>
      <w:r>
        <w:t xml:space="preserve">Implications:</w:t>
      </w:r>
      <w:r>
        <w:t xml:space="preserve"> </w:t>
      </w:r>
      <w:r>
        <w:rPr>
          <w:bCs/>
          <w:b/>
        </w:rPr>
        <w:t xml:space="preserve">Information not present in database</w:t>
      </w:r>
    </w:p>
    <w:p>
      <w:pPr>
        <w:numPr>
          <w:ilvl w:val="0"/>
          <w:numId w:val="1014"/>
        </w:numPr>
        <w:pStyle w:val="Compact"/>
      </w:pPr>
      <w:r>
        <w:t xml:space="preserve">Annual_Tanner_Incidental_Catch_EBS_Fishery: Annual incidental catch of tanner crab in other fisheries</w:t>
      </w:r>
    </w:p>
    <w:p>
      <w:pPr>
        <w:numPr>
          <w:ilvl w:val="1"/>
          <w:numId w:val="1016"/>
        </w:numPr>
        <w:pStyle w:val="Compact"/>
      </w:pPr>
      <w:r>
        <w:t xml:space="preserve">Contact: Brian Garber-Yonts</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Tanner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Larval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AMJ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821" w:hRule="auto"/>
        </w:trPr>
        body 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Tanner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1"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Occupancy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6"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 Density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4"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Prevalence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984"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34"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Terminal Molt 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 Occupied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943" w:hRule="auto"/>
        </w:trPr>
        body10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Center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bl>
    <w:p>
      <w:pPr>
        <w:pStyle w:val="TableCaption"/>
      </w:pPr>
      <w:bookmarkStart w:id="43" w:name="tab:socio-table"/>
      <w:bookmarkEnd w:id="43"/>
      <w:r>
        <w:t xml:space="preserve">Table 2:</w:t>
      </w:r>
      <w:r>
        <w:t xml:space="preserve"> </w:t>
      </w:r>
      <w:r>
        <w:t xml:space="preserve">First stage socioeconomic indicator analysis for Tanner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77"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Vessels EBS 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body2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bl>
    <w:p>
      <w:r>
        <w:br w:type="page"/>
      </w:r>
    </w:p>
    <w:bookmarkEnd w:id="44"/>
    <w:bookmarkStart w:id="68"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e4f6e27da0243f36f1f1efdaa0636754b6f98e4"/>
    <w:p>
      <w:pPr>
        <w:pStyle w:val="Heading5"/>
      </w:pPr>
      <w:r>
        <w:t xml:space="preserve">Figure</w:t>
      </w:r>
      <w:r>
        <w:t xml:space="preserve"> </w:t>
      </w:r>
      <w:r>
        <w:t xml:space="preserve">1</w:t>
      </w:r>
      <w:r>
        <w:t xml:space="preserve">. Life history conceptual model for Tanner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04749" cy="6422207"/>
            <wp:effectExtent b="0" l="0" r="0" t="0"/>
            <wp:docPr descr="Figure 2: Alt text" title="" id="49" name="Picture"/>
            <a:graphic>
              <a:graphicData uri="http://schemas.openxmlformats.org/drawingml/2006/picture">
                <pic:pic>
                  <pic:nvPicPr>
                    <pic:cNvPr descr="C:/Users/abigail.tyrell/Desktop/AKesp/data-raw/dev_2024/report_card_2024-08-28_files/figure-docx/traffic-eco-1.png" id="50" name="Picture"/>
                    <pic:cNvPicPr>
                      <a:picLocks noChangeArrowheads="1" noChangeAspect="1"/>
                    </pic:cNvPicPr>
                  </pic:nvPicPr>
                  <pic:blipFill>
                    <a:blip r:embed="rId48"/>
                    <a:stretch>
                      <a:fillRect/>
                    </a:stretch>
                  </pic:blipFill>
                  <pic:spPr bwMode="auto">
                    <a:xfrm>
                      <a:off x="0" y="0"/>
                      <a:ext cx="5504749" cy="6422207"/>
                    </a:xfrm>
                    <a:prstGeom prst="rect">
                      <a:avLst/>
                    </a:prstGeom>
                    <a:noFill/>
                    <a:ln w="9525">
                      <a:noFill/>
                      <a:headEnd/>
                      <a:tailEnd/>
                    </a:ln>
                  </pic:spPr>
                </pic:pic>
              </a:graphicData>
            </a:graphic>
          </wp:inline>
        </w:drawing>
      </w:r>
    </w:p>
    <w:bookmarkEnd w:id="51"/>
    <w:bookmarkStart w:id="55" w:name="X0e50895a7d3f87c10d76f0622f5c798a8bf1b86"/>
    <w:p>
      <w:pPr>
        <w:pStyle w:val="Heading5"/>
      </w:pPr>
      <w:r>
        <w:t xml:space="preserve">Figure</w:t>
      </w:r>
      <w:r>
        <w:t xml:space="preserve"> </w:t>
      </w:r>
      <w:r>
        <w:t xml:space="preserve">??</w:t>
      </w:r>
      <w:r>
        <w:t xml:space="preserve">. Selected ecosystem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5504749" cy="6422207"/>
            <wp:effectExtent b="0" l="0" r="0" t="0"/>
            <wp:docPr descr="Figure 3: Alt text" title="" id="53" name="Picture"/>
            <a:graphic>
              <a:graphicData uri="http://schemas.openxmlformats.org/drawingml/2006/picture">
                <pic:pic>
                  <pic:nvPicPr>
                    <pic:cNvPr descr="C:/Users/abigail.tyrell/Desktop/AKesp/data-raw/dev_2024/report_card_2024-08-28_files/figure-docx/traffic-eco-2.png" id="54" name="Picture"/>
                    <pic:cNvPicPr>
                      <a:picLocks noChangeArrowheads="1" noChangeAspect="1"/>
                    </pic:cNvPicPr>
                  </pic:nvPicPr>
                  <pic:blipFill>
                    <a:blip r:embed="rId52"/>
                    <a:stretch>
                      <a:fillRect/>
                    </a:stretch>
                  </pic:blipFill>
                  <pic:spPr bwMode="auto">
                    <a:xfrm>
                      <a:off x="0" y="0"/>
                      <a:ext cx="5504749" cy="6422207"/>
                    </a:xfrm>
                    <a:prstGeom prst="rect">
                      <a:avLst/>
                    </a:prstGeom>
                    <a:noFill/>
                    <a:ln w="9525">
                      <a:noFill/>
                      <a:headEnd/>
                      <a:tailEnd/>
                    </a:ln>
                  </pic:spPr>
                </pic:pic>
              </a:graphicData>
            </a:graphic>
          </wp:inline>
        </w:drawing>
      </w:r>
    </w:p>
    <w:bookmarkEnd w:id="55"/>
    <w:bookmarkStart w:id="59" w:name="X87d0e29de4ede39b1e29e95ac3387b12f47f2ef"/>
    <w:p>
      <w:pPr>
        <w:pStyle w:val="Heading5"/>
      </w:pPr>
      <w:r>
        <w:t xml:space="preserve">Figure</w:t>
      </w:r>
      <w:r>
        <w:t xml:space="preserve"> </w:t>
      </w:r>
      <w:r>
        <w:t xml:space="preserve">??</w:t>
      </w:r>
      <w:r>
        <w:t xml:space="preserve">. Selected ecosystem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5504749" cy="6422207"/>
            <wp:effectExtent b="0" l="0" r="0" t="0"/>
            <wp:docPr descr="Figure 4: Alt text" title="" id="57" name="Picture"/>
            <a:graphic>
              <a:graphicData uri="http://schemas.openxmlformats.org/drawingml/2006/picture">
                <pic:pic>
                  <pic:nvPicPr>
                    <pic:cNvPr descr="C:/Users/abigail.tyrell/Desktop/AKesp/data-raw/dev_2024/report_card_2024-08-28_files/figure-docx/traffic-socio-1.png" id="58" name="Picture"/>
                    <pic:cNvPicPr>
                      <a:picLocks noChangeArrowheads="1" noChangeAspect="1"/>
                    </pic:cNvPicPr>
                  </pic:nvPicPr>
                  <pic:blipFill>
                    <a:blip r:embed="rId56"/>
                    <a:stretch>
                      <a:fillRect/>
                    </a:stretch>
                  </pic:blipFill>
                  <pic:spPr bwMode="auto">
                    <a:xfrm>
                      <a:off x="0" y="0"/>
                      <a:ext cx="5504749" cy="6422207"/>
                    </a:xfrm>
                    <a:prstGeom prst="rect">
                      <a:avLst/>
                    </a:prstGeom>
                    <a:noFill/>
                    <a:ln w="9525">
                      <a:noFill/>
                      <a:headEnd/>
                      <a:tailEnd/>
                    </a:ln>
                  </pic:spPr>
                </pic:pic>
              </a:graphicData>
            </a:graphic>
          </wp:inline>
        </w:drawing>
      </w:r>
    </w:p>
    <w:bookmarkEnd w:id="59"/>
    <w:bookmarkStart w:id="63" w:name="X2c812fce380c4175fe77dc565c922956e88090f"/>
    <w:p>
      <w:pPr>
        <w:pStyle w:val="Heading5"/>
      </w:pPr>
      <w:r>
        <w:t xml:space="preserve">Figure</w:t>
      </w:r>
      <w:r>
        <w:t xml:space="preserve"> </w:t>
      </w:r>
      <w:r>
        <w:t xml:space="preserve">4</w:t>
      </w:r>
      <w:r>
        <w:t xml:space="preserve">. Selected socioeconomic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4587290" cy="6422207"/>
            <wp:effectExtent b="0" l="0" r="0" t="0"/>
            <wp:docPr descr="Figure 5: Alt text" title="" id="61" name="Picture"/>
            <a:graphic>
              <a:graphicData uri="http://schemas.openxmlformats.org/drawingml/2006/picture">
                <pic:pic>
                  <pic:nvPicPr>
                    <pic:cNvPr descr="C:/Users/abigail.tyrell/Desktop/AKesp/data-raw/dev_2024/report_card_2024-08-28_files/figure-docx/overall-1.png" id="62" name="Picture"/>
                    <pic:cNvPicPr>
                      <a:picLocks noChangeArrowheads="1" noChangeAspect="1"/>
                    </pic:cNvPicPr>
                  </pic:nvPicPr>
                  <pic:blipFill>
                    <a:blip r:embed="rId60"/>
                    <a:stretch>
                      <a:fillRect/>
                    </a:stretch>
                  </pic:blipFill>
                  <pic:spPr bwMode="auto">
                    <a:xfrm>
                      <a:off x="0" y="0"/>
                      <a:ext cx="4587290" cy="6422207"/>
                    </a:xfrm>
                    <a:prstGeom prst="rect">
                      <a:avLst/>
                    </a:prstGeom>
                    <a:noFill/>
                    <a:ln w="9525">
                      <a:noFill/>
                      <a:headEnd/>
                      <a:tailEnd/>
                    </a:ln>
                  </pic:spPr>
                </pic:pic>
              </a:graphicData>
            </a:graphic>
          </wp:inline>
        </w:drawing>
      </w:r>
    </w:p>
    <w:bookmarkEnd w:id="63"/>
    <w:bookmarkStart w:id="66" w:name="X759cd72ef83ac135d328a0424ca52674dcd2544"/>
    <w:p>
      <w:pPr>
        <w:pStyle w:val="Heading5"/>
      </w:pPr>
      <w:r>
        <w:t xml:space="preserve">Figure</w:t>
      </w:r>
      <w:r>
        <w:t xml:space="preserve"> </w:t>
      </w:r>
      <w:r>
        <w:t xml:space="preserve">5</w:t>
      </w:r>
      <w:r>
        <w:t xml:space="preserve">. Simple traffic light score for overall ecosystem and socioeconomic categories from 2000 to present.</w:t>
      </w:r>
    </w:p>
    <w:p>
      <w:pPr>
        <w:pStyle w:val="FirstParagraph"/>
      </w:pPr>
      <w:r>
        <w:drawing>
          <wp:inline>
            <wp:extent cx="5943600" cy="4818561"/>
            <wp:effectExtent b="0" l="0" r="0" t="0"/>
            <wp:docPr descr="Figure 6: Alt text" title="" id="64" name="Picture"/>
            <a:graphic>
              <a:graphicData uri="http://schemas.openxmlformats.org/drawingml/2006/picture">
                <pic:pic>
                  <pic:nvPicPr>
                    <pic:cNvPr descr="images/noaa.jpg" id="65"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66"/>
    <w:bookmarkStart w:id="67" w:name="Xfb143e69ac8bc1b4bf185c98e1b065915368d6f"/>
    <w:p>
      <w:pPr>
        <w:pStyle w:val="Heading5"/>
      </w:pPr>
      <w:r>
        <w:t xml:space="preserve">Figure</w:t>
      </w:r>
      <w:r>
        <w:t xml:space="preserve"> </w:t>
      </w:r>
      <w:r>
        <w:t xml:space="preserve">6</w:t>
      </w:r>
      <w:r>
        <w:t xml:space="preserve">. Bayesian adaptive sampling output showing (a) standardized covariates prior to subsetting and (b) the mean relationship and uncertainty (95% confidence intervals) with log Tanner Crab recruitment, in each estimated effect (left bottom graph), and marginal inclusion probabilities (right bottom graph) for each predictor variable of the subsetted covariate set</w:t>
      </w:r>
    </w:p>
    <w:bookmarkEnd w:id="67"/>
    <w:bookmarkEnd w:id="68"/>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0" Target="media/rId20.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Tanner Crab stock in the EBS Report Card</dc:title>
  <dc:creator>Erin Fedewa, Kalei Shotwell, Abby Tyrell</dc:creator>
  <cp:keywords/>
  <dcterms:created xsi:type="dcterms:W3CDTF">2024-08-28T12:22:46Z</dcterms:created>
  <dcterms:modified xsi:type="dcterms:W3CDTF">2024-08-28T12:22:46Z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