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6.png" ContentType="image/png"/>
  <Override PartName="/word/media/rId38.png" ContentType="image/png"/>
  <Override PartName="/word/media/rId40.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Alaska</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1" w:name="management-considerations"/>
    <w:p>
      <w:pPr>
        <w:pStyle w:val="Heading2"/>
      </w:pPr>
      <w:r>
        <w:t xml:space="preserve">Management Considerations</w:t>
      </w:r>
    </w:p>
    <w:p>
      <w:pPr>
        <w:pStyle w:val="FirstParagraph"/>
      </w:pPr>
      <w:r>
        <w:t xml:space="preserve">Summary conclusions from ESP for ABC (risk table)</w:t>
      </w:r>
    </w:p>
    <w:bookmarkEnd w:id="21"/>
    <w:bookmarkStart w:id="22"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2"/>
    <w:bookmarkEnd w:id="23"/>
    <w:bookmarkStart w:id="33" w:name="assessment"/>
    <w:p>
      <w:pPr>
        <w:pStyle w:val="Heading1"/>
      </w:pPr>
      <w:r>
        <w:t xml:space="preserve">Assessment</w:t>
      </w:r>
    </w:p>
    <w:bookmarkStart w:id="24"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4"/>
    <w:bookmarkStart w:id="28" w:name="indicator-suite"/>
    <w:p>
      <w:pPr>
        <w:pStyle w:val="Heading2"/>
      </w:pPr>
      <w:r>
        <w:t xml:space="preserve">Indicator Suite</w:t>
      </w:r>
    </w:p>
    <w:p>
      <w:pPr>
        <w:pStyle w:val="FirstParagraph"/>
      </w:pPr>
      <w:r>
        <w:t xml:space="preserve">One paragraph description of LME level indicators relevant to stock (ESR summary)</w:t>
      </w:r>
    </w:p>
    <w:bookmarkStart w:id="26" w:name="ecosystem-indicators"/>
    <w:p>
      <w:pPr>
        <w:pStyle w:val="Heading3"/>
      </w:pPr>
      <w:r>
        <w:t xml:space="preserve">Ecosystem Indicators:</w:t>
      </w:r>
    </w:p>
    <w:p>
      <w:pPr>
        <w:pStyle w:val="FirstParagraph"/>
      </w:pPr>
      <w:r>
        <w:t xml:space="preserve">1.) Physical Indicators</w:t>
      </w:r>
    </w:p>
    <w:p>
      <w:pPr>
        <w:pStyle w:val="BodyText"/>
      </w:pPr>
      <w:r>
        <w:t xml:space="preserve">a.) Spring_Chlorophylla_Peak_EGOA_Satellite: Derived chlorophyll a concentration during spring seasonal peak (May) in the eastern GOA were obtained from MODIS satellite sensor at a 4x4 km resolution and aggregated 8-day composite. Peak timing of the spring bloom was calculated for the eastern GOA (EGOA) region (Watson et al., 2020) for NMFS areas 640 and 650, federal waters from 10m-200m depth.</w:t>
      </w:r>
    </w:p>
    <w:p>
      <w:pPr>
        <w:pStyle w:val="BodyText"/>
      </w:pPr>
      <w:r>
        <w:t xml:space="preserve">Code available at:</w:t>
      </w:r>
      <w:r>
        <w:t xml:space="preserve"> </w:t>
      </w:r>
      <w:hyperlink r:id="rId25">
        <w:r>
          <w:rPr>
            <w:rStyle w:val="Hyperlink"/>
          </w:rPr>
          <w:t xml:space="preserve">https://github.com/jordanwatson/ESP_Indicators</w:t>
        </w:r>
      </w:hyperlink>
      <w:r>
        <w:t xml:space="preserve">. (contact: Jordan Watson)</w:t>
      </w:r>
    </w:p>
    <w:p>
      <w:pPr>
        <w:pStyle w:val="BodyText"/>
      </w:pPr>
      <w:r>
        <w:t xml:space="preserve">NA</w:t>
      </w:r>
    </w:p>
    <w:p>
      <w:pPr>
        <w:pStyle w:val="BodyText"/>
      </w:pPr>
      <w:r>
        <w:t xml:space="preserve">b.) Spring_Temperature_Surface_EGOA_Satellite: Late spring (May-June) daily sea surface temperatures (SST) on a 5 km grid averaged over the eastern GOA (NMFS areas 640 and 650, no depth restriction) (Watson, 2020) from the NOAA Coral Reef Watch Program which provides the Global 5km Satellite Coral Bleaching Heat Stress Monitoring Product Suite Version 3.1, derived from CoralTemp v1.0. product (NOAA Coral Reef Watch, 2018), 1985 to present.</w:t>
      </w:r>
    </w:p>
    <w:p>
      <w:pPr>
        <w:pStyle w:val="BodyText"/>
      </w:pPr>
      <w:r>
        <w:t xml:space="preserve">Code available at:</w:t>
      </w:r>
      <w:r>
        <w:t xml:space="preserve"> </w:t>
      </w:r>
      <w:hyperlink r:id="rId25">
        <w:r>
          <w:rPr>
            <w:rStyle w:val="Hyperlink"/>
          </w:rPr>
          <w:t xml:space="preserve">https://github.com/jordanwatson/ESP_Indicators</w:t>
        </w:r>
      </w:hyperlink>
      <w:r>
        <w:t xml:space="preserve">. (contact: Jordan Watson)</w:t>
      </w:r>
    </w:p>
    <w:p>
      <w:pPr>
        <w:pStyle w:val="BodyText"/>
      </w:pPr>
      <w:r>
        <w:t xml:space="preserve">Despite marked inter-annual variability, there appears to only be a slight upward trend in the overall time series.</w:t>
      </w:r>
    </w:p>
    <w:p>
      <w:pPr>
        <w:pStyle w:val="BodyText"/>
      </w:pPr>
      <w:r>
        <w:t xml:space="preserve">c.) Spring_Temperature_Surface_SEBS_Satellite: Late spring (May-June) daily sea surface temperatures (SST) on a 5 km grid averaged over the southeastern Bering Sea (deeper than 10 m) (Watson, 2020) from the NOAA Coral Reef Watch Program which provides the Global 5km Satellite Coral Bleaching Heat Stress Monitoring Product Suite Version 3.1, derived from CoralTemp v1.0. product (NOAA Coral Reef Watch, 2018), 1985 to present.</w:t>
      </w:r>
    </w:p>
    <w:p>
      <w:pPr>
        <w:pStyle w:val="BodyText"/>
      </w:pPr>
      <w:r>
        <w:t xml:space="preserve">Code available at:</w:t>
      </w:r>
      <w:r>
        <w:t xml:space="preserve"> </w:t>
      </w:r>
      <w:hyperlink r:id="rId25">
        <w:r>
          <w:rPr>
            <w:rStyle w:val="Hyperlink"/>
          </w:rPr>
          <w:t xml:space="preserve">https://github.com/jordanwatson/ESP_Indicators</w:t>
        </w:r>
      </w:hyperlink>
      <w:r>
        <w:t xml:space="preserve">. (contact: Jordan Watson)</w:t>
      </w:r>
    </w:p>
    <w:p>
      <w:pPr>
        <w:pStyle w:val="BodyText"/>
      </w:pPr>
      <w:r>
        <w:t xml:space="preserve">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d.) Summer_Temperature_250m_GOA_Survey: Summer temperature profiles were recorded during the annual longline survey along the continental slope using an SBE39 (Seabird Electronics) attached to the groundline approximately one-third of the way in from the shallow portion of a station (Siwicke, In prep.). In the GOA, 13 stations had complete temperature profiles for the entire timeseries (2005–2019). Annual anomalies from the 15-year mean can be calculated by station at discrete depths, and an index for each year can be represented by the mean of these anomalies at a chosen depth. Interpolation between actual depth recordings in a profile was conducted using weighted parabolic interpolation (Reiniger and Ross, 1968). The 250 m isobath was selected to represent deeper water at the shelf-slope break where adult sablefish are typically sampled. Annual values come from this extent: Latitude (54.4 to 59.6) and Longitude (-157.8 to -134.0) and the survey is conducted by the Marine Ecology and Stock Assessment (MESA) program, Auke Bay Laboratories, Alaska Fisheries Science Center. (contact: Kevin Siwicke)</w:t>
      </w:r>
    </w:p>
    <w:p>
      <w:pPr>
        <w:pStyle w:val="BodyText"/>
      </w:pPr>
      <w:r>
        <w:t xml:space="preserve">The 250-m slope temperature index is in prime sablefish habitat and has not deviated greatly from the long-term mean. However, this index has remained positive for the last five years, a deviation from the historical fluctuations around the mean, suggesting these deeper waters may remain somewhat warmer than average (~0.1°C) from 2017-2021.</w:t>
      </w:r>
    </w:p>
    <w:bookmarkEnd w:id="26"/>
    <w:bookmarkStart w:id="27"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Annual_Sablefish_Incidental_Catch_BSAI_Fishery: Incidental catch estimates of sablefish in the Bering Sea fisheries excluding the sablefish fishery provided by AKFIN, 1991 to present. (contact: Kalei Shotwell)</w:t>
      </w:r>
    </w:p>
    <w:p>
      <w:pPr>
        <w:pStyle w:val="BodyText"/>
      </w:pPr>
      <w:r>
        <w:t xml:space="preserve">NA</w:t>
      </w:r>
    </w:p>
    <w:p>
      <w:pPr>
        <w:pStyle w:val="BodyText"/>
      </w:pPr>
      <w:r>
        <w:t xml:space="preserve">b.) Annual_Sablefish_Incidental_Catch_GOA_Fishery: Incidental catch estimates of sablefish in the GOA fisheries excluding the sablefish fishery provided by from AKFIN, 1991 to present. (contact: Kalei Shotwell)</w:t>
      </w:r>
    </w:p>
    <w:p>
      <w:pPr>
        <w:pStyle w:val="BodyText"/>
      </w:pPr>
      <w:r>
        <w:t xml:space="preserve">NA</w:t>
      </w:r>
    </w:p>
    <w:bookmarkEnd w:id="27"/>
    <w:bookmarkEnd w:id="28"/>
    <w:bookmarkStart w:id="32"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29"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29"/>
    <w:bookmarkStart w:id="30"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0"/>
    <w:bookmarkStart w:id="31"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1"/>
    <w:bookmarkEnd w:id="32"/>
    <w:bookmarkEnd w:id="33"/>
    <w:bookmarkStart w:id="34" w:name="data-gaps-and-future-research-priorities"/>
    <w:p>
      <w:pPr>
        <w:pStyle w:val="Heading1"/>
      </w:pPr>
      <w:r>
        <w:t xml:space="preserve">Data Gaps and Future Research Priorities</w:t>
      </w:r>
    </w:p>
    <w:p>
      <w:pPr>
        <w:pStyle w:val="FirstParagraph"/>
      </w:pPr>
      <w:r>
        <w:t xml:space="preserve">Copy from full ESP</w:t>
      </w:r>
    </w:p>
    <w:p>
      <w:r>
        <w:br w:type="page"/>
      </w:r>
    </w:p>
    <w:bookmarkEnd w:id="34"/>
    <w:bookmarkStart w:id="35" w:name="tables"/>
    <w:p>
      <w:pPr>
        <w:pStyle w:val="Heading1"/>
      </w:pPr>
      <w:r>
        <w:t xml:space="preserve">Tables</w:t>
      </w:r>
    </w:p>
    <w:p>
      <w:pPr>
        <w:pStyle w:val="TableCaption"/>
      </w:pPr>
      <w:r>
        <w:t xml:space="preserve">Table 1:</w:t>
      </w:r>
      <w:r>
        <w:t xml:space="preserve"> </w:t>
      </w:r>
      <w:bookmarkStart w:id="cc14ea28-1abb-4ca7-b1ae-207263c54415" w:name="tab:eco-table"/>
      <w:r>
        <w:t xml:space="preserve">First stage ecosystem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cc14ea28-1abb-4ca7-b1ae-207263c5441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EGOA Satellite</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250m 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 SIZE</w:t>
              <w:br/>
              <w:t xml:space="preserve">ANOM EGOA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4"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 SIZE</w:t>
              <w:br/>
              <w:t xml:space="preserve">ANOM WGOA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Growth YOY Middleton</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Age Evenness Female</w:t>
              <w:br/>
              <w:t xml:space="preserve">Adult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Arrowtooth Target</w:t>
              <w:br/>
              <w:t xml:space="preserve">GOA 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Mean Age Female</w:t>
              <w:br/>
              <w:t xml:space="preserve">Adult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Adult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Age4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 GOA</w:t>
              <w:br/>
              <w:t xml:space="preserve">Survey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w:t>
              <w:br/>
              <w:t xml:space="preserve">Nearshore GOAAI</w:t>
              <w:br/>
              <w:t xml:space="preserve">Survey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bl>
    <w:p>
      <w:pPr>
        <w:pStyle w:val="TableCaption"/>
      </w:pPr>
      <w:r>
        <w:t xml:space="preserve">Table 2:</w:t>
      </w:r>
      <w:r>
        <w:t xml:space="preserve"> </w:t>
      </w:r>
      <w:bookmarkStart w:id="345bd7eb-b58e-4cb5-b88f-f7a4bc491818" w:name="tab:socio-table"/>
      <w:r>
        <w:t xml:space="preserve">First stage socioeconomic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345bd7eb-b58e-4cb5-b88f-f7a4bc49181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Fishery Performance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 GOA</w:t>
              <w:br/>
              <w:t xml:space="preserve">Fishery</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BSAI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Price</w:t>
              <w:br/>
              <w:t xml:space="preserve">Fishery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Value</w:t>
              <w:br/>
              <w:t xml:space="preserve">Fishery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bl>
    <w:p>
      <w:r>
        <w:br w:type="page"/>
      </w:r>
    </w:p>
    <w:bookmarkEnd w:id="35"/>
    <w:bookmarkStart w:id="46"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37" w:name="X8621520725fe21a3b60a8bb6746f6f9b1b99ffe"/>
    <w:p>
      <w:pPr>
        <w:pStyle w:val="Heading4"/>
      </w:pPr>
      <w:r>
        <w:t xml:space="preserve">Figure</w:t>
      </w:r>
      <w:r>
        <w:t xml:space="preserve"> </w:t>
      </w:r>
      <w:r>
        <w:t xml:space="preserve">1</w:t>
      </w:r>
      <w:r>
        <w:t xml:space="preserve">. Life history conceptual model for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1.png" id="0" name="Picture"/>
                    <pic:cNvPicPr>
                      <a:picLocks noChangeArrowheads="1" noChangeAspect="1"/>
                    </pic:cNvPicPr>
                  </pic:nvPicPr>
                  <pic:blipFill>
                    <a:blip r:embed="rId36"/>
                    <a:stretch>
                      <a:fillRect/>
                    </a:stretch>
                  </pic:blipFill>
                  <pic:spPr bwMode="auto">
                    <a:xfrm>
                      <a:off x="0" y="0"/>
                      <a:ext cx="5544151" cy="6468176"/>
                    </a:xfrm>
                    <a:prstGeom prst="rect">
                      <a:avLst/>
                    </a:prstGeom>
                    <a:noFill/>
                    <a:ln w="9525">
                      <a:noFill/>
                      <a:headEnd/>
                      <a:tailEnd/>
                    </a:ln>
                  </pic:spPr>
                </pic:pic>
              </a:graphicData>
            </a:graphic>
          </wp:inline>
        </w:drawing>
      </w:r>
    </w:p>
    <w:bookmarkEnd w:id="37"/>
    <w:bookmarkStart w:id="39" w:name="X94e75fb19c002201b2e18ef6b5bac17abc998c7"/>
    <w:p>
      <w:pPr>
        <w:pStyle w:val="Heading4"/>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2.png" id="0" name="Picture"/>
                    <pic:cNvPicPr>
                      <a:picLocks noChangeArrowheads="1" noChangeAspect="1"/>
                    </pic:cNvPicPr>
                  </pic:nvPicPr>
                  <pic:blipFill>
                    <a:blip r:embed="rId38"/>
                    <a:stretch>
                      <a:fillRect/>
                    </a:stretch>
                  </pic:blipFill>
                  <pic:spPr bwMode="auto">
                    <a:xfrm>
                      <a:off x="0" y="0"/>
                      <a:ext cx="5544151" cy="6468176"/>
                    </a:xfrm>
                    <a:prstGeom prst="rect">
                      <a:avLst/>
                    </a:prstGeom>
                    <a:noFill/>
                    <a:ln w="9525">
                      <a:noFill/>
                      <a:headEnd/>
                      <a:tailEnd/>
                    </a:ln>
                  </pic:spPr>
                </pic:pic>
              </a:graphicData>
            </a:graphic>
          </wp:inline>
        </w:drawing>
      </w:r>
    </w:p>
    <w:bookmarkEnd w:id="39"/>
    <w:bookmarkStart w:id="41" w:name="X1416e17487148551c3cb0baf4587851ca25e4f9"/>
    <w:p>
      <w:pPr>
        <w:pStyle w:val="Heading4"/>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3.png" id="0" name="Picture"/>
                    <pic:cNvPicPr>
                      <a:picLocks noChangeArrowheads="1" noChangeAspect="1"/>
                    </pic:cNvPicPr>
                  </pic:nvPicPr>
                  <pic:blipFill>
                    <a:blip r:embed="rId40"/>
                    <a:stretch>
                      <a:fillRect/>
                    </a:stretch>
                  </pic:blipFill>
                  <pic:spPr bwMode="auto">
                    <a:xfrm>
                      <a:off x="0" y="0"/>
                      <a:ext cx="5544151" cy="6468176"/>
                    </a:xfrm>
                    <a:prstGeom prst="rect">
                      <a:avLst/>
                    </a:prstGeom>
                    <a:noFill/>
                    <a:ln w="9525">
                      <a:noFill/>
                      <a:headEnd/>
                      <a:tailEnd/>
                    </a:ln>
                  </pic:spPr>
                </pic:pic>
              </a:graphicData>
            </a:graphic>
          </wp:inline>
        </w:drawing>
      </w:r>
    </w:p>
    <w:bookmarkEnd w:id="41"/>
    <w:bookmarkStart w:id="43" w:name="Xe55dfe28bd519d1784a243a364a97f1f572f69a"/>
    <w:p>
      <w:pPr>
        <w:pStyle w:val="Heading4"/>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4.png" id="0" name="Picture"/>
                    <pic:cNvPicPr>
                      <a:picLocks noChangeArrowheads="1" noChangeAspect="1"/>
                    </pic:cNvPicPr>
                  </pic:nvPicPr>
                  <pic:blipFill>
                    <a:blip r:embed="rId42"/>
                    <a:stretch>
                      <a:fillRect/>
                    </a:stretch>
                  </pic:blipFill>
                  <pic:spPr bwMode="auto">
                    <a:xfrm>
                      <a:off x="0" y="0"/>
                      <a:ext cx="5544151" cy="6468176"/>
                    </a:xfrm>
                    <a:prstGeom prst="rect">
                      <a:avLst/>
                    </a:prstGeom>
                    <a:noFill/>
                    <a:ln w="9525">
                      <a:noFill/>
                      <a:headEnd/>
                      <a:tailEnd/>
                    </a:ln>
                  </pic:spPr>
                </pic:pic>
              </a:graphicData>
            </a:graphic>
          </wp:inline>
        </w:drawing>
      </w:r>
    </w:p>
    <w:bookmarkEnd w:id="43"/>
    <w:bookmarkStart w:id="44" w:name="Xccb5aa8503b4b3a6569e405e35149f2cc8373bc"/>
    <w:p>
      <w:pPr>
        <w:pStyle w:val="Heading4"/>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t xml:space="preserve">Error : Problem with</w:t>
      </w:r>
      <w:r>
        <w:t xml:space="preserve"> </w:t>
      </w:r>
      <w:r>
        <w:rPr>
          <w:rStyle w:val="VerbatimChar"/>
        </w:rPr>
        <w:t xml:space="preserve">summarise()</w:t>
      </w:r>
      <w:r>
        <w:t xml:space="preserve"> </w:t>
      </w:r>
      <w:r>
        <w:t xml:space="preserve">input</w:t>
      </w:r>
      <w:r>
        <w:t xml:space="preserve"> </w:t>
      </w:r>
      <w:r>
        <w:rPr>
          <w:rStyle w:val="VerbatimChar"/>
        </w:rPr>
        <w:t xml:space="preserve">mean_score</w:t>
      </w:r>
      <w:r>
        <w:t xml:space="preserve">.</w:t>
      </w:r>
      <w:r>
        <w:t xml:space="preserve"> </w:t>
      </w:r>
      <w:r>
        <w:t xml:space="preserve">x Column</w:t>
      </w:r>
      <w:r>
        <w:t xml:space="preserve"> </w:t>
      </w:r>
      <w:r>
        <w:rPr>
          <w:rStyle w:val="VerbatimChar"/>
        </w:rPr>
        <w:t xml:space="preserve">SCORE</w:t>
      </w:r>
      <w:r>
        <w:t xml:space="preserve"> </w:t>
      </w:r>
      <w:r>
        <w:t xml:space="preserve">not found in</w:t>
      </w:r>
      <w:r>
        <w:t xml:space="preserve"> </w:t>
      </w:r>
      <w:r>
        <w:rPr>
          <w:rStyle w:val="VerbatimChar"/>
        </w:rPr>
        <w:t xml:space="preserve">.data</w:t>
      </w:r>
      <w:r>
        <w:t xml:space="preserve"> </w:t>
      </w:r>
      <w:r>
        <w:t xml:space="preserve">i Input</w:t>
      </w:r>
      <w:r>
        <w:t xml:space="preserve"> </w:t>
      </w:r>
      <w:r>
        <w:rPr>
          <w:rStyle w:val="VerbatimChar"/>
        </w:rPr>
        <w:t xml:space="preserve">mean_score</w:t>
      </w:r>
      <w:r>
        <w:t xml:space="preserve"> </w:t>
      </w:r>
      <w:r>
        <w:t xml:space="preserve">is</w:t>
      </w:r>
      <w:r>
        <w:t xml:space="preserve"> </w:t>
      </w:r>
      <w:r>
        <w:rPr>
          <w:rStyle w:val="VerbatimChar"/>
        </w:rPr>
        <w:t xml:space="preserve">mean(.data$SCORE, na.rm = TRUE)</w:t>
      </w:r>
      <w:r>
        <w:t xml:space="preserve">.</w:t>
      </w:r>
      <w:r>
        <w:t xml:space="preserve"> </w:t>
      </w:r>
      <w:r>
        <w:t xml:space="preserve">i The error occurred in group 1: INDICATOR_TYPE =</w:t>
      </w:r>
      <w:r>
        <w:t xml:space="preserve"> </w:t>
      </w:r>
      <w:r>
        <w:t xml:space="preserve">“</w:t>
      </w:r>
      <w:r>
        <w:t xml:space="preserve">Ecosystem</w:t>
      </w:r>
      <w:r>
        <w:t xml:space="preserve">”</w:t>
      </w:r>
      <w:r>
        <w:t xml:space="preserve">, YEAR = 1977.</w:t>
      </w:r>
      <w:r>
        <w:t xml:space="preserve"> </w:t>
      </w:r>
      <w:r>
        <w:t xml:space="preserve">#### Figure</w:t>
      </w:r>
      <w:r>
        <w:t xml:space="preserve"> </w:t>
      </w:r>
      <w:r>
        <w:t xml:space="preserve">??</w:t>
      </w:r>
      <w:r>
        <w:t xml:space="preserve">. Simple traffic light score for overall ecosystem and socioeconomic categories from 1977 to present. {-}</w:t>
      </w:r>
    </w:p>
    <w:p>
      <w:pPr>
        <w:pStyle w:val="BodyText"/>
      </w:pPr>
      <w:r>
        <w:drawing>
          <wp:inline>
            <wp:extent cx="5943600" cy="4818561"/>
            <wp:effectExtent b="0" l="0" r="0" t="0"/>
            <wp:docPr descr="Figure 2: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44"/>
    <w:bookmarkStart w:id="45" w:name="Xdc593cb15faaea9052e0c251e1af62cd7261f4d"/>
    <w:p>
      <w:pPr>
        <w:pStyle w:val="Heading4"/>
      </w:pPr>
      <w:r>
        <w:t xml:space="preserve">Figure</w:t>
      </w:r>
      <w:r>
        <w:t xml:space="preserve"> </w:t>
      </w:r>
      <w:r>
        <w:t xml:space="preserve">2</w:t>
      </w:r>
      <w:r>
        <w:t xml:space="preserve">. Bayesian adaptive sampling output showing (a) standardized covariates prior to subsetting and (b) the mean relationship and uncertainty (95% confidence intervals) with log Sablefish recruitment, in each estimated effect (left bottom graph), and marginal inclusion probabilities (right bottom graph) for each predictor variable of the subsetted covariate set</w:t>
      </w:r>
    </w:p>
    <w:bookmarkEnd w:id="45"/>
    <w:bookmarkEnd w:id="46"/>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18CBAF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7D462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F5C352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F0E7A0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F4A1E9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CF4EA6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9A8FDA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D641D5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6E698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AC675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25" Target="https://github.com/jordanwatson/ESP_Indicators"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jordanwatson/ESP_Indic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15</Words>
  <Characters>86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Sablefish stock in the Alaska - Report Card</dc:title>
  <dc:creator>Kalei Shotwell, Abby Tyrell</dc:creator>
  <cp:keywords/>
  <dcterms:created xsi:type="dcterms:W3CDTF">2021-10-15T22:17:14Z</dcterms:created>
  <dcterms:modified xsi:type="dcterms:W3CDTF">2021-10-15T22:17:14Z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