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41.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Red</w:t>
      </w:r>
      <w:r>
        <w:t xml:space="preserve"> </w:t>
      </w:r>
      <w:r>
        <w:t xml:space="preserve">King</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Bristol</w:t>
      </w:r>
      <w:r>
        <w:t xml:space="preserve"> </w:t>
      </w:r>
      <w:r>
        <w:t xml:space="preserve">Bay</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2"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7" w:name="indicator-suite"/>
    <w:p>
      <w:pPr>
        <w:pStyle w:val="Heading2"/>
      </w:pPr>
      <w:r>
        <w:t xml:space="preserve">Indicator Suite</w:t>
      </w:r>
    </w:p>
    <w:p>
      <w:pPr>
        <w:pStyle w:val="FirstParagraph"/>
      </w:pPr>
      <w:r>
        <w:t xml:space="preserve">One paragraph description of LME level indicators relevant to stock (ESR summary)</w:t>
      </w:r>
    </w:p>
    <w:bookmarkStart w:id="25" w:name="ecosystem-indicators"/>
    <w:p>
      <w:pPr>
        <w:pStyle w:val="Heading3"/>
      </w:pPr>
      <w:r>
        <w:t xml:space="preserve">Ecosystem Indicators:</w:t>
      </w:r>
    </w:p>
    <w:p>
      <w:pPr>
        <w:pStyle w:val="FirstParagraph"/>
      </w:pPr>
      <w:r>
        <w:t xml:space="preserve">1.) Upper Trophic Indicators</w:t>
      </w:r>
    </w:p>
    <w:p>
      <w:pPr>
        <w:pStyle w:val="BodyText"/>
      </w:pPr>
      <w:r>
        <w:t xml:space="preserve">a.) Summer_Pacific_Cod_Biomass_BBRKC_Survey: Estimates of Pacific cod biomass were derived from the EBS bottom trawl survey catch data. (contact: Erin Fedewa)</w:t>
      </w:r>
    </w:p>
    <w:p>
      <w:pPr>
        <w:pStyle w:val="BodyText"/>
      </w:pPr>
      <w:r>
        <w:t xml:space="preserve">b.) Summer_Benthic_Invertebrate_Biomass_BBRKC_Survey: . (contact: )</w:t>
      </w:r>
    </w:p>
    <w:p>
      <w:pPr>
        <w:pStyle w:val="BodyText"/>
      </w:pPr>
      <w:r>
        <w:t xml:space="preserve">c.) Annual_Red_King_Crab_Recruit_Biomass_BBRKC_Model: . (contact: )</w:t>
      </w:r>
    </w:p>
    <w:p>
      <w:pPr>
        <w:pStyle w:val="BodyText"/>
      </w:pPr>
      <w:r>
        <w:t xml:space="preserve">d.) Summer_Sockeye_Salmon_Abundance_EBS_Survey: . (contact: )</w:t>
      </w:r>
    </w:p>
    <w:p>
      <w:pPr>
        <w:pStyle w:val="BodyText"/>
      </w:pPr>
      <w:r>
        <w:t xml:space="preserve">e.) Annual_Red_King_Crab_Catch_Distance_Shore_BBRKC_Fishery: . (contact: )</w:t>
      </w:r>
    </w:p>
    <w:p>
      <w:pPr>
        <w:pStyle w:val="BodyText"/>
      </w:pPr>
      <w:r>
        <w:t xml:space="preserve">f.) Summer_Red_King_Crab_Area_Occupied_Male_BBRKC_Survey: . (contact: )</w:t>
      </w:r>
    </w:p>
    <w:p>
      <w:pPr>
        <w:pStyle w:val="BodyText"/>
      </w:pPr>
      <w:r>
        <w:t xml:space="preserve">g.) Summer_Red_King_Crab_Area_Occupied_Female_BBRKC_Survey: . (contact: )</w:t>
      </w:r>
    </w:p>
    <w:p>
      <w:pPr>
        <w:pStyle w:val="BodyText"/>
      </w:pPr>
      <w:r>
        <w:t xml:space="preserve">2.) Physical Indicators</w:t>
      </w:r>
    </w:p>
    <w:p>
      <w:pPr>
        <w:pStyle w:val="BodyText"/>
      </w:pPr>
      <w:r>
        <w:t xml:space="preserve">a.) Summer_Cold_Pool_BBRKC_Survey: . (contact: )</w:t>
      </w:r>
    </w:p>
    <w:p>
      <w:pPr>
        <w:pStyle w:val="BodyText"/>
      </w:pPr>
      <w:r>
        <w:t xml:space="preserve">b.) Summer_Temperature_Bottom_BBRKC_Survey: . (contact: )</w:t>
      </w:r>
    </w:p>
    <w:p>
      <w:pPr>
        <w:pStyle w:val="BodyText"/>
      </w:pPr>
      <w:r>
        <w:t xml:space="preserve">c.) Summer_Wind_Stress_BBRKC_Satellite: . (contact: )</w:t>
      </w:r>
    </w:p>
    <w:p>
      <w:pPr>
        <w:pStyle w:val="BodyText"/>
      </w:pPr>
      <w:r>
        <w:t xml:space="preserve">d.) Spring_Chlorophylla_Biomass_SEBS_Inner_Shelf_Satellite: . (contact: )</w:t>
      </w:r>
    </w:p>
    <w:p>
      <w:pPr>
        <w:pStyle w:val="BodyText"/>
      </w:pPr>
      <w:r>
        <w:t xml:space="preserve">e.) Spring_pH_Index_BBRKC_Model: . (contact: )</w:t>
      </w:r>
    </w:p>
    <w:p>
      <w:pPr>
        <w:pStyle w:val="BodyText"/>
      </w:pPr>
      <w:r>
        <w:t xml:space="preserve">f.) Winter_Spring_Arctic_Oscillation_Index_Model: . (contact: )</w:t>
      </w:r>
    </w:p>
    <w:bookmarkEnd w:id="25"/>
    <w:bookmarkStart w:id="26" w:name="socioeconomic-indicators"/>
    <w:p>
      <w:pPr>
        <w:pStyle w:val="Heading3"/>
      </w:pPr>
      <w:r>
        <w:t xml:space="preserve">Socioeconomic Indicators:</w:t>
      </w:r>
    </w:p>
    <w:bookmarkEnd w:id="26"/>
    <w:bookmarkEnd w:id="27"/>
    <w:bookmarkStart w:id="31"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8"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8"/>
    <w:bookmarkStart w:id="29"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29"/>
    <w:bookmarkStart w:id="30"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0"/>
    <w:bookmarkEnd w:id="31"/>
    <w:bookmarkEnd w:id="32"/>
    <w:bookmarkStart w:id="33" w:name="data-gaps-and-future-research-priorities"/>
    <w:p>
      <w:pPr>
        <w:pStyle w:val="Heading1"/>
      </w:pPr>
      <w:r>
        <w:t xml:space="preserve">Data Gaps and Future Research Priorities</w:t>
      </w:r>
    </w:p>
    <w:p>
      <w:pPr>
        <w:pStyle w:val="FirstParagraph"/>
      </w:pPr>
      <w:r>
        <w:t xml:space="preserve">Copy from full ESP</w:t>
      </w:r>
    </w:p>
    <w:p>
      <w:r>
        <w:br w:type="page"/>
      </w:r>
    </w:p>
    <w:bookmarkEnd w:id="33"/>
    <w:bookmarkStart w:id="34" w:name="tables"/>
    <w:p>
      <w:pPr>
        <w:pStyle w:val="Heading1"/>
      </w:pPr>
      <w:r>
        <w:t xml:space="preserve">Tables</w:t>
      </w:r>
    </w:p>
    <w:p>
      <w:pPr>
        <w:pStyle w:val="TableCaption"/>
      </w:pPr>
      <w:r>
        <w:t xml:space="preserve">Table 1:</w:t>
      </w:r>
      <w:r>
        <w:t xml:space="preserve"> </w:t>
      </w:r>
      <w:bookmarkStart w:id="63d4ca7e-266d-4c4a-b4cb-971313e60d7e" w:name="tab:eco-table"/>
      <w:r>
        <w:t xml:space="preserve">First stage ecosystem indicator analysis for Red King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63d4ca7e-266d-4c4a-b4cb-971313e60d7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SEBS Inner</w:t>
              <w:br/>
              <w:t xml:space="preserve">Shelf Satellite</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pH Index</w:t>
              <w:br/>
              <w:t xml:space="preserve">BBRKC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Cold Pool</w:t>
              <w:br/>
              <w:t xml:space="preserve">BBRKC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Bottom BBRKC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4"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Wind Stress</w:t>
              <w:br/>
              <w:t xml:space="preserve">BBRKC 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Winter Spring Arctic</w:t>
              <w:br/>
              <w:t xml:space="preserve">Oscillation Index</w:t>
              <w:br/>
              <w:t xml:space="preserve">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Red King Crab</w:t>
              <w:br/>
              <w:t xml:space="preserve">Catch Distance Shore</w:t>
              <w:br/>
              <w:t xml:space="preserve">BBRKC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Red King</w:t>
              <w:br/>
              <w:t xml:space="preserve">Crab Recruit Biomass</w:t>
              <w:br/>
              <w:t xml:space="preserve">BBRKC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Benthic</w:t>
              <w:br/>
              <w:t xml:space="preserve">Invertebrate Biomass</w:t>
              <w:br/>
              <w:t xml:space="preserve">BBRKC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Biomass BBRKC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Red King Crab</w:t>
              <w:br/>
              <w:t xml:space="preserve">Area Occupied Female</w:t>
              <w:br/>
              <w:t xml:space="preserve">BBRKC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Red King Crab</w:t>
              <w:br/>
              <w:t xml:space="preserve">Area Occupied Male</w:t>
              <w:br/>
              <w:t xml:space="preserve">BBRKC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Sockeye</w:t>
              <w:br/>
              <w:t xml:space="preserve">Salmon Abundance EBS</w:t>
              <w:br/>
              <w:t xml:space="preserve">Survey</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4"/>
    <w:bookmarkStart w:id="45"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6" w:name="X10e843f8413bf3f175ce93cdebcf95aac42825d"/>
    <w:p>
      <w:pPr>
        <w:pStyle w:val="Heading4"/>
      </w:pPr>
      <w:r>
        <w:t xml:space="preserve">Figure</w:t>
      </w:r>
      <w:r>
        <w:t xml:space="preserve"> </w:t>
      </w:r>
      <w:r>
        <w:t xml:space="preserve">1</w:t>
      </w:r>
      <w:r>
        <w:t xml:space="preserve">. Life history conceptual model for Red King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1.png" id="0" name="Picture"/>
                    <pic:cNvPicPr>
                      <a:picLocks noChangeArrowheads="1" noChangeAspect="1"/>
                    </pic:cNvPicPr>
                  </pic:nvPicPr>
                  <pic:blipFill>
                    <a:blip r:embed="rId35"/>
                    <a:stretch>
                      <a:fillRect/>
                    </a:stretch>
                  </pic:blipFill>
                  <pic:spPr bwMode="auto">
                    <a:xfrm>
                      <a:off x="0" y="0"/>
                      <a:ext cx="5544151" cy="6468176"/>
                    </a:xfrm>
                    <a:prstGeom prst="rect">
                      <a:avLst/>
                    </a:prstGeom>
                    <a:noFill/>
                    <a:ln w="9525">
                      <a:noFill/>
                      <a:headEnd/>
                      <a:tailEnd/>
                    </a:ln>
                  </pic:spPr>
                </pic:pic>
              </a:graphicData>
            </a:graphic>
          </wp:inline>
        </w:drawing>
      </w:r>
    </w:p>
    <w:bookmarkEnd w:id="36"/>
    <w:bookmarkStart w:id="38" w:name="X5ea9a850ef23b9fd2ee5a7ac025f3af883a122f"/>
    <w:p>
      <w:pPr>
        <w:pStyle w:val="Heading4"/>
      </w:pPr>
      <w:r>
        <w:t xml:space="preserve">Figure</w:t>
      </w:r>
      <w:r>
        <w:t xml:space="preserve"> </w:t>
      </w:r>
      <w:r>
        <w:t xml:space="preserve">??</w:t>
      </w:r>
      <w:r>
        <w:t xml:space="preserve">. Selected indicators for Red King Crab with time series ranging from 1980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2.png" id="0"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bookmarkEnd w:id="38"/>
    <w:bookmarkStart w:id="40" w:name="Xd216e42af047958eca33a004ef391dba4ae58ab"/>
    <w:p>
      <w:pPr>
        <w:pStyle w:val="Heading4"/>
      </w:pPr>
      <w:r>
        <w:t xml:space="preserve">Figure</w:t>
      </w:r>
      <w:r>
        <w:t xml:space="preserve"> </w:t>
      </w:r>
      <w:r>
        <w:t xml:space="preserve">??</w:t>
      </w:r>
      <w:r>
        <w:t xml:space="preserve">. Selected indicators for Red King Crab with time series ranging from 1980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3.png" id="0" name="Picture"/>
                    <pic:cNvPicPr>
                      <a:picLocks noChangeArrowheads="1" noChangeAspect="1"/>
                    </pic:cNvPicPr>
                  </pic:nvPicPr>
                  <pic:blipFill>
                    <a:blip r:embed="rId39"/>
                    <a:stretch>
                      <a:fillRect/>
                    </a:stretch>
                  </pic:blipFill>
                  <pic:spPr bwMode="auto">
                    <a:xfrm>
                      <a:off x="0" y="0"/>
                      <a:ext cx="5544151" cy="6468176"/>
                    </a:xfrm>
                    <a:prstGeom prst="rect">
                      <a:avLst/>
                    </a:prstGeom>
                    <a:noFill/>
                    <a:ln w="9525">
                      <a:noFill/>
                      <a:headEnd/>
                      <a:tailEnd/>
                    </a:ln>
                  </pic:spPr>
                </pic:pic>
              </a:graphicData>
            </a:graphic>
          </wp:inline>
        </w:drawing>
      </w:r>
    </w:p>
    <w:bookmarkEnd w:id="40"/>
    <w:bookmarkStart w:id="42" w:name="Xcfd54c0bd5f078d1e48858c3c786f4bbf1280ad"/>
    <w:p>
      <w:pPr>
        <w:pStyle w:val="Heading4"/>
      </w:pPr>
      <w:r>
        <w:t xml:space="preserve">Figure</w:t>
      </w:r>
      <w:r>
        <w:t xml:space="preserve"> </w:t>
      </w:r>
      <w:r>
        <w:t xml:space="preserve">??</w:t>
      </w:r>
      <w:r>
        <w:t xml:space="preserve">. Selected indicators for Red King Crab with time series ranging from 1980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4620126"/>
            <wp:effectExtent b="0" l="0" r="0" t="0"/>
            <wp:docPr descr="Figure 2: Alt text" title="" id="1" name="Picture"/>
            <a:graphic>
              <a:graphicData uri="http://schemas.openxmlformats.org/drawingml/2006/picture">
                <pic:pic>
                  <pic:nvPicPr>
                    <pic:cNvPr descr="esp-report-card-template_files/figure-docx/overall-1.png" id="0"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bookmarkEnd w:id="42"/>
    <w:bookmarkStart w:id="43" w:name="X287e889748ffdbcf05a529f02e6f67c7982544d"/>
    <w:p>
      <w:pPr>
        <w:pStyle w:val="Heading4"/>
      </w:pPr>
      <w:r>
        <w:t xml:space="preserve">Figure</w:t>
      </w:r>
      <w:r>
        <w:t xml:space="preserve"> </w:t>
      </w:r>
      <w:r>
        <w:t xml:space="preserve">2</w:t>
      </w:r>
      <w:r>
        <w:t xml:space="preserve">. Simple traffic light score for overall ecosystem and socioeconomic categories from 1980 to present.</w:t>
      </w:r>
    </w:p>
    <w:p>
      <w:pPr>
        <w:pStyle w:val="FirstParagraph"/>
      </w:pPr>
      <w:r>
        <w:drawing>
          <wp:inline>
            <wp:extent cx="5943600" cy="4818561"/>
            <wp:effectExtent b="0" l="0" r="0" t="0"/>
            <wp:docPr descr="Figure 3: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3"/>
    <w:bookmarkStart w:id="44" w:name="Xec4183ee482ea44edd51578932e6da819ab8d73"/>
    <w:p>
      <w:pPr>
        <w:pStyle w:val="Heading4"/>
      </w:pPr>
      <w:r>
        <w:t xml:space="preserve">Figure</w:t>
      </w:r>
      <w:r>
        <w:t xml:space="preserve"> </w:t>
      </w:r>
      <w:r>
        <w:t xml:space="preserve">3</w:t>
      </w:r>
      <w:r>
        <w:t xml:space="preserve">. Bayesian adaptive sampling output showing (a) standardized covariates prior to subsetting and (b) the mean relationship and uncertainty (95% confidence intervals) with log Red King Crab recruitment, in each estimated effect (left bottom graph), and marginal inclusion probabilities (right bottom graph) for each predictor variable of the subsetted covariate set</w:t>
      </w:r>
    </w:p>
    <w:bookmarkEnd w:id="44"/>
    <w:bookmarkEnd w:id="45"/>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18CBAF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7D462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F5C352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F0E7A0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F4A1E9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CF4EA6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9A8FDA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D641D5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6E698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AC675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Words>
  <Characters>86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Red King Crab stock in the Bristol Bay - Report Card</dc:title>
  <dc:creator>Kalei Shotwell, Abby Tyrell</dc:creator>
  <cp:keywords/>
  <dcterms:created xsi:type="dcterms:W3CDTF">2021-10-12T15:35:58Z</dcterms:created>
  <dcterms:modified xsi:type="dcterms:W3CDTF">2021-10-12T15:35:58Z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