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Physical Indicators</w:t>
      </w:r>
    </w:p>
    <w:p>
      <w:pPr>
        <w:pStyle w:val="BodyText"/>
      </w:pPr>
      <w:r>
        <w:t xml:space="preserve">a.) Annual marine heatwave cumulative index over the central GOA: Annual marine heatwave cumulative index over the central GOA (contact: Steve Barbeaux)</w:t>
      </w:r>
    </w:p>
    <w:p>
      <w:pPr>
        <w:pStyle w:val="BodyText"/>
      </w:pPr>
      <w:r>
        <w:t xml:space="preserve">Status and trends:NA</w:t>
      </w:r>
    </w:p>
    <w:p>
      <w:pPr>
        <w:pStyle w:val="BodyText"/>
      </w:pPr>
      <w:r>
        <w:t xml:space="preserve">Influential factors:NA</w:t>
      </w:r>
    </w:p>
    <w:p>
      <w:pPr>
        <w:pStyle w:val="BodyText"/>
      </w:pPr>
      <w:r>
        <w:t xml:space="preserve">b.) Late spring (May-June) daily sea surface temperatures (SST) for the eastern GOA from the NOAA Coral Reef Watch Program: Late spring (May-June) daily sea surface temperatures (SST) for the eastern GOA from the NOAA Coral Reef Watch Program (contact: Jordan Watson)</w:t>
      </w:r>
    </w:p>
    <w:p>
      <w:pPr>
        <w:pStyle w:val="BodyText"/>
      </w:pPr>
      <w:r>
        <w:t xml:space="preserve">Status and trends:Despite marked inter-annual variability, there appears to only be a slight upward trend in the overall time series.</w:t>
      </w:r>
    </w:p>
    <w:p>
      <w:pPr>
        <w:pStyle w:val="BodyText"/>
      </w:pPr>
      <w:r>
        <w:t xml:space="preserve">Influential factors:Oceanography.</w:t>
      </w:r>
    </w:p>
    <w:p>
      <w:pPr>
        <w:pStyle w:val="BodyText"/>
      </w:pPr>
      <w:r>
        <w:t xml:space="preserve">c.) Late spring (May-June) daily sea surface temperatures (SST) for the southeastern Bering Sea from the NOAA Coral Reef Watch Program: Late spring (May-June) daily sea surface temperatures (SST) for the southeastern Bering Sea from the NOAA Coral Reef Watch Program (contact: Jordan Watson)</w:t>
      </w:r>
    </w:p>
    <w:p>
      <w:pPr>
        <w:pStyle w:val="BodyText"/>
      </w:pPr>
      <w:r>
        <w:t xml:space="preserve">Status and trends:While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factors:Um, global climate change?</w:t>
      </w:r>
    </w:p>
    <w:p>
      <w:pPr>
        <w:pStyle w:val="BodyText"/>
      </w:pPr>
      <w:r>
        <w:t xml:space="preserve">d.) Summer temperature anomalies at 250 m isobath during the AFSC annual longline survey: Summer temperature anomalies at 250 m isobath during the AFSC annual longline survey (contact: Kevin Siwicke)</w:t>
      </w:r>
    </w:p>
    <w:p>
      <w:pPr>
        <w:pStyle w:val="BodyText"/>
      </w:pPr>
      <w:r>
        <w:t xml:space="preserve">Status and trends:The 250-m slope temperature index is in prime sablefish habitat and has not deviated greatly from the long-term mean. However, this index has remained positive for the last five years, a deviation from the historical fluctuations around the mean, suggesting these deeper waters may remain somewhat warmer than average (~0.1°C) from 2017-2021.</w:t>
      </w:r>
    </w:p>
    <w:p>
      <w:pPr>
        <w:pStyle w:val="BodyText"/>
      </w:pPr>
      <w:r>
        <w:t xml:space="preserve">Influential factors:Warming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Abundance of copepod community size from the continuous plankton recorder (CPR) for the offshore eastern GOA: Abundance of copepod community size from the continuous plankton recorder (CPR) for the offshore eastern GOA (contact: Clare Ostle)</w:t>
      </w:r>
    </w:p>
    <w:p>
      <w:pPr>
        <w:pStyle w:val="BodyText"/>
      </w:pPr>
      <w:r>
        <w:t xml:space="preserve">Status and trends:On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b.) Abundance of copepod community size from the continuous plankton recorder (CPR) for the offshore western GOA: Abundance of copepod community size from the continuous plankton recorder (CPR) for the offshore western GOA (contact: Clare Ostle)</w:t>
      </w:r>
    </w:p>
    <w:p>
      <w:pPr>
        <w:pStyle w:val="BodyText"/>
      </w:pPr>
      <w:r>
        <w:t xml:space="preserve">Status and trends:.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c.) Age-0 sablefish growth rate from auklet diets in Middleton Island : Age-0 sablefish growth rate from auklet diets in Middleton Island (contact: Mayumi Arimitsu)</w:t>
      </w:r>
    </w:p>
    <w:p>
      <w:pPr>
        <w:pStyle w:val="BodyText"/>
      </w:pPr>
      <w:r>
        <w:t xml:space="preserve">Status and trends:NA</w:t>
      </w:r>
    </w:p>
    <w:p>
      <w:pPr>
        <w:pStyle w:val="BodyText"/>
      </w:pPr>
      <w:r>
        <w:t xml:space="preserve">Influential factors:NA</w:t>
      </w:r>
    </w:p>
    <w:p>
      <w:pPr>
        <w:pStyle w:val="BodyText"/>
      </w:pPr>
      <w:r>
        <w:t xml:space="preserve">d.) Derived chlorophyll a concentration during spring seasonal peak (May) in the eastern GOA from the MODIS satellite: Derived chlorophyll a concentration during spring seasonal peak (May) in the eastern GOA from the MODIS satellite (contact: Jordan Watson)</w:t>
      </w:r>
    </w:p>
    <w:p>
      <w:pPr>
        <w:pStyle w:val="BodyText"/>
      </w:pPr>
      <w:r>
        <w:t xml:space="preserve">Status and trends:Variable</w:t>
      </w:r>
    </w:p>
    <w:p>
      <w:pPr>
        <w:pStyle w:val="BodyText"/>
      </w:pPr>
      <w:r>
        <w:t xml:space="preserve">Influential factors:Oceanography</w:t>
      </w:r>
    </w:p>
    <w:p>
      <w:pPr>
        <w:pStyle w:val="BodyText"/>
      </w:pPr>
      <w:r>
        <w:t xml:space="preserve">e.) Derived chlorophyll a concentration during spring seasonal peak (May) in the southeastern Bering Sea from the MODIS satellite: Derived chlorophyll a concentration during spring seasonal peak (May) in the southeastern Bering Sea from the MODIS satellite (contact: Jens Nielsen)</w:t>
      </w:r>
    </w:p>
    <w:p>
      <w:pPr>
        <w:pStyle w:val="BodyText"/>
      </w:pPr>
      <w:r>
        <w:t xml:space="preserve">Status and trends:NA</w:t>
      </w:r>
    </w:p>
    <w:p>
      <w:pPr>
        <w:pStyle w:val="BodyText"/>
      </w:pPr>
      <w:r>
        <w:t xml:space="preserve">Influential factors:NA</w:t>
      </w:r>
    </w:p>
    <w:p>
      <w:pPr>
        <w:pStyle w:val="BodyText"/>
      </w:pPr>
      <w:r>
        <w:t xml:space="preserve">f.) Peak timing of the spring bloom averaged across individual ADF&amp;G statistical areas in the eastern GOA region from the MODIS satellite : Peak timing of the spring bloom averaged across individual ADF&amp;G statistical areas in the eastern GOA region from the MODIS satellite (contact: Jordan Watson)</w:t>
      </w:r>
    </w:p>
    <w:p>
      <w:pPr>
        <w:pStyle w:val="BodyText"/>
      </w:pPr>
      <w:r>
        <w:t xml:space="preserve">Status and trends:NA</w:t>
      </w:r>
    </w:p>
    <w:p>
      <w:pPr>
        <w:pStyle w:val="BodyText"/>
      </w:pPr>
      <w:r>
        <w:t xml:space="preserve">Influential factors:NA</w:t>
      </w:r>
    </w:p>
    <w:p>
      <w:pPr>
        <w:pStyle w:val="BodyText"/>
      </w:pPr>
      <w:r>
        <w:t xml:space="preserve">g.) Peak timing of the spring bloom averaged across individual ADF&amp;G statistical areas in the southeastern Bering Sea from the MODIS satellite: Peak timing of the spring bloom averaged across individual ADF&amp;G statistical areas in the southeastern Bering Sea from the MODIS satellite (contact: Jens Nielsen)</w:t>
      </w:r>
    </w:p>
    <w:p>
      <w:pPr>
        <w:pStyle w:val="BodyText"/>
      </w:pPr>
      <w:r>
        <w:t xml:space="preserve">Status and trends:2021 spring bloom timing was close to the long-term mean peak timing</w:t>
      </w:r>
    </w:p>
    <w:p>
      <w:pPr>
        <w:pStyle w:val="BodyText"/>
      </w:pPr>
      <w:r>
        <w:t xml:space="preserve">Influential factors:NA</w:t>
      </w:r>
    </w:p>
    <w:p>
      <w:pPr>
        <w:pStyle w:val="BodyText"/>
      </w:pPr>
      <w:r>
        <w:t xml:space="preserve">h.) Summer euphausiid abundance for the Kodiak core survey area from the AFSC acoustic survey : Summer euphausiid abundance for the Kodiak core survey area from the AFSC acoustic survey (contact: Patrick Ressler)</w:t>
      </w:r>
    </w:p>
    <w:p>
      <w:pPr>
        <w:pStyle w:val="BodyText"/>
      </w:pPr>
      <w:r>
        <w:t xml:space="preserve">Status and trends:NA</w:t>
      </w:r>
    </w:p>
    <w:p>
      <w:pPr>
        <w:pStyle w:val="BodyText"/>
      </w:pPr>
      <w:r>
        <w:t xml:space="preserve">Influential factors:NA</w:t>
      </w:r>
    </w:p>
    <w:p>
      <w:pPr>
        <w:pStyle w:val="BodyText"/>
      </w:pPr>
      <w:r>
        <w:t xml:space="preserve">3.) Upper Trophic Indicators</w:t>
      </w:r>
    </w:p>
    <w:p>
      <w:pPr>
        <w:pStyle w:val="BodyText"/>
      </w:pPr>
      <w:r>
        <w:t xml:space="preserve">a.) Arrowtooth flounder total biomass from the most recent stock assessment model in the GOA: Arrowtooth flounder total biomass from the most recent stock assessment model in the GOA (contact: Kalei Shotwell)</w:t>
      </w:r>
    </w:p>
    <w:p>
      <w:pPr>
        <w:pStyle w:val="BodyText"/>
      </w:pPr>
      <w:r>
        <w:t xml:space="preserve">Status and trends:NA</w:t>
      </w:r>
    </w:p>
    <w:p>
      <w:pPr>
        <w:pStyle w:val="BodyText"/>
      </w:pPr>
      <w:r>
        <w:t xml:space="preserve">Influential factors:NA</w:t>
      </w:r>
    </w:p>
    <w:p>
      <w:pPr>
        <w:pStyle w:val="BodyText"/>
      </w:pPr>
      <w:r>
        <w:t xml:space="preserve">b.) Measure of evenness or concentration of age composition by cohort of female sablefish from the most recent sablefish stock assessment model : Measure of evenness or concentration of age composition by cohort of female sablefish from the most recent sablefish stock assessment model (contact: Dan Goethel)</w:t>
      </w:r>
    </w:p>
    <w:p>
      <w:pPr>
        <w:pStyle w:val="BodyText"/>
      </w:pPr>
      <w:r>
        <w:t xml:space="preserve">Status and trends:NA</w:t>
      </w:r>
    </w:p>
    <w:p>
      <w:pPr>
        <w:pStyle w:val="BodyText"/>
      </w:pPr>
      <w:r>
        <w:t xml:space="preserve">Influential factors:NA</w:t>
      </w:r>
    </w:p>
    <w:p>
      <w:pPr>
        <w:pStyle w:val="BodyText"/>
      </w:pPr>
      <w:r>
        <w:t xml:space="preserve">c.) Incidental catch of sablefish in the GOA arrowtooth flounder fishery: Incidental catch of sablefish in the GOA arrowtooth flounder fishery (contact: Kalei Shotwell)</w:t>
      </w:r>
    </w:p>
    <w:p>
      <w:pPr>
        <w:pStyle w:val="BodyText"/>
      </w:pPr>
      <w:r>
        <w:t xml:space="preserve">Status and trends:NA</w:t>
      </w:r>
    </w:p>
    <w:p>
      <w:pPr>
        <w:pStyle w:val="BodyText"/>
      </w:pPr>
      <w:r>
        <w:t xml:space="preserve">Influential factors:NA</w:t>
      </w:r>
    </w:p>
    <w:p>
      <w:pPr>
        <w:pStyle w:val="BodyText"/>
      </w:pPr>
      <w:r>
        <w:t xml:space="preserve">d.) Mean age of sablefish female spawning stock biomass from the most recent sablefish stock assessment model: Mean age of sablefish female spawning stock biomass from the most recent sablefish stock assessment model (contact: Dan Goethel)</w:t>
      </w:r>
    </w:p>
    <w:p>
      <w:pPr>
        <w:pStyle w:val="BodyText"/>
      </w:pPr>
      <w:r>
        <w:t xml:space="preserve">Status and trends:NA</w:t>
      </w:r>
    </w:p>
    <w:p>
      <w:pPr>
        <w:pStyle w:val="BodyText"/>
      </w:pPr>
      <w:r>
        <w:t xml:space="preserve">Influential factors:NA</w:t>
      </w:r>
    </w:p>
    <w:p>
      <w:pPr>
        <w:pStyle w:val="BodyText"/>
      </w:pPr>
      <w:r>
        <w:t xml:space="preserve">e.) Catch-per-unit-of-effort (CPUE) of juvenile sablefish (&lt;400 mm, likely age-1) collected on summer AFSC bottom-trawl surveys: Catch-per-unit-of-effort (CPUE) of juvenile sablefish (&lt;400 mm, likely age-1) collected on summer AFSC bottom-trawl surveys (contact: Kalei Shotwell)</w:t>
      </w:r>
    </w:p>
    <w:p>
      <w:pPr>
        <w:pStyle w:val="BodyText"/>
      </w:pPr>
      <w:r>
        <w:t xml:space="preserve">Status and trends:NA</w:t>
      </w:r>
    </w:p>
    <w:p>
      <w:pPr>
        <w:pStyle w:val="BodyText"/>
      </w:pPr>
      <w:r>
        <w:t xml:space="preserve">Influential factors:NA</w:t>
      </w:r>
    </w:p>
    <w:p>
      <w:pPr>
        <w:pStyle w:val="BodyText"/>
      </w:pPr>
      <w:r>
        <w:t xml:space="preserve">f.) Sablefish catch-per-unit-effort (CPUE) and lengths from the ADF&amp;G large mesh bottom trawl survey of crab and groundfish: Sablefish catch-per-unit-effort (CPUE) and lengths from the ADF&amp;G large mesh bottom trawl survey of crab and groundfish (contact: Kally Spalinger)</w:t>
      </w:r>
    </w:p>
    <w:p>
      <w:pPr>
        <w:pStyle w:val="BodyText"/>
      </w:pPr>
      <w:r>
        <w:t xml:space="preserve">Status and trends:Sablefish CPUE on the ADF&amp;G large-mesh bottom trawl survey remained at relatively low levels from 1989 until 2015, when it began increasing. Sablefish catches in kg have been above average for 6 of the last 7 years.</w:t>
      </w:r>
    </w:p>
    <w:p>
      <w:pPr>
        <w:pStyle w:val="BodyText"/>
      </w:pPr>
      <w:r>
        <w:t xml:space="preserve">Influential factors:NA</w:t>
      </w:r>
    </w:p>
    <w:p>
      <w:pPr>
        <w:pStyle w:val="BodyText"/>
      </w:pPr>
      <w:r>
        <w:t xml:space="preserve">g.) Summer sablefish condition for large adult (&gt;=750 mm) female sablefish from the GOA AFSC longline survey: Summer sablefish condition for large adult (&gt;=750 mm) female sablefish from the GOA AFSC longline survey (contact: Jane Sullivan)</w:t>
      </w:r>
    </w:p>
    <w:p>
      <w:pPr>
        <w:pStyle w:val="BodyText"/>
      </w:pPr>
      <w:r>
        <w:t xml:space="preserve">Status and trends:The condition of large female sablefish in the longline survey was below average for the third consecutive year.</w:t>
      </w:r>
    </w:p>
    <w:p>
      <w:pPr>
        <w:pStyle w:val="BodyText"/>
      </w:pPr>
      <w:r>
        <w:t xml:space="preserve">Influential factors:NA</w:t>
      </w:r>
    </w:p>
    <w:p>
      <w:pPr>
        <w:pStyle w:val="BodyText"/>
      </w:pPr>
      <w:r>
        <w:t xml:space="preserve">h.) Summer sablefish condition for age-4, immature female sablefish from the GOA AFSC longline survey: Summer sablefish condition for age-4, immature female sablefish from the GOA AFSC longline survey (contact: Jane Sullivan)</w:t>
      </w:r>
    </w:p>
    <w:p>
      <w:pPr>
        <w:pStyle w:val="BodyText"/>
      </w:pPr>
      <w:r>
        <w:t xml:space="preserve">Status and trends:The condition index for the 2020 age-4 immature females collected in the longline survey was below average for the third consecutive year.</w:t>
      </w:r>
    </w:p>
    <w:p>
      <w:pPr>
        <w:pStyle w:val="BodyText"/>
      </w:pPr>
      <w:r>
        <w:t xml:space="preserve">Influential factors:NA</w:t>
      </w:r>
    </w:p>
    <w:bookmarkEnd w:id="25"/>
    <w:bookmarkStart w:id="26"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Sablefish condition for large (&gt;= 750 mm) female sablefish from data collected randomly by observers in the BSAI fisheries: Sablefish condition for large (&gt;= 750 mm) female sablefish from data collected randomly by observers in the BSAI fisheries (contact: Jane Sullivan)</w:t>
      </w:r>
    </w:p>
    <w:p>
      <w:pPr>
        <w:pStyle w:val="BodyText"/>
      </w:pPr>
      <w:r>
        <w:t xml:space="preserve">Status and trends:There has been no update to this indicator since 2016 due to lack of data.</w:t>
      </w:r>
    </w:p>
    <w:p>
      <w:pPr>
        <w:pStyle w:val="BodyText"/>
      </w:pPr>
      <w:r>
        <w:t xml:space="preserve">Influential factors:NA</w:t>
      </w:r>
    </w:p>
    <w:p>
      <w:pPr>
        <w:pStyle w:val="BodyText"/>
      </w:pPr>
      <w:r>
        <w:t xml:space="preserve">b.) Sablefish condition for large (&gt;= 750 mm) female sablefish from data collected randomly by observers in the GOA fisheries: Sablefish condition for large (&gt;= 750 mm) female sablefish from data collected randomly by observers in the GOA fisheries (contact: Jane Sullivan)</w:t>
      </w:r>
    </w:p>
    <w:p>
      <w:pPr>
        <w:pStyle w:val="BodyText"/>
      </w:pPr>
      <w:r>
        <w:t xml:space="preserve">Status and trends:The 2021 condition index for large female sablefish in the fishery is the lowest for the time series.</w:t>
      </w:r>
    </w:p>
    <w:p>
      <w:pPr>
        <w:pStyle w:val="BodyText"/>
      </w:pPr>
      <w:r>
        <w:t xml:space="preserve">Influential factors:These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c.) Incidental catch estimates of sablefish in the Bering Sea fisheries excluding the sablefish fishery: Incidental catch estimates of sablefish in the Bering Sea fisheries excluding the sablefish fishery (contact: Kalei Shotwell)</w:t>
      </w:r>
    </w:p>
    <w:p>
      <w:pPr>
        <w:pStyle w:val="BodyText"/>
      </w:pPr>
      <w:r>
        <w:t xml:space="preserve">Status and trends:NA</w:t>
      </w:r>
    </w:p>
    <w:p>
      <w:pPr>
        <w:pStyle w:val="BodyText"/>
      </w:pPr>
      <w:r>
        <w:t xml:space="preserve">Influential factors:NA</w:t>
      </w:r>
    </w:p>
    <w:p>
      <w:pPr>
        <w:pStyle w:val="BodyText"/>
      </w:pPr>
      <w:r>
        <w:t xml:space="preserve">d.) Incidental catch estimates of sablefish in the GOA fisheries excluding the sablefish fishery : Incidental catch estimates of sablefish in the GOA fisheries excluding the sablefish fishery (contact: Kalei Shotwell)</w:t>
      </w:r>
    </w:p>
    <w:p>
      <w:pPr>
        <w:pStyle w:val="BodyText"/>
      </w:pPr>
      <w:r>
        <w:t xml:space="preserve">Status and trends:NA</w:t>
      </w:r>
    </w:p>
    <w:p>
      <w:pPr>
        <w:pStyle w:val="BodyText"/>
      </w:pPr>
      <w:r>
        <w:t xml:space="preserve">Influential factors:NA</w:t>
      </w:r>
    </w:p>
    <w:p>
      <w:pPr>
        <w:pStyle w:val="BodyText"/>
      </w:pPr>
      <w:r>
        <w:t xml:space="preserve">e.) Catch-per-unit-of-effort of sablefish from the longline fisheries in the GOA: Catch-per-unit-of-effort of sablefish from the longline fisheries in the GOA (contact: Dan Goethel)</w:t>
      </w:r>
    </w:p>
    <w:p>
      <w:pPr>
        <w:pStyle w:val="BodyText"/>
      </w:pPr>
      <w:r>
        <w:t xml:space="preserve">Status and trends:NA</w:t>
      </w:r>
    </w:p>
    <w:p>
      <w:pPr>
        <w:pStyle w:val="BodyText"/>
      </w:pPr>
      <w:r>
        <w:t xml:space="preserve">Influential factors:NA</w:t>
      </w:r>
    </w:p>
    <w:p>
      <w:pPr>
        <w:pStyle w:val="BodyText"/>
      </w:pPr>
      <w:r>
        <w:t xml:space="preserve">f.) Catch per unit of effort of sablefish estimated from the pot fisheries in the eastern Bering Sea: Catch per unit of effort of sablefish estimated from the pot fisheries in the eastern Bering Sea (contact: Dan Goethel)</w:t>
      </w:r>
    </w:p>
    <w:p>
      <w:pPr>
        <w:pStyle w:val="BodyText"/>
      </w:pPr>
      <w:r>
        <w:t xml:space="preserve">Status and trends:NA</w:t>
      </w:r>
    </w:p>
    <w:p>
      <w:pPr>
        <w:pStyle w:val="BodyText"/>
      </w:pPr>
      <w:r>
        <w:t xml:space="preserve">Influential factors:NA</w:t>
      </w:r>
    </w:p>
    <w:p>
      <w:pPr>
        <w:pStyle w:val="BodyText"/>
      </w:pPr>
      <w:r>
        <w:t xml:space="preserve">2.) Economic Indicators</w:t>
      </w:r>
    </w:p>
    <w:p>
      <w:pPr>
        <w:pStyle w:val="BodyText"/>
      </w:pPr>
      <w:r>
        <w:t xml:space="preserve">a.) Average real ex-vessel price per pound of sablefish from fish ticket information: Average real ex-vessel price per pound of sablefish from fish ticket information (contact: Ben Fissel)</w:t>
      </w:r>
    </w:p>
    <w:p>
      <w:pPr>
        <w:pStyle w:val="BodyText"/>
      </w:pPr>
      <w:r>
        <w:t xml:space="preserve">Status and trends:NA</w:t>
      </w:r>
    </w:p>
    <w:p>
      <w:pPr>
        <w:pStyle w:val="BodyText"/>
      </w:pPr>
      <w:r>
        <w:t xml:space="preserve">Influential factors:NA</w:t>
      </w:r>
    </w:p>
    <w:p>
      <w:pPr>
        <w:pStyle w:val="BodyText"/>
      </w:pPr>
      <w:r>
        <w:t xml:space="preserve">b.) Annual estimated real ex-vessel value of sablefish: Annual estimated real ex-vessel value of sablefish (contact: Ben Fissel)</w:t>
      </w:r>
    </w:p>
    <w:p>
      <w:pPr>
        <w:pStyle w:val="BodyText"/>
      </w:pPr>
      <w:r>
        <w:t xml:space="preserve">Status and trends:NA</w:t>
      </w:r>
    </w:p>
    <w:p>
      <w:pPr>
        <w:pStyle w:val="BodyText"/>
      </w:pPr>
      <w:r>
        <w:t xml:space="preserve">Influential factors:NA</w:t>
      </w:r>
    </w:p>
    <w:p>
      <w:pPr>
        <w:pStyle w:val="BodyText"/>
      </w:pPr>
      <w:r>
        <w:t xml:space="preserve">3.) Community Indicators</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86e08d92-7a87-4a36-be6b-5e3f3e5ba66f"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86e08d92-7a87-4a36-be6b-5e3f3e5ba66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4"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Heatwave GOA</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EGOA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WGOA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w:t>
              <w:br/>
              <w:t xml:space="preserve">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bl>
    <w:p>
      <w:pPr>
        <w:pStyle w:val="TableCaption"/>
      </w:pPr>
      <w:r>
        <w:t xml:space="preserve">Table 2:</w:t>
      </w:r>
      <w:r>
        <w:t xml:space="preserve"> </w:t>
      </w:r>
      <w:bookmarkStart w:id="467e3329-f449-4687-b718-363e48b5fbe8"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467e3329-f449-4687-b718-363e48b5fbe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 Pot</w:t>
              <w:br/>
              <w:t xml:space="preserve">CPUE EBS 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BSAI Fishery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C1C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C1C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Longline CPUE GOA</w:t>
              <w:br/>
              <w:t xml:space="preserve">Fishery</w:t>
            </w:r>
          </w:p>
        </w:tc>
        <w:tc>
          <w:tcPr>
            <w:tcBorders>
              <w:bottom w:val="single" w:sz="4" w:space="0" w:color="666666"/>
              <w:top w:val="single" w:sz="4" w:space="0" w:color="666666"/>
            </w:tcBorders>
            <w:shd w:val="clear" w:color="auto" w:fill="FFC1C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C1C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C1C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4" w:space="0" w:color="666666"/>
              <w:top w:val="single" w:sz="4" w:space="0" w:color="666666"/>
            </w:tcBorders>
            <w:shd w:val="clear" w:color="auto" w:fill="CD9B9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C1C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C1C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C1C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FFC1C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51"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94e75fb19c002201b2e18ef6b5bac17abc998c7"/>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1416e17487148551c3cb0baf4587851ca25e4f9"/>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e55dfe28bd519d1784a243a364a97f1f572f69a"/>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4.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4" w:name="Xccb5aa8503b4b3a6569e405e35149f2cc8373bc"/>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5.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03b2462981955b45f75c68f10f853e06ef3e621"/>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6.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7b0677129e1bcee7b67087a48f24f899bccb994"/>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2: Alt text" title="" id="1" name="Picture"/>
            <a:graphic>
              <a:graphicData uri="http://schemas.openxmlformats.org/drawingml/2006/picture">
                <pic:pic>
                  <pic:nvPicPr>
                    <pic:cNvPr descr="esp-report-card-template_files/figure-docx/overall-1.png" id="0" name="Picture"/>
                    <pic:cNvPicPr>
                      <a:picLocks noChangeArrowheads="1" noChangeAspect="1"/>
                    </pic:cNvPicPr>
                  </pic:nvPicPr>
                  <pic:blipFill>
                    <a:blip r:embed="rId47"/>
                    <a:stretch>
                      <a:fillRect/>
                    </a:stretch>
                  </pic:blipFill>
                  <pic:spPr bwMode="auto">
                    <a:xfrm>
                      <a:off x="0" y="0"/>
                      <a:ext cx="4620126" cy="6468176"/>
                    </a:xfrm>
                    <a:prstGeom prst="rect">
                      <a:avLst/>
                    </a:prstGeom>
                    <a:noFill/>
                    <a:ln w="9525">
                      <a:noFill/>
                      <a:headEnd/>
                      <a:tailEnd/>
                    </a:ln>
                  </pic:spPr>
                </pic:pic>
              </a:graphicData>
            </a:graphic>
          </wp:inline>
        </w:drawing>
      </w:r>
    </w:p>
    <w:bookmarkEnd w:id="48"/>
    <w:bookmarkStart w:id="49" w:name="Xa77fc4f72fd4c44d6669c8079608aaf15ba462a"/>
    <w:p>
      <w:pPr>
        <w:pStyle w:val="Heading5"/>
      </w:pPr>
      <w:r>
        <w:t xml:space="preserve">Figure</w:t>
      </w:r>
      <w:r>
        <w:t xml:space="preserve"> </w:t>
      </w:r>
      <w:r>
        <w:t xml:space="preserve">2</w:t>
      </w:r>
      <w:r>
        <w:t xml:space="preserve">. Simple traffic light score for overall ecosystem and socioeconomic categories from 1977 to present.</w:t>
      </w:r>
    </w:p>
    <w:p>
      <w:pPr>
        <w:pStyle w:val="FirstParagraph"/>
      </w:pPr>
      <w:r>
        <w:drawing>
          <wp:inline>
            <wp:extent cx="5943600" cy="4818561"/>
            <wp:effectExtent b="0" l="0" r="0" t="0"/>
            <wp:docPr descr="Figure 3: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9"/>
    <w:bookmarkStart w:id="50" w:name="Xe475e4f94137d46aa9218c58887fcfc6df19138"/>
    <w:p>
      <w:pPr>
        <w:pStyle w:val="Heading5"/>
      </w:pPr>
      <w:r>
        <w:t xml:space="preserve">Figure</w:t>
      </w:r>
      <w:r>
        <w:t xml:space="preserve"> </w:t>
      </w:r>
      <w:r>
        <w:t xml:space="preserve">3</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50"/>
    <w:bookmarkEnd w:id="51"/>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2021-10-26T18:48:31Z</dcterms:created>
  <dcterms:modified xsi:type="dcterms:W3CDTF">2021-10-26T18:48:31Z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