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6B3F2A"/>
          <w:sz w:val="56"/>
          <w:szCs w:val="56"/>
        </w:rPr>
        <w:t xml:space="preserve">MERCHANT OF FATE</w:t>
      </w:r>
    </w:p>
    <w:p>
      <w:pPr>
        <w:spacing w:after="400"/>
        <w:jc w:val="center"/>
      </w:pPr>
      <w:r>
        <w:rPr>
          <w:i/>
          <w:iCs/>
          <w:sz w:val="24"/>
          <w:szCs w:val="24"/>
        </w:rPr>
        <w:t xml:space="preserve">A pirate roguelike of debts, blood, and the gods who left them owing</w:t>
      </w:r>
    </w:p>
    <w:p>
      <w:pPr>
        <w:pBdr>
          <w:bottom w:val="single" w:color="AAAAAA" w:sz="6" w:space="1"/>
        </w:pBdr>
        <w:spacing w:after="200"/>
      </w:pPr>
    </w:p>
    <w:p>
      <w:pPr>
        <w:pStyle w:val="Heading1"/>
        <w:spacing w:after="200" w:before="400"/>
      </w:pPr>
      <w:r>
        <w:t xml:space="preserve">Logline</w:t>
      </w:r>
    </w:p>
    <w:p>
      <w:pPr>
        <w:spacing w:after="160"/>
        <w:jc w:val="left"/>
      </w:pPr>
      <w:r>
        <w:rPr>
          <w:b w:val="false"/>
          <w:bCs w:val="false"/>
          <w:i w:val="false"/>
          <w:iCs w:val="false"/>
        </w:rPr>
        <w:t xml:space="preserve">In a world where three dragons made the first man and paid for every gift they gave him, a captain fights a debt that outlives its own gods. Merchant of Fate is a roguelike shipbuilder and 2D naval combat game about the price fate always exacts, and what it costs to keep dodging it.</w:t>
      </w:r>
    </w:p>
    <w:p>
      <w:pPr>
        <w:pStyle w:val="Heading1"/>
        <w:spacing w:after="200" w:before="400"/>
      </w:pPr>
      <w:r>
        <w:t xml:space="preserve">The World</w:t>
      </w:r>
    </w:p>
    <w:p>
      <w:pPr>
        <w:spacing w:after="160"/>
        <w:jc w:val="left"/>
      </w:pPr>
      <w:r>
        <w:rPr>
          <w:b w:val="false"/>
          <w:bCs w:val="false"/>
          <w:i w:val="false"/>
          <w:iCs w:val="false"/>
        </w:rPr>
        <w:t xml:space="preserve">Three beings, Tellus of the earth, Aequor of the ocean, and Anima of the wind, were the first things to wake on the world of Terra. Bored of their own creation, they made a man, Primum, and gave him agency, wisdom, and duty, each gift paid for in flesh, blood, or divinity.</w:t>
      </w:r>
    </w:p>
    <w:p>
      <w:pPr>
        <w:spacing w:after="160"/>
        <w:jc w:val="left"/>
      </w:pPr>
      <w:r>
        <w:rPr>
          <w:b w:val="false"/>
          <w:bCs w:val="false"/>
          <w:i w:val="false"/>
          <w:iCs w:val="false"/>
        </w:rPr>
        <w:t xml:space="preserve">Primum's descendants scattered into clans, each one shaped by a piece of that original bargain. Ferus, the firstborn made on instinct alone before agency was understood, was never counted among the true children, a wound the family carries into its very naming conventions generations later.</w:t>
      </w:r>
    </w:p>
    <w:p>
      <w:pPr>
        <w:spacing w:after="160"/>
        <w:jc w:val="left"/>
      </w:pPr>
      <w:r>
        <w:rPr>
          <w:b w:val="false"/>
          <w:bCs w:val="false"/>
          <w:i w:val="false"/>
          <w:iCs w:val="false"/>
        </w:rPr>
        <w:t xml:space="preserve">The gods themselves did not survive their own myth. Anima tore out his own heart so his children's children could breathe free. Tellus was betrayed by the very humanity he gave duty to, an event so total it splits the entire calendar in two: Before Malum, and After. The current era has no name yet. It is still being written, by whoever the player becomes.</w:t>
      </w:r>
    </w:p>
    <w:p>
      <w:pPr>
        <w:pStyle w:val="Heading1"/>
        <w:spacing w:after="200" w:before="400"/>
      </w:pPr>
      <w:r>
        <w:t xml:space="preserve">Timeline of the Aetas</w:t>
      </w:r>
    </w:p>
    <w:p>
      <w:pPr>
        <w:spacing w:after="160"/>
        <w:jc w:val="left"/>
      </w:pPr>
      <w:r>
        <w:rPr>
          <w:b w:val="false"/>
          <w:bCs w:val="false"/>
          <w:i w:val="false"/>
          <w:iCs w:val="false"/>
        </w:rPr>
        <w:t xml:space="preserve">History is measured in Aetas, ages named for the event that defined them, not assigned in advance. The current age remains unnamed for exactly that reason: it hasn't happened yet.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200"/>
      </w:tblGrid>
      <w:tr>
        <w:tc>
          <w:tcPr>
            <w:tcW w:type="dxa" w:w="2400"/>
            <w:shd w:fill="E8DFD3" w:val="clear"/>
          </w:tcPr>
          <w:p>
            <w:r>
              <w:rPr>
                <w:b/>
                <w:bCs/>
                <w:sz w:val="20"/>
                <w:szCs w:val="20"/>
              </w:rPr>
              <w:t xml:space="preserve">Aetas</w:t>
            </w:r>
          </w:p>
        </w:tc>
        <w:tc>
          <w:tcPr>
            <w:tcW w:type="dxa" w:w="1600"/>
            <w:shd w:fill="E8DFD3" w:val="clear"/>
          </w:tcPr>
          <w:p>
            <w:r>
              <w:rPr>
                <w:b/>
                <w:bCs/>
                <w:sz w:val="20"/>
                <w:szCs w:val="20"/>
              </w:rPr>
              <w:t xml:space="preserve">Range</w:t>
            </w:r>
          </w:p>
        </w:tc>
        <w:tc>
          <w:tcPr>
            <w:tcW w:type="dxa" w:w="1200"/>
            <w:shd w:fill="E8DFD3" w:val="clear"/>
          </w:tcPr>
          <w:p>
            <w:r>
              <w:rPr>
                <w:b/>
                <w:bCs/>
                <w:sz w:val="20"/>
                <w:szCs w:val="20"/>
              </w:rPr>
              <w:t xml:space="preserve">Length</w:t>
            </w:r>
          </w:p>
        </w:tc>
        <w:tc>
          <w:tcPr>
            <w:tcW w:type="dxa" w:w="4200"/>
            <w:shd w:fill="E8DFD3" w:val="clear"/>
          </w:tcPr>
          <w:p>
            <w:r>
              <w:rPr>
                <w:b/>
                <w:bCs/>
                <w:sz w:val="20"/>
                <w:szCs w:val="20"/>
              </w:rPr>
              <w:t xml:space="preserve">Defining event</w:t>
            </w:r>
          </w:p>
        </w:tc>
      </w:tr>
      <w:tr>
        <w:tc>
          <w:tcPr>
            <w:tcW w:type="dxa" w:w="2400"/>
          </w:tcPr>
          <w:p>
            <w:r>
              <w:rPr>
                <w:b/>
                <w:bCs/>
                <w:sz w:val="20"/>
                <w:szCs w:val="20"/>
              </w:rPr>
              <w:t xml:space="preserve">Aetas of Creation</w:t>
            </w:r>
          </w:p>
        </w:tc>
        <w:tc>
          <w:tcPr>
            <w:tcW w:type="dxa" w:w="1600"/>
          </w:tcPr>
          <w:p>
            <w:r>
              <w:rPr>
                <w:b w:val="false"/>
                <w:bCs w:val="false"/>
                <w:sz w:val="20"/>
                <w:szCs w:val="20"/>
              </w:rPr>
              <w:t xml:space="preserve">3001–2793 BM</w:t>
            </w:r>
          </w:p>
        </w:tc>
        <w:tc>
          <w:tcPr>
            <w:tcW w:type="dxa" w:w="1200"/>
          </w:tcPr>
          <w:p>
            <w:r>
              <w:rPr>
                <w:b w:val="false"/>
                <w:bCs w:val="false"/>
                <w:sz w:val="20"/>
                <w:szCs w:val="20"/>
              </w:rPr>
              <w:t xml:space="preserve">209 yrs</w:t>
            </w:r>
          </w:p>
        </w:tc>
        <w:tc>
          <w:tcPr>
            <w:tcW w:type="dxa" w:w="4200"/>
          </w:tcPr>
          <w:p>
            <w:r>
              <w:rPr>
                <w:b w:val="false"/>
                <w:bCs w:val="false"/>
                <w:sz w:val="20"/>
                <w:szCs w:val="20"/>
              </w:rPr>
              <w:t xml:space="preserve">The brothers create Man</w:t>
            </w:r>
          </w:p>
        </w:tc>
      </w:tr>
      <w:tr>
        <w:tc>
          <w:tcPr>
            <w:tcW w:type="dxa" w:w="2400"/>
          </w:tcPr>
          <w:p>
            <w:r>
              <w:rPr>
                <w:b/>
                <w:bCs/>
                <w:sz w:val="20"/>
                <w:szCs w:val="20"/>
              </w:rPr>
              <w:t xml:space="preserve">Aetas of Man</w:t>
            </w:r>
          </w:p>
        </w:tc>
        <w:tc>
          <w:tcPr>
            <w:tcW w:type="dxa" w:w="1600"/>
          </w:tcPr>
          <w:p>
            <w:r>
              <w:rPr>
                <w:b w:val="false"/>
                <w:bCs w:val="false"/>
                <w:sz w:val="20"/>
                <w:szCs w:val="20"/>
              </w:rPr>
              <w:t xml:space="preserve">2792–2435 BM</w:t>
            </w:r>
          </w:p>
        </w:tc>
        <w:tc>
          <w:tcPr>
            <w:tcW w:type="dxa" w:w="1200"/>
          </w:tcPr>
          <w:p>
            <w:r>
              <w:rPr>
                <w:b w:val="false"/>
                <w:bCs w:val="false"/>
                <w:sz w:val="20"/>
                <w:szCs w:val="20"/>
              </w:rPr>
              <w:t xml:space="preserve">358 yrs</w:t>
            </w:r>
          </w:p>
        </w:tc>
        <w:tc>
          <w:tcPr>
            <w:tcW w:type="dxa" w:w="4200"/>
          </w:tcPr>
          <w:p>
            <w:r>
              <w:rPr>
                <w:b w:val="false"/>
                <w:bCs w:val="false"/>
                <w:sz w:val="20"/>
                <w:szCs w:val="20"/>
              </w:rPr>
              <w:t xml:space="preserve">The children of Primum form clans</w:t>
            </w:r>
          </w:p>
        </w:tc>
      </w:tr>
      <w:tr>
        <w:tc>
          <w:tcPr>
            <w:tcW w:type="dxa" w:w="2400"/>
          </w:tcPr>
          <w:p>
            <w:r>
              <w:rPr>
                <w:b/>
                <w:bCs/>
                <w:sz w:val="20"/>
                <w:szCs w:val="20"/>
              </w:rPr>
              <w:t xml:space="preserve">Aetas of Peace</w:t>
            </w:r>
          </w:p>
        </w:tc>
        <w:tc>
          <w:tcPr>
            <w:tcW w:type="dxa" w:w="1600"/>
          </w:tcPr>
          <w:p>
            <w:r>
              <w:rPr>
                <w:b w:val="false"/>
                <w:bCs w:val="false"/>
                <w:sz w:val="20"/>
                <w:szCs w:val="20"/>
              </w:rPr>
              <w:t xml:space="preserve">2434–2301 BM</w:t>
            </w:r>
          </w:p>
        </w:tc>
        <w:tc>
          <w:tcPr>
            <w:tcW w:type="dxa" w:w="1200"/>
          </w:tcPr>
          <w:p>
            <w:r>
              <w:rPr>
                <w:b w:val="false"/>
                <w:bCs w:val="false"/>
                <w:sz w:val="20"/>
                <w:szCs w:val="20"/>
              </w:rPr>
              <w:t xml:space="preserve">134 yrs</w:t>
            </w:r>
          </w:p>
        </w:tc>
        <w:tc>
          <w:tcPr>
            <w:tcW w:type="dxa" w:w="4200"/>
          </w:tcPr>
          <w:p>
            <w:r>
              <w:rPr>
                <w:b w:val="false"/>
                <w:bCs w:val="false"/>
                <w:sz w:val="20"/>
                <w:szCs w:val="20"/>
              </w:rPr>
              <w:t xml:space="preserve">Humans build cities and trade for goods</w:t>
            </w:r>
          </w:p>
        </w:tc>
      </w:tr>
      <w:tr>
        <w:tc>
          <w:tcPr>
            <w:tcW w:type="dxa" w:w="2400"/>
          </w:tcPr>
          <w:p>
            <w:r>
              <w:rPr>
                <w:b/>
                <w:bCs/>
                <w:sz w:val="20"/>
                <w:szCs w:val="20"/>
              </w:rPr>
              <w:t xml:space="preserve">Aetas of War</w:t>
            </w:r>
          </w:p>
        </w:tc>
        <w:tc>
          <w:tcPr>
            <w:tcW w:type="dxa" w:w="1600"/>
          </w:tcPr>
          <w:p>
            <w:r>
              <w:rPr>
                <w:b w:val="false"/>
                <w:bCs w:val="false"/>
                <w:sz w:val="20"/>
                <w:szCs w:val="20"/>
              </w:rPr>
              <w:t xml:space="preserve">2300–1311 BM</w:t>
            </w:r>
          </w:p>
        </w:tc>
        <w:tc>
          <w:tcPr>
            <w:tcW w:type="dxa" w:w="1200"/>
          </w:tcPr>
          <w:p>
            <w:r>
              <w:rPr>
                <w:b w:val="false"/>
                <w:bCs w:val="false"/>
                <w:sz w:val="20"/>
                <w:szCs w:val="20"/>
              </w:rPr>
              <w:t xml:space="preserve">990 yrs</w:t>
            </w:r>
          </w:p>
        </w:tc>
        <w:tc>
          <w:tcPr>
            <w:tcW w:type="dxa" w:w="4200"/>
          </w:tcPr>
          <w:p>
            <w:r>
              <w:rPr>
                <w:b w:val="false"/>
                <w:bCs w:val="false"/>
                <w:sz w:val="20"/>
                <w:szCs w:val="20"/>
              </w:rPr>
              <w:t xml:space="preserve">A thousand year war between clans; Ferrin nearly wiped out</w:t>
            </w:r>
          </w:p>
        </w:tc>
      </w:tr>
      <w:tr>
        <w:tc>
          <w:tcPr>
            <w:tcW w:type="dxa" w:w="2400"/>
          </w:tcPr>
          <w:p>
            <w:r>
              <w:rPr>
                <w:b/>
                <w:bCs/>
                <w:sz w:val="20"/>
                <w:szCs w:val="20"/>
              </w:rPr>
              <w:t xml:space="preserve">Aetas of Gods</w:t>
            </w:r>
          </w:p>
        </w:tc>
        <w:tc>
          <w:tcPr>
            <w:tcW w:type="dxa" w:w="1600"/>
          </w:tcPr>
          <w:p>
            <w:r>
              <w:rPr>
                <w:b w:val="false"/>
                <w:bCs w:val="false"/>
                <w:sz w:val="20"/>
                <w:szCs w:val="20"/>
              </w:rPr>
              <w:t xml:space="preserve">1310–1002 BM</w:t>
            </w:r>
          </w:p>
        </w:tc>
        <w:tc>
          <w:tcPr>
            <w:tcW w:type="dxa" w:w="1200"/>
          </w:tcPr>
          <w:p>
            <w:r>
              <w:rPr>
                <w:b w:val="false"/>
                <w:bCs w:val="false"/>
                <w:sz w:val="20"/>
                <w:szCs w:val="20"/>
              </w:rPr>
              <w:t xml:space="preserve">309 yrs</w:t>
            </w:r>
          </w:p>
        </w:tc>
        <w:tc>
          <w:tcPr>
            <w:tcW w:type="dxa" w:w="4200"/>
          </w:tcPr>
          <w:p>
            <w:r>
              <w:rPr>
                <w:b w:val="false"/>
                <w:bCs w:val="false"/>
                <w:sz w:val="20"/>
                <w:szCs w:val="20"/>
              </w:rPr>
              <w:t xml:space="preserve">Worship centers on the brothers, chiefly Anima</w:t>
            </w:r>
          </w:p>
        </w:tc>
      </w:tr>
      <w:tr>
        <w:tc>
          <w:tcPr>
            <w:tcW w:type="dxa" w:w="2400"/>
          </w:tcPr>
          <w:p>
            <w:r>
              <w:rPr>
                <w:b/>
                <w:bCs/>
                <w:sz w:val="20"/>
                <w:szCs w:val="20"/>
              </w:rPr>
              <w:t xml:space="preserve">Aetas of Atlan</w:t>
            </w:r>
          </w:p>
        </w:tc>
        <w:tc>
          <w:tcPr>
            <w:tcW w:type="dxa" w:w="1600"/>
          </w:tcPr>
          <w:p>
            <w:r>
              <w:rPr>
                <w:b w:val="false"/>
                <w:bCs w:val="false"/>
                <w:sz w:val="20"/>
                <w:szCs w:val="20"/>
              </w:rPr>
              <w:t xml:space="preserve">1001–775 BM</w:t>
            </w:r>
          </w:p>
        </w:tc>
        <w:tc>
          <w:tcPr>
            <w:tcW w:type="dxa" w:w="1200"/>
          </w:tcPr>
          <w:p>
            <w:r>
              <w:rPr>
                <w:b w:val="false"/>
                <w:bCs w:val="false"/>
                <w:sz w:val="20"/>
                <w:szCs w:val="20"/>
              </w:rPr>
              <w:t xml:space="preserve">227 yrs</w:t>
            </w:r>
          </w:p>
        </w:tc>
        <w:tc>
          <w:tcPr>
            <w:tcW w:type="dxa" w:w="4200"/>
          </w:tcPr>
          <w:p>
            <w:r>
              <w:rPr>
                <w:b w:val="false"/>
                <w:bCs w:val="false"/>
                <w:sz w:val="20"/>
                <w:szCs w:val="20"/>
              </w:rPr>
              <w:t xml:space="preserve">Age of exploration; the Atlan clan maps the world</w:t>
            </w:r>
          </w:p>
        </w:tc>
      </w:tr>
      <w:tr>
        <w:tc>
          <w:tcPr>
            <w:tcW w:type="dxa" w:w="2400"/>
          </w:tcPr>
          <w:p>
            <w:r>
              <w:rPr>
                <w:b/>
                <w:bCs/>
                <w:sz w:val="20"/>
                <w:szCs w:val="20"/>
              </w:rPr>
              <w:t xml:space="preserve">Aetas of Terra</w:t>
            </w:r>
          </w:p>
        </w:tc>
        <w:tc>
          <w:tcPr>
            <w:tcW w:type="dxa" w:w="1600"/>
          </w:tcPr>
          <w:p>
            <w:r>
              <w:rPr>
                <w:b w:val="false"/>
                <w:bCs w:val="false"/>
                <w:sz w:val="20"/>
                <w:szCs w:val="20"/>
              </w:rPr>
              <w:t xml:space="preserve">774–542 BM</w:t>
            </w:r>
          </w:p>
        </w:tc>
        <w:tc>
          <w:tcPr>
            <w:tcW w:type="dxa" w:w="1200"/>
          </w:tcPr>
          <w:p>
            <w:r>
              <w:rPr>
                <w:b w:val="false"/>
                <w:bCs w:val="false"/>
                <w:sz w:val="20"/>
                <w:szCs w:val="20"/>
              </w:rPr>
              <w:t xml:space="preserve">233 yrs</w:t>
            </w:r>
          </w:p>
        </w:tc>
        <w:tc>
          <w:tcPr>
            <w:tcW w:type="dxa" w:w="4200"/>
          </w:tcPr>
          <w:p>
            <w:r>
              <w:rPr>
                <w:b w:val="false"/>
                <w:bCs w:val="false"/>
                <w:sz w:val="20"/>
                <w:szCs w:val="20"/>
              </w:rPr>
              <w:t xml:space="preserve">Worship shifts to Tellus, dragon of the earth</w:t>
            </w:r>
          </w:p>
        </w:tc>
      </w:tr>
      <w:tr>
        <w:tc>
          <w:tcPr>
            <w:tcW w:type="dxa" w:w="2400"/>
          </w:tcPr>
          <w:p>
            <w:r>
              <w:rPr>
                <w:b/>
                <w:bCs/>
                <w:sz w:val="20"/>
                <w:szCs w:val="20"/>
              </w:rPr>
              <w:t xml:space="preserve">Aetas of Manus</w:t>
            </w:r>
          </w:p>
        </w:tc>
        <w:tc>
          <w:tcPr>
            <w:tcW w:type="dxa" w:w="1600"/>
          </w:tcPr>
          <w:p>
            <w:r>
              <w:rPr>
                <w:b w:val="false"/>
                <w:bCs w:val="false"/>
                <w:sz w:val="20"/>
                <w:szCs w:val="20"/>
              </w:rPr>
              <w:t xml:space="preserve">541–0 BM</w:t>
            </w:r>
          </w:p>
        </w:tc>
        <w:tc>
          <w:tcPr>
            <w:tcW w:type="dxa" w:w="1200"/>
          </w:tcPr>
          <w:p>
            <w:r>
              <w:rPr>
                <w:b w:val="false"/>
                <w:bCs w:val="false"/>
                <w:sz w:val="20"/>
                <w:szCs w:val="20"/>
              </w:rPr>
              <w:t xml:space="preserve">542 yrs</w:t>
            </w:r>
          </w:p>
        </w:tc>
        <w:tc>
          <w:tcPr>
            <w:tcW w:type="dxa" w:w="4200"/>
          </w:tcPr>
          <w:p>
            <w:r>
              <w:rPr>
                <w:b w:val="false"/>
                <w:bCs w:val="false"/>
                <w:sz w:val="20"/>
                <w:szCs w:val="20"/>
              </w:rPr>
              <w:t xml:space="preserve">Humanity betrays the gods, leading to the death of Tellus</w:t>
            </w:r>
          </w:p>
        </w:tc>
      </w:tr>
      <w:tr>
        <w:tc>
          <w:tcPr>
            <w:tcW w:type="dxa" w:w="2400"/>
          </w:tcPr>
          <w:p>
            <w:r>
              <w:rPr>
                <w:b/>
                <w:bCs/>
                <w:sz w:val="20"/>
                <w:szCs w:val="20"/>
              </w:rPr>
              <w:t xml:space="preserve">The Malum</w:t>
            </w:r>
          </w:p>
        </w:tc>
        <w:tc>
          <w:tcPr>
            <w:tcW w:type="dxa" w:w="1600"/>
          </w:tcPr>
          <w:p>
            <w:r>
              <w:rPr>
                <w:b w:val="false"/>
                <w:bCs w:val="false"/>
                <w:sz w:val="20"/>
                <w:szCs w:val="20"/>
              </w:rPr>
              <w:t xml:space="preserve">Year 0</w:t>
            </w:r>
          </w:p>
        </w:tc>
        <w:tc>
          <w:tcPr>
            <w:tcW w:type="dxa" w:w="1200"/>
          </w:tcPr>
          <w:p>
            <w:r>
              <w:rPr>
                <w:b w:val="false"/>
                <w:bCs w:val="false"/>
                <w:sz w:val="20"/>
                <w:szCs w:val="20"/>
              </w:rPr>
              <w:t xml:space="preserve">—</w:t>
            </w:r>
          </w:p>
        </w:tc>
        <w:tc>
          <w:tcPr>
            <w:tcW w:type="dxa" w:w="4200"/>
          </w:tcPr>
          <w:p>
            <w:r>
              <w:rPr>
                <w:b w:val="false"/>
                <w:bCs w:val="false"/>
                <w:sz w:val="20"/>
                <w:szCs w:val="20"/>
              </w:rPr>
              <w:t xml:space="preserve">The death of Tellus</w:t>
            </w:r>
          </w:p>
        </w:tc>
      </w:tr>
      <w:tr>
        <w:tc>
          <w:tcPr>
            <w:tcW w:type="dxa" w:w="2400"/>
          </w:tcPr>
          <w:p>
            <w:r>
              <w:rPr>
                <w:b/>
                <w:bCs/>
                <w:sz w:val="20"/>
                <w:szCs w:val="20"/>
              </w:rPr>
              <w:t xml:space="preserve">Current Era</w:t>
            </w:r>
          </w:p>
        </w:tc>
        <w:tc>
          <w:tcPr>
            <w:tcW w:type="dxa" w:w="1600"/>
          </w:tcPr>
          <w:p>
            <w:r>
              <w:rPr>
                <w:b w:val="false"/>
                <w:bCs w:val="false"/>
                <w:sz w:val="20"/>
                <w:szCs w:val="20"/>
              </w:rPr>
              <w:t xml:space="preserve">1 AM onward</w:t>
            </w:r>
          </w:p>
        </w:tc>
        <w:tc>
          <w:tcPr>
            <w:tcW w:type="dxa" w:w="1200"/>
          </w:tcPr>
          <w:p>
            <w:r>
              <w:rPr>
                <w:b w:val="false"/>
                <w:bCs w:val="false"/>
                <w:sz w:val="20"/>
                <w:szCs w:val="20"/>
              </w:rPr>
              <w:t xml:space="preserve">ongoing</w:t>
            </w:r>
          </w:p>
        </w:tc>
        <w:tc>
          <w:tcPr>
            <w:tcW w:type="dxa" w:w="4200"/>
          </w:tcPr>
          <w:p>
            <w:r>
              <w:rPr>
                <w:b w:val="false"/>
                <w:bCs w:val="false"/>
                <w:sz w:val="20"/>
                <w:szCs w:val="20"/>
              </w:rPr>
              <w:t xml:space="preserve">Unnamed — awaiting its defining event</w:t>
            </w:r>
          </w:p>
        </w:tc>
      </w:tr>
    </w:tbl>
    <w:p>
      <w:pPr>
        <w:spacing w:after="300"/>
      </w:pPr>
    </w:p>
    <w:p>
      <w:pPr>
        <w:pStyle w:val="Heading1"/>
        <w:spacing w:after="200" w:before="400"/>
      </w:pPr>
      <w:r>
        <w:t xml:space="preserve">The Protagonist</w:t>
      </w:r>
    </w:p>
    <w:p>
      <w:pPr>
        <w:spacing w:after="160"/>
        <w:jc w:val="left"/>
      </w:pPr>
      <w:r>
        <w:rPr>
          <w:b w:val="false"/>
          <w:bCs w:val="false"/>
          <w:i w:val="false"/>
          <w:iCs w:val="false"/>
        </w:rPr>
        <w:t xml:space="preserve">The player character's identity is not fixed at the start; it is earned, and lost, across three names:</w:t>
      </w:r>
    </w:p>
    <w:p>
      <w:pPr>
        <w:pStyle w:val="ListParagraph"/>
        <w:numPr>
          <w:ilvl w:val="0"/>
          <w:numId w:val="1"/>
        </w:numPr>
        <w:spacing w:after="90"/>
      </w:pPr>
      <w:r>
        <w:t xml:space="preserve">Cede Amare — who they begin as: someone who yields to love, to duty, to the world's terms.</w:t>
      </w:r>
    </w:p>
    <w:p>
      <w:pPr>
        <w:pStyle w:val="ListParagraph"/>
        <w:numPr>
          <w:ilvl w:val="0"/>
          <w:numId w:val="1"/>
        </w:numPr>
        <w:spacing w:after="90"/>
      </w:pPr>
      <w:r>
        <w:t xml:space="preserve">Cedere — who they become mid-journey: someone learning to yield only on their own terms, to give ground deliberately rather than out of weakness.</w:t>
      </w:r>
    </w:p>
    <w:p>
      <w:pPr>
        <w:pStyle w:val="ListParagraph"/>
        <w:numPr>
          <w:ilvl w:val="0"/>
          <w:numId w:val="1"/>
        </w:numPr>
        <w:spacing w:after="90"/>
      </w:pPr>
      <w:r>
        <w:t xml:space="preserve">Caedere — who they end as: to cut. To stop yielding entirely, and start taking payment instead.</w:t>
      </w:r>
    </w:p>
    <w:p>
      <w:pPr>
        <w:spacing w:after="160"/>
        <w:jc w:val="left"/>
      </w:pPr>
      <w:r>
        <w:rPr>
          <w:b w:val="false"/>
          <w:bCs w:val="false"/>
          <w:i w:val="false"/>
          <w:iCs w:val="false"/>
        </w:rPr>
        <w:t xml:space="preserve">The name arc is not cosmetic. It mirrors the game's core philosophy, every gift, every mercy, every dodge has a price, and the question is only ever who ends up paying it.</w:t>
      </w:r>
    </w:p>
    <w:p>
      <w:pPr>
        <w:pStyle w:val="Heading1"/>
        <w:spacing w:after="200" w:before="400"/>
      </w:pPr>
      <w:r>
        <w:t xml:space="preserve">Core Gameplay</w:t>
      </w:r>
    </w:p>
    <w:p>
      <w:pPr>
        <w:pStyle w:val="ListParagraph"/>
        <w:numPr>
          <w:ilvl w:val="0"/>
          <w:numId w:val="1"/>
        </w:numPr>
        <w:spacing w:after="90"/>
      </w:pPr>
      <w:r>
        <w:t xml:space="preserve">Roguelike run structure: build and upgrade a ship between encounters, permadeath-adjacent stakes, choices compound across a run.</w:t>
      </w:r>
    </w:p>
    <w:p>
      <w:pPr>
        <w:pStyle w:val="ListParagraph"/>
        <w:numPr>
          <w:ilvl w:val="0"/>
          <w:numId w:val="1"/>
        </w:numPr>
        <w:spacing w:after="90"/>
      </w:pPr>
      <w:r>
        <w:t xml:space="preserve">2D naval combat: tactical, resource-driven, built around the same "price is always exacted" logic as the mythology.</w:t>
      </w:r>
    </w:p>
    <w:p>
      <w:pPr>
        <w:pStyle w:val="ListParagraph"/>
        <w:numPr>
          <w:ilvl w:val="0"/>
          <w:numId w:val="1"/>
        </w:numPr>
        <w:spacing w:after="90"/>
      </w:pPr>
      <w:r>
        <w:t xml:space="preserve">Relics as mythology made mechanical: rare items don't just grant stats, they enact a piece of the world's own history when equipped.</w:t>
      </w:r>
    </w:p>
    <w:p>
      <w:pPr>
        <w:pStyle w:val="Heading1"/>
        <w:spacing w:after="200" w:before="400"/>
      </w:pPr>
      <w:r>
        <w:t xml:space="preserve">Design Philosophy in Practice: the Nectaris Relic</w:t>
      </w:r>
    </w:p>
    <w:p>
      <w:pPr>
        <w:spacing w:after="160"/>
        <w:jc w:val="left"/>
      </w:pPr>
      <w:r>
        <w:rPr>
          <w:b w:val="false"/>
          <w:bCs w:val="false"/>
          <w:i w:val="false"/>
          <w:iCs w:val="false"/>
        </w:rPr>
        <w:t xml:space="preserve">Nectaris is the game's proof of concept for how myth becomes mechanic: a relic said to hold the last of Tellus's own blood, spilled when humanity betrayed him.</w:t>
      </w:r>
    </w:p>
    <w:p>
      <w:pPr>
        <w:pStyle w:val="ListParagraph"/>
        <w:numPr>
          <w:ilvl w:val="0"/>
          <w:numId w:val="1"/>
        </w:numPr>
        <w:spacing w:after="90"/>
      </w:pPr>
      <w:r>
        <w:t xml:space="preserve">Lesser tier: passive effects built around debt and sacrifice, damage taken is never simply lost, it is remembered, converted, or owed.</w:t>
      </w:r>
    </w:p>
    <w:p>
      <w:pPr>
        <w:pStyle w:val="ListParagraph"/>
        <w:numPr>
          <w:ilvl w:val="0"/>
          <w:numId w:val="1"/>
        </w:numPr>
        <w:spacing w:after="90"/>
      </w:pPr>
      <w:r>
        <w:t xml:space="preserve">Greater tier: active abilities that let the player redirect or delay incoming harm, but nothing is ever cancelled, only deferred to a future encounter.</w:t>
      </w:r>
    </w:p>
    <w:p>
      <w:pPr>
        <w:pStyle w:val="ListParagraph"/>
        <w:numPr>
          <w:ilvl w:val="0"/>
          <w:numId w:val="1"/>
        </w:numPr>
        <w:spacing w:after="90"/>
      </w:pPr>
      <w:r>
        <w:t xml:space="preserve">Divine tier: a once-per-run ability where Tellus, not the player, briefly acts through the ship, echoing the Malum itself in miniature.</w:t>
      </w:r>
    </w:p>
    <w:p>
      <w:pPr>
        <w:spacing w:after="160"/>
        <w:jc w:val="left"/>
      </w:pPr>
      <w:r>
        <w:rPr>
          <w:b w:val="false"/>
          <w:bCs w:val="false"/>
          <w:i w:val="false"/>
          <w:iCs w:val="false"/>
        </w:rPr>
        <w:t xml:space="preserve">The relic never offers a free escape. Every dodge, reroute, or reboot queues consequence into a later fight, mechanically enforcing the same rule the mythology states outright: a price is always exacted. Nothing in this world is ever simply given, or simply survived.</w:t>
      </w:r>
    </w:p>
    <w:p>
      <w:pPr>
        <w:pStyle w:val="Heading1"/>
        <w:spacing w:after="200" w:before="400"/>
      </w:pPr>
      <w:r>
        <w:t xml:space="preserve">Tone &amp; Influences</w:t>
      </w:r>
    </w:p>
    <w:p>
      <w:pPr>
        <w:spacing w:after="160"/>
        <w:jc w:val="left"/>
      </w:pPr>
      <w:r>
        <w:rPr>
          <w:b w:val="false"/>
          <w:bCs w:val="false"/>
          <w:i w:val="false"/>
          <w:iCs w:val="false"/>
        </w:rPr>
        <w:t xml:space="preserve">Myth-driven worldbuilding in the register of classical scripture and oral tradition, mechanical systems that make abstract cost and consequence tangible and playable, and a protagonist arc built on the idea that names, like debts, are earned rather than given.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1B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6B3F2A"/>
      <w:sz w:val="32"/>
      <w:szCs w:val="32"/>
    </w:rPr>
  </w:style>
  <w:style w:type="paragraph" w:styleId="Heading2">
    <w:name w:val="Heading 2"/>
    <w:basedOn w:val="Normal"/>
    <w:next w:val="Normal"/>
    <w:qFormat/>
    <w:rPr>
      <w:rFonts w:ascii="Georgia" w:cs="Georgia" w:eastAsia="Georgia" w:hAnsi="Georgia"/>
      <w:b/>
      <w:bCs/>
      <w:color w:val="6B3F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2026-08-24T04:25:43.407Z</dcterms:created>
  <dcterms:modified xsi:type="dcterms:W3CDTF">2026-08-24T04:25:43.420Z</dcterms:modified>
</cp:coreProperties>
</file>

<file path=docProps/custom.xml><?xml version="1.0" encoding="utf-8"?>
<Properties xmlns="http://schemas.openxmlformats.org/officeDocument/2006/custom-properties" xmlns:vt="http://schemas.openxmlformats.org/officeDocument/2006/docPropsVTypes"/>
</file>