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C6B62"/>
          <w:sz w:val="48"/>
        </w:rPr>
        <w:t>ImmBiz Books</w:t>
      </w:r>
    </w:p>
    <w:p>
      <w:pPr>
        <w:spacing w:before="0" w:after="160"/>
      </w:pPr>
      <w:r>
        <w:rPr>
          <w:rFonts w:ascii="Arial" w:hAnsi="Arial"/>
          <w:b/>
          <w:color w:val="475569"/>
          <w:sz w:val="26"/>
        </w:rPr>
        <w:t>Enterprise Accounting, Audit &amp; Compliance Platform — Demo User Guide</w:t>
      </w:r>
    </w:p>
    <w:p>
      <w:pPr>
        <w:spacing w:before="0" w:after="320"/>
      </w:pPr>
      <w:r>
        <w:rPr>
          <w:rFonts w:ascii="Arial" w:hAnsi="Arial"/>
          <w:color w:val="64748B"/>
          <w:sz w:val="17"/>
        </w:rPr>
        <w:t>Version 2.0 • Release: October 2026 • Environment: Public Demo Sandbox • Audience: CAs, Auditors, CFOs &amp; Evaluators</w:t>
      </w:r>
    </w:p>
    <w:p>
      <w:pPr>
        <w:spacing w:after="320"/>
        <w:pBdr>
          <w:bottom w:val="single" w:sz="12" w:space="1" w:color="0C6B62"/>
        </w:pBdr>
      </w:pPr>
    </w:p>
    <w:p>
      <w:pPr>
        <w:keepNext/>
        <w:spacing w:before="360" w:after="120"/>
        <w:pBdr>
          <w:bottom w:val="single" w:sz="6" w:space="1" w:color="E2E8F0"/>
        </w:pBdr>
      </w:pPr>
      <w:r>
        <w:rPr>
          <w:rFonts w:ascii="Arial" w:hAnsi="Arial"/>
          <w:b/>
          <w:color w:val="0C6B62"/>
          <w:sz w:val="28"/>
        </w:rPr>
        <w:t>1. Executive Overview &amp; Platform Vision</w:t>
      </w:r>
    </w:p>
    <w:p>
      <w:pPr>
        <w:spacing w:before="0" w:after="120" w:line="283" w:lineRule="auto"/>
      </w:pPr>
      <w:r>
        <w:rPr>
          <w:rFonts w:ascii="Arial" w:hAnsi="Arial"/>
          <w:color w:val="334155"/>
          <w:sz w:val="19"/>
        </w:rPr>
        <w:t>ImmBiz Books is an enterprise-grade cloud financial accounting and audit platform engineered to bridge the gap between traditional desktop speed and modern cloud governance. It brings together the lightning-fast keyboard navigation familiar to Tally users with the rich visual clarity, multi-entity consolidation, and strict statutory compliance expected of modern cloud ERPs like Zoho Books and SAP.</w:t>
      </w:r>
    </w:p>
    <w:p>
      <w:pPr>
        <w:spacing w:before="0" w:after="120" w:line="283" w:lineRule="auto"/>
      </w:pPr>
      <w:r>
        <w:rPr>
          <w:rFonts w:ascii="Arial" w:hAnsi="Arial"/>
          <w:color w:val="334155"/>
          <w:sz w:val="19"/>
        </w:rPr>
        <w:t>Core pillars built natively into the platform include:</w:t>
      </w:r>
    </w:p>
    <w:p>
      <w:pPr>
        <w:pStyle w:val="ListBullet"/>
        <w:spacing w:before="0" w:after="60" w:line="276" w:lineRule="auto"/>
      </w:pPr>
      <w:r>
        <w:rPr>
          <w:rFonts w:ascii="Arial" w:hAnsi="Arial"/>
          <w:b/>
          <w:color w:val="1E293B"/>
          <w:sz w:val="19"/>
        </w:rPr>
        <w:t xml:space="preserve">Multi-Company Governance: </w:t>
      </w:r>
      <w:r>
        <w:rPr>
          <w:rFonts w:ascii="Arial" w:hAnsi="Arial"/>
          <w:color w:val="334155"/>
          <w:sz w:val="19"/>
        </w:rPr>
        <w:t>Instant entity switching between Account-Only services firms and Inventory-enabled trading organizations.</w:t>
      </w:r>
    </w:p>
    <w:p>
      <w:pPr>
        <w:pStyle w:val="ListBullet"/>
        <w:spacing w:before="0" w:after="60" w:line="276" w:lineRule="auto"/>
      </w:pPr>
      <w:r>
        <w:rPr>
          <w:rFonts w:ascii="Arial" w:hAnsi="Arial"/>
          <w:b/>
          <w:color w:val="1E293B"/>
          <w:sz w:val="19"/>
        </w:rPr>
        <w:t xml:space="preserve">Live GSTIN Verification: </w:t>
      </w:r>
      <w:r>
        <w:rPr>
          <w:rFonts w:ascii="Arial" w:hAnsi="Arial"/>
          <w:color w:val="334155"/>
          <w:sz w:val="19"/>
        </w:rPr>
        <w:t>Automatic Indian 15-digit GSTIN format, state code, PAN extraction, and checksum validation.</w:t>
      </w:r>
    </w:p>
    <w:p>
      <w:pPr>
        <w:pStyle w:val="ListBullet"/>
        <w:spacing w:before="0" w:after="60" w:line="276" w:lineRule="auto"/>
      </w:pPr>
      <w:r>
        <w:rPr>
          <w:rFonts w:ascii="Arial" w:hAnsi="Arial"/>
          <w:b/>
          <w:color w:val="1E293B"/>
          <w:sz w:val="19"/>
        </w:rPr>
        <w:t xml:space="preserve">Separate Bank &amp; Cash Architecture: </w:t>
      </w:r>
      <w:r>
        <w:rPr>
          <w:rFonts w:ascii="Arial" w:hAnsi="Arial"/>
          <w:color w:val="334155"/>
          <w:sz w:val="19"/>
        </w:rPr>
        <w:t>Total liquid assets split into granular institutional bank breakdowns and cash in hand registers.</w:t>
      </w:r>
    </w:p>
    <w:p>
      <w:pPr>
        <w:pStyle w:val="ListBullet"/>
        <w:spacing w:before="0" w:after="60" w:line="276" w:lineRule="auto"/>
      </w:pPr>
      <w:r>
        <w:rPr>
          <w:rFonts w:ascii="Arial" w:hAnsi="Arial"/>
          <w:b/>
          <w:color w:val="1E293B"/>
          <w:sz w:val="19"/>
        </w:rPr>
        <w:t xml:space="preserve">Immutable Double-Entry Audit Trail: </w:t>
      </w:r>
      <w:r>
        <w:rPr>
          <w:rFonts w:ascii="Arial" w:hAnsi="Arial"/>
          <w:color w:val="334155"/>
          <w:sz w:val="19"/>
        </w:rPr>
        <w:t>Strict draft-to-post voucher lifecycle with comprehensive audit logs and period closing locks.</w:t>
      </w:r>
    </w:p>
    <w:p>
      <w:pPr>
        <w:pStyle w:val="ListBullet"/>
        <w:spacing w:before="0" w:after="60" w:line="276" w:lineRule="auto"/>
      </w:pPr>
      <w:r>
        <w:rPr>
          <w:rFonts w:ascii="Arial" w:hAnsi="Arial"/>
          <w:b/>
          <w:color w:val="1E293B"/>
          <w:sz w:val="19"/>
        </w:rPr>
        <w:t xml:space="preserve">Real-Time Financial Statements: </w:t>
      </w:r>
      <w:r>
        <w:rPr>
          <w:rFonts w:ascii="Arial" w:hAnsi="Arial"/>
          <w:color w:val="334155"/>
          <w:sz w:val="19"/>
        </w:rPr>
        <w:t>Instant balance sheet, profit &amp; loss statement, trial balance, day book, and GSTR estimates.</w:t>
      </w:r>
    </w:p>
    <w:p>
      <w:pPr>
        <w:keepNext/>
        <w:spacing w:before="360" w:after="120"/>
        <w:pBdr>
          <w:bottom w:val="single" w:sz="6" w:space="1" w:color="E2E8F0"/>
        </w:pBdr>
      </w:pPr>
      <w:r>
        <w:rPr>
          <w:rFonts w:ascii="Arial" w:hAnsi="Arial"/>
          <w:b/>
          <w:color w:val="0C6B62"/>
          <w:sz w:val="28"/>
        </w:rPr>
        <w:t>2. Instant Access: Logging into the Demo Environment</w:t>
      </w:r>
    </w:p>
    <w:p>
      <w:pPr>
        <w:spacing w:before="0" w:after="120" w:line="283" w:lineRule="auto"/>
      </w:pPr>
      <w:r>
        <w:rPr>
          <w:rFonts w:ascii="Arial" w:hAnsi="Arial"/>
          <w:color w:val="334155"/>
          <w:sz w:val="19"/>
        </w:rPr>
        <w:t>To allow evaluators, Chartered Accountants, and prospects to experience the full capabilities of ImmBiz Books without friction, the application includes an Instant 1-Click Public Demo Login.</w:t>
      </w:r>
    </w:p>
    <w:tbl>
      <w:tblPr>
        <w:tblW w:type="auto" w:w="0"/>
        <w:jc w:val="center"/>
        <w:tblLayout w:type="fixed"/>
        <w:tblLook w:firstColumn="1" w:firstRow="1" w:lastColumn="0" w:lastRow="0" w:noHBand="0" w:noVBand="1" w:val="04A0"/>
      </w:tblPr>
      <w:tblGrid>
        <w:gridCol w:w="9792"/>
      </w:tblGrid>
      <w:tr>
        <w:tc>
          <w:tcPr>
            <w:tcW w:type="dxa" w:w="9792"/>
            <w:shd w:fill="F0FDF4"/>
            <w:tcMar>
              <w:top w:w="140" w:type="dxa"/>
              <w:bottom w:w="140" w:type="dxa"/>
              <w:left w:w="200" w:type="dxa"/>
              <w:right w:w="200" w:type="dxa"/>
            </w:tcMar>
            <w:tcBorders>
              <w:left w:val="single" w:sz="36" w:space="0" w:color="10B981"/>
              <w:top w:val="none"/>
              <w:right w:val="none"/>
              <w:bottom w:val="none"/>
            </w:tcBorders>
          </w:tcPr>
          <w:p>
            <w:pPr>
              <w:spacing w:before="40" w:after="60" w:line="276" w:lineRule="auto"/>
            </w:pPr>
            <w:r>
              <w:rPr>
                <w:rFonts w:ascii="Arial" w:hAnsi="Arial"/>
                <w:b/>
                <w:color w:val="0F766E"/>
                <w:sz w:val="20"/>
              </w:rPr>
              <w:t xml:space="preserve">📌 Zero-Barrier Demo Access: </w:t>
            </w:r>
            <w:r>
              <w:rPr>
                <w:rFonts w:ascii="Arial" w:hAnsi="Arial"/>
                <w:color w:val="1E293B"/>
                <w:sz w:val="19"/>
              </w:rPr>
              <w:t>No password or SMS/email OTP is required for demo testing. You simply provide an email address, click 'Try Public Demo', and your isolated session launches instantly.</w:t>
            </w:r>
          </w:p>
        </w:tc>
      </w:tr>
    </w:tbl>
    <w:p>
      <w:pPr>
        <w:spacing w:after="80"/>
      </w:pPr>
    </w:p>
    <w:p>
      <w:pPr>
        <w:keepNext/>
        <w:spacing w:before="240" w:after="80"/>
      </w:pPr>
      <w:r>
        <w:rPr>
          <w:rFonts w:ascii="Arial" w:hAnsi="Arial"/>
          <w:b/>
          <w:color w:val="1E293B"/>
          <w:sz w:val="22"/>
        </w:rPr>
        <w:t>Step-by-Step Login Instructions:</w:t>
      </w:r>
    </w:p>
    <w:p>
      <w:pPr>
        <w:pStyle w:val="ListBullet"/>
        <w:spacing w:before="0" w:after="60" w:line="276" w:lineRule="auto"/>
      </w:pPr>
      <w:r>
        <w:rPr>
          <w:rFonts w:ascii="Arial" w:hAnsi="Arial"/>
          <w:b/>
          <w:color w:val="1E293B"/>
          <w:sz w:val="19"/>
        </w:rPr>
        <w:t xml:space="preserve">Step 1: Open the Portal: </w:t>
      </w:r>
      <w:r>
        <w:rPr>
          <w:rFonts w:ascii="Arial" w:hAnsi="Arial"/>
          <w:color w:val="334155"/>
          <w:sz w:val="19"/>
        </w:rPr>
        <w:t>Visit https://audit-immbiz.vercel.app/login or your local environment URL.</w:t>
      </w:r>
    </w:p>
    <w:p>
      <w:pPr>
        <w:pStyle w:val="ListBullet"/>
        <w:spacing w:before="0" w:after="60" w:line="276" w:lineRule="auto"/>
      </w:pPr>
      <w:r>
        <w:rPr>
          <w:rFonts w:ascii="Arial" w:hAnsi="Arial"/>
          <w:b/>
          <w:color w:val="1E293B"/>
          <w:sz w:val="19"/>
        </w:rPr>
        <w:t xml:space="preserve">Step 2: Enter Any Valid Email: </w:t>
      </w:r>
      <w:r>
        <w:rPr>
          <w:rFonts w:ascii="Arial" w:hAnsi="Arial"/>
          <w:color w:val="334155"/>
          <w:sz w:val="19"/>
        </w:rPr>
        <w:t>In the 'Username or Email' field, type your business or personal email address (e.g., evaluator@company.com).</w:t>
      </w:r>
    </w:p>
    <w:p>
      <w:pPr>
        <w:pStyle w:val="ListBullet"/>
        <w:spacing w:before="0" w:after="60" w:line="276" w:lineRule="auto"/>
      </w:pPr>
      <w:r>
        <w:rPr>
          <w:rFonts w:ascii="Arial" w:hAnsi="Arial"/>
          <w:b/>
          <w:color w:val="1E293B"/>
          <w:sz w:val="19"/>
        </w:rPr>
        <w:t xml:space="preserve">Step 3: Click 'Try Public Demo': </w:t>
      </w:r>
      <w:r>
        <w:rPr>
          <w:rFonts w:ascii="Arial" w:hAnsi="Arial"/>
          <w:color w:val="334155"/>
          <w:sz w:val="19"/>
        </w:rPr>
        <w:t>Click the dark button labeled 'Try Public Demo' below the main sign-in form.</w:t>
      </w:r>
    </w:p>
    <w:p>
      <w:pPr>
        <w:pStyle w:val="ListBullet"/>
        <w:spacing w:before="0" w:after="60" w:line="276" w:lineRule="auto"/>
      </w:pPr>
      <w:r>
        <w:rPr>
          <w:rFonts w:ascii="Arial" w:hAnsi="Arial"/>
          <w:b/>
          <w:color w:val="1E293B"/>
          <w:sz w:val="19"/>
        </w:rPr>
        <w:t xml:space="preserve">Step 4: Immediate Dashboard Access: </w:t>
      </w:r>
      <w:r>
        <w:rPr>
          <w:rFonts w:ascii="Arial" w:hAnsi="Arial"/>
          <w:color w:val="334155"/>
          <w:sz w:val="19"/>
        </w:rPr>
        <w:t>The platform authenticates your session and immediately directs you to the Executive Financial Overview at /app/dashboard.</w:t>
      </w:r>
    </w:p>
    <w:p>
      <w:pPr>
        <w:keepNext/>
        <w:spacing w:before="360" w:after="120"/>
        <w:pBdr>
          <w:bottom w:val="single" w:sz="6" w:space="1" w:color="E2E8F0"/>
        </w:pBdr>
      </w:pPr>
      <w:r>
        <w:rPr>
          <w:rFonts w:ascii="Arial" w:hAnsi="Arial"/>
          <w:b/>
          <w:color w:val="0C6B62"/>
          <w:sz w:val="28"/>
        </w:rPr>
        <w:t>3. Demo Sandbox Architecture &amp; Data Safety</w:t>
      </w:r>
    </w:p>
    <w:p>
      <w:pPr>
        <w:spacing w:before="0" w:after="120" w:line="283" w:lineRule="auto"/>
      </w:pPr>
      <w:r>
        <w:rPr>
          <w:rFonts w:ascii="Arial" w:hAnsi="Arial"/>
          <w:color w:val="334155"/>
          <w:sz w:val="19"/>
        </w:rPr>
        <w:t>A common concern for demo users is whether their actions will impact existing company data, or conversely, whether other users can see their tests. ImmBiz Books addresses this using PostgreSQL Schema-Level Sandbox Isolation:</w:t>
      </w:r>
    </w:p>
    <w:p>
      <w:pPr>
        <w:pStyle w:val="ListBullet"/>
        <w:spacing w:before="0" w:after="60" w:line="276" w:lineRule="auto"/>
      </w:pPr>
      <w:r>
        <w:rPr>
          <w:rFonts w:ascii="Arial" w:hAnsi="Arial"/>
          <w:b/>
          <w:color w:val="1E293B"/>
          <w:sz w:val="19"/>
        </w:rPr>
        <w:t xml:space="preserve">Dedicated 'demo' Schema: </w:t>
      </w:r>
      <w:r>
        <w:rPr>
          <w:rFonts w:ascii="Arial" w:hAnsi="Arial"/>
          <w:color w:val="334155"/>
          <w:sz w:val="19"/>
        </w:rPr>
        <w:t>All demo sessions automatically read and write exclusively to PostgreSQL's isolated 'demo' schema.</w:t>
      </w:r>
    </w:p>
    <w:p>
      <w:pPr>
        <w:pStyle w:val="ListBullet"/>
        <w:spacing w:before="0" w:after="60" w:line="276" w:lineRule="auto"/>
      </w:pPr>
      <w:r>
        <w:rPr>
          <w:rFonts w:ascii="Arial" w:hAnsi="Arial"/>
          <w:b/>
          <w:color w:val="1E293B"/>
          <w:sz w:val="19"/>
        </w:rPr>
        <w:t xml:space="preserve">Zero Impact on Production: </w:t>
      </w:r>
      <w:r>
        <w:rPr>
          <w:rFonts w:ascii="Arial" w:hAnsi="Arial"/>
          <w:color w:val="334155"/>
          <w:sz w:val="19"/>
        </w:rPr>
        <w:t>The production database ('master' schema) contains live company data and is completely protected and inaccessible to demo mutations.</w:t>
      </w:r>
    </w:p>
    <w:p>
      <w:pPr>
        <w:pStyle w:val="ListBullet"/>
        <w:spacing w:before="0" w:after="60" w:line="276" w:lineRule="auto"/>
      </w:pPr>
      <w:r>
        <w:rPr>
          <w:rFonts w:ascii="Arial" w:hAnsi="Arial"/>
          <w:b/>
          <w:color w:val="1E293B"/>
          <w:sz w:val="19"/>
        </w:rPr>
        <w:t xml:space="preserve">Full Freedom to Add &amp; Edit: </w:t>
      </w:r>
      <w:r>
        <w:rPr>
          <w:rFonts w:ascii="Arial" w:hAnsi="Arial"/>
          <w:color w:val="334155"/>
          <w:sz w:val="19"/>
        </w:rPr>
        <w:t>You can freely create new companies, add bank accounts, create customers, post sales invoices, or adjust ledgers. Your changes will persist throughout your demo session.</w:t>
      </w:r>
    </w:p>
    <w:p>
      <w:pPr>
        <w:pStyle w:val="ListBullet"/>
        <w:spacing w:before="0" w:after="60" w:line="276" w:lineRule="auto"/>
      </w:pPr>
      <w:r>
        <w:rPr>
          <w:rFonts w:ascii="Arial" w:hAnsi="Arial"/>
          <w:b/>
          <w:color w:val="1E293B"/>
          <w:sz w:val="19"/>
        </w:rPr>
        <w:t xml:space="preserve">Pre-Seeded Sample Data: </w:t>
      </w:r>
      <w:r>
        <w:rPr>
          <w:rFonts w:ascii="Arial" w:hAnsi="Arial"/>
          <w:color w:val="334155"/>
          <w:sz w:val="19"/>
        </w:rPr>
        <w:t>The demo environment is pre-loaded with realistic commercial entities, chart of accounts (HDFC Bank, ICICI Bank, Petty Cash, Sundry Debtors, GST taxes), and active vouchers for immediate testing.</w:t>
      </w:r>
    </w:p>
    <w:p>
      <w:pPr>
        <w:keepNext/>
        <w:spacing w:before="360" w:after="120"/>
        <w:pBdr>
          <w:bottom w:val="single" w:sz="6" w:space="1" w:color="E2E8F0"/>
        </w:pBdr>
      </w:pPr>
      <w:r>
        <w:rPr>
          <w:rFonts w:ascii="Arial" w:hAnsi="Arial"/>
          <w:b/>
          <w:color w:val="0C6B62"/>
          <w:sz w:val="28"/>
        </w:rPr>
        <w:t>4. Step-by-Step Module Walkthrough</w:t>
      </w:r>
    </w:p>
    <w:p>
      <w:pPr>
        <w:keepNext/>
        <w:spacing w:before="240" w:after="80"/>
      </w:pPr>
      <w:r>
        <w:rPr>
          <w:rFonts w:ascii="Arial" w:hAnsi="Arial"/>
          <w:b/>
          <w:color w:val="1E293B"/>
          <w:sz w:val="22"/>
        </w:rPr>
        <w:t>4.1 Executive Financial Dashboard (/app/dashboard)</w:t>
      </w:r>
    </w:p>
    <w:p>
      <w:pPr>
        <w:spacing w:before="0" w:after="120" w:line="283" w:lineRule="auto"/>
      </w:pPr>
      <w:r>
        <w:rPr>
          <w:rFonts w:ascii="Arial" w:hAnsi="Arial"/>
          <w:color w:val="334155"/>
          <w:sz w:val="19"/>
        </w:rPr>
        <w:t>The Dashboard acts as your central command center, offering real-time financial health, cash flow liquidity, and compliance indicators.</w:t>
      </w:r>
    </w:p>
    <w:p>
      <w:pPr>
        <w:pStyle w:val="ListBullet"/>
        <w:spacing w:before="0" w:after="60" w:line="276" w:lineRule="auto"/>
      </w:pPr>
      <w:r>
        <w:rPr>
          <w:rFonts w:ascii="Arial" w:hAnsi="Arial"/>
          <w:b/>
          <w:color w:val="1E293B"/>
          <w:sz w:val="19"/>
        </w:rPr>
        <w:t xml:space="preserve">Bank Accounts Card (Granular Breakdown): </w:t>
      </w:r>
      <w:r>
        <w:rPr>
          <w:rFonts w:ascii="Arial" w:hAnsi="Arial"/>
          <w:color w:val="334155"/>
          <w:sz w:val="19"/>
        </w:rPr>
        <w:t>Displays total bank liquidity across all banks, plus an individual breakdown showing each bank's name (e.g., HDFC Bank, ICICI Bank), account number, and exact balance, along with reconciliation status.</w:t>
      </w:r>
    </w:p>
    <w:p>
      <w:pPr>
        <w:pStyle w:val="ListBullet"/>
        <w:spacing w:before="0" w:after="60" w:line="276" w:lineRule="auto"/>
      </w:pPr>
      <w:r>
        <w:rPr>
          <w:rFonts w:ascii="Arial" w:hAnsi="Arial"/>
          <w:b/>
          <w:color w:val="1E293B"/>
          <w:sz w:val="19"/>
        </w:rPr>
        <w:t xml:space="preserve">Cash in Hand Card: </w:t>
      </w:r>
      <w:r>
        <w:rPr>
          <w:rFonts w:ascii="Arial" w:hAnsi="Arial"/>
          <w:color w:val="334155"/>
          <w:sz w:val="19"/>
        </w:rPr>
        <w:t>Dedicated card showing physical cash on hand, petty cash reserves, and available funds.</w:t>
      </w:r>
    </w:p>
    <w:p>
      <w:pPr>
        <w:pStyle w:val="ListBullet"/>
        <w:spacing w:before="0" w:after="60" w:line="276" w:lineRule="auto"/>
      </w:pPr>
      <w:r>
        <w:rPr>
          <w:rFonts w:ascii="Arial" w:hAnsi="Arial"/>
          <w:b/>
          <w:color w:val="1E293B"/>
          <w:sz w:val="19"/>
        </w:rPr>
        <w:t xml:space="preserve">Accounts Receivable (AR) &amp; Aging: </w:t>
      </w:r>
      <w:r>
        <w:rPr>
          <w:rFonts w:ascii="Arial" w:hAnsi="Arial"/>
          <w:color w:val="334155"/>
          <w:sz w:val="19"/>
        </w:rPr>
        <w:t>Real-time receivables total with aging buckets (Not Due, 0–30, 31–60, 61–90, and 90+ days), highlighting overdue customers and missing GSTINs.</w:t>
      </w:r>
    </w:p>
    <w:p>
      <w:pPr>
        <w:pStyle w:val="ListBullet"/>
        <w:spacing w:before="0" w:after="60" w:line="276" w:lineRule="auto"/>
      </w:pPr>
      <w:r>
        <w:rPr>
          <w:rFonts w:ascii="Arial" w:hAnsi="Arial"/>
          <w:b/>
          <w:color w:val="1E293B"/>
          <w:sz w:val="19"/>
        </w:rPr>
        <w:t xml:space="preserve">Accounts Payable (AP) &amp; Aging: </w:t>
      </w:r>
      <w:r>
        <w:rPr>
          <w:rFonts w:ascii="Arial" w:hAnsi="Arial"/>
          <w:color w:val="334155"/>
          <w:sz w:val="19"/>
        </w:rPr>
        <w:t>Liabilities owed to suppliers with categorized aging brackets and upcoming due dates.</w:t>
      </w:r>
    </w:p>
    <w:p>
      <w:pPr>
        <w:pStyle w:val="ListBullet"/>
        <w:spacing w:before="0" w:after="60" w:line="276" w:lineRule="auto"/>
      </w:pPr>
      <w:r>
        <w:rPr>
          <w:rFonts w:ascii="Arial" w:hAnsi="Arial"/>
          <w:b/>
          <w:color w:val="1E293B"/>
          <w:sz w:val="19"/>
        </w:rPr>
        <w:t xml:space="preserve">Operating Profitability: </w:t>
      </w:r>
      <w:r>
        <w:rPr>
          <w:rFonts w:ascii="Arial" w:hAnsi="Arial"/>
          <w:color w:val="334155"/>
          <w:sz w:val="19"/>
        </w:rPr>
        <w:t>Net Profit, Gross Margin %, and Revenue metrics with toggleable comparisons against Budget Targets, Last Financial Year, or Previous Period.</w:t>
      </w:r>
    </w:p>
    <w:p>
      <w:pPr>
        <w:pStyle w:val="ListBullet"/>
        <w:spacing w:before="0" w:after="60" w:line="276" w:lineRule="auto"/>
      </w:pPr>
      <w:r>
        <w:rPr>
          <w:rFonts w:ascii="Arial" w:hAnsi="Arial"/>
          <w:b/>
          <w:color w:val="1E293B"/>
          <w:sz w:val="19"/>
        </w:rPr>
        <w:t xml:space="preserve">Books Health Banner: </w:t>
      </w:r>
      <w:r>
        <w:rPr>
          <w:rFonts w:ascii="Arial" w:hAnsi="Arial"/>
          <w:color w:val="334155"/>
          <w:sz w:val="19"/>
        </w:rPr>
        <w:t>A live health index confirming that chart of accounts, master groupings, and audit close checklists are complete (e.g., 94% complete).</w:t>
      </w:r>
    </w:p>
    <w:p>
      <w:pPr>
        <w:keepNext/>
        <w:spacing w:before="240" w:after="80"/>
      </w:pPr>
      <w:r>
        <w:rPr>
          <w:rFonts w:ascii="Arial" w:hAnsi="Arial"/>
          <w:b/>
          <w:color w:val="1E293B"/>
          <w:sz w:val="22"/>
        </w:rPr>
        <w:t>4.2 Multi-Company Management (/app/companies)</w:t>
      </w:r>
    </w:p>
    <w:p>
      <w:pPr>
        <w:spacing w:before="0" w:after="120" w:line="283" w:lineRule="auto"/>
      </w:pPr>
      <w:r>
        <w:rPr>
          <w:rFonts w:ascii="Arial" w:hAnsi="Arial"/>
          <w:color w:val="334155"/>
          <w:sz w:val="19"/>
        </w:rPr>
        <w:t>ImmBiz Books lets you oversee multiple companies, subsidiaries, and branches from a single unified workspace.</w:t>
      </w:r>
    </w:p>
    <w:p>
      <w:pPr>
        <w:pStyle w:val="ListBullet"/>
        <w:spacing w:before="0" w:after="60" w:line="276" w:lineRule="auto"/>
      </w:pPr>
      <w:r>
        <w:rPr>
          <w:rFonts w:ascii="Arial" w:hAnsi="Arial"/>
          <w:b/>
          <w:color w:val="1E293B"/>
          <w:sz w:val="19"/>
        </w:rPr>
        <w:t xml:space="preserve">Top-Bar Company Switcher: </w:t>
      </w:r>
      <w:r>
        <w:rPr>
          <w:rFonts w:ascii="Arial" w:hAnsi="Arial"/>
          <w:color w:val="334155"/>
          <w:sz w:val="19"/>
        </w:rPr>
        <w:t>Quickly toggle between active companies anywhere in the application. All ledgers, vouchers, and reports immediately re-scope.</w:t>
      </w:r>
    </w:p>
    <w:p>
      <w:pPr>
        <w:pStyle w:val="ListBullet"/>
        <w:spacing w:before="0" w:after="60" w:line="276" w:lineRule="auto"/>
      </w:pPr>
      <w:r>
        <w:rPr>
          <w:rFonts w:ascii="Arial" w:hAnsi="Arial"/>
          <w:b/>
          <w:color w:val="1E293B"/>
          <w:sz w:val="19"/>
        </w:rPr>
        <w:t xml:space="preserve">Creating a Company: </w:t>
      </w:r>
      <w:r>
        <w:rPr>
          <w:rFonts w:ascii="Arial" w:hAnsi="Arial"/>
          <w:color w:val="334155"/>
          <w:sz w:val="19"/>
        </w:rPr>
        <w:t>Click '+ New Company' to specify Legal Name, Trade Name, GSTIN, PAN, and Books Beginning Date.</w:t>
      </w:r>
    </w:p>
    <w:p>
      <w:pPr>
        <w:pStyle w:val="ListBullet"/>
        <w:spacing w:before="0" w:after="60" w:line="276" w:lineRule="auto"/>
      </w:pPr>
      <w:r>
        <w:rPr>
          <w:rFonts w:ascii="Arial" w:hAnsi="Arial"/>
          <w:b/>
          <w:color w:val="1E293B"/>
          <w:sz w:val="19"/>
        </w:rPr>
        <w:t xml:space="preserve">Maintenance Modes: </w:t>
      </w:r>
      <w:r>
        <w:rPr>
          <w:rFonts w:ascii="Arial" w:hAnsi="Arial"/>
          <w:color w:val="334155"/>
          <w:sz w:val="19"/>
        </w:rPr>
        <w:t>Choose between 'Account Only' (ideal for CAs, consultancies, and service firms using Accounting Vouchers) or 'Account with Inventory' (for trading and manufacturing businesses using Stock &amp; Invoices).</w:t>
      </w:r>
    </w:p>
    <w:p>
      <w:pPr>
        <w:pStyle w:val="ListBullet"/>
        <w:spacing w:before="0" w:after="60" w:line="276" w:lineRule="auto"/>
      </w:pPr>
      <w:r>
        <w:rPr>
          <w:rFonts w:ascii="Arial" w:hAnsi="Arial"/>
          <w:b/>
          <w:color w:val="1E293B"/>
          <w:sz w:val="19"/>
        </w:rPr>
        <w:t xml:space="preserve">Automated Master Seeding: </w:t>
      </w:r>
      <w:r>
        <w:rPr>
          <w:rFonts w:ascii="Arial" w:hAnsi="Arial"/>
          <w:color w:val="334155"/>
          <w:sz w:val="19"/>
        </w:rPr>
        <w:t>Creating a new company automatically populates standard Indian accounting groups and fundamental ledgers!</w:t>
      </w:r>
    </w:p>
    <w:p>
      <w:pPr>
        <w:keepNext/>
        <w:spacing w:before="240" w:after="80"/>
      </w:pPr>
      <w:r>
        <w:rPr>
          <w:rFonts w:ascii="Arial" w:hAnsi="Arial"/>
          <w:b/>
          <w:color w:val="1E293B"/>
          <w:sz w:val="22"/>
        </w:rPr>
        <w:t>4.3 Chart of Accounts &amp; Ledgers (/app/ledgers &amp; /app/ledger-groups)</w:t>
      </w:r>
    </w:p>
    <w:p>
      <w:pPr>
        <w:spacing w:before="0" w:after="120" w:line="283" w:lineRule="auto"/>
      </w:pPr>
      <w:r>
        <w:rPr>
          <w:rFonts w:ascii="Arial" w:hAnsi="Arial"/>
          <w:color w:val="334155"/>
          <w:sz w:val="19"/>
        </w:rPr>
        <w:t>Every transaction in ImmBiz Books is grounded in double-entry bookkeeping. The Chart of Accounts organizes these records into a clean, audit-ready hierarchy.</w:t>
      </w:r>
    </w:p>
    <w:p>
      <w:pPr>
        <w:pStyle w:val="ListBullet"/>
        <w:spacing w:before="0" w:after="60" w:line="276" w:lineRule="auto"/>
      </w:pPr>
      <w:r>
        <w:rPr>
          <w:rFonts w:ascii="Arial" w:hAnsi="Arial"/>
          <w:b/>
          <w:color w:val="1E293B"/>
          <w:sz w:val="19"/>
        </w:rPr>
        <w:t xml:space="preserve">Hierarchical Groups: </w:t>
      </w:r>
      <w:r>
        <w:rPr>
          <w:rFonts w:ascii="Arial" w:hAnsi="Arial"/>
          <w:color w:val="334155"/>
          <w:sz w:val="19"/>
        </w:rPr>
        <w:t>Pre-built master groups for Assets, Liabilities, Incomes, and Expenses with sub-groups (Current Assets, Sundry Debtors, Bank Accounts, Fixed Assets, Direct Incomes, etc.).</w:t>
      </w:r>
    </w:p>
    <w:p>
      <w:pPr>
        <w:pStyle w:val="ListBullet"/>
        <w:spacing w:before="0" w:after="60" w:line="276" w:lineRule="auto"/>
      </w:pPr>
      <w:r>
        <w:rPr>
          <w:rFonts w:ascii="Arial" w:hAnsi="Arial"/>
          <w:b/>
          <w:color w:val="1E293B"/>
          <w:sz w:val="19"/>
        </w:rPr>
        <w:t xml:space="preserve">Live Validation: </w:t>
      </w:r>
      <w:r>
        <w:rPr>
          <w:rFonts w:ascii="Arial" w:hAnsi="Arial"/>
          <w:color w:val="334155"/>
          <w:sz w:val="19"/>
        </w:rPr>
        <w:t>Prevents duplicate accounts with real-time fuzzy search and group auto-suggestions.</w:t>
      </w:r>
    </w:p>
    <w:p>
      <w:pPr>
        <w:pStyle w:val="ListBullet"/>
        <w:spacing w:before="0" w:after="60" w:line="276" w:lineRule="auto"/>
      </w:pPr>
      <w:r>
        <w:rPr>
          <w:rFonts w:ascii="Arial" w:hAnsi="Arial"/>
          <w:b/>
          <w:color w:val="1E293B"/>
          <w:sz w:val="19"/>
        </w:rPr>
        <w:t xml:space="preserve">Tax Classification: </w:t>
      </w:r>
      <w:r>
        <w:rPr>
          <w:rFonts w:ascii="Arial" w:hAnsi="Arial"/>
          <w:color w:val="334155"/>
          <w:sz w:val="19"/>
        </w:rPr>
        <w:t>Tag ledgers with applicable GST tax rates, Reverse Charge Mechanism (RCM), and SAC/HSN codes.</w:t>
      </w:r>
    </w:p>
    <w:p>
      <w:pPr>
        <w:pStyle w:val="ListBullet"/>
        <w:spacing w:before="0" w:after="60" w:line="276" w:lineRule="auto"/>
      </w:pPr>
      <w:r>
        <w:rPr>
          <w:rFonts w:ascii="Arial" w:hAnsi="Arial"/>
          <w:b/>
          <w:color w:val="1E293B"/>
          <w:sz w:val="19"/>
        </w:rPr>
        <w:t xml:space="preserve">Audit Lock: </w:t>
      </w:r>
      <w:r>
        <w:rPr>
          <w:rFonts w:ascii="Arial" w:hAnsi="Arial"/>
          <w:color w:val="334155"/>
          <w:sz w:val="19"/>
        </w:rPr>
        <w:t>Freeze individual accounts or set period locks ('BOOKS_LOCKED_UPTO') to prevent backdated adjustments during audit season.</w:t>
      </w:r>
    </w:p>
    <w:p>
      <w:pPr>
        <w:keepNext/>
        <w:spacing w:before="240" w:after="80"/>
      </w:pPr>
      <w:r>
        <w:rPr>
          <w:rFonts w:ascii="Arial" w:hAnsi="Arial"/>
          <w:b/>
          <w:color w:val="1E293B"/>
          <w:sz w:val="22"/>
        </w:rPr>
        <w:t>4.4 Customer &amp; Vendor Directory (/app/parties)</w:t>
      </w:r>
    </w:p>
    <w:p>
      <w:pPr>
        <w:spacing w:before="0" w:after="120" w:line="283" w:lineRule="auto"/>
      </w:pPr>
      <w:r>
        <w:rPr>
          <w:rFonts w:ascii="Arial" w:hAnsi="Arial"/>
          <w:color w:val="334155"/>
          <w:sz w:val="19"/>
        </w:rPr>
        <w:t>Consolidated counterparty management with automated tax compliance and credit governance.</w:t>
      </w:r>
    </w:p>
    <w:p>
      <w:pPr>
        <w:pStyle w:val="ListBullet"/>
        <w:spacing w:before="0" w:after="60" w:line="276" w:lineRule="auto"/>
      </w:pPr>
      <w:r>
        <w:rPr>
          <w:rFonts w:ascii="Arial" w:hAnsi="Arial"/>
          <w:b/>
          <w:color w:val="1E293B"/>
          <w:sz w:val="19"/>
        </w:rPr>
        <w:t xml:space="preserve">Party Types: </w:t>
      </w:r>
      <w:r>
        <w:rPr>
          <w:rFonts w:ascii="Arial" w:hAnsi="Arial"/>
          <w:color w:val="334155"/>
          <w:sz w:val="19"/>
        </w:rPr>
        <w:t>Categorize counterparties as Customers, Vendors, or Both.</w:t>
      </w:r>
    </w:p>
    <w:p>
      <w:pPr>
        <w:pStyle w:val="ListBullet"/>
        <w:spacing w:before="0" w:after="60" w:line="276" w:lineRule="auto"/>
      </w:pPr>
      <w:r>
        <w:rPr>
          <w:rFonts w:ascii="Arial" w:hAnsi="Arial"/>
          <w:b/>
          <w:color w:val="1E293B"/>
          <w:sz w:val="19"/>
        </w:rPr>
        <w:t xml:space="preserve">GSTIN Auto-Validation: </w:t>
      </w:r>
      <w:r>
        <w:rPr>
          <w:rFonts w:ascii="Arial" w:hAnsi="Arial"/>
          <w:color w:val="334155"/>
          <w:sz w:val="19"/>
        </w:rPr>
        <w:t>Entering a 15-digit GSTIN automatically resolves state code, extracts PAN, and validates checksum integrity.</w:t>
      </w:r>
    </w:p>
    <w:p>
      <w:pPr>
        <w:pStyle w:val="ListBullet"/>
        <w:spacing w:before="0" w:after="60" w:line="276" w:lineRule="auto"/>
      </w:pPr>
      <w:r>
        <w:rPr>
          <w:rFonts w:ascii="Arial" w:hAnsi="Arial"/>
          <w:b/>
          <w:color w:val="1E293B"/>
          <w:sz w:val="19"/>
        </w:rPr>
        <w:t xml:space="preserve">Automated Ledger Mapping: </w:t>
      </w:r>
      <w:r>
        <w:rPr>
          <w:rFonts w:ascii="Arial" w:hAnsi="Arial"/>
          <w:color w:val="334155"/>
          <w:sz w:val="19"/>
        </w:rPr>
        <w:t>Saving a party automatically provisions a linked ledger in the Chart of Accounts under Sundry Debtors or Sundry Creditors.</w:t>
      </w:r>
    </w:p>
    <w:p>
      <w:pPr>
        <w:pStyle w:val="ListBullet"/>
        <w:spacing w:before="0" w:after="60" w:line="276" w:lineRule="auto"/>
      </w:pPr>
      <w:r>
        <w:rPr>
          <w:rFonts w:ascii="Arial" w:hAnsi="Arial"/>
          <w:b/>
          <w:color w:val="1E293B"/>
          <w:sz w:val="19"/>
        </w:rPr>
        <w:t xml:space="preserve">Credit Control: </w:t>
      </w:r>
      <w:r>
        <w:rPr>
          <w:rFonts w:ascii="Arial" w:hAnsi="Arial"/>
          <w:color w:val="334155"/>
          <w:sz w:val="19"/>
        </w:rPr>
        <w:t>Set hard credit limits and credit periods (in days) to flag over-limit orders.</w:t>
      </w:r>
    </w:p>
    <w:p>
      <w:pPr>
        <w:pStyle w:val="ListBullet"/>
        <w:spacing w:before="0" w:after="60" w:line="276" w:lineRule="auto"/>
      </w:pPr>
      <w:r>
        <w:rPr>
          <w:rFonts w:ascii="Arial" w:hAnsi="Arial"/>
          <w:b/>
          <w:color w:val="1E293B"/>
          <w:sz w:val="19"/>
        </w:rPr>
        <w:t xml:space="preserve">Side Drawer Dossier: </w:t>
      </w:r>
      <w:r>
        <w:rPr>
          <w:rFonts w:ascii="Arial" w:hAnsi="Arial"/>
          <w:color w:val="334155"/>
          <w:sz w:val="19"/>
        </w:rPr>
        <w:t>Click any party to inspect their open invoices, payment history, and ledger movements without leaving the screen.</w:t>
      </w:r>
    </w:p>
    <w:p>
      <w:pPr>
        <w:keepNext/>
        <w:spacing w:before="240" w:after="80"/>
      </w:pPr>
      <w:r>
        <w:rPr>
          <w:rFonts w:ascii="Arial" w:hAnsi="Arial"/>
          <w:b/>
          <w:color w:val="1E293B"/>
          <w:sz w:val="22"/>
        </w:rPr>
        <w:t>4.5 Bank &amp; Cash Accounts (/app/banks)</w:t>
      </w:r>
    </w:p>
    <w:p>
      <w:pPr>
        <w:spacing w:before="0" w:after="120" w:line="283" w:lineRule="auto"/>
      </w:pPr>
      <w:r>
        <w:rPr>
          <w:rFonts w:ascii="Arial" w:hAnsi="Arial"/>
          <w:color w:val="334155"/>
          <w:sz w:val="19"/>
        </w:rPr>
        <w:t>Maintain institutional banking relationships and cash registers with comprehensive reconciliation.</w:t>
      </w:r>
    </w:p>
    <w:p>
      <w:pPr>
        <w:pStyle w:val="ListBullet"/>
        <w:spacing w:before="0" w:after="60" w:line="276" w:lineRule="auto"/>
      </w:pPr>
      <w:r>
        <w:rPr>
          <w:rFonts w:ascii="Arial" w:hAnsi="Arial"/>
          <w:b/>
          <w:color w:val="1E293B"/>
          <w:sz w:val="19"/>
        </w:rPr>
        <w:t xml:space="preserve">Adding Bank Accounts: </w:t>
      </w:r>
      <w:r>
        <w:rPr>
          <w:rFonts w:ascii="Arial" w:hAnsi="Arial"/>
          <w:color w:val="334155"/>
          <w:sz w:val="19"/>
        </w:rPr>
        <w:t>Record Account Name, Bank Name, Account Number, IFSC code, Branch, and Opening Balance.</w:t>
      </w:r>
    </w:p>
    <w:p>
      <w:pPr>
        <w:pStyle w:val="ListBullet"/>
        <w:spacing w:before="0" w:after="60" w:line="276" w:lineRule="auto"/>
      </w:pPr>
      <w:r>
        <w:rPr>
          <w:rFonts w:ascii="Arial" w:hAnsi="Arial"/>
          <w:b/>
          <w:color w:val="1E293B"/>
          <w:sz w:val="19"/>
        </w:rPr>
        <w:t xml:space="preserve">Reconciliation Workflow: </w:t>
      </w:r>
      <w:r>
        <w:rPr>
          <w:rFonts w:ascii="Arial" w:hAnsi="Arial"/>
          <w:color w:val="334155"/>
          <w:sz w:val="19"/>
        </w:rPr>
        <w:t>Match transactions against external bank statements and record statement clearance dates.</w:t>
      </w:r>
    </w:p>
    <w:p>
      <w:pPr>
        <w:keepNext/>
        <w:spacing w:before="240" w:after="80"/>
      </w:pPr>
      <w:r>
        <w:rPr>
          <w:rFonts w:ascii="Arial" w:hAnsi="Arial"/>
          <w:b/>
          <w:color w:val="1E293B"/>
          <w:sz w:val="22"/>
        </w:rPr>
        <w:t>4.6 Transactions &amp; Voucher Lifecycle (/app/accounting-vouchers)</w:t>
      </w:r>
    </w:p>
    <w:p>
      <w:pPr>
        <w:spacing w:before="0" w:after="120" w:line="283" w:lineRule="auto"/>
      </w:pPr>
      <w:r>
        <w:rPr>
          <w:rFonts w:ascii="Arial" w:hAnsi="Arial"/>
          <w:color w:val="334155"/>
          <w:sz w:val="19"/>
        </w:rPr>
        <w:t>ImmBiz Books provides a powerful voucher entry system supporting both visual itemized invoices and fast double-entry forms.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C6B62"/>
            <w:tcMar>
              <w:top w:w="120" w:type="dxa"/>
              <w:bottom w:w="120" w:type="dxa"/>
              <w:left w:w="150" w:type="dxa"/>
              <w:right w:w="150" w:type="dxa"/>
            </w:tcMar>
          </w:tcPr>
          <w:p>
            <w:pPr>
              <w:spacing w:before="40" w:after="40"/>
              <w:jc w:val="left"/>
            </w:pPr>
            <w:r>
              <w:rPr>
                <w:rFonts w:ascii="Arial" w:hAnsi="Arial"/>
                <w:b/>
                <w:color w:val="FFFFFF"/>
                <w:sz w:val="19"/>
              </w:rPr>
              <w:t>Voucher Type</w:t>
            </w:r>
          </w:p>
        </w:tc>
        <w:tc>
          <w:tcPr>
            <w:tcW w:type="dxa" w:w="3600"/>
            <w:shd w:fill="0C6B62"/>
            <w:tcMar>
              <w:top w:w="120" w:type="dxa"/>
              <w:bottom w:w="120" w:type="dxa"/>
              <w:left w:w="150" w:type="dxa"/>
              <w:right w:w="150" w:type="dxa"/>
            </w:tcMar>
          </w:tcPr>
          <w:p>
            <w:pPr>
              <w:spacing w:before="40" w:after="40"/>
              <w:jc w:val="left"/>
            </w:pPr>
            <w:r>
              <w:rPr>
                <w:rFonts w:ascii="Arial" w:hAnsi="Arial"/>
                <w:b/>
                <w:color w:val="FFFFFF"/>
                <w:sz w:val="19"/>
              </w:rPr>
              <w:t>Primary Purpose</w:t>
            </w:r>
          </w:p>
        </w:tc>
        <w:tc>
          <w:tcPr>
            <w:tcW w:type="dxa" w:w="3600"/>
            <w:shd w:fill="0C6B62"/>
            <w:tcMar>
              <w:top w:w="120" w:type="dxa"/>
              <w:bottom w:w="120" w:type="dxa"/>
              <w:left w:w="150" w:type="dxa"/>
              <w:right w:w="150" w:type="dxa"/>
            </w:tcMar>
          </w:tcPr>
          <w:p>
            <w:pPr>
              <w:spacing w:before="40" w:after="40"/>
              <w:jc w:val="left"/>
            </w:pPr>
            <w:r>
              <w:rPr>
                <w:rFonts w:ascii="Arial" w:hAnsi="Arial"/>
                <w:b/>
                <w:color w:val="FFFFFF"/>
                <w:sz w:val="19"/>
              </w:rPr>
              <w:t>Typical Double-Entry Rule</w:t>
            </w:r>
          </w:p>
        </w:tc>
      </w:tr>
      <w:tr>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Sales Invoice</w:t>
            </w:r>
          </w:p>
        </w:tc>
        <w:tc>
          <w:tcPr>
            <w:tcW w:type="dxa" w:w="3600"/>
            <w:shd w:fill="FFFFFF"/>
            <w:tcMar>
              <w:top w:w="100" w:type="dxa"/>
              <w:bottom w:w="100" w:type="dxa"/>
              <w:left w:w="150" w:type="dxa"/>
              <w:right w:w="150" w:type="dxa"/>
            </w:tcMar>
          </w:tcPr>
          <w:p>
            <w:pPr>
              <w:spacing w:before="40" w:after="40" w:line="276" w:lineRule="auto"/>
              <w:jc w:val="left"/>
            </w:pPr>
            <w:r>
              <w:rPr>
                <w:rFonts w:ascii="Arial" w:hAnsi="Arial"/>
                <w:color w:val="1E293B"/>
                <w:sz w:val="18"/>
              </w:rPr>
              <w:t>B2B / B2C tax invoicing for goods or services</w:t>
            </w:r>
          </w:p>
        </w:tc>
        <w:tc>
          <w:tcPr>
            <w:tcW w:type="dxa" w:w="3600"/>
            <w:shd w:fill="FFFFFF"/>
            <w:tcMar>
              <w:top w:w="100" w:type="dxa"/>
              <w:bottom w:w="100" w:type="dxa"/>
              <w:left w:w="150" w:type="dxa"/>
              <w:right w:w="150" w:type="dxa"/>
            </w:tcMar>
          </w:tcPr>
          <w:p>
            <w:pPr>
              <w:spacing w:before="40" w:after="40" w:line="276" w:lineRule="auto"/>
              <w:jc w:val="left"/>
            </w:pPr>
            <w:r>
              <w:rPr>
                <w:rFonts w:ascii="Arial" w:hAnsi="Arial"/>
                <w:color w:val="1E293B"/>
                <w:sz w:val="18"/>
              </w:rPr>
              <w:t>Dr Customer / Bank</w:t>
              <w:br/>
              <w:t>Cr Sales Revenue, Cr Output GST</w:t>
            </w:r>
          </w:p>
        </w:tc>
      </w:tr>
      <w:tr>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Purchase Bill</w:t>
            </w:r>
          </w:p>
        </w:tc>
        <w:tc>
          <w:tcPr>
            <w:tcW w:type="dxa" w:w="3600"/>
            <w:shd w:fill="F8FAFC"/>
            <w:tcMar>
              <w:top w:w="100" w:type="dxa"/>
              <w:bottom w:w="100" w:type="dxa"/>
              <w:left w:w="150" w:type="dxa"/>
              <w:right w:w="150" w:type="dxa"/>
            </w:tcMar>
          </w:tcPr>
          <w:p>
            <w:pPr>
              <w:spacing w:before="40" w:after="40" w:line="276" w:lineRule="auto"/>
              <w:jc w:val="left"/>
            </w:pPr>
            <w:r>
              <w:rPr>
                <w:rFonts w:ascii="Arial" w:hAnsi="Arial"/>
                <w:color w:val="1E293B"/>
                <w:sz w:val="18"/>
              </w:rPr>
              <w:t>Vendor bill recording with Input Tax Credit (ITC)</w:t>
            </w:r>
          </w:p>
        </w:tc>
        <w:tc>
          <w:tcPr>
            <w:tcW w:type="dxa" w:w="3600"/>
            <w:shd w:fill="F8FAFC"/>
            <w:tcMar>
              <w:top w:w="100" w:type="dxa"/>
              <w:bottom w:w="100" w:type="dxa"/>
              <w:left w:w="150" w:type="dxa"/>
              <w:right w:w="150" w:type="dxa"/>
            </w:tcMar>
          </w:tcPr>
          <w:p>
            <w:pPr>
              <w:spacing w:before="40" w:after="40" w:line="276" w:lineRule="auto"/>
              <w:jc w:val="left"/>
            </w:pPr>
            <w:r>
              <w:rPr>
                <w:rFonts w:ascii="Arial" w:hAnsi="Arial"/>
                <w:color w:val="1E293B"/>
                <w:sz w:val="18"/>
              </w:rPr>
              <w:t>Dr Purchase / Expense, Dr Input GST</w:t>
              <w:br/>
              <w:t>Cr Vendor / Bank</w:t>
            </w:r>
          </w:p>
        </w:tc>
      </w:tr>
      <w:tr>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Receipt Voucher</w:t>
            </w:r>
          </w:p>
        </w:tc>
        <w:tc>
          <w:tcPr>
            <w:tcW w:type="dxa" w:w="3600"/>
            <w:shd w:fill="FFFFFF"/>
            <w:tcMar>
              <w:top w:w="100" w:type="dxa"/>
              <w:bottom w:w="100" w:type="dxa"/>
              <w:left w:w="150" w:type="dxa"/>
              <w:right w:w="150" w:type="dxa"/>
            </w:tcMar>
          </w:tcPr>
          <w:p>
            <w:pPr>
              <w:spacing w:before="40" w:after="40" w:line="276" w:lineRule="auto"/>
              <w:jc w:val="left"/>
            </w:pPr>
            <w:r>
              <w:rPr>
                <w:rFonts w:ascii="Arial" w:hAnsi="Arial"/>
                <w:color w:val="1E293B"/>
                <w:sz w:val="18"/>
              </w:rPr>
              <w:t>Recording customer collections and inflows</w:t>
            </w:r>
          </w:p>
        </w:tc>
        <w:tc>
          <w:tcPr>
            <w:tcW w:type="dxa" w:w="3600"/>
            <w:shd w:fill="FFFFFF"/>
            <w:tcMar>
              <w:top w:w="100" w:type="dxa"/>
              <w:bottom w:w="100" w:type="dxa"/>
              <w:left w:w="150" w:type="dxa"/>
              <w:right w:w="150" w:type="dxa"/>
            </w:tcMar>
          </w:tcPr>
          <w:p>
            <w:pPr>
              <w:spacing w:before="40" w:after="40" w:line="276" w:lineRule="auto"/>
              <w:jc w:val="left"/>
            </w:pPr>
            <w:r>
              <w:rPr>
                <w:rFonts w:ascii="Arial" w:hAnsi="Arial"/>
                <w:color w:val="1E293B"/>
                <w:sz w:val="18"/>
              </w:rPr>
              <w:t>Dr Bank / Cash</w:t>
              <w:br/>
              <w:t>Cr Customer / Direct Income</w:t>
            </w:r>
          </w:p>
        </w:tc>
      </w:tr>
      <w:tr>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Payment Voucher</w:t>
            </w:r>
          </w:p>
        </w:tc>
        <w:tc>
          <w:tcPr>
            <w:tcW w:type="dxa" w:w="3600"/>
            <w:shd w:fill="F8FAFC"/>
            <w:tcMar>
              <w:top w:w="100" w:type="dxa"/>
              <w:bottom w:w="100" w:type="dxa"/>
              <w:left w:w="150" w:type="dxa"/>
              <w:right w:w="150" w:type="dxa"/>
            </w:tcMar>
          </w:tcPr>
          <w:p>
            <w:pPr>
              <w:spacing w:before="40" w:after="40" w:line="276" w:lineRule="auto"/>
              <w:jc w:val="left"/>
            </w:pPr>
            <w:r>
              <w:rPr>
                <w:rFonts w:ascii="Arial" w:hAnsi="Arial"/>
                <w:color w:val="1E293B"/>
                <w:sz w:val="18"/>
              </w:rPr>
              <w:t>Vendor settlements and expense disbursements</w:t>
            </w:r>
          </w:p>
        </w:tc>
        <w:tc>
          <w:tcPr>
            <w:tcW w:type="dxa" w:w="3600"/>
            <w:shd w:fill="F8FAFC"/>
            <w:tcMar>
              <w:top w:w="100" w:type="dxa"/>
              <w:bottom w:w="100" w:type="dxa"/>
              <w:left w:w="150" w:type="dxa"/>
              <w:right w:w="150" w:type="dxa"/>
            </w:tcMar>
          </w:tcPr>
          <w:p>
            <w:pPr>
              <w:spacing w:before="40" w:after="40" w:line="276" w:lineRule="auto"/>
              <w:jc w:val="left"/>
            </w:pPr>
            <w:r>
              <w:rPr>
                <w:rFonts w:ascii="Arial" w:hAnsi="Arial"/>
                <w:color w:val="1E293B"/>
                <w:sz w:val="18"/>
              </w:rPr>
              <w:t>Dr Vendor / Expense Account</w:t>
              <w:br/>
              <w:t>Cr Bank / Cash</w:t>
            </w:r>
          </w:p>
        </w:tc>
      </w:tr>
      <w:tr>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Contra Voucher</w:t>
            </w:r>
          </w:p>
        </w:tc>
        <w:tc>
          <w:tcPr>
            <w:tcW w:type="dxa" w:w="3600"/>
            <w:shd w:fill="FFFFFF"/>
            <w:tcMar>
              <w:top w:w="100" w:type="dxa"/>
              <w:bottom w:w="100" w:type="dxa"/>
              <w:left w:w="150" w:type="dxa"/>
              <w:right w:w="150" w:type="dxa"/>
            </w:tcMar>
          </w:tcPr>
          <w:p>
            <w:pPr>
              <w:spacing w:before="40" w:after="40" w:line="276" w:lineRule="auto"/>
              <w:jc w:val="left"/>
            </w:pPr>
            <w:r>
              <w:rPr>
                <w:rFonts w:ascii="Arial" w:hAnsi="Arial"/>
                <w:color w:val="1E293B"/>
                <w:sz w:val="18"/>
              </w:rPr>
              <w:t>Cash deposits, withdrawals, and bank transfers</w:t>
            </w:r>
          </w:p>
        </w:tc>
        <w:tc>
          <w:tcPr>
            <w:tcW w:type="dxa" w:w="3600"/>
            <w:shd w:fill="FFFFFF"/>
            <w:tcMar>
              <w:top w:w="100" w:type="dxa"/>
              <w:bottom w:w="100" w:type="dxa"/>
              <w:left w:w="150" w:type="dxa"/>
              <w:right w:w="150" w:type="dxa"/>
            </w:tcMar>
          </w:tcPr>
          <w:p>
            <w:pPr>
              <w:spacing w:before="40" w:after="40" w:line="276" w:lineRule="auto"/>
              <w:jc w:val="left"/>
            </w:pPr>
            <w:r>
              <w:rPr>
                <w:rFonts w:ascii="Arial" w:hAnsi="Arial"/>
                <w:color w:val="1E293B"/>
                <w:sz w:val="18"/>
              </w:rPr>
              <w:t>Dr Destination Bank/Cash</w:t>
              <w:br/>
              <w:t>Cr Source Bank/Cash</w:t>
            </w:r>
          </w:p>
        </w:tc>
      </w:tr>
      <w:tr>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Journal Voucher</w:t>
            </w:r>
          </w:p>
        </w:tc>
        <w:tc>
          <w:tcPr>
            <w:tcW w:type="dxa" w:w="3600"/>
            <w:shd w:fill="F8FAFC"/>
            <w:tcMar>
              <w:top w:w="100" w:type="dxa"/>
              <w:bottom w:w="100" w:type="dxa"/>
              <w:left w:w="150" w:type="dxa"/>
              <w:right w:w="150" w:type="dxa"/>
            </w:tcMar>
          </w:tcPr>
          <w:p>
            <w:pPr>
              <w:spacing w:before="40" w:after="40" w:line="276" w:lineRule="auto"/>
              <w:jc w:val="left"/>
            </w:pPr>
            <w:r>
              <w:rPr>
                <w:rFonts w:ascii="Arial" w:hAnsi="Arial"/>
                <w:color w:val="1E293B"/>
                <w:sz w:val="18"/>
              </w:rPr>
              <w:t>Adjustments, depreciation, accruals, rectification</w:t>
            </w:r>
          </w:p>
        </w:tc>
        <w:tc>
          <w:tcPr>
            <w:tcW w:type="dxa" w:w="3600"/>
            <w:shd w:fill="F8FAFC"/>
            <w:tcMar>
              <w:top w:w="100" w:type="dxa"/>
              <w:bottom w:w="100" w:type="dxa"/>
              <w:left w:w="150" w:type="dxa"/>
              <w:right w:w="150" w:type="dxa"/>
            </w:tcMar>
          </w:tcPr>
          <w:p>
            <w:pPr>
              <w:spacing w:before="40" w:after="40" w:line="276" w:lineRule="auto"/>
              <w:jc w:val="left"/>
            </w:pPr>
            <w:r>
              <w:rPr>
                <w:rFonts w:ascii="Arial" w:hAnsi="Arial"/>
                <w:color w:val="1E293B"/>
                <w:sz w:val="18"/>
              </w:rPr>
              <w:t>Dr Expense / Asset</w:t>
              <w:br/>
              <w:t>Cr Liability / Asset</w:t>
            </w:r>
          </w:p>
        </w:tc>
      </w:tr>
    </w:tbl>
    <w:p>
      <w:pPr>
        <w:spacing w:after="80"/>
      </w:pPr>
    </w:p>
    <w:p>
      <w:pPr>
        <w:pStyle w:val="ListBullet"/>
        <w:spacing w:before="0" w:after="60" w:line="276" w:lineRule="auto"/>
      </w:pPr>
      <w:r>
        <w:rPr>
          <w:rFonts w:ascii="Arial" w:hAnsi="Arial"/>
          <w:b/>
          <w:color w:val="1E293B"/>
          <w:sz w:val="19"/>
        </w:rPr>
        <w:t xml:space="preserve">Draft vs. Posted Lifecycle: </w:t>
      </w:r>
      <w:r>
        <w:rPr>
          <w:rFonts w:ascii="Arial" w:hAnsi="Arial"/>
          <w:color w:val="334155"/>
          <w:sz w:val="19"/>
        </w:rPr>
        <w:t>Save unconfirmed transactions as Draft without altering ledgers. Click 'Post' to lock entries and update accounts.</w:t>
      </w:r>
    </w:p>
    <w:p>
      <w:pPr>
        <w:pStyle w:val="ListBullet"/>
        <w:spacing w:before="0" w:after="60" w:line="276" w:lineRule="auto"/>
      </w:pPr>
      <w:r>
        <w:rPr>
          <w:rFonts w:ascii="Arial" w:hAnsi="Arial"/>
          <w:b/>
          <w:color w:val="1E293B"/>
          <w:sz w:val="19"/>
        </w:rPr>
        <w:t xml:space="preserve">Automated Place of Supply: </w:t>
      </w:r>
      <w:r>
        <w:rPr>
          <w:rFonts w:ascii="Arial" w:hAnsi="Arial"/>
          <w:color w:val="334155"/>
          <w:sz w:val="19"/>
        </w:rPr>
        <w:t>Automatically splits tax into CGST + SGST for Intra-State sales or IGST for Inter-State sales based on party GSTIN.</w:t>
      </w:r>
    </w:p>
    <w:p>
      <w:pPr>
        <w:pStyle w:val="ListBullet"/>
        <w:spacing w:before="0" w:after="60" w:line="276" w:lineRule="auto"/>
      </w:pPr>
      <w:r>
        <w:rPr>
          <w:rFonts w:ascii="Arial" w:hAnsi="Arial"/>
          <w:b/>
          <w:color w:val="1E293B"/>
          <w:sz w:val="19"/>
        </w:rPr>
        <w:t xml:space="preserve">Print / Export: </w:t>
      </w:r>
      <w:r>
        <w:rPr>
          <w:rFonts w:ascii="Arial" w:hAnsi="Arial"/>
          <w:color w:val="334155"/>
          <w:sz w:val="19"/>
        </w:rPr>
        <w:t>Generate professional, GST-compliant PDF tax invoices with your company logo, bank details, and QR codes.</w:t>
      </w:r>
    </w:p>
    <w:p>
      <w:pPr>
        <w:keepNext/>
        <w:spacing w:before="240" w:after="80"/>
      </w:pPr>
      <w:r>
        <w:rPr>
          <w:rFonts w:ascii="Arial" w:hAnsi="Arial"/>
          <w:b/>
          <w:color w:val="1E293B"/>
          <w:sz w:val="22"/>
        </w:rPr>
        <w:t>4.7 Products &amp; Inventory (/app/products)</w:t>
      </w:r>
    </w:p>
    <w:p>
      <w:pPr>
        <w:spacing w:before="0" w:after="120" w:line="283" w:lineRule="auto"/>
      </w:pPr>
      <w:r>
        <w:rPr>
          <w:rFonts w:ascii="Arial" w:hAnsi="Arial"/>
          <w:color w:val="334155"/>
          <w:sz w:val="19"/>
        </w:rPr>
        <w:t>Available in 'Account with Inventory' mode to manage item catalogs and stock balances.</w:t>
      </w:r>
    </w:p>
    <w:p>
      <w:pPr>
        <w:pStyle w:val="ListBullet"/>
        <w:spacing w:before="0" w:after="60" w:line="276" w:lineRule="auto"/>
      </w:pPr>
      <w:r>
        <w:rPr>
          <w:rFonts w:ascii="Arial" w:hAnsi="Arial"/>
          <w:b/>
          <w:color w:val="1E293B"/>
          <w:sz w:val="19"/>
        </w:rPr>
        <w:t xml:space="preserve">Item Master: </w:t>
      </w:r>
      <w:r>
        <w:rPr>
          <w:rFonts w:ascii="Arial" w:hAnsi="Arial"/>
          <w:color w:val="334155"/>
          <w:sz w:val="19"/>
        </w:rPr>
        <w:t>Define goods and services, HSN/SAC codes, and default tax slabs (0%, 5%, 12%, 18%, 28%).</w:t>
      </w:r>
    </w:p>
    <w:p>
      <w:pPr>
        <w:pStyle w:val="ListBullet"/>
        <w:spacing w:before="0" w:after="60" w:line="276" w:lineRule="auto"/>
      </w:pPr>
      <w:r>
        <w:rPr>
          <w:rFonts w:ascii="Arial" w:hAnsi="Arial"/>
          <w:b/>
          <w:color w:val="1E293B"/>
          <w:sz w:val="19"/>
        </w:rPr>
        <w:t xml:space="preserve">Stock Tracking: </w:t>
      </w:r>
      <w:r>
        <w:rPr>
          <w:rFonts w:ascii="Arial" w:hAnsi="Arial"/>
          <w:color w:val="334155"/>
          <w:sz w:val="19"/>
        </w:rPr>
        <w:t>Monitor opening stock, current balance, reorder levels, and unit definitions (PCS, KGS, NOS, BOX).</w:t>
      </w:r>
    </w:p>
    <w:p>
      <w:pPr>
        <w:keepNext/>
        <w:spacing w:before="240" w:after="80"/>
      </w:pPr>
      <w:r>
        <w:rPr>
          <w:rFonts w:ascii="Arial" w:hAnsi="Arial"/>
          <w:b/>
          <w:color w:val="1E293B"/>
          <w:sz w:val="22"/>
        </w:rPr>
        <w:t>4.8 Financial Statements &amp; Audit Reports (/app/reports)</w:t>
      </w:r>
    </w:p>
    <w:p>
      <w:pPr>
        <w:spacing w:before="0" w:after="120" w:line="283" w:lineRule="auto"/>
      </w:pPr>
      <w:r>
        <w:rPr>
          <w:rFonts w:ascii="Arial" w:hAnsi="Arial"/>
          <w:color w:val="334155"/>
          <w:sz w:val="19"/>
        </w:rPr>
        <w:t>Generate formal, real-time financial statements ready for management review or tax audit:</w:t>
      </w:r>
    </w:p>
    <w:p>
      <w:pPr>
        <w:pStyle w:val="ListBullet"/>
        <w:spacing w:before="0" w:after="60" w:line="276" w:lineRule="auto"/>
      </w:pPr>
      <w:r>
        <w:rPr>
          <w:rFonts w:ascii="Arial" w:hAnsi="Arial"/>
          <w:b/>
          <w:color w:val="1E293B"/>
          <w:sz w:val="19"/>
        </w:rPr>
        <w:t xml:space="preserve">Balance Sheet: </w:t>
      </w:r>
      <w:r>
        <w:rPr>
          <w:rFonts w:ascii="Arial" w:hAnsi="Arial"/>
          <w:color w:val="334155"/>
          <w:sz w:val="19"/>
        </w:rPr>
        <w:t>Complete Statement of Financial Position grouped by Capital, Liabilities, Fixed Assets, and Current Assets.</w:t>
      </w:r>
    </w:p>
    <w:p>
      <w:pPr>
        <w:pStyle w:val="ListBullet"/>
        <w:spacing w:before="0" w:after="60" w:line="276" w:lineRule="auto"/>
      </w:pPr>
      <w:r>
        <w:rPr>
          <w:rFonts w:ascii="Arial" w:hAnsi="Arial"/>
          <w:b/>
          <w:color w:val="1E293B"/>
          <w:sz w:val="19"/>
        </w:rPr>
        <w:t xml:space="preserve">Profit &amp; Loss Statement: </w:t>
      </w:r>
      <w:r>
        <w:rPr>
          <w:rFonts w:ascii="Arial" w:hAnsi="Arial"/>
          <w:color w:val="334155"/>
          <w:sz w:val="19"/>
        </w:rPr>
        <w:t>Gross Profit, Operating Incomes, Operating Expenses, and Net Profit.</w:t>
      </w:r>
    </w:p>
    <w:p>
      <w:pPr>
        <w:pStyle w:val="ListBullet"/>
        <w:spacing w:before="0" w:after="60" w:line="276" w:lineRule="auto"/>
      </w:pPr>
      <w:r>
        <w:rPr>
          <w:rFonts w:ascii="Arial" w:hAnsi="Arial"/>
          <w:b/>
          <w:color w:val="1E293B"/>
          <w:sz w:val="19"/>
        </w:rPr>
        <w:t xml:space="preserve">Trial Balance: </w:t>
      </w:r>
      <w:r>
        <w:rPr>
          <w:rFonts w:ascii="Arial" w:hAnsi="Arial"/>
          <w:color w:val="334155"/>
          <w:sz w:val="19"/>
        </w:rPr>
        <w:t>Complete double-entry balance check across all active accounts.</w:t>
      </w:r>
    </w:p>
    <w:p>
      <w:pPr>
        <w:pStyle w:val="ListBullet"/>
        <w:spacing w:before="0" w:after="60" w:line="276" w:lineRule="auto"/>
      </w:pPr>
      <w:r>
        <w:rPr>
          <w:rFonts w:ascii="Arial" w:hAnsi="Arial"/>
          <w:b/>
          <w:color w:val="1E293B"/>
          <w:sz w:val="19"/>
        </w:rPr>
        <w:t xml:space="preserve">Day Book: </w:t>
      </w:r>
      <w:r>
        <w:rPr>
          <w:rFonts w:ascii="Arial" w:hAnsi="Arial"/>
          <w:color w:val="334155"/>
          <w:sz w:val="19"/>
        </w:rPr>
        <w:t>Chronological transaction journal for any selected accounting date.</w:t>
      </w:r>
    </w:p>
    <w:p>
      <w:pPr>
        <w:pStyle w:val="ListBullet"/>
        <w:spacing w:before="0" w:after="60" w:line="276" w:lineRule="auto"/>
      </w:pPr>
      <w:r>
        <w:rPr>
          <w:rFonts w:ascii="Arial" w:hAnsi="Arial"/>
          <w:b/>
          <w:color w:val="1E293B"/>
          <w:sz w:val="19"/>
        </w:rPr>
        <w:t xml:space="preserve">GST Tax Estimates: </w:t>
      </w:r>
      <w:r>
        <w:rPr>
          <w:rFonts w:ascii="Arial" w:hAnsi="Arial"/>
          <w:color w:val="334155"/>
          <w:sz w:val="19"/>
        </w:rPr>
        <w:t>Net tax payable calculation comparing Output Tax against claimable Input Tax Credit (ITC).</w:t>
      </w:r>
    </w:p>
    <w:p>
      <w:pPr>
        <w:keepNext/>
        <w:spacing w:before="360" w:after="120"/>
        <w:pBdr>
          <w:bottom w:val="single" w:sz="6" w:space="1" w:color="E2E8F0"/>
        </w:pBdr>
      </w:pPr>
      <w:r>
        <w:rPr>
          <w:rFonts w:ascii="Arial" w:hAnsi="Arial"/>
          <w:b/>
          <w:color w:val="0C6B62"/>
          <w:sz w:val="28"/>
        </w:rPr>
        <w:t>5. Power-User Keyboard Shortcuts</w:t>
      </w:r>
    </w:p>
    <w:p>
      <w:pPr>
        <w:spacing w:before="0" w:after="120" w:line="283" w:lineRule="auto"/>
      </w:pPr>
      <w:r>
        <w:rPr>
          <w:rFonts w:ascii="Arial" w:hAnsi="Arial"/>
          <w:color w:val="334155"/>
          <w:sz w:val="19"/>
        </w:rPr>
        <w:t>Designed for accounting professionals who prefer rapid keyboard data entry over mouse clicks: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0C6B62"/>
            <w:tcMar>
              <w:top w:w="120" w:type="dxa"/>
              <w:bottom w:w="120" w:type="dxa"/>
              <w:left w:w="150" w:type="dxa"/>
              <w:right w:w="150" w:type="dxa"/>
            </w:tcMar>
          </w:tcPr>
          <w:p>
            <w:pPr>
              <w:spacing w:before="40" w:after="40"/>
              <w:jc w:val="left"/>
            </w:pPr>
            <w:r>
              <w:rPr>
                <w:rFonts w:ascii="Arial" w:hAnsi="Arial"/>
                <w:b/>
                <w:color w:val="FFFFFF"/>
                <w:sz w:val="19"/>
              </w:rPr>
              <w:t>Shortcut</w:t>
            </w:r>
          </w:p>
        </w:tc>
        <w:tc>
          <w:tcPr>
            <w:tcW w:type="dxa" w:w="4608"/>
            <w:shd w:fill="0C6B62"/>
            <w:tcMar>
              <w:top w:w="120" w:type="dxa"/>
              <w:bottom w:w="120" w:type="dxa"/>
              <w:left w:w="150" w:type="dxa"/>
              <w:right w:w="150" w:type="dxa"/>
            </w:tcMar>
          </w:tcPr>
          <w:p>
            <w:pPr>
              <w:spacing w:before="40" w:after="40"/>
              <w:jc w:val="left"/>
            </w:pPr>
            <w:r>
              <w:rPr>
                <w:rFonts w:ascii="Arial" w:hAnsi="Arial"/>
                <w:b/>
                <w:color w:val="FFFFFF"/>
                <w:sz w:val="19"/>
              </w:rPr>
              <w:t>Action / Function</w:t>
            </w:r>
          </w:p>
        </w:tc>
        <w:tc>
          <w:tcPr>
            <w:tcW w:type="dxa" w:w="2592"/>
            <w:shd w:fill="0C6B62"/>
            <w:tcMar>
              <w:top w:w="120" w:type="dxa"/>
              <w:bottom w:w="120" w:type="dxa"/>
              <w:left w:w="150" w:type="dxa"/>
              <w:right w:w="150" w:type="dxa"/>
            </w:tcMar>
          </w:tcPr>
          <w:p>
            <w:pPr>
              <w:spacing w:before="40" w:after="40"/>
              <w:jc w:val="left"/>
            </w:pPr>
            <w:r>
              <w:rPr>
                <w:rFonts w:ascii="Arial" w:hAnsi="Arial"/>
                <w:b/>
                <w:color w:val="FFFFFF"/>
                <w:sz w:val="19"/>
              </w:rPr>
              <w:t>Scope</w:t>
            </w:r>
          </w:p>
        </w:tc>
      </w:tr>
      <w:tr>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Ctrl + N  /  Cmd + N</w:t>
            </w:r>
          </w:p>
        </w:tc>
        <w:tc>
          <w:tcPr>
            <w:tcW w:type="dxa" w:w="4608"/>
            <w:shd w:fill="FFFFFF"/>
            <w:tcMar>
              <w:top w:w="100" w:type="dxa"/>
              <w:bottom w:w="100" w:type="dxa"/>
              <w:left w:w="150" w:type="dxa"/>
              <w:right w:w="150" w:type="dxa"/>
            </w:tcMar>
          </w:tcPr>
          <w:p>
            <w:pPr>
              <w:spacing w:before="40" w:after="40" w:line="276" w:lineRule="auto"/>
              <w:jc w:val="left"/>
            </w:pPr>
            <w:r>
              <w:rPr>
                <w:rFonts w:ascii="Arial" w:hAnsi="Arial"/>
                <w:color w:val="1E293B"/>
                <w:sz w:val="18"/>
              </w:rPr>
              <w:t>Open 'New Record' creation drawer (Ledger, Party, Voucher)</w:t>
            </w:r>
          </w:p>
        </w:tc>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Global</w:t>
            </w:r>
          </w:p>
        </w:tc>
      </w:tr>
      <w:tr>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Ctrl + S  /  Cmd + S</w:t>
            </w:r>
          </w:p>
        </w:tc>
        <w:tc>
          <w:tcPr>
            <w:tcW w:type="dxa" w:w="4608"/>
            <w:shd w:fill="F8FAFC"/>
            <w:tcMar>
              <w:top w:w="100" w:type="dxa"/>
              <w:bottom w:w="100" w:type="dxa"/>
              <w:left w:w="150" w:type="dxa"/>
              <w:right w:w="150" w:type="dxa"/>
            </w:tcMar>
          </w:tcPr>
          <w:p>
            <w:pPr>
              <w:spacing w:before="40" w:after="40" w:line="276" w:lineRule="auto"/>
              <w:jc w:val="left"/>
            </w:pPr>
            <w:r>
              <w:rPr>
                <w:rFonts w:ascii="Arial" w:hAnsi="Arial"/>
                <w:color w:val="1E293B"/>
                <w:sz w:val="18"/>
              </w:rPr>
              <w:t>Save active form or post voucher immediately</w:t>
            </w:r>
          </w:p>
        </w:tc>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Drawer / Forms</w:t>
            </w:r>
          </w:p>
        </w:tc>
      </w:tr>
      <w:tr>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Ctrl + K  /  Cmd + K</w:t>
            </w:r>
          </w:p>
        </w:tc>
        <w:tc>
          <w:tcPr>
            <w:tcW w:type="dxa" w:w="4608"/>
            <w:shd w:fill="FFFFFF"/>
            <w:tcMar>
              <w:top w:w="100" w:type="dxa"/>
              <w:bottom w:w="100" w:type="dxa"/>
              <w:left w:w="150" w:type="dxa"/>
              <w:right w:w="150" w:type="dxa"/>
            </w:tcMar>
          </w:tcPr>
          <w:p>
            <w:pPr>
              <w:spacing w:before="40" w:after="40" w:line="276" w:lineRule="auto"/>
              <w:jc w:val="left"/>
            </w:pPr>
            <w:r>
              <w:rPr>
                <w:rFonts w:ascii="Arial" w:hAnsi="Arial"/>
                <w:color w:val="1E293B"/>
                <w:sz w:val="18"/>
              </w:rPr>
              <w:t>Global Quick Search across ledgers, parties, and vouchers</w:t>
            </w:r>
          </w:p>
        </w:tc>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Global Navigation</w:t>
            </w:r>
          </w:p>
        </w:tc>
      </w:tr>
      <w:tr>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Esc</w:t>
            </w:r>
          </w:p>
        </w:tc>
        <w:tc>
          <w:tcPr>
            <w:tcW w:type="dxa" w:w="4608"/>
            <w:shd w:fill="F8FAFC"/>
            <w:tcMar>
              <w:top w:w="100" w:type="dxa"/>
              <w:bottom w:w="100" w:type="dxa"/>
              <w:left w:w="150" w:type="dxa"/>
              <w:right w:w="150" w:type="dxa"/>
            </w:tcMar>
          </w:tcPr>
          <w:p>
            <w:pPr>
              <w:spacing w:before="40" w:after="40" w:line="276" w:lineRule="auto"/>
              <w:jc w:val="left"/>
            </w:pPr>
            <w:r>
              <w:rPr>
                <w:rFonts w:ascii="Arial" w:hAnsi="Arial"/>
                <w:color w:val="1E293B"/>
                <w:sz w:val="18"/>
              </w:rPr>
              <w:t>Close active drawer, modal, or cancel prompt</w:t>
            </w:r>
          </w:p>
        </w:tc>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Drawers / Modals</w:t>
            </w:r>
          </w:p>
        </w:tc>
      </w:tr>
      <w:tr>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Tab  /  Shift + Tab</w:t>
            </w:r>
          </w:p>
        </w:tc>
        <w:tc>
          <w:tcPr>
            <w:tcW w:type="dxa" w:w="4608"/>
            <w:shd w:fill="FFFFFF"/>
            <w:tcMar>
              <w:top w:w="100" w:type="dxa"/>
              <w:bottom w:w="100" w:type="dxa"/>
              <w:left w:w="150" w:type="dxa"/>
              <w:right w:w="150" w:type="dxa"/>
            </w:tcMar>
          </w:tcPr>
          <w:p>
            <w:pPr>
              <w:spacing w:before="40" w:after="40" w:line="276" w:lineRule="auto"/>
              <w:jc w:val="left"/>
            </w:pPr>
            <w:r>
              <w:rPr>
                <w:rFonts w:ascii="Arial" w:hAnsi="Arial"/>
                <w:color w:val="1E293B"/>
                <w:sz w:val="18"/>
              </w:rPr>
              <w:t>Move to next / previous input field</w:t>
            </w:r>
          </w:p>
        </w:tc>
        <w:tc>
          <w:tcPr>
            <w:tcW w:type="dxa" w:w="2592"/>
            <w:shd w:fill="FFFFFF"/>
            <w:tcMar>
              <w:top w:w="100" w:type="dxa"/>
              <w:bottom w:w="100" w:type="dxa"/>
              <w:left w:w="150" w:type="dxa"/>
              <w:right w:w="150" w:type="dxa"/>
            </w:tcMar>
          </w:tcPr>
          <w:p>
            <w:pPr>
              <w:spacing w:before="40" w:after="40" w:line="276" w:lineRule="auto"/>
              <w:jc w:val="left"/>
            </w:pPr>
            <w:r>
              <w:rPr>
                <w:rFonts w:ascii="Arial" w:hAnsi="Arial"/>
                <w:color w:val="1E293B"/>
                <w:sz w:val="18"/>
              </w:rPr>
              <w:t>Form Navigation</w:t>
            </w:r>
          </w:p>
        </w:tc>
      </w:tr>
      <w:tr>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Enter</w:t>
            </w:r>
          </w:p>
        </w:tc>
        <w:tc>
          <w:tcPr>
            <w:tcW w:type="dxa" w:w="4608"/>
            <w:shd w:fill="F8FAFC"/>
            <w:tcMar>
              <w:top w:w="100" w:type="dxa"/>
              <w:bottom w:w="100" w:type="dxa"/>
              <w:left w:w="150" w:type="dxa"/>
              <w:right w:w="150" w:type="dxa"/>
            </w:tcMar>
          </w:tcPr>
          <w:p>
            <w:pPr>
              <w:spacing w:before="40" w:after="40" w:line="276" w:lineRule="auto"/>
              <w:jc w:val="left"/>
            </w:pPr>
            <w:r>
              <w:rPr>
                <w:rFonts w:ascii="Arial" w:hAnsi="Arial"/>
                <w:color w:val="1E293B"/>
                <w:sz w:val="18"/>
              </w:rPr>
              <w:t>Select active dropdown item or submit line item</w:t>
            </w:r>
          </w:p>
        </w:tc>
        <w:tc>
          <w:tcPr>
            <w:tcW w:type="dxa" w:w="2592"/>
            <w:shd w:fill="F8FAFC"/>
            <w:tcMar>
              <w:top w:w="100" w:type="dxa"/>
              <w:bottom w:w="100" w:type="dxa"/>
              <w:left w:w="150" w:type="dxa"/>
              <w:right w:w="150" w:type="dxa"/>
            </w:tcMar>
          </w:tcPr>
          <w:p>
            <w:pPr>
              <w:spacing w:before="40" w:after="40" w:line="276" w:lineRule="auto"/>
              <w:jc w:val="left"/>
            </w:pPr>
            <w:r>
              <w:rPr>
                <w:rFonts w:ascii="Arial" w:hAnsi="Arial"/>
                <w:color w:val="1E293B"/>
                <w:sz w:val="18"/>
              </w:rPr>
              <w:t>Form Controls</w:t>
            </w:r>
          </w:p>
        </w:tc>
      </w:tr>
    </w:tbl>
    <w:p>
      <w:pPr>
        <w:spacing w:after="80"/>
      </w:pPr>
    </w:p>
    <w:p>
      <w:pPr>
        <w:keepNext/>
        <w:spacing w:before="360" w:after="120"/>
        <w:pBdr>
          <w:bottom w:val="single" w:sz="6" w:space="1" w:color="E2E8F0"/>
        </w:pBdr>
      </w:pPr>
      <w:r>
        <w:rPr>
          <w:rFonts w:ascii="Arial" w:hAnsi="Arial"/>
          <w:b/>
          <w:color w:val="0C6B62"/>
          <w:sz w:val="28"/>
        </w:rPr>
        <w:t>6. Frequently Asked Questions (FAQ) for Demo Users</w:t>
      </w:r>
    </w:p>
    <w:p>
      <w:pPr>
        <w:keepNext/>
        <w:spacing w:before="240" w:after="80"/>
      </w:pPr>
      <w:r>
        <w:rPr>
          <w:rFonts w:ascii="Arial" w:hAnsi="Arial"/>
          <w:b/>
          <w:color w:val="1E293B"/>
          <w:sz w:val="22"/>
        </w:rPr>
        <w:t>Q1: Will changes made in the demo affect real company data?</w:t>
      </w:r>
    </w:p>
    <w:p>
      <w:pPr>
        <w:spacing w:before="0" w:after="120" w:line="283" w:lineRule="auto"/>
      </w:pPr>
      <w:r>
        <w:rPr>
          <w:rFonts w:ascii="Arial" w:hAnsi="Arial"/>
          <w:color w:val="334155"/>
          <w:sz w:val="19"/>
        </w:rPr>
        <w:t>No. All demo actions are strictly confined to the PostgreSQL 'demo' schema. Production records in the 'master' schema remain 100% isolated and cannot be altered by demo sessions.</w:t>
      </w:r>
    </w:p>
    <w:p>
      <w:pPr>
        <w:keepNext/>
        <w:spacing w:before="240" w:after="80"/>
      </w:pPr>
      <w:r>
        <w:rPr>
          <w:rFonts w:ascii="Arial" w:hAnsi="Arial"/>
          <w:b/>
          <w:color w:val="1E293B"/>
          <w:sz w:val="22"/>
        </w:rPr>
        <w:t>Q2: Can I create a new test company and try different configurations?</w:t>
      </w:r>
    </w:p>
    <w:p>
      <w:pPr>
        <w:spacing w:before="0" w:after="120" w:line="283" w:lineRule="auto"/>
      </w:pPr>
      <w:r>
        <w:rPr>
          <w:rFonts w:ascii="Arial" w:hAnsi="Arial"/>
          <w:color w:val="334155"/>
          <w:sz w:val="19"/>
        </w:rPr>
        <w:t>Yes. Navigate to 'Companies' (/app/companies) and click '+ New Company'. You can test creating both 'Account Only' and 'Account with Inventory' companies.</w:t>
      </w:r>
    </w:p>
    <w:p>
      <w:pPr>
        <w:keepNext/>
        <w:spacing w:before="240" w:after="80"/>
      </w:pPr>
      <w:r>
        <w:rPr>
          <w:rFonts w:ascii="Arial" w:hAnsi="Arial"/>
          <w:b/>
          <w:color w:val="1E293B"/>
          <w:sz w:val="22"/>
        </w:rPr>
        <w:t>Q3: How do I test the Bank and Cash separation?</w:t>
      </w:r>
    </w:p>
    <w:p>
      <w:pPr>
        <w:spacing w:before="0" w:after="120" w:line="283" w:lineRule="auto"/>
      </w:pPr>
      <w:r>
        <w:rPr>
          <w:rFonts w:ascii="Arial" w:hAnsi="Arial"/>
          <w:color w:val="334155"/>
          <w:sz w:val="19"/>
        </w:rPr>
        <w:t>Go to the Dashboard (/app/dashboard). You will see distinct cards for 'Bank Accounts' (showing total bank funds, individual bank details like HDFC and ICICI, and reconciliation status) and 'Cash in Hand' (showing cash registers and petty cash).</w:t>
      </w:r>
    </w:p>
    <w:p>
      <w:pPr>
        <w:keepNext/>
        <w:spacing w:before="240" w:after="80"/>
      </w:pPr>
      <w:r>
        <w:rPr>
          <w:rFonts w:ascii="Arial" w:hAnsi="Arial"/>
          <w:b/>
          <w:color w:val="1E293B"/>
          <w:sz w:val="22"/>
        </w:rPr>
        <w:t>Q4: How do I test posting a sales invoice?</w:t>
      </w:r>
    </w:p>
    <w:p>
      <w:pPr>
        <w:spacing w:before="0" w:after="120" w:line="283" w:lineRule="auto"/>
      </w:pPr>
      <w:r>
        <w:rPr>
          <w:rFonts w:ascii="Arial" w:hAnsi="Arial"/>
          <w:color w:val="334155"/>
          <w:sz w:val="19"/>
        </w:rPr>
        <w:t>Open 'Accounting Vouchers' (or 'Sales Invoices'), click '+ New', select a Customer, pick a Sales Ledger, enter line item amounts, and click 'Post'. Your Dashboard AR and Revenue metrics will instantly update in real time.</w:t>
      </w:r>
    </w:p>
    <w:p>
      <w:pPr>
        <w:keepNext/>
        <w:spacing w:before="240" w:after="80"/>
      </w:pPr>
      <w:r>
        <w:rPr>
          <w:rFonts w:ascii="Arial" w:hAnsi="Arial"/>
          <w:b/>
          <w:color w:val="1E293B"/>
          <w:sz w:val="22"/>
        </w:rPr>
        <w:t>Q5: How do I migrate from demo to a live licensed environment?</w:t>
      </w:r>
    </w:p>
    <w:p>
      <w:pPr>
        <w:spacing w:before="0" w:after="120" w:line="283" w:lineRule="auto"/>
      </w:pPr>
      <w:r>
        <w:rPr>
          <w:rFonts w:ascii="Arial" w:hAnsi="Arial"/>
          <w:color w:val="334155"/>
          <w:sz w:val="19"/>
        </w:rPr>
        <w:t>Contact the ImmBiz Soft administration team or click 'Upgrade / License' in the application settings to provision your dedicated production instance and company database.</w:t>
      </w:r>
    </w:p>
    <w:p>
      <w:pPr>
        <w:spacing w:before="400"/>
      </w:pPr>
    </w:p>
    <w:p>
      <w:pPr>
        <w:jc w:val="center"/>
      </w:pPr>
      <w:r>
        <w:rPr>
          <w:rFonts w:ascii="Arial" w:hAnsi="Arial"/>
          <w:color w:val="94A3B8"/>
          <w:sz w:val="17"/>
        </w:rPr>
        <w:t>ImmBiz Books • CAAI Financial Accounting, Audit &amp; Compliance Platform • Confidential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