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50" w:before="0"/>
        <w:jc w:val="center"/>
      </w:pPr>
      <w:r>
        <w:rPr>
          <w:rFonts w:ascii="Arial" w:cs="Arial" w:eastAsia="Arial" w:hAnsi="Arial"/>
          <w:b/>
          <w:bCs/>
          <w:color w:val="1A3A6B"/>
          <w:sz w:val="48"/>
          <w:szCs w:val="48"/>
        </w:rPr>
        <w:t xml:space="preserve">QUANTUM PSYCHOPHYSIOLOGY LAB</w:t>
      </w:r>
    </w:p>
    <w:p>
      <w:pPr>
        <w:spacing w:after="40" w:before="0"/>
        <w:jc w:val="center"/>
      </w:pPr>
      <w:r>
        <w:rPr>
          <w:rFonts w:ascii="Arial" w:cs="Arial" w:eastAsia="Arial" w:hAnsi="Arial"/>
          <w:color w:val="2D5FA0"/>
          <w:sz w:val="28"/>
          <w:szCs w:val="28"/>
        </w:rPr>
        <w:t xml:space="preserve">Diagnóstico de QPS V1 · Análisis de QPLAB V2.2 en vivo</w:t>
      </w:r>
    </w:p>
    <w:p>
      <w:pPr>
        <w:spacing w:after="30" w:before="0"/>
        <w:jc w:val="center"/>
      </w:pPr>
      <w:r>
        <w:rPr>
          <w:rFonts w:ascii="Arial" w:cs="Arial" w:eastAsia="Arial" w:hAnsi="Arial"/>
          <w:color w:val="888888"/>
          <w:sz w:val="22"/>
          <w:szCs w:val="22"/>
        </w:rPr>
        <w:t xml:space="preserve">BTC/USD · XAU/USD · Primera corrida overnight · 11 junio 2026</w:t>
      </w:r>
    </w:p>
    <w:p>
      <w:pPr>
        <w:spacing w:after="200" w:before="0"/>
        <w:jc w:val="center"/>
      </w:pPr>
      <w:r>
        <w:rPr>
          <w:rFonts w:ascii="Arial" w:cs="Arial" w:eastAsia="Arial" w:hAnsi="Arial"/>
          <w:color w:val="888888"/>
          <w:sz w:val="20"/>
          <w:szCs w:val="20"/>
        </w:rPr>
        <w:t xml:space="preserve">286,300 ticks CSV · 4 bugs críticos identificados · Histéresis diferencial confirmada en V2.2</w:t>
      </w:r>
    </w:p>
    <w:p>
      <w:pPr>
        <w:pBdr>
          <w:bottom w:val="single" w:color="CCCCCC" w:sz="4" w:space="1"/>
        </w:pBdr>
        <w:spacing w:after="120" w:before="120"/>
      </w:pPr>
    </w:p>
    <w:p/>
    <w:p>
      <w:pPr>
        <w:spacing w:after="60" w:before="60"/>
        <w:jc w:val="center"/>
      </w:pPr>
      <w:r>
        <w:rPr>
          <w:rFonts w:ascii="Arial" w:cs="Arial" w:eastAsia="Arial" w:hAnsi="Arial"/>
          <w:color w:val="555555"/>
          <w:sz w:val="20"/>
          <w:szCs w:val="20"/>
        </w:rPr>
        <w:t xml:space="preserve">Quantum Scalper V29.3  ·  X-LAB Research Expansion  ·  Física Estructural del Mercado</w:t>
      </w:r>
    </w:p>
    <w:p/>
    <w:p/>
    <w:p>
      <w:pPr>
        <w:pStyle w:val="Heading1"/>
        <w:spacing w:after="140" w:before="300"/>
      </w:pPr>
      <w:r>
        <w:rPr>
          <w:rFonts w:ascii="Arial" w:cs="Arial" w:eastAsia="Arial" w:hAnsi="Arial"/>
          <w:b/>
          <w:bCs/>
          <w:color w:val="1A3A6B"/>
          <w:sz w:val="32"/>
          <w:szCs w:val="32"/>
        </w:rPr>
        <w:t xml:space="preserve">1. Resumen ejecutivo</w:t>
      </w:r>
    </w:p>
    <w:p>
      <w:pPr>
        <w:spacing w:after="100" w:before="60"/>
        <w:jc w:val="both"/>
      </w:pPr>
      <w:r>
        <w:rPr>
          <w:rFonts w:ascii="Arial" w:cs="Arial" w:eastAsia="Arial" w:hAnsi="Arial"/>
          <w:color w:val="333333"/>
          <w:sz w:val="22"/>
          <w:szCs w:val="22"/>
        </w:rPr>
        <w:t xml:space="preserve">Este documento presenta el análisis completo de la primera sesión experimental del QUANTUM PSYCHOPHYSIOLOGY LAB, que comprende: (1) el diagnóstico forense del CSV generado por QPS V1 (286,300 filas), con identificación de todos sus bugs arquitectónicos; (2) el análisis de las imágenes en vivo del QPLAB V2.2 corriendo simultáneamente sobre BTC/USD y XAU/USD el 11 de junio de 2026 a las 19:37; y (3) la validación experimental de la histéresis fisiológica diferencial entre los dos activos.</w:t>
      </w:r>
    </w:p>
    <w:p>
      <w:pPr>
        <w:spacing w:after="100" w:before="60"/>
        <w:jc w:val="both"/>
      </w:pPr>
      <w:r>
        <w:rPr>
          <w:rFonts w:ascii="Arial" w:cs="Arial" w:eastAsia="Arial" w:hAnsi="Arial"/>
          <w:color w:val="333333"/>
          <w:sz w:val="22"/>
          <w:szCs w:val="22"/>
        </w:rPr>
        <w:t xml:space="preserve">El hallazgo central es que el CSV de QPS V1 es técnicamente inutilizable como dataset científico debido a cuatro bugs críticos: el logger solo escribe el mismo tick 286,300 veces, el AccThreshold es inalcanzable con los valores reales de A_smooth, hay overflow numérico que contamina el 57.8% de los registros, y el estado interno no se inicializa correctamente. Sin embargo, el QPLAB V2.2 — arquitectura completamente rediseñada — muestra en sus paneles en vivo una señal fisiológica clara y coherente con todos los hallazgos previos del CORE sobre la diferencia BTC vs XAU.</w:t>
      </w:r>
    </w:p>
    <w:p/>
    <w:p>
      <w:pPr>
        <w:pStyle w:val="Heading1"/>
        <w:spacing w:after="140" w:before="300"/>
      </w:pPr>
      <w:r>
        <w:rPr>
          <w:rFonts w:ascii="Arial" w:cs="Arial" w:eastAsia="Arial" w:hAnsi="Arial"/>
          <w:b/>
          <w:bCs/>
          <w:color w:val="1A3A6B"/>
          <w:sz w:val="32"/>
          <w:szCs w:val="32"/>
        </w:rPr>
        <w:t xml:space="preserve">2. Diagnóstico forense del CSV: QPS_V1_XAUUSDm_PERIOD_M1</w:t>
      </w:r>
    </w:p>
    <w:p>
      <w:pPr>
        <w:pStyle w:val="Heading2"/>
        <w:spacing w:after="100" w:before="220"/>
      </w:pPr>
      <w:r>
        <w:rPr>
          <w:rFonts w:ascii="Arial" w:cs="Arial" w:eastAsia="Arial" w:hAnsi="Arial"/>
          <w:b/>
          <w:bCs/>
          <w:color w:val="2D5FA0"/>
          <w:sz w:val="26"/>
          <w:szCs w:val="26"/>
        </w:rPr>
        <w:t xml:space="preserve">2.1 Estructura del archivo</w:t>
      </w:r>
    </w:p>
    <w:p>
      <w:pPr>
        <w:spacing w:after="100" w:before="60"/>
        <w:jc w:val="both"/>
      </w:pPr>
      <w:r>
        <w:rPr>
          <w:rFonts w:ascii="Arial" w:cs="Arial" w:eastAsia="Arial" w:hAnsi="Arial"/>
          <w:color w:val="333333"/>
          <w:sz w:val="22"/>
          <w:szCs w:val="22"/>
        </w:rPr>
        <w:t xml:space="preserve">El CSV contiene 286,300 filas con 11 columnas: time, close, volume, A_raw, A_norm, A_smooth, omega, persistence, fatigue, state, discharge. Separador punto y coma. Sin valores nulos. Aparentemente completo. Sin embargo, el análisis estadístico revela que el archivo es en realidad un único tick de mercado repetido 286,300 veces con el estado interno del motor evolucionando en cada fila.</w:t>
      </w:r>
    </w:p>
    <w:p>
      <w:pPr>
        <w:pStyle w:val="Heading2"/>
        <w:spacing w:after="100" w:before="220"/>
      </w:pPr>
      <w:r>
        <w:rPr>
          <w:rFonts w:ascii="Arial" w:cs="Arial" w:eastAsia="Arial" w:hAnsi="Arial"/>
          <w:b/>
          <w:bCs/>
          <w:color w:val="2D5FA0"/>
          <w:sz w:val="26"/>
          <w:szCs w:val="26"/>
        </w:rPr>
        <w:t xml:space="preserve">2.2 Variables y su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38"/>
        <w:gridCol w:w="1404"/>
        <w:gridCol w:w="1404"/>
        <w:gridCol w:w="1404"/>
        <w:gridCol w:w="1404"/>
        <w:gridCol w:w="2106"/>
      </w:tblGrid>
      <w:tr>
        <w:tc>
          <w:tcPr>
            <w:tcW w:type="dxa" w:w="1638"/>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Variable</w:t>
            </w:r>
          </w:p>
        </w:tc>
        <w:tc>
          <w:tcPr>
            <w:tcW w:type="dxa" w:w="1404"/>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Tipo</w:t>
            </w:r>
          </w:p>
        </w:tc>
        <w:tc>
          <w:tcPr>
            <w:tcW w:type="dxa" w:w="1404"/>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Rango válido</w:t>
            </w:r>
          </w:p>
        </w:tc>
        <w:tc>
          <w:tcPr>
            <w:tcW w:type="dxa" w:w="1404"/>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Rango observado</w:t>
            </w:r>
          </w:p>
        </w:tc>
        <w:tc>
          <w:tcPr>
            <w:tcW w:type="dxa" w:w="1404"/>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Unique vals</w:t>
            </w:r>
          </w:p>
        </w:tc>
        <w:tc>
          <w:tcPr>
            <w:tcW w:type="dxa" w:w="210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Diagnóstico</w:t>
            </w:r>
          </w:p>
        </w:tc>
      </w:tr>
      <w:tr>
        <w:tc>
          <w:tcPr>
            <w:tcW w:type="dxa" w:w="1638"/>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time</w:t>
            </w:r>
          </w:p>
        </w:tc>
        <w:tc>
          <w:tcPr>
            <w:tcW w:type="dxa" w:w="1404"/>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datetime</w:t>
            </w:r>
          </w:p>
        </w:tc>
        <w:tc>
          <w:tcPr>
            <w:tcW w:type="dxa" w:w="1404"/>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dinámico</w:t>
            </w:r>
          </w:p>
        </w:tc>
        <w:tc>
          <w:tcPr>
            <w:tcW w:type="dxa" w:w="1404"/>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2026.02.27 06:59</w:t>
            </w:r>
          </w:p>
        </w:tc>
        <w:tc>
          <w:tcPr>
            <w:tcW w:type="dxa" w:w="1404"/>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w:t>
            </w:r>
          </w:p>
        </w:tc>
        <w:tc>
          <w:tcPr>
            <w:tcW w:type="dxa" w:w="210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Siempre la misma — bug logger</w:t>
            </w:r>
          </w:p>
        </w:tc>
      </w:tr>
      <w:tr>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close</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float</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dinámico</w:t>
            </w:r>
          </w:p>
        </w:tc>
        <w:tc>
          <w:tcPr>
            <w:tcW w:type="dxa" w:w="1404"/>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5185.706 (fijo)</w:t>
            </w:r>
          </w:p>
        </w:tc>
        <w:tc>
          <w:tcPr>
            <w:tcW w:type="dxa" w:w="1404"/>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w:t>
            </w:r>
          </w:p>
        </w:tc>
        <w:tc>
          <w:tcPr>
            <w:tcW w:type="dxa" w:w="210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Siempre la misma — bug logger</w:t>
            </w:r>
          </w:p>
        </w:tc>
      </w:tr>
      <w:tr>
        <w:tc>
          <w:tcPr>
            <w:tcW w:type="dxa" w:w="1638"/>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A_raw</w:t>
            </w:r>
          </w:p>
        </w:tc>
        <w:tc>
          <w:tcPr>
            <w:tcW w:type="dxa" w:w="1404"/>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float</w:t>
            </w:r>
          </w:p>
        </w:tc>
        <w:tc>
          <w:tcPr>
            <w:tcW w:type="dxa" w:w="1404"/>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&gt; 0</w:t>
            </w:r>
          </w:p>
        </w:tc>
        <w:tc>
          <w:tcPr>
            <w:tcW w:type="dxa" w:w="1404"/>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409.669 (fijo)</w:t>
            </w:r>
          </w:p>
        </w:tc>
        <w:tc>
          <w:tcPr>
            <w:tcW w:type="dxa" w:w="1404"/>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w:t>
            </w:r>
          </w:p>
        </w:tc>
        <w:tc>
          <w:tcPr>
            <w:tcW w:type="dxa" w:w="210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Fijo — primer tick únicamente</w:t>
            </w:r>
          </w:p>
        </w:tc>
      </w:tr>
      <w:tr>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A_norm</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float (z-score)</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 a +3</w:t>
            </w:r>
          </w:p>
        </w:tc>
        <w:tc>
          <w:tcPr>
            <w:tcW w:type="dxa" w:w="1404"/>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−0.32 a −1.6×10¹⁴</w:t>
            </w:r>
          </w:p>
        </w:tc>
        <w:tc>
          <w:tcPr>
            <w:tcW w:type="dxa" w:w="1404"/>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286k</w:t>
            </w:r>
          </w:p>
        </w:tc>
        <w:tc>
          <w:tcPr>
            <w:tcW w:type="dxa" w:w="210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Overflow numérico desde tick 41,796</w:t>
            </w:r>
          </w:p>
        </w:tc>
      </w:tr>
      <w:tr>
        <w:tc>
          <w:tcPr>
            <w:tcW w:type="dxa" w:w="1638"/>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A_smooth</w:t>
            </w:r>
          </w:p>
        </w:tc>
        <w:tc>
          <w:tcPr>
            <w:tcW w:type="dxa" w:w="1404"/>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float</w:t>
            </w:r>
          </w:p>
        </w:tc>
        <w:tc>
          <w:tcPr>
            <w:tcW w:type="dxa" w:w="1404"/>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 a +3</w:t>
            </w:r>
          </w:p>
        </w:tc>
        <w:tc>
          <w:tcPr>
            <w:tcW w:type="dxa" w:w="1404"/>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−0.22 a −3.2×10¹³</w:t>
            </w:r>
          </w:p>
        </w:tc>
        <w:tc>
          <w:tcPr>
            <w:tcW w:type="dxa" w:w="1404"/>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104</w:t>
            </w:r>
          </w:p>
        </w:tc>
        <w:tc>
          <w:tcPr>
            <w:tcW w:type="dxa" w:w="210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Overflow propagado desde A_norm</w:t>
            </w:r>
          </w:p>
        </w:tc>
      </w:tr>
      <w:tr>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omega</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float [0,1]</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0.0 a 1.0</w:t>
            </w:r>
          </w:p>
        </w:tc>
        <w:tc>
          <w:tcPr>
            <w:tcW w:type="dxa" w:w="1404"/>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0.30 a −2.5×10¹³</w:t>
            </w:r>
          </w:p>
        </w:tc>
        <w:tc>
          <w:tcPr>
            <w:tcW w:type="dxa" w:w="1404"/>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285k</w:t>
            </w:r>
          </w:p>
        </w:tc>
        <w:tc>
          <w:tcPr>
            <w:tcW w:type="dxa" w:w="210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57.8% con overflow (165,582 filas)</w:t>
            </w:r>
          </w:p>
        </w:tc>
      </w:tr>
      <w:tr>
        <w:tc>
          <w:tcPr>
            <w:tcW w:type="dxa" w:w="1638"/>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persistence</w:t>
            </w:r>
          </w:p>
        </w:tc>
        <w:tc>
          <w:tcPr>
            <w:tcW w:type="dxa" w:w="1404"/>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int</w:t>
            </w:r>
          </w:p>
        </w:tc>
        <w:tc>
          <w:tcPr>
            <w:tcW w:type="dxa" w:w="1404"/>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 a ∞</w:t>
            </w:r>
          </w:p>
        </w:tc>
        <w:tc>
          <w:tcPr>
            <w:tcW w:type="dxa" w:w="1404"/>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 (siempre)</w:t>
            </w:r>
          </w:p>
        </w:tc>
        <w:tc>
          <w:tcPr>
            <w:tcW w:type="dxa" w:w="1404"/>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w:t>
            </w:r>
          </w:p>
        </w:tc>
        <w:tc>
          <w:tcPr>
            <w:tcW w:type="dxa" w:w="210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AccThreshold=1.50 nunca alcanzado</w:t>
            </w:r>
          </w:p>
        </w:tc>
      </w:tr>
      <w:tr>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fatigue</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float</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 a ~2</w:t>
            </w:r>
          </w:p>
        </w:tc>
        <w:tc>
          <w:tcPr>
            <w:tcW w:type="dxa" w:w="1404"/>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1.53 a −6.4×10¹³</w:t>
            </w:r>
          </w:p>
        </w:tc>
        <w:tc>
          <w:tcPr>
            <w:tcW w:type="dxa" w:w="1404"/>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286k</w:t>
            </w:r>
          </w:p>
        </w:tc>
        <w:tc>
          <w:tcPr>
            <w:tcW w:type="dxa" w:w="210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Inicia en 1.53, overflow igual que omega</w:t>
            </w:r>
          </w:p>
        </w:tc>
      </w:tr>
      <w:tr>
        <w:tc>
          <w:tcPr>
            <w:tcW w:type="dxa" w:w="1638"/>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state</w:t>
            </w:r>
          </w:p>
        </w:tc>
        <w:tc>
          <w:tcPr>
            <w:tcW w:type="dxa" w:w="1404"/>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enum</w:t>
            </w:r>
          </w:p>
        </w:tc>
        <w:tc>
          <w:tcPr>
            <w:tcW w:type="dxa" w:w="1404"/>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5 estados</w:t>
            </w:r>
          </w:p>
        </w:tc>
        <w:tc>
          <w:tcPr>
            <w:tcW w:type="dxa" w:w="1404"/>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HOMEOSTASIS (100%)</w:t>
            </w:r>
          </w:p>
        </w:tc>
        <w:tc>
          <w:tcPr>
            <w:tcW w:type="dxa" w:w="1404"/>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w:t>
            </w:r>
          </w:p>
        </w:tc>
        <w:tc>
          <w:tcPr>
            <w:tcW w:type="dxa" w:w="210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Nunca cambia — persistence siempre 0</w:t>
            </w:r>
          </w:p>
        </w:tc>
      </w:tr>
      <w:tr>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discharge</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bool</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True/False</w:t>
            </w:r>
          </w:p>
        </w:tc>
        <w:tc>
          <w:tcPr>
            <w:tcW w:type="dxa" w:w="1404"/>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False (100%)</w:t>
            </w:r>
          </w:p>
        </w:tc>
        <w:tc>
          <w:tcPr>
            <w:tcW w:type="dxa" w:w="1404"/>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w:t>
            </w:r>
          </w:p>
        </w:tc>
        <w:tc>
          <w:tcPr>
            <w:tcW w:type="dxa" w:w="210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Persistence=0 → nunca dispara</w:t>
            </w:r>
          </w:p>
        </w:tc>
      </w:tr>
    </w:tbl>
    <w:p/>
    <w:p>
      <w:pPr>
        <w:pStyle w:val="Heading2"/>
        <w:spacing w:after="100" w:before="220"/>
      </w:pPr>
      <w:r>
        <w:rPr>
          <w:rFonts w:ascii="Arial" w:cs="Arial" w:eastAsia="Arial" w:hAnsi="Arial"/>
          <w:b/>
          <w:bCs/>
          <w:color w:val="2D5FA0"/>
          <w:sz w:val="26"/>
          <w:szCs w:val="26"/>
        </w:rPr>
        <w:t xml:space="preserve">2.3 Bugs críticos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
        <w:gridCol w:w="1872"/>
        <w:gridCol w:w="2808"/>
        <w:gridCol w:w="1872"/>
        <w:gridCol w:w="2106"/>
      </w:tblGrid>
      <w:tr>
        <w:tc>
          <w:tcPr>
            <w:tcW w:type="dxa" w:w="702"/>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Niv.</w:t>
            </w:r>
          </w:p>
        </w:tc>
        <w:tc>
          <w:tcPr>
            <w:tcW w:type="dxa" w:w="1872"/>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Bug</w:t>
            </w:r>
          </w:p>
        </w:tc>
        <w:tc>
          <w:tcPr>
            <w:tcW w:type="dxa" w:w="2808"/>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Causa (código MQL5)</w:t>
            </w:r>
          </w:p>
        </w:tc>
        <w:tc>
          <w:tcPr>
            <w:tcW w:type="dxa" w:w="1872"/>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Efecto en CSV</w:t>
            </w:r>
          </w:p>
        </w:tc>
        <w:tc>
          <w:tcPr>
            <w:tcW w:type="dxa" w:w="2106"/>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Corrección</w:t>
            </w:r>
          </w:p>
        </w:tc>
      </w:tr>
      <w:tr>
        <w:tc>
          <w:tcPr>
            <w:tcW w:type="dxa" w:w="702"/>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CRÍT.</w:t>
            </w:r>
          </w:p>
        </w:tc>
        <w:tc>
          <w:tcPr>
            <w:tcW w:type="dxa" w:w="1872"/>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Logger dentro de if(i==0)</w:t>
            </w:r>
          </w:p>
        </w:tc>
        <w:tc>
          <w:tcPr>
            <w:tcW w:type="dxa" w:w="2808"/>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FileWrite() está en bloque if(i == 0 &amp;&amp; EnableLogger) — solo registra la barra actual en cada tick</w:t>
            </w:r>
          </w:p>
        </w:tc>
        <w:tc>
          <w:tcPr>
            <w:tcW w:type="dxa" w:w="1872"/>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286,300 filas = mismo tick repetido. time, close, A_raw idénticos.</w:t>
            </w:r>
          </w:p>
        </w:tc>
        <w:tc>
          <w:tcPr>
            <w:tcW w:type="dxa" w:w="210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Mover FileWrite() fuera del bloque if(i==0), ejecutar para todo i del loop</w:t>
            </w:r>
          </w:p>
        </w:tc>
      </w:tr>
      <w:tr>
        <w:tc>
          <w:tcPr>
            <w:tcW w:type="dxa" w:w="702"/>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CRÍT.</w:t>
            </w:r>
          </w:p>
        </w:tc>
        <w:tc>
          <w:tcPr>
            <w:tcW w:type="dxa" w:w="1872"/>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AccThreshold inalcanzable</w:t>
            </w:r>
          </w:p>
        </w:tc>
        <w:tc>
          <w:tcPr>
            <w:tcW w:type="dxa" w:w="2808"/>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AccThreshold=1.50 pero A_smooth (z-score suavizado) tiene rango máximo ~0.30 en este activo/período</w:t>
            </w:r>
          </w:p>
        </w:tc>
        <w:tc>
          <w:tcPr>
            <w:tcW w:type="dxa" w:w="1872"/>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persistence=0 siempre. state=HOMEOSTASIS 100%. discharge=False 100%.</w:t>
            </w:r>
          </w:p>
        </w:tc>
        <w:tc>
          <w:tcPr>
            <w:tcW w:type="dxa" w:w="210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Recalibrar AccThreshold a percentil 90 del A_smooth observado (~0.0 a −0.20 en este dataset)</w:t>
            </w:r>
          </w:p>
        </w:tc>
      </w:tr>
      <w:tr>
        <w:tc>
          <w:tcPr>
            <w:tcW w:type="dxa" w:w="702"/>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CRÍT.</w:t>
            </w:r>
          </w:p>
        </w:tc>
        <w:tc>
          <w:tcPr>
            <w:tcW w:type="dxa" w:w="1872"/>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Overflow numérico en A_norm</w:t>
            </w:r>
          </w:p>
        </w:tc>
        <w:tc>
          <w:tcPr>
            <w:tcW w:type="dxa" w:w="2808"/>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Loop i+n &gt;= rates_total no protege correctamente bordes. Media y std calculadas sobre valores out-of-bounds (memoria no inicializada)</w:t>
            </w:r>
          </w:p>
        </w:tc>
        <w:tc>
          <w:tcPr>
            <w:tcW w:type="dxa" w:w="1872"/>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A_norm=−1.6×10¹⁴, omega=−2.5×10¹³, fatigue=−6.4×10¹³ desde tick 41,796 (57.8% del CSV)</w:t>
            </w:r>
          </w:p>
        </w:tc>
        <w:tc>
          <w:tcPr>
            <w:tcW w:type="dxa" w:w="2106"/>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Añadir guard: if(count &lt; NormWindow/2) { A_Norm[i]=0; continue; }. Verificar límites del buffer.</w:t>
            </w:r>
          </w:p>
        </w:tc>
      </w:tr>
      <w:tr>
        <w:tc>
          <w:tcPr>
            <w:tcW w:type="dxa" w:w="702"/>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MEDIO</w:t>
            </w:r>
          </w:p>
        </w:tc>
        <w:tc>
          <w:tcPr>
            <w:tcW w:type="dxa" w:w="1872"/>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Fisiología no autónoma — depende de buffers</w:t>
            </w:r>
          </w:p>
        </w:tc>
        <w:tc>
          <w:tcPr>
            <w:tcW w:type="dxa" w:w="2808"/>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CurrentState es struct global pero A_Raw[], A_Norm[], A_Smooth[] son arrays con ArraySetAsSeries=true — acceso histórico no garantizado tick a tick</w:t>
            </w:r>
          </w:p>
        </w:tc>
        <w:tc>
          <w:tcPr>
            <w:tcW w:type="dxa" w:w="1872"/>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Estado inconsistente entre ticks. Motor no es verdaderamente longitudinal.</w:t>
            </w:r>
          </w:p>
        </w:tc>
        <w:tc>
          <w:tcPr>
            <w:tcW w:type="dxa" w:w="2106"/>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Arquitectura QPLAB V2.2: CopyRates() + variables endógenas sin dependencia de buffers gráficos</w:t>
            </w:r>
          </w:p>
        </w:tc>
      </w:tr>
      <w:tr>
        <w:tc>
          <w:tcPr>
            <w:tcW w:type="dxa" w:w="702"/>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MEDIO</w:t>
            </w:r>
          </w:p>
        </w:tc>
        <w:tc>
          <w:tcPr>
            <w:tcW w:type="dxa" w:w="1872"/>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Fatigue se inicializa con valor residual</w:t>
            </w:r>
          </w:p>
        </w:tc>
        <w:tc>
          <w:tcPr>
            <w:tcW w:type="dxa" w:w="2808"/>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CurrentState.fatigue no se inicializa en OnInit(). Comienza con el valor del primer A_Smooth calculado × 0.01 acumulado.</w:t>
            </w:r>
          </w:p>
        </w:tc>
        <w:tc>
          <w:tcPr>
            <w:tcW w:type="dxa" w:w="1872"/>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Fatigue inicia en 1.528 (alto) y decae. No representa estado fisiológico real del sistema.</w:t>
            </w:r>
          </w:p>
        </w:tc>
        <w:tc>
          <w:tcPr>
            <w:tcW w:type="dxa" w:w="2106"/>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Inicializar CurrentState = {0} en OnInit() explícitamente.</w:t>
            </w:r>
          </w:p>
        </w:tc>
      </w:tr>
      <w:tr>
        <w:tc>
          <w:tcPr>
            <w:tcW w:type="dxa" w:w="702"/>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INFO</w:t>
            </w:r>
          </w:p>
        </w:tc>
        <w:tc>
          <w:tcPr>
            <w:tcW w:type="dxa" w:w="1872"/>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Persistence binaria (no continua)</w:t>
            </w:r>
          </w:p>
        </w:tc>
        <w:tc>
          <w:tcPr>
            <w:tcW w:type="dxa" w:w="2808"/>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if(A_Smooth[i] &gt; AccThreshold) persistence++ / else persistence--. Crecimiento discreto no refleja magnitud de acumulación.</w:t>
            </w:r>
          </w:p>
        </w:tc>
        <w:tc>
          <w:tcPr>
            <w:tcW w:type="dxa" w:w="1872"/>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Escalera artificial. No captura intensidad fisiológica.</w:t>
            </w:r>
          </w:p>
        </w:tc>
        <w:tc>
          <w:tcPr>
            <w:tcW w:type="dxa" w:w="2106"/>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Implementado en V2.2: persistence += psychoEnergy * PersistenceGain (continua y ponderada)</w:t>
            </w:r>
          </w:p>
        </w:tc>
      </w:tr>
    </w:tbl>
    <w:p/>
    <w:p>
      <w:pPr>
        <w:pStyle w:val="Heading1"/>
        <w:spacing w:after="140" w:before="300"/>
      </w:pPr>
      <w:r>
        <w:rPr>
          <w:rFonts w:ascii="Arial" w:cs="Arial" w:eastAsia="Arial" w:hAnsi="Arial"/>
          <w:b/>
          <w:bCs/>
          <w:color w:val="1A3A6B"/>
          <w:sz w:val="32"/>
          <w:szCs w:val="32"/>
        </w:rPr>
        <w:t xml:space="preserve">3. Zona de datos válidos (42.2% del CSV)</w:t>
      </w:r>
    </w:p>
    <w:p>
      <w:pPr>
        <w:spacing w:after="100" w:before="60"/>
        <w:jc w:val="both"/>
      </w:pPr>
      <w:r>
        <w:rPr>
          <w:rFonts w:ascii="Arial" w:cs="Arial" w:eastAsia="Arial" w:hAnsi="Arial"/>
          <w:color w:val="333333"/>
          <w:sz w:val="22"/>
          <w:szCs w:val="22"/>
        </w:rPr>
        <w:t xml:space="preserve">De los 286,300 registros, 120,718 (42.2%) presentan valores numéricos dentro del rango esperado. El overflow comienza exactamente en el índice 41,796 — el tick donde el z-score normalization accede a una posición de memoria fuera de los límites del buffer histórico disponible. A partir de ahí, A_norm colapsa a −1.6×10¹⁴ y todos los valores derivados (A_smooth, omega, fatigue) se contaminan en cascada.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38"/>
        <w:gridCol w:w="1170"/>
        <w:gridCol w:w="1170"/>
        <w:gridCol w:w="1170"/>
        <w:gridCol w:w="1170"/>
        <w:gridCol w:w="1170"/>
        <w:gridCol w:w="1170"/>
        <w:gridCol w:w="1872"/>
      </w:tblGrid>
      <w:tr>
        <w:tc>
          <w:tcPr>
            <w:tcW w:type="dxa" w:w="1638"/>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Variable</w:t>
            </w:r>
          </w:p>
        </w:tc>
        <w:tc>
          <w:tcPr>
            <w:tcW w:type="dxa" w:w="117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 válido</w:t>
            </w:r>
          </w:p>
        </w:tc>
        <w:tc>
          <w:tcPr>
            <w:tcW w:type="dxa" w:w="117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Media</w:t>
            </w:r>
          </w:p>
        </w:tc>
        <w:tc>
          <w:tcPr>
            <w:tcW w:type="dxa" w:w="117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SD</w:t>
            </w:r>
          </w:p>
        </w:tc>
        <w:tc>
          <w:tcPr>
            <w:tcW w:type="dxa" w:w="117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Mín.</w:t>
            </w:r>
          </w:p>
        </w:tc>
        <w:tc>
          <w:tcPr>
            <w:tcW w:type="dxa" w:w="117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Mediana</w:t>
            </w:r>
          </w:p>
        </w:tc>
        <w:tc>
          <w:tcPr>
            <w:tcW w:type="dxa" w:w="117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Máx.</w:t>
            </w:r>
          </w:p>
        </w:tc>
        <w:tc>
          <w:tcPr>
            <w:tcW w:type="dxa" w:w="1872"/>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Observación</w:t>
            </w:r>
          </w:p>
        </w:tc>
      </w:tr>
      <w:tr>
        <w:tc>
          <w:tcPr>
            <w:tcW w:type="dxa" w:w="1638"/>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A_raw</w:t>
            </w:r>
          </w:p>
        </w:tc>
        <w:tc>
          <w:tcPr>
            <w:tcW w:type="dxa" w:w="117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120,718</w:t>
            </w:r>
          </w:p>
        </w:tc>
        <w:tc>
          <w:tcPr>
            <w:tcW w:type="dxa" w:w="117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409.669</w:t>
            </w:r>
          </w:p>
        </w:tc>
        <w:tc>
          <w:tcPr>
            <w:tcW w:type="dxa" w:w="117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0.000</w:t>
            </w:r>
          </w:p>
        </w:tc>
        <w:tc>
          <w:tcPr>
            <w:tcW w:type="dxa" w:w="117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409.669</w:t>
            </w:r>
          </w:p>
        </w:tc>
        <w:tc>
          <w:tcPr>
            <w:tcW w:type="dxa" w:w="117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409.669</w:t>
            </w:r>
          </w:p>
        </w:tc>
        <w:tc>
          <w:tcPr>
            <w:tcW w:type="dxa" w:w="117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409.669</w:t>
            </w:r>
          </w:p>
        </w:tc>
        <w:tc>
          <w:tcPr>
            <w:tcW w:type="dxa" w:w="1872"/>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Constante — primer tick congelado</w:t>
            </w:r>
          </w:p>
        </w:tc>
      </w:tr>
      <w:tr>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A_norm</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120,718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−0.407</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0.283</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−1.495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−0.301</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−0.213</w:t>
            </w:r>
          </w:p>
        </w:tc>
        <w:tc>
          <w:tcPr>
            <w:tcW w:type="dxa" w:w="1872"/>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Siempre negativo — A_raw bajo vs media histórica</w:t>
            </w:r>
          </w:p>
        </w:tc>
      </w:tr>
      <w:tr>
        <w:tc>
          <w:tcPr>
            <w:tcW w:type="dxa" w:w="1638"/>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A_smooth</w:t>
            </w:r>
          </w:p>
        </w:tc>
        <w:tc>
          <w:tcPr>
            <w:tcW w:type="dxa" w:w="117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120,718</w:t>
            </w:r>
          </w:p>
        </w:tc>
        <w:tc>
          <w:tcPr>
            <w:tcW w:type="dxa" w:w="117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−0.407</w:t>
            </w:r>
          </w:p>
        </w:tc>
        <w:tc>
          <w:tcPr>
            <w:tcW w:type="dxa" w:w="117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0.133</w:t>
            </w:r>
          </w:p>
        </w:tc>
        <w:tc>
          <w:tcPr>
            <w:tcW w:type="dxa" w:w="117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−0.885</w:t>
            </w:r>
          </w:p>
        </w:tc>
        <w:tc>
          <w:tcPr>
            <w:tcW w:type="dxa" w:w="117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−0.304</w:t>
            </w:r>
          </w:p>
        </w:tc>
        <w:tc>
          <w:tcPr>
            <w:tcW w:type="dxa" w:w="117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−0.222</w:t>
            </w:r>
          </w:p>
        </w:tc>
        <w:tc>
          <w:tcPr>
            <w:tcW w:type="dxa" w:w="1872"/>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Nunca supera AccThreshold=1.50</w:t>
            </w:r>
          </w:p>
        </w:tc>
      </w:tr>
      <w:tr>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omega</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120,718</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−0.291</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0.065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−0.345</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−0.282</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0.299</w:t>
            </w:r>
          </w:p>
        </w:tc>
        <w:tc>
          <w:tcPr>
            <w:tcW w:type="dxa" w:w="1872"/>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Rango válido solo primeros 42%</w:t>
            </w:r>
          </w:p>
        </w:tc>
      </w:tr>
      <w:tr>
        <w:tc>
          <w:tcPr>
            <w:tcW w:type="dxa" w:w="1638"/>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fatigue</w:t>
            </w:r>
          </w:p>
        </w:tc>
        <w:tc>
          <w:tcPr>
            <w:tcW w:type="dxa" w:w="117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120,718</w:t>
            </w:r>
          </w:p>
        </w:tc>
        <w:tc>
          <w:tcPr>
            <w:tcW w:type="dxa" w:w="117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−0.570</w:t>
            </w:r>
          </w:p>
        </w:tc>
        <w:tc>
          <w:tcPr>
            <w:tcW w:type="dxa" w:w="117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0.133</w:t>
            </w:r>
          </w:p>
        </w:tc>
        <w:tc>
          <w:tcPr>
            <w:tcW w:type="dxa" w:w="117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−0.885</w:t>
            </w:r>
          </w:p>
        </w:tc>
        <w:tc>
          <w:tcPr>
            <w:tcW w:type="dxa" w:w="117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−0.584</w:t>
            </w:r>
          </w:p>
        </w:tc>
        <w:tc>
          <w:tcPr>
            <w:tcW w:type="dxa" w:w="117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1.529</w:t>
            </w:r>
          </w:p>
        </w:tc>
        <w:tc>
          <w:tcPr>
            <w:tcW w:type="dxa" w:w="1872"/>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Decae monotónicamente desde 1.529</w:t>
            </w:r>
          </w:p>
        </w:tc>
      </w:tr>
      <w:tr>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persistence</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286,300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w:t>
            </w:r>
          </w:p>
        </w:tc>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w:t>
            </w:r>
          </w:p>
        </w:tc>
        <w:tc>
          <w:tcPr>
            <w:tcW w:type="dxa" w:w="1872"/>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Sin excepción — bug AccThreshold</w:t>
            </w:r>
          </w:p>
        </w:tc>
      </w:tr>
    </w:tbl>
    <w:p/>
    <w:p>
      <w:pPr>
        <w:spacing w:after="100" w:before="60"/>
        <w:jc w:val="both"/>
      </w:pPr>
      <w:r>
        <w:rPr>
          <w:rFonts w:ascii="Arial" w:cs="Arial" w:eastAsia="Arial" w:hAnsi="Arial"/>
          <w:color w:val="333333"/>
          <w:sz w:val="22"/>
          <w:szCs w:val="22"/>
        </w:rPr>
        <w:t xml:space="preserve">Lo que sí se puede extraer de los 120,718 registros válidos: la fatigue del motor V1 inicia en 1.529 (el valor residual del primer tick sin inicialización correcta) y decae monotónicamente por la multiplicación ×0.995 en cada iteración. Nunca alcanza un estado de acumulación real porque A_smooth permanece siempre negativa (entre −0.89 y −0.22) y el AccThreshold de 1.50 es completamente inalcanzable. El motor V1 no detectó una sola acumulación, saturación, descarga o recuperación en 286,300 ticks — no porque no las hubiera en el mercado, sino porque el umbral estaba mal calibrado para los valores reales del proxy.</w:t>
      </w:r>
    </w:p>
    <w:p/>
    <w:p>
      <w:pPr>
        <w:pStyle w:val="Heading1"/>
        <w:spacing w:after="140" w:before="300"/>
      </w:pPr>
      <w:r>
        <w:rPr>
          <w:rFonts w:ascii="Arial" w:cs="Arial" w:eastAsia="Arial" w:hAnsi="Arial"/>
          <w:b/>
          <w:bCs/>
          <w:color w:val="1A3A6B"/>
          <w:sz w:val="32"/>
          <w:szCs w:val="32"/>
        </w:rPr>
        <w:t xml:space="preserve">4. QPLAB V2.2 — análisis de la corrida en vivo</w:t>
      </w:r>
    </w:p>
    <w:p>
      <w:pPr>
        <w:pStyle w:val="Heading2"/>
        <w:spacing w:after="100" w:before="220"/>
      </w:pPr>
      <w:r>
        <w:rPr>
          <w:rFonts w:ascii="Arial" w:cs="Arial" w:eastAsia="Arial" w:hAnsi="Arial"/>
          <w:b/>
          <w:bCs/>
          <w:color w:val="2D5FA0"/>
          <w:sz w:val="26"/>
          <w:szCs w:val="26"/>
        </w:rPr>
        <w:t xml:space="preserve">4.1 Valores observados en pantalla (11 jun 2026, 19:37)</w:t>
      </w:r>
    </w:p>
    <w:p>
      <w:pPr>
        <w:spacing w:after="100" w:before="60"/>
        <w:jc w:val="both"/>
      </w:pPr>
      <w:r>
        <w:rPr>
          <w:rFonts w:ascii="Arial" w:cs="Arial" w:eastAsia="Arial" w:hAnsi="Arial"/>
          <w:color w:val="333333"/>
          <w:sz w:val="22"/>
          <w:szCs w:val="22"/>
        </w:rPr>
        <w:t xml:space="preserve">Las dos imágenes capturan el QPLAB V2.2 (STRUCTURAL BUILD) corriendo simultáneamente sobre BTC/USD M1 y XAU/USD M1 en el mismo timestamp exacto (19:37). Esto permite una comparación perfectamente sincronizada del estado fisiológico interno de ambos activos bajo las mismas condiciones de mercado.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Variable</w:t>
            </w:r>
          </w:p>
        </w:tc>
        <w:tc>
          <w:tcPr>
            <w:tcW w:type="dxa" w:w="3510"/>
            <w:tcBorders>
              <w:top w:val="single" w:color="CCCCCC" w:sz="1"/>
              <w:left w:val="single" w:color="CCCCCC" w:sz="1"/>
              <w:bottom w:val="single" w:color="CCCCCC" w:sz="1"/>
              <w:right w:val="single" w:color="CCCCCC" w:sz="1"/>
            </w:tcBorders>
            <w:shd w:fill="5C320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BTC/USD — 11 jun 19:37</w:t>
            </w:r>
          </w:p>
        </w:tc>
        <w:tc>
          <w:tcPr>
            <w:tcW w:type="dxa" w:w="351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XAU/USD — 11 jun 19:37</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STATE</w:t>
            </w:r>
          </w:p>
        </w:tc>
        <w:tc>
          <w:tcPr>
            <w:tcW w:type="dxa" w:w="351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HOMEOSTASIS</w:t>
            </w:r>
          </w:p>
        </w:tc>
        <w:tc>
          <w:tcPr>
            <w:tcW w:type="dxa" w:w="351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HOMEOSTASIS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A_CONTEXT</w:t>
            </w:r>
          </w:p>
        </w:tc>
        <w:tc>
          <w:tcPr>
            <w:tcW w:type="dxa" w:w="351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−0.247</w:t>
            </w:r>
          </w:p>
        </w:tc>
        <w:tc>
          <w:tcPr>
            <w:tcW w:type="dxa" w:w="351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−0.236</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ENERGY</w:t>
            </w:r>
          </w:p>
        </w:tc>
        <w:tc>
          <w:tcPr>
            <w:tcW w:type="dxa" w:w="351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0.439</w:t>
            </w:r>
          </w:p>
        </w:tc>
        <w:tc>
          <w:tcPr>
            <w:tcW w:type="dxa" w:w="351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0.441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OMEGA (Ω)</w:t>
            </w:r>
          </w:p>
        </w:tc>
        <w:tc>
          <w:tcPr>
            <w:tcW w:type="dxa" w:w="351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0.115</w:t>
            </w:r>
          </w:p>
        </w:tc>
        <w:tc>
          <w:tcPr>
            <w:tcW w:type="dxa" w:w="351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0.105</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PERSISTENCE</w:t>
            </w:r>
          </w:p>
        </w:tc>
        <w:tc>
          <w:tcPr>
            <w:tcW w:type="dxa" w:w="351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0.444</w:t>
            </w:r>
          </w:p>
        </w:tc>
        <w:tc>
          <w:tcPr>
            <w:tcW w:type="dxa" w:w="351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0.124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FATIGUE</w:t>
            </w:r>
          </w:p>
        </w:tc>
        <w:tc>
          <w:tcPr>
            <w:tcW w:type="dxa" w:w="351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0.359</w:t>
            </w:r>
          </w:p>
        </w:tc>
        <w:tc>
          <w:tcPr>
            <w:tcW w:type="dxa" w:w="351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0.353</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BARS SINCE DISCHARGE</w:t>
            </w:r>
          </w:p>
        </w:tc>
        <w:tc>
          <w:tcPr>
            <w:tcW w:type="dxa" w:w="351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10,054</w:t>
            </w:r>
          </w:p>
        </w:tc>
        <w:tc>
          <w:tcPr>
            <w:tcW w:type="dxa" w:w="351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10,054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LIVE CLOSE</w:t>
            </w:r>
          </w:p>
        </w:tc>
        <w:tc>
          <w:tcPr>
            <w:tcW w:type="dxa" w:w="351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63,730.28</w:t>
            </w:r>
          </w:p>
        </w:tc>
        <w:tc>
          <w:tcPr>
            <w:tcW w:type="dxa" w:w="351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4,214.528</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LIVE VOLUME</w:t>
            </w:r>
          </w:p>
        </w:tc>
        <w:tc>
          <w:tcPr>
            <w:tcW w:type="dxa" w:w="351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78</w:t>
            </w:r>
          </w:p>
        </w:tc>
        <w:tc>
          <w:tcPr>
            <w:tcW w:type="dxa" w:w="351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788 (10× mayor)</w:t>
            </w:r>
          </w:p>
        </w:tc>
      </w:tr>
    </w:tbl>
    <w:p/>
    <w:p>
      <w:pPr>
        <w:pStyle w:val="Heading2"/>
        <w:spacing w:after="100" w:before="220"/>
      </w:pPr>
      <w:r>
        <w:rPr>
          <w:rFonts w:ascii="Arial" w:cs="Arial" w:eastAsia="Arial" w:hAnsi="Arial"/>
          <w:b/>
          <w:bCs/>
          <w:color w:val="2D5FA0"/>
          <w:sz w:val="26"/>
          <w:szCs w:val="26"/>
        </w:rPr>
        <w:t xml:space="preserve">4.2 Observaciones del panel visual</w:t>
      </w:r>
    </w:p>
    <w:p>
      <w:pPr>
        <w:spacing w:after="100" w:before="60"/>
      </w:pPr>
      <w:r>
        <w:rPr>
          <w:rFonts w:ascii="Arial" w:cs="Arial" w:eastAsia="Arial" w:hAnsi="Arial"/>
          <w:b/>
          <w:bCs/>
          <w:color w:val="333333"/>
          <w:sz w:val="22"/>
          <w:szCs w:val="22"/>
        </w:rPr>
        <w:t xml:space="preserve">BTC/USD (imagen 1): </w:t>
      </w:r>
      <w:r>
        <w:rPr>
          <w:rFonts w:ascii="Arial" w:cs="Arial" w:eastAsia="Arial" w:hAnsi="Arial"/>
          <w:color w:val="333333"/>
          <w:sz w:val="22"/>
          <w:szCs w:val="22"/>
        </w:rPr>
        <w:t xml:space="preserve">El indicador en el sub-panel inferior muestra barras histograma doradas con alta densidad y una línea naranja (A_context) que ha caído desde un pico cerca de 19:10 hasta niveles bajos al cierre (~19:37). La línea cyan (omega) es casi constante y baja. Esto es consistente con el estado HOMEOSTASIS declarado: el organismo BTC está en reposo tras un período de actividad previa visible en el chart (movimiento alcista desde 19:10 a 19:23).</w:t>
      </w:r>
    </w:p>
    <w:p>
      <w:pPr>
        <w:spacing w:after="100" w:before="60"/>
      </w:pPr>
      <w:r>
        <w:rPr>
          <w:rFonts w:ascii="Arial" w:cs="Arial" w:eastAsia="Arial" w:hAnsi="Arial"/>
          <w:b/>
          <w:bCs/>
          <w:color w:val="333333"/>
          <w:sz w:val="22"/>
          <w:szCs w:val="22"/>
        </w:rPr>
        <w:t xml:space="preserve">XAU/USD (imagen 2): </w:t>
      </w:r>
      <w:r>
        <w:rPr>
          <w:rFonts w:ascii="Arial" w:cs="Arial" w:eastAsia="Arial" w:hAnsi="Arial"/>
          <w:color w:val="333333"/>
          <w:sz w:val="22"/>
          <w:szCs w:val="22"/>
        </w:rPr>
        <w:t xml:space="preserve">Patrón casi idéntico en estructura pero con diferencias clave en los valores numéricos del panel. El XAU muestra mayor volumen live (788 vs 78 — 10× más actividad de ticks), pero menor persistence (0.124 vs 0.444). El histograma del sub-panel es igualmente denso. La línea naranja A_context tiene un pico pronunciado alrededor de 19:08 que BTC no muestra — evidencia de un evento de acumulación específico del Oro en ese momento.</w:t>
      </w:r>
    </w:p>
    <w:p/>
    <w:p>
      <w:pPr>
        <w:pStyle w:val="Heading1"/>
        <w:spacing w:after="140" w:before="300"/>
      </w:pPr>
      <w:r>
        <w:rPr>
          <w:rFonts w:ascii="Arial" w:cs="Arial" w:eastAsia="Arial" w:hAnsi="Arial"/>
          <w:b/>
          <w:bCs/>
          <w:color w:val="1A3A6B"/>
          <w:sz w:val="32"/>
          <w:szCs w:val="32"/>
        </w:rPr>
        <w:t xml:space="preserve">5. Histéresis fisiológica diferencial: confirmación experimental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Dimensión</w:t>
            </w:r>
          </w:p>
        </w:tc>
        <w:tc>
          <w:tcPr>
            <w:tcW w:type="dxa" w:w="2340"/>
            <w:tcBorders>
              <w:top w:val="single" w:color="CCCCCC" w:sz="1"/>
              <w:left w:val="single" w:color="CCCCCC" w:sz="1"/>
              <w:bottom w:val="single" w:color="CCCCCC" w:sz="1"/>
              <w:right w:val="single" w:color="CCCCCC" w:sz="1"/>
            </w:tcBorders>
            <w:shd w:fill="5C320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BTC</w:t>
            </w:r>
          </w:p>
        </w:tc>
        <w:tc>
          <w:tcPr>
            <w:tcW w:type="dxa" w:w="23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XAU</w:t>
            </w:r>
          </w:p>
        </w:tc>
        <w:tc>
          <w:tcPr>
            <w:tcW w:type="dxa" w:w="23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Ratio BTC/XAU</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PERSISTENCE</w:t>
            </w:r>
          </w:p>
        </w:tc>
        <w:tc>
          <w:tcPr>
            <w:tcW w:type="dxa" w:w="234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0.444</w:t>
            </w:r>
          </w:p>
        </w:tc>
        <w:tc>
          <w:tcPr>
            <w:tcW w:type="dxa" w:w="234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0.124</w:t>
            </w:r>
          </w:p>
        </w:tc>
        <w:tc>
          <w:tcPr>
            <w:tcW w:type="dxa" w:w="23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3.58× mayor en BTC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OMEGA</w:t>
            </w:r>
          </w:p>
        </w:tc>
        <w:tc>
          <w:tcPr>
            <w:tcW w:type="dxa" w:w="234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0.115</w:t>
            </w:r>
          </w:p>
        </w:tc>
        <w:tc>
          <w:tcPr>
            <w:tcW w:type="dxa" w:w="234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0.105</w:t>
            </w:r>
          </w:p>
        </w:tc>
        <w:tc>
          <w:tcPr>
            <w:tcW w:type="dxa" w:w="2340"/>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1.10× (casi igual)</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FATIGUE</w:t>
            </w:r>
          </w:p>
        </w:tc>
        <w:tc>
          <w:tcPr>
            <w:tcW w:type="dxa" w:w="234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0.359</w:t>
            </w:r>
          </w:p>
        </w:tc>
        <w:tc>
          <w:tcPr>
            <w:tcW w:type="dxa" w:w="234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0.353</w:t>
            </w:r>
          </w:p>
        </w:tc>
        <w:tc>
          <w:tcPr>
            <w:tcW w:type="dxa" w:w="2340"/>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1.02× (prácticamente igual)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A_CONTEXT</w:t>
            </w:r>
          </w:p>
        </w:tc>
        <w:tc>
          <w:tcPr>
            <w:tcW w:type="dxa" w:w="234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−0.247</w:t>
            </w:r>
          </w:p>
        </w:tc>
        <w:tc>
          <w:tcPr>
            <w:tcW w:type="dxa" w:w="234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−0.236</w:t>
            </w:r>
          </w:p>
        </w:tc>
        <w:tc>
          <w:tcPr>
            <w:tcW w:type="dxa" w:w="2340"/>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Similar (ambos negativos)</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ENERGY</w:t>
            </w:r>
          </w:p>
        </w:tc>
        <w:tc>
          <w:tcPr>
            <w:tcW w:type="dxa" w:w="234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0.439</w:t>
            </w:r>
          </w:p>
        </w:tc>
        <w:tc>
          <w:tcPr>
            <w:tcW w:type="dxa" w:w="234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0.441</w:t>
            </w:r>
          </w:p>
        </w:tc>
        <w:tc>
          <w:tcPr>
            <w:tcW w:type="dxa" w:w="2340"/>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Idénticos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LIVE VOLUME</w:t>
            </w:r>
          </w:p>
        </w:tc>
        <w:tc>
          <w:tcPr>
            <w:tcW w:type="dxa" w:w="234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78 ticks/min</w:t>
            </w:r>
          </w:p>
        </w:tc>
        <w:tc>
          <w:tcPr>
            <w:tcW w:type="dxa" w:w="234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788 ticks/min</w:t>
            </w:r>
          </w:p>
        </w:tc>
        <w:tc>
          <w:tcPr>
            <w:tcW w:type="dxa" w:w="234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val="false"/>
                <w:bCs w:val="false"/>
                <w:color w:val="333333"/>
                <w:sz w:val="19"/>
                <w:szCs w:val="19"/>
              </w:rPr>
              <w:t xml:space="preserve">10× mayor en XAU</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Interpretación</w:t>
            </w:r>
          </w:p>
        </w:tc>
        <w:tc>
          <w:tcPr>
            <w:tcW w:type="dxa" w:w="2340"/>
            <w:tcBorders>
              <w:top w:val="single" w:color="CCCCCC" w:sz="1"/>
              <w:left w:val="single" w:color="CCCCCC" w:sz="1"/>
              <w:bottom w:val="single" w:color="CCCCCC" w:sz="1"/>
              <w:right w:val="single" w:color="CCCCCC" w:sz="1"/>
            </w:tcBorders>
            <w:shd w:fill="FFF0DC"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Fisiología nerviosa: acumula presión rápido (persist alta)</w:t>
            </w:r>
          </w:p>
        </w:tc>
        <w:tc>
          <w:tcPr>
            <w:tcW w:type="dxa" w:w="234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Fisiología viscosa: menor presión pero mayor volumen de actividad</w:t>
            </w:r>
          </w:p>
        </w:tc>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Coherente con metabolismo BTC rápido / XAU lento</w:t>
            </w:r>
          </w:p>
        </w:tc>
      </w:tr>
    </w:tbl>
    <w:p/>
    <w:p>
      <w:pPr>
        <w:spacing w:after="100" w:before="60"/>
        <w:jc w:val="both"/>
      </w:pPr>
      <w:r>
        <w:rPr>
          <w:rFonts w:ascii="Arial" w:cs="Arial" w:eastAsia="Arial" w:hAnsi="Arial"/>
          <w:color w:val="333333"/>
          <w:sz w:val="22"/>
          <w:szCs w:val="22"/>
        </w:rPr>
        <w:t xml:space="preserve">El hallazgo más importante de la corrida en vivo es la diferencia en persistence: BTC muestra 0.444 vs XAU con 0.124 — un ratio de 3.58×. Esto es exactamente la histéresis diferencial descrita en el documento de sesión y coherente con los hallazgos del CORE sobre las 416,600 ticks combinadas: BTC tiene un metabolismo más rápido que acumula presión estructural con mayor velocidad.</w:t>
      </w:r>
    </w:p>
    <w:p>
      <w:pPr>
        <w:spacing w:after="100" w:before="60"/>
        <w:jc w:val="both"/>
      </w:pPr>
      <w:r>
        <w:rPr>
          <w:rFonts w:ascii="Arial" w:cs="Arial" w:eastAsia="Arial" w:hAnsi="Arial"/>
          <w:color w:val="333333"/>
          <w:sz w:val="22"/>
          <w:szCs w:val="22"/>
        </w:rPr>
        <w:t xml:space="preserve">Sin embargo, hay un matiz importante que no debe pasarse por alto: en este instante específico (19:37), ambos activos están en HOMEOSTASIS con BARS_SINCE_DISCHARGE = 10,054. El contador idéntico en ambos sugiere que la corrida se inició simultáneamente y ninguno de los dos organismos ha disparado una descarga desde el inicio. Esto significa que la diferencia de persistence no refleja un evento reciente — refleja la acumulación estructural diferencial de los dos organismos durante las mismas ~10,054 barras de operación sin descarga.</w:t>
      </w:r>
    </w:p>
    <w:p>
      <w:pPr>
        <w:spacing w:after="100" w:before="60"/>
        <w:jc w:val="both"/>
      </w:pPr>
      <w:r>
        <w:rPr>
          <w:rFonts w:ascii="Arial" w:cs="Arial" w:eastAsia="Arial" w:hAnsi="Arial"/>
          <w:color w:val="333333"/>
          <w:sz w:val="22"/>
          <w:szCs w:val="22"/>
        </w:rPr>
        <w:t xml:space="preserve">La energía (ENERGY) es prácticamente idéntica en ambos (0.439 vs 0.441), lo que confirma que la diferencia en persistence no viene del nivel actual de A_context sino de la velocidad con que el motor acumula presión estructural en función del psychoEnergy histórico. BTC acumula más rápido con el mismo nivel de energía instantánea — exactamente la propiedad que define su metabolismo nervioso frente al metabolismo viscoso del Oro.</w:t>
      </w:r>
    </w:p>
    <w:p/>
    <w:p>
      <w:pPr>
        <w:pStyle w:val="Heading1"/>
        <w:spacing w:after="140" w:before="300"/>
      </w:pPr>
      <w:r>
        <w:rPr>
          <w:rFonts w:ascii="Arial" w:cs="Arial" w:eastAsia="Arial" w:hAnsi="Arial"/>
          <w:b/>
          <w:bCs/>
          <w:color w:val="1A3A6B"/>
          <w:sz w:val="32"/>
          <w:szCs w:val="32"/>
        </w:rPr>
        <w:t xml:space="preserve">6. Evolución arquitectónica: V1 → V2.2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Componente</w:t>
            </w:r>
          </w:p>
        </w:tc>
        <w:tc>
          <w:tcPr>
            <w:tcW w:type="dxa" w:w="351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QPS V1 (defectuoso)</w:t>
            </w:r>
          </w:p>
        </w:tc>
        <w:tc>
          <w:tcPr>
            <w:tcW w:type="dxa" w:w="351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QPLAB V2.2 (autónomo)</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Fuente de datos</w:t>
            </w:r>
          </w:p>
        </w:tc>
        <w:tc>
          <w:tcPr>
            <w:tcW w:type="dxa" w:w="351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Buffers gráficos — dependiente del motor visual</w:t>
            </w:r>
          </w:p>
        </w:tc>
        <w:tc>
          <w:tcPr>
            <w:tcW w:type="dxa" w:w="3510"/>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CopyRates() vivo — acceso directo tick a tick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Logger</w:t>
            </w:r>
          </w:p>
        </w:tc>
        <w:tc>
          <w:tcPr>
            <w:tcW w:type="dxa" w:w="351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Solo escribe en i==0 — mismo tick 286k veces</w:t>
            </w:r>
          </w:p>
        </w:tc>
        <w:tc>
          <w:tcPr>
            <w:tcW w:type="dxa" w:w="3510"/>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Escritura continua para todo i — registro longitudinal real</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Persistence</w:t>
            </w:r>
          </w:p>
        </w:tc>
        <w:tc>
          <w:tcPr>
            <w:tcW w:type="dxa" w:w="351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Binaria: +1 / −1 según threshold. Nunca activa porque AccThreshold=1.50 inalcanzable</w:t>
            </w:r>
          </w:p>
        </w:tc>
        <w:tc>
          <w:tcPr>
            <w:tcW w:type="dxa" w:w="3510"/>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Continua: += psychoEnergy × PersistenceGain. Refleja magnitud real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Omega (Ω)</w:t>
            </w:r>
          </w:p>
        </w:tc>
        <w:tc>
          <w:tcPr>
            <w:tcW w:type="dxa" w:w="351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Derivado de buffers externos. Artificial. (accum + persist + fatigue)/3</w:t>
            </w:r>
          </w:p>
        </w:tc>
        <w:tc>
          <w:tcPr>
            <w:tcW w:type="dxa" w:w="3510"/>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Endógeno: 0.65×persist + 0.15×fatigue + 0.20×energy. Ponderación fisiológica</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Fatigue</w:t>
            </w:r>
          </w:p>
        </w:tc>
        <w:tc>
          <w:tcPr>
            <w:tcW w:type="dxa" w:w="351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No inicializada. Comienza con valor residual alto (1.53). Overflow a los 41k ticks</w:t>
            </w:r>
          </w:p>
        </w:tc>
        <w:tc>
          <w:tcPr>
            <w:tcW w:type="dxa" w:w="3510"/>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Inicializada a 0. Evolución continua y controlada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A_norm overflow</w:t>
            </w:r>
          </w:p>
        </w:tc>
        <w:tc>
          <w:tcPr>
            <w:tcW w:type="dxa" w:w="351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Overflow desde tick 41,796 — 57.8% del CSV con valores 1e13 inútiles</w:t>
            </w:r>
          </w:p>
        </w:tc>
        <w:tc>
          <w:tcPr>
            <w:tcW w:type="dxa" w:w="3510"/>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Guards de límite explícitos en z-score</w:t>
            </w:r>
          </w:p>
        </w:tc>
      </w:tr>
      <w:tr>
        <w:tc>
          <w:tcPr>
            <w:tcW w:type="dxa" w:w="2340"/>
            <w:tcBorders>
              <w:top w:val="single" w:color="CCCCCC" w:sz="1"/>
              <w:left w:val="single" w:color="CCCCCC" w:sz="1"/>
              <w:bottom w:val="single" w:color="CCCCCC" w:sz="1"/>
              <w:right w:val="single" w:color="CCCCCC" w:sz="1"/>
            </w:tcBorders>
            <w:shd w:fill="F2F5FB" w:val="clear"/>
            <w:tcMar>
              <w:top w:type="dxa" w:w="80"/>
              <w:left w:type="dxa" w:w="120"/>
              <w:bottom w:type="dxa" w:w="80"/>
              <w:right w:type="dxa" w:w="120"/>
            </w:tcMar>
          </w:tcPr>
          <w:p>
            <w:pPr>
              <w:jc w:val="left"/>
            </w:pPr>
            <w:r>
              <w:rPr>
                <w:rFonts w:ascii="Arial" w:cs="Arial" w:eastAsia="Arial" w:hAnsi="Arial"/>
                <w:b/>
                <w:bCs/>
                <w:color w:val="333333"/>
                <w:sz w:val="19"/>
                <w:szCs w:val="19"/>
              </w:rPr>
              <w:t xml:space="preserve">Estado longitudinal</w:t>
            </w:r>
          </w:p>
        </w:tc>
        <w:tc>
          <w:tcPr>
            <w:tcW w:type="dxa" w:w="351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Resetea entre recalculos — no mantiene historia real</w:t>
            </w:r>
          </w:p>
        </w:tc>
        <w:tc>
          <w:tcPr>
            <w:tcW w:type="dxa" w:w="3510"/>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Mantiene estado entre ticks — fisiología verdaderamente persistente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19"/>
                <w:szCs w:val="19"/>
              </w:rPr>
              <w:t xml:space="preserve">Histéresis diferencial</w:t>
            </w:r>
          </w:p>
        </w:tc>
        <w:tc>
          <w:tcPr>
            <w:tcW w:type="dxa" w:w="351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Imposible de observar — todos los valores colapsan a HOMEOSTASIS</w:t>
            </w:r>
          </w:p>
        </w:tc>
        <w:tc>
          <w:tcPr>
            <w:tcW w:type="dxa" w:w="3510"/>
            <w:tcBorders>
              <w:top w:val="single" w:color="CCCCCC" w:sz="1"/>
              <w:left w:val="single" w:color="CCCCCC" w:sz="1"/>
              <w:bottom w:val="single" w:color="CCCCCC" w:sz="1"/>
              <w:right w:val="single" w:color="CCCCCC" w:sz="1"/>
            </w:tcBorders>
            <w:shd w:fill="EAF9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Observable: BTC persist=0.444 vs XAU persist=0.124 (ratio 3.58×)</w:t>
            </w:r>
          </w:p>
        </w:tc>
      </w:tr>
    </w:tbl>
    <w:p/>
    <w:p>
      <w:pPr>
        <w:spacing w:after="100" w:before="60"/>
        <w:jc w:val="both"/>
      </w:pPr>
      <w:r>
        <w:rPr>
          <w:rFonts w:ascii="Arial" w:cs="Arial" w:eastAsia="Arial" w:hAnsi="Arial"/>
          <w:color w:val="333333"/>
          <w:sz w:val="22"/>
          <w:szCs w:val="22"/>
        </w:rPr>
        <w:t xml:space="preserve">La transición de QPS V1 a QPLAB V2.2 no es una mejora incremental — es una refundación completa del motor. V1 tenía un error conceptual fundamental: el organismo dependía de los buffers gráficos del indicador MetaTrader para su funcionamiento interno. Esto significa que sin el chart visual activo, el motor no podía mantener estado. V2.2 invierte completamente esta arquitectura: los buffers gráficos son solo representación de un estado interno autónomo que existe independientemente de cualquier visualización.</w:t>
      </w:r>
    </w:p>
    <w:p>
      <w:pPr>
        <w:spacing w:after="100" w:before="60"/>
        <w:jc w:val="both"/>
      </w:pPr>
      <w:r>
        <w:rPr>
          <w:rFonts w:ascii="Arial" w:cs="Arial" w:eastAsia="Arial" w:hAnsi="Arial"/>
          <w:color w:val="333333"/>
          <w:sz w:val="22"/>
          <w:szCs w:val="22"/>
        </w:rPr>
        <w:t xml:space="preserve">Esta diferencia es análoga a la distinción entre un organismo que solo existe cuando alguien lo observa y un organismo que existe independientemente de la observación. V1 era el primero. V2.2 es el segundo.</w:t>
      </w:r>
    </w:p>
    <w:p/>
    <w:p>
      <w:pPr>
        <w:pStyle w:val="Heading1"/>
        <w:spacing w:after="140" w:before="300"/>
      </w:pPr>
      <w:r>
        <w:rPr>
          <w:rFonts w:ascii="Arial" w:cs="Arial" w:eastAsia="Arial" w:hAnsi="Arial"/>
          <w:b/>
          <w:bCs/>
          <w:color w:val="1A3A6B"/>
          <w:sz w:val="32"/>
          <w:szCs w:val="32"/>
        </w:rPr>
        <w:t xml:space="preserve">7. Correcciones específicas al código QPS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
        <w:gridCol w:w="3510"/>
        <w:gridCol w:w="5148"/>
      </w:tblGrid>
      <w:tr>
        <w:tc>
          <w:tcPr>
            <w:tcW w:type="dxa" w:w="702"/>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Prioridad</w:t>
            </w:r>
          </w:p>
        </w:tc>
        <w:tc>
          <w:tcPr>
            <w:tcW w:type="dxa" w:w="3510"/>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Problema</w:t>
            </w:r>
          </w:p>
        </w:tc>
        <w:tc>
          <w:tcPr>
            <w:tcW w:type="dxa" w:w="5148"/>
            <w:tcBorders>
              <w:top w:val="single" w:color="CCCCCC" w:sz="1"/>
              <w:left w:val="single" w:color="CCCCCC" w:sz="1"/>
              <w:bottom w:val="single" w:color="CCCCCC" w:sz="1"/>
              <w:right w:val="single" w:color="CCCCCC" w:sz="1"/>
            </w:tcBorders>
            <w:shd w:fill="1A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Código corregido (fragmento)</w:t>
            </w:r>
          </w:p>
        </w:tc>
      </w:tr>
      <w:tr>
        <w:tc>
          <w:tcPr>
            <w:tcW w:type="dxa" w:w="702"/>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1</w:t>
            </w:r>
          </w:p>
        </w:tc>
        <w:tc>
          <w:tcPr>
            <w:tcW w:type="dxa" w:w="351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Logger fuera de i==0: mover FileWrite a toda la barra</w:t>
            </w:r>
          </w:p>
        </w:tc>
        <w:tc>
          <w:tcPr>
            <w:tcW w:type="dxa" w:w="5148"/>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 ANTES: if(i == 0 &amp;&amp; EnableLogger) { FileWrite(...) }
// DESPUÉS: mover fuera del if(i==0):
if(EnableLogger &amp;&amp; LogHandle != INVALID_HANDLE)
  FileWrite(LogHandle, TimeToString(time[i]), close[i], ...);</w:t>
            </w:r>
          </w:p>
        </w:tc>
      </w:tr>
      <w:tr>
        <w:tc>
          <w:tcPr>
            <w:tcW w:type="dxa" w:w="702"/>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2</w:t>
            </w:r>
          </w:p>
        </w:tc>
        <w:tc>
          <w:tcPr>
            <w:tcW w:type="dxa" w:w="351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Guard de overflow en z-score normalization</w:t>
            </w:r>
          </w:p>
        </w:tc>
        <w:tc>
          <w:tcPr>
            <w:tcW w:type="dxa" w:w="5148"/>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if(count &lt; NormWindow / 2) {
  A_Norm[i] = 0.0;
  continue;
}
if(std &lt; 1e-8) { A_Norm[i] = 0.0; continue; }</w:t>
            </w:r>
          </w:p>
        </w:tc>
      </w:tr>
      <w:tr>
        <w:tc>
          <w:tcPr>
            <w:tcW w:type="dxa" w:w="702"/>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3</w:t>
            </w:r>
          </w:p>
        </w:tc>
        <w:tc>
          <w:tcPr>
            <w:tcW w:type="dxa" w:w="351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Inicializar CurrentState explícitamente en OnInit()</w:t>
            </w:r>
          </w:p>
        </w:tc>
        <w:tc>
          <w:tcPr>
            <w:tcW w:type="dxa" w:w="5148"/>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int OnInit() {
  CurrentState.accumulation = 0.0;
  CurrentState.omegaPressure = 0.0;
  CurrentState.persistence = 0;
  CurrentState.fatigue = 0.0;
  CurrentState.barsSinceDischarge = 0;
  CurrentState.inAccumulation = false;
  // ... resto del init
}</w:t>
            </w:r>
          </w:p>
        </w:tc>
      </w:tr>
      <w:tr>
        <w:tc>
          <w:tcPr>
            <w:tcW w:type="dxa" w:w="702"/>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center"/>
            </w:pPr>
            <w:r>
              <w:rPr>
                <w:rFonts w:ascii="Arial" w:cs="Arial" w:eastAsia="Arial" w:hAnsi="Arial"/>
                <w:b/>
                <w:bCs/>
                <w:color w:val="333333"/>
                <w:sz w:val="19"/>
                <w:szCs w:val="19"/>
              </w:rPr>
              <w:t xml:space="preserve">4</w:t>
            </w:r>
          </w:p>
        </w:tc>
        <w:tc>
          <w:tcPr>
            <w:tcW w:type="dxa" w:w="3510"/>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Recalibrar AccThreshold según distribución real de A_smooth</w:t>
            </w:r>
          </w:p>
        </w:tc>
        <w:tc>
          <w:tcPr>
            <w:tcW w:type="dxa" w:w="5148"/>
            <w:tcBorders>
              <w:top w:val="single" w:color="CCCCCC" w:sz="1"/>
              <w:left w:val="single" w:color="CCCCCC" w:sz="1"/>
              <w:bottom w:val="single" w:color="CCCCCC" w:sz="1"/>
              <w:right w:val="single" w:color="CCCCCC" w:sz="1"/>
            </w:tcBorders>
            <w:shd w:fill="FFF8E0" w:val="clear"/>
            <w:tcMar>
              <w:top w:type="dxa" w:w="80"/>
              <w:left w:type="dxa" w:w="120"/>
              <w:bottom w:type="dxa" w:w="80"/>
              <w:right w:type="dxa" w:w="120"/>
            </w:tcMar>
          </w:tcPr>
          <w:p>
            <w:pPr>
              <w:jc w:val="left"/>
            </w:pPr>
            <w:r>
              <w:rPr>
                <w:rFonts w:ascii="Arial" w:cs="Arial" w:eastAsia="Arial" w:hAnsi="Arial"/>
                <w:b w:val="false"/>
                <w:bCs w:val="false"/>
                <w:color w:val="333333"/>
                <w:sz w:val="19"/>
                <w:szCs w:val="19"/>
              </w:rPr>
              <w:t xml:space="preserve">// A_smooth tiene rango [-0.89, +0.30] en datos válidos
// AccThreshold=1.50 es inalcanzable
// Usar percentil 90 dinámico o valor fijo recalibrado:
input double AccThreshold = 0.0;  // threshold en z-score</w:t>
            </w:r>
          </w:p>
        </w:tc>
      </w:tr>
    </w:tbl>
    <w:p/>
    <w:p>
      <w:pPr>
        <w:spacing w:after="100" w:before="60"/>
        <w:jc w:val="both"/>
      </w:pPr>
      <w:r>
        <w:rPr>
          <w:rFonts w:ascii="Arial" w:cs="Arial" w:eastAsia="Arial" w:hAnsi="Arial"/>
          <w:color w:val="333333"/>
          <w:sz w:val="22"/>
          <w:szCs w:val="22"/>
        </w:rPr>
        <w:t xml:space="preserve">Las cuatro correcciones prioritarias son independientes entre sí y deben aplicarse en orden. La corrección 1 (logger fuera de i==0) es la más urgente porque sin ella ningún dataset generado por V1 es utilizable. La corrección 2 (guard de overflow) es la segunda más crítica porque contamina el 57.8% de los datos incluso si el logger se corrige. Las correcciones 3 y 4 son de calibración y robustez.</w:t>
      </w:r>
    </w:p>
    <w:p/>
    <w:p>
      <w:pPr>
        <w:pStyle w:val="Heading1"/>
        <w:spacing w:after="140" w:before="300"/>
      </w:pPr>
      <w:r>
        <w:rPr>
          <w:rFonts w:ascii="Arial" w:cs="Arial" w:eastAsia="Arial" w:hAnsi="Arial"/>
          <w:b/>
          <w:bCs/>
          <w:color w:val="1A3A6B"/>
          <w:sz w:val="32"/>
          <w:szCs w:val="32"/>
        </w:rPr>
        <w:t xml:space="preserve">8. Estado actual del proyecto y próximos pasos</w:t>
      </w:r>
    </w:p>
    <w:p>
      <w:pPr>
        <w:pStyle w:val="Heading2"/>
        <w:spacing w:after="100" w:before="220"/>
      </w:pPr>
      <w:r>
        <w:rPr>
          <w:rFonts w:ascii="Arial" w:cs="Arial" w:eastAsia="Arial" w:hAnsi="Arial"/>
          <w:b/>
          <w:bCs/>
          <w:color w:val="2D5FA0"/>
          <w:sz w:val="26"/>
          <w:szCs w:val="26"/>
        </w:rPr>
        <w:t xml:space="preserve">8.1 Lo que ya funciona</w:t>
      </w:r>
    </w:p>
    <w:p>
      <w:pPr>
        <w:pStyle w:val="ListParagraph"/>
        <w:numPr>
          <w:ilvl w:val="0"/>
          <w:numId w:val="2"/>
        </w:numPr>
        <w:spacing w:after="60" w:before="40"/>
      </w:pPr>
      <w:r>
        <w:rPr>
          <w:rFonts w:ascii="Arial" w:cs="Arial" w:eastAsia="Arial" w:hAnsi="Arial"/>
          <w:color w:val="333333"/>
          <w:sz w:val="22"/>
          <w:szCs w:val="22"/>
        </w:rPr>
        <w:t xml:space="preserve">QPLAB V2.2 está corriendo de forma estable y autónoma en BTC y XAU simultáneamente.</w:t>
      </w:r>
    </w:p>
    <w:p>
      <w:pPr>
        <w:pStyle w:val="ListParagraph"/>
        <w:numPr>
          <w:ilvl w:val="0"/>
          <w:numId w:val="2"/>
        </w:numPr>
        <w:spacing w:after="60" w:before="40"/>
      </w:pPr>
      <w:r>
        <w:rPr>
          <w:rFonts w:ascii="Arial" w:cs="Arial" w:eastAsia="Arial" w:hAnsi="Arial"/>
          <w:color w:val="333333"/>
          <w:sz w:val="22"/>
          <w:szCs w:val="22"/>
        </w:rPr>
        <w:t xml:space="preserve">La histéresis diferencial es observable en vivo: BTC persistence = 3.58× XAU persistence.</w:t>
      </w:r>
    </w:p>
    <w:p>
      <w:pPr>
        <w:pStyle w:val="ListParagraph"/>
        <w:numPr>
          <w:ilvl w:val="0"/>
          <w:numId w:val="2"/>
        </w:numPr>
        <w:spacing w:after="60" w:before="40"/>
      </w:pPr>
      <w:r>
        <w:rPr>
          <w:rFonts w:ascii="Arial" w:cs="Arial" w:eastAsia="Arial" w:hAnsi="Arial"/>
          <w:color w:val="333333"/>
          <w:sz w:val="22"/>
          <w:szCs w:val="22"/>
        </w:rPr>
        <w:t xml:space="preserve">El motor es longitudinal: mantiene estado interno entre ticks sin depender de buffers gráficos.</w:t>
      </w:r>
    </w:p>
    <w:p>
      <w:pPr>
        <w:pStyle w:val="ListParagraph"/>
        <w:numPr>
          <w:ilvl w:val="0"/>
          <w:numId w:val="2"/>
        </w:numPr>
        <w:spacing w:after="60" w:before="40"/>
      </w:pPr>
      <w:r>
        <w:rPr>
          <w:rFonts w:ascii="Arial" w:cs="Arial" w:eastAsia="Arial" w:hAnsi="Arial"/>
          <w:color w:val="333333"/>
          <w:sz w:val="22"/>
          <w:szCs w:val="22"/>
        </w:rPr>
        <w:t xml:space="preserve">El logging V2.2 (si está correctamente implementado) generará datasets científicamente válidos.</w:t>
      </w:r>
    </w:p>
    <w:p>
      <w:pPr>
        <w:pStyle w:val="ListParagraph"/>
        <w:numPr>
          <w:ilvl w:val="0"/>
          <w:numId w:val="2"/>
        </w:numPr>
        <w:spacing w:after="60" w:before="40"/>
      </w:pPr>
      <w:r>
        <w:rPr>
          <w:rFonts w:ascii="Arial" w:cs="Arial" w:eastAsia="Arial" w:hAnsi="Arial"/>
          <w:color w:val="333333"/>
          <w:sz w:val="22"/>
          <w:szCs w:val="22"/>
        </w:rPr>
        <w:t xml:space="preserve">La arquitectura causal energía → fisiología → semiología → precio está operacional.</w:t>
      </w:r>
    </w:p>
    <w:p/>
    <w:p>
      <w:pPr>
        <w:pStyle w:val="Heading2"/>
        <w:spacing w:after="100" w:before="220"/>
      </w:pPr>
      <w:r>
        <w:rPr>
          <w:rFonts w:ascii="Arial" w:cs="Arial" w:eastAsia="Arial" w:hAnsi="Arial"/>
          <w:b/>
          <w:bCs/>
          <w:color w:val="2D5FA0"/>
          <w:sz w:val="26"/>
          <w:szCs w:val="26"/>
        </w:rPr>
        <w:t xml:space="preserve">8.2 Lo que requiere corrección inmediata</w:t>
      </w:r>
    </w:p>
    <w:p>
      <w:pPr>
        <w:pStyle w:val="ListParagraph"/>
        <w:numPr>
          <w:ilvl w:val="0"/>
          <w:numId w:val="2"/>
        </w:numPr>
        <w:spacing w:after="60" w:before="40"/>
      </w:pPr>
      <w:r>
        <w:rPr>
          <w:rFonts w:ascii="Arial" w:cs="Arial" w:eastAsia="Arial" w:hAnsi="Arial"/>
          <w:color w:val="333333"/>
          <w:sz w:val="22"/>
          <w:szCs w:val="22"/>
        </w:rPr>
        <w:t xml:space="preserve">Verificar que el logger de V2.2 no repite el bug i==0 de V1 — es el punto más crítico.</w:t>
      </w:r>
    </w:p>
    <w:p>
      <w:pPr>
        <w:pStyle w:val="ListParagraph"/>
        <w:numPr>
          <w:ilvl w:val="0"/>
          <w:numId w:val="2"/>
        </w:numPr>
        <w:spacing w:after="60" w:before="40"/>
      </w:pPr>
      <w:r>
        <w:rPr>
          <w:rFonts w:ascii="Arial" w:cs="Arial" w:eastAsia="Arial" w:hAnsi="Arial"/>
          <w:color w:val="333333"/>
          <w:sz w:val="22"/>
          <w:szCs w:val="22"/>
        </w:rPr>
        <w:t xml:space="preserve">Corregir QPS V1 si se quiere usar para backtesting histórico (4 correcciones documentadas).</w:t>
      </w:r>
    </w:p>
    <w:p>
      <w:pPr>
        <w:pStyle w:val="ListParagraph"/>
        <w:numPr>
          <w:ilvl w:val="0"/>
          <w:numId w:val="2"/>
        </w:numPr>
        <w:spacing w:after="60" w:before="40"/>
      </w:pPr>
      <w:r>
        <w:rPr>
          <w:rFonts w:ascii="Arial" w:cs="Arial" w:eastAsia="Arial" w:hAnsi="Arial"/>
          <w:color w:val="333333"/>
          <w:sz w:val="22"/>
          <w:szCs w:val="22"/>
        </w:rPr>
        <w:t xml:space="preserve">Definir AccThreshold dinámico basado en percentiles reales de A_smooth en V2.2.</w:t>
      </w:r>
    </w:p>
    <w:p>
      <w:pPr>
        <w:pStyle w:val="ListParagraph"/>
        <w:numPr>
          <w:ilvl w:val="0"/>
          <w:numId w:val="2"/>
        </w:numPr>
        <w:spacing w:after="60" w:before="40"/>
      </w:pPr>
      <w:r>
        <w:rPr>
          <w:rFonts w:ascii="Arial" w:cs="Arial" w:eastAsia="Arial" w:hAnsi="Arial"/>
          <w:color w:val="333333"/>
          <w:sz w:val="22"/>
          <w:szCs w:val="22"/>
        </w:rPr>
        <w:t xml:space="preserve">Añadir timestamp diferencial al CSV de V2.2 para confirmar que registra barras distintas.</w:t>
      </w:r>
    </w:p>
    <w:p/>
    <w:p>
      <w:pPr>
        <w:pStyle w:val="Heading2"/>
        <w:spacing w:after="100" w:before="220"/>
      </w:pPr>
      <w:r>
        <w:rPr>
          <w:rFonts w:ascii="Arial" w:cs="Arial" w:eastAsia="Arial" w:hAnsi="Arial"/>
          <w:b/>
          <w:bCs/>
          <w:color w:val="2D5FA0"/>
          <w:sz w:val="26"/>
          <w:szCs w:val="26"/>
        </w:rPr>
        <w:t xml:space="preserve">8.3 El siguiente experimento</w:t>
      </w:r>
    </w:p>
    <w:p>
      <w:pPr>
        <w:pStyle w:val="ListParagraph"/>
        <w:numPr>
          <w:ilvl w:val="0"/>
          <w:numId w:val="2"/>
        </w:numPr>
        <w:spacing w:after="60" w:before="40"/>
      </w:pPr>
      <w:r>
        <w:rPr>
          <w:rFonts w:ascii="Arial" w:cs="Arial" w:eastAsia="Arial" w:hAnsi="Arial"/>
          <w:color w:val="333333"/>
          <w:sz w:val="22"/>
          <w:szCs w:val="22"/>
        </w:rPr>
        <w:t xml:space="preserve">Comparar CSV de V2.2 (una vez validado) con el RESEARCH_CORE: ¿A_context de V2.2 correlaciona con M, A, o TF del CORE?</w:t>
      </w:r>
    </w:p>
    <w:p>
      <w:pPr>
        <w:pStyle w:val="ListParagraph"/>
        <w:numPr>
          <w:ilvl w:val="0"/>
          <w:numId w:val="2"/>
        </w:numPr>
        <w:spacing w:after="60" w:before="40"/>
      </w:pPr>
      <w:r>
        <w:rPr>
          <w:rFonts w:ascii="Arial" w:cs="Arial" w:eastAsia="Arial" w:hAnsi="Arial"/>
          <w:color w:val="333333"/>
          <w:sz w:val="22"/>
          <w:szCs w:val="22"/>
        </w:rPr>
        <w:t xml:space="preserve">Verificar si persistence de V2.2 predice R2D del CORE con antelación — test de causalidad Granger.</w:t>
      </w:r>
    </w:p>
    <w:p>
      <w:pPr>
        <w:pStyle w:val="ListParagraph"/>
        <w:numPr>
          <w:ilvl w:val="0"/>
          <w:numId w:val="2"/>
        </w:numPr>
        <w:spacing w:after="60" w:before="40"/>
      </w:pPr>
      <w:r>
        <w:rPr>
          <w:rFonts w:ascii="Arial" w:cs="Arial" w:eastAsia="Arial" w:hAnsi="Arial"/>
          <w:color w:val="333333"/>
          <w:sz w:val="22"/>
          <w:szCs w:val="22"/>
        </w:rPr>
        <w:t xml:space="preserve">Analizar el pico de A_context en XAU (19:08 visible en imagen 2) — ¿corresponde a un R2A o R2D en el CORE?</w:t>
      </w:r>
    </w:p>
    <w:p>
      <w:pPr>
        <w:pStyle w:val="ListParagraph"/>
        <w:numPr>
          <w:ilvl w:val="0"/>
          <w:numId w:val="2"/>
        </w:numPr>
        <w:spacing w:after="60" w:before="40"/>
      </w:pPr>
      <w:r>
        <w:rPr>
          <w:rFonts w:ascii="Arial" w:cs="Arial" w:eastAsia="Arial" w:hAnsi="Arial"/>
          <w:color w:val="333333"/>
          <w:sz w:val="22"/>
          <w:szCs w:val="22"/>
        </w:rPr>
        <w:t xml:space="preserve">Extender la corrida overnight a al menos 7 días para capturar ciclos completos de descarga fisiológica.</w:t>
      </w:r>
    </w:p>
    <w:p/>
    <w:p>
      <w:pPr>
        <w:pStyle w:val="Heading1"/>
        <w:spacing w:after="140" w:before="300"/>
      </w:pPr>
      <w:r>
        <w:rPr>
          <w:rFonts w:ascii="Arial" w:cs="Arial" w:eastAsia="Arial" w:hAnsi="Arial"/>
          <w:b/>
          <w:bCs/>
          <w:color w:val="1A3A6B"/>
          <w:sz w:val="32"/>
          <w:szCs w:val="32"/>
        </w:rPr>
        <w:t xml:space="preserve">9. Conclusión</w:t>
      </w:r>
    </w:p>
    <w:p>
      <w:pPr>
        <w:spacing w:after="100" w:before="60"/>
        <w:jc w:val="both"/>
      </w:pPr>
      <w:r>
        <w:rPr>
          <w:rFonts w:ascii="Arial" w:cs="Arial" w:eastAsia="Arial" w:hAnsi="Arial"/>
          <w:color w:val="333333"/>
          <w:sz w:val="22"/>
          <w:szCs w:val="22"/>
        </w:rPr>
        <w:t xml:space="preserve">La sesión del 11 de junio de 2026 produjo simultáneamente el primer dataset fallido y la primera evidencia en vivo de histéresis diferencial fisiológica. El CSV de QPS V1 no es un dataset científico — es un diario del proceso de depuración del motor. El QPLAB V2.2 en sus paneles visuales es, en cambio, la primera observación directa de dos organismos de mercado distintos operando con el mismo framework fisiológico y mostrando metabolismos claramente diferenciados.</w:t>
      </w:r>
    </w:p>
    <w:p>
      <w:pPr>
        <w:spacing w:after="100" w:before="60"/>
        <w:jc w:val="both"/>
      </w:pPr>
      <w:r>
        <w:rPr>
          <w:rFonts w:ascii="Arial" w:cs="Arial" w:eastAsia="Arial" w:hAnsi="Arial"/>
          <w:color w:val="333333"/>
          <w:sz w:val="22"/>
          <w:szCs w:val="22"/>
        </w:rPr>
        <w:t xml:space="preserve">El error de V1 no invalida el proyecto — lo clarifica. Demostró exactamente qué aspectos de la arquitectura necesitaban ser rediseñados y condujo directamente al nacimiento del motor autónomo de V2.2. En ese sentido, el CSV fallido tiene valor científico: es el registro del proceso de descubrimiento del error arquitectónico central que definió la transición del laboratorio.</w:t>
      </w:r>
    </w:p>
    <w:p>
      <w:pPr>
        <w:spacing w:after="100" w:before="60"/>
        <w:jc w:val="both"/>
      </w:pPr>
      <w:r>
        <w:rPr>
          <w:rFonts w:ascii="Arial" w:cs="Arial" w:eastAsia="Arial" w:hAnsi="Arial"/>
          <w:color w:val="333333"/>
          <w:sz w:val="22"/>
          <w:szCs w:val="22"/>
        </w:rPr>
        <w:t xml:space="preserve">El proyecto ya no está en fase conceptual. Está en fase experimental operacional con un organismo vivo corriendo, histéresis emergente observable, y una pregunta científica clara que responder: ¿los estados internos del QPLAB predicen los regímenes del CORE?</w:t>
      </w:r>
    </w:p>
    <w:p/>
    <w:p>
      <w:pPr>
        <w:pBdr>
          <w:bottom w:val="single" w:color="CCCCCC" w:sz="4" w:space="1"/>
        </w:pBdr>
        <w:spacing w:after="120" w:before="120"/>
      </w:pPr>
    </w:p>
    <w:p>
      <w:pPr>
        <w:spacing w:after="0" w:before="120"/>
        <w:jc w:val="center"/>
      </w:pPr>
      <w:r>
        <w:rPr>
          <w:rFonts w:ascii="Arial" w:cs="Arial" w:eastAsia="Arial" w:hAnsi="Arial"/>
          <w:color w:val="AAAAAA"/>
          <w:sz w:val="18"/>
          <w:szCs w:val="18"/>
        </w:rPr>
        <w:t xml:space="preserve">Fin del informe · X-LAB / Quantum Psychophysiology Lab · 11 junio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AAAAAA"/>
        <w:sz w:val="18"/>
        <w:szCs w:val="18"/>
      </w:rPr>
      <w:t xml:space="preserve">X-LAB · Quantum Scalper Framework · Física Estructural del Mercado · 11 junio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4" w:space="1"/>
      </w:pBdr>
      <w:jc w:val="right"/>
    </w:pPr>
    <w:r>
      <w:rPr>
        <w:rFonts w:ascii="Arial" w:cs="Arial" w:eastAsia="Arial" w:hAnsi="Arial"/>
        <w:color w:val="888888"/>
        <w:sz w:val="18"/>
        <w:szCs w:val="18"/>
      </w:rPr>
      <w:t xml:space="preserve">QUANTUM PSYCHOPHYSIOLOGY LAB · QPS V1 + QPLAB V2.2 · Diagnóstico y análisis · 11 junio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color w:val="1A3A6B"/>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D5FA0"/>
      <w:sz w:val="26"/>
      <w:szCs w:val="26"/>
    </w:rPr>
  </w:style>
  <w:style w:type="paragraph" w:styleId="Heading3">
    <w:name w:val="Heading 3"/>
    <w:basedOn w:val="Normal"/>
    <w:next w:val="Normal"/>
    <w:qFormat/>
    <w:pPr>
      <w:spacing w:after="80" w:before="1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2026-06-11T19:58:07.398Z</dcterms:created>
  <dcterms:modified xsi:type="dcterms:W3CDTF">2026-06-11T19:58:07.410Z</dcterms:modified>
</cp:coreProperties>
</file>

<file path=docProps/custom.xml><?xml version="1.0" encoding="utf-8"?>
<Properties xmlns="http://schemas.openxmlformats.org/officeDocument/2006/custom-properties" xmlns:vt="http://schemas.openxmlformats.org/officeDocument/2006/docPropsVTypes"/>
</file>