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0F172A"/>
          <w:sz w:val="72"/>
          <w:szCs w:val="72"/>
        </w:rPr>
        <w:t xml:space="preserve">QPLAB</w:t>
      </w:r>
    </w:p>
    <w:p>
      <w:pPr>
        <w:spacing w:after="80" w:before="0"/>
        <w:jc w:val="center"/>
      </w:pPr>
      <w:r>
        <w:rPr>
          <w:rFonts w:ascii="Arial" w:cs="Arial" w:eastAsia="Arial" w:hAnsi="Arial"/>
          <w:i/>
          <w:iCs/>
          <w:color w:val="475569"/>
          <w:sz w:val="28"/>
          <w:szCs w:val="28"/>
        </w:rPr>
        <w:t xml:space="preserve">Nota Epistemológica</w:t>
      </w:r>
    </w:p>
    <w:p>
      <w:pPr>
        <w:pBdr>
          <w:bottom w:val="single" w:color="7C3AED" w:sz="6" w:space="8"/>
        </w:pBdr>
        <w:spacing w:after="40" w:before="0"/>
        <w:jc w:val="center"/>
      </w:pPr>
      <w:r>
        <w:rPr>
          <w:rFonts w:ascii="Arial" w:cs="Arial" w:eastAsia="Arial" w:hAnsi="Arial"/>
          <w:b/>
          <w:bCs/>
          <w:color w:val="7C3AED"/>
          <w:sz w:val="26"/>
          <w:szCs w:val="26"/>
        </w:rPr>
        <w:t xml:space="preserve">Separación formal entre lenguaje y observable</w:t>
      </w:r>
    </w:p>
    <w:p>
      <w:pPr>
        <w:spacing w:after="500" w:before="500"/>
      </w:pPr>
      <w:r>
        <w:t xml:space="preserve"/>
      </w:r>
    </w:p>
    <w:p>
      <w:pPr>
        <w:spacing w:after="40" w:before="0"/>
        <w:jc w:val="center"/>
      </w:pPr>
      <w:r>
        <w:rPr>
          <w:rFonts w:ascii="Arial" w:cs="Arial" w:eastAsia="Arial" w:hAnsi="Arial"/>
          <w:i/>
          <w:iCs/>
          <w:color w:val="0F172A"/>
          <w:sz w:val="24"/>
          <w:szCs w:val="24"/>
        </w:rPr>
        <w:t xml:space="preserve">Cuando una metáfora deja de ser metáfora</w:t>
      </w:r>
    </w:p>
    <w:p>
      <w:pPr>
        <w:spacing w:after="1000" w:before="0"/>
        <w:jc w:val="center"/>
      </w:pPr>
      <w:r>
        <w:rPr>
          <w:rFonts w:ascii="Arial" w:cs="Arial" w:eastAsia="Arial" w:hAnsi="Arial"/>
          <w:i/>
          <w:iCs/>
          <w:color w:val="0F172A"/>
          <w:sz w:val="24"/>
          <w:szCs w:val="24"/>
        </w:rPr>
        <w:t xml:space="preserve">porque el observable empieza a sostenerse solo</w:t>
      </w:r>
    </w:p>
    <w:p>
      <w:pPr>
        <w:spacing w:after="40" w:before="0"/>
        <w:jc w:val="center"/>
      </w:pPr>
      <w:r>
        <w:rPr>
          <w:rFonts w:ascii="Arial" w:cs="Arial" w:eastAsia="Arial" w:hAnsi="Arial"/>
          <w:color w:val="475569"/>
          <w:sz w:val="22"/>
          <w:szCs w:val="22"/>
        </w:rPr>
        <w:t xml:space="preserve">11 de junio de 2026</w:t>
      </w:r>
    </w:p>
    <w:p>
      <w:r>
        <w:br w:type="page"/>
      </w:r>
    </w:p>
    <w:p>
      <w:pPr>
        <w:pStyle w:val="Heading1"/>
        <w:pBdr>
          <w:bottom w:val="single" w:color="1D4ED8" w:sz="6" w:space="4"/>
        </w:pBdr>
        <w:spacing w:after="120" w:before="400"/>
      </w:pPr>
      <w:r>
        <w:rPr>
          <w:rFonts w:ascii="Arial" w:cs="Arial" w:eastAsia="Arial" w:hAnsi="Arial"/>
          <w:b/>
          <w:bCs/>
          <w:color w:val="0F172A"/>
          <w:sz w:val="30"/>
          <w:szCs w:val="30"/>
        </w:rPr>
        <w:t xml:space="preserve">I. La separación epistemológica</w:t>
      </w:r>
    </w:p>
    <w:p>
      <w:pPr>
        <w:spacing w:after="60" w:before="60" w:line="280" w:lineRule="auto"/>
      </w:pPr>
      <w:r>
        <w:rPr>
          <w:rFonts w:ascii="Arial" w:cs="Arial" w:eastAsia="Arial" w:hAnsi="Arial"/>
          <w:color w:val="111827"/>
          <w:sz w:val="22"/>
          <w:szCs w:val="22"/>
        </w:rPr>
        <w:t xml:space="preserve">El proyecto QPLAB comenzó con un lenguaje: psicodinámica, tejido, célula, organismo, energía emocional colectiva. Ese lenguaje fue productivo: permitió generar hipótesis, estructurar el marco y construir el motor.</w:t>
      </w:r>
    </w:p>
    <w:p>
      <w:pPr>
        <w:spacing w:after="60" w:before="60"/>
      </w:pPr>
      <w:r>
        <w:t xml:space="preserve"/>
      </w:r>
    </w:p>
    <w:p>
      <w:pPr>
        <w:spacing w:after="60" w:before="60" w:line="280" w:lineRule="auto"/>
      </w:pPr>
      <w:r>
        <w:rPr>
          <w:rFonts w:ascii="Arial" w:cs="Arial" w:eastAsia="Arial" w:hAnsi="Arial"/>
          <w:color w:val="111827"/>
          <w:sz w:val="22"/>
          <w:szCs w:val="22"/>
        </w:rPr>
        <w:t xml:space="preserve">El hallazgo experimental de V2.2 reveló algo más importante: el observable que el motor produce no depende de ese lenguaje para ser válido.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
              <w:left w:val="single" w:color="7C3AED" w:sz="1"/>
              <w:bottom w:val="single" w:color="7C3AED" w:sz="1"/>
              <w:right w:val="single" w:color="7C3AED" w:sz="1"/>
            </w:tcBorders>
            <w:shd w:fill="F5F3FF" w:val="clear"/>
            <w:tcMar>
              <w:top w:type="dxa" w:w="120"/>
              <w:left w:type="dxa" w:w="200"/>
              <w:bottom w:type="dxa" w:w="120"/>
              <w:right w:type="dxa" w:w="200"/>
            </w:tcMar>
          </w:tcPr>
          <w:p>
            <w:pPr>
              <w:spacing w:after="40" w:before="0"/>
            </w:pPr>
            <w:r>
              <w:rPr>
                <w:rFonts w:ascii="Arial" w:cs="Arial" w:eastAsia="Arial" w:hAnsi="Arial"/>
                <w:b/>
                <w:bCs/>
                <w:color w:val="7C3AED"/>
                <w:sz w:val="18"/>
                <w:szCs w:val="18"/>
              </w:rPr>
              <w:t xml:space="preserve">Separación central</w:t>
            </w:r>
          </w:p>
          <w:p>
            <w:pPr>
              <w:spacing w:after="0" w:before="0"/>
            </w:pPr>
            <w:r>
              <w:rPr>
                <w:rFonts w:ascii="Arial" w:cs="Arial" w:eastAsia="Arial" w:hAnsi="Arial"/>
                <w:i/>
                <w:iCs/>
                <w:color w:val="1F2937"/>
                <w:sz w:val="20"/>
                <w:szCs w:val="20"/>
              </w:rPr>
              <w:t xml:space="preserve">El lenguaje interpretó el fenómeno. El observable lo mide. Son dos capas distintas. El hallazgo pertenece al observable, no a la metáfora.</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6FE" w:sz="1"/>
              <w:left w:val="single" w:color="DDD6FE" w:sz="1"/>
              <w:bottom w:val="single" w:color="DDD6FE" w:sz="1"/>
              <w:right w:val="single" w:color="DDD6FE" w:sz="1"/>
            </w:tcBorders>
            <w:shd w:fill="F5F3FF" w:val="clear"/>
            <w:tcMar>
              <w:top w:type="dxa" w:w="80"/>
              <w:left w:type="dxa" w:w="140"/>
              <w:bottom w:type="dxa" w:w="80"/>
              <w:right w:type="dxa" w:w="140"/>
            </w:tcMar>
          </w:tcPr>
          <w:p>
            <w:r>
              <w:rPr>
                <w:rFonts w:ascii="Arial" w:cs="Arial" w:eastAsia="Arial" w:hAnsi="Arial"/>
                <w:b/>
                <w:bCs/>
                <w:color w:val="0F172A"/>
                <w:sz w:val="20"/>
                <w:szCs w:val="20"/>
              </w:rPr>
              <w:t xml:space="preserve">Lenguaje (metáfora generativa)</w:t>
            </w:r>
          </w:p>
        </w:tc>
        <w:tc>
          <w:tcPr>
            <w:tcW w:type="dxa" w:w="46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r>
              <w:rPr>
                <w:rFonts w:ascii="Arial" w:cs="Arial" w:eastAsia="Arial" w:hAnsi="Arial"/>
                <w:b/>
                <w:bCs/>
                <w:color w:val="0F172A"/>
                <w:sz w:val="20"/>
                <w:szCs w:val="20"/>
              </w:rPr>
              <w:t xml:space="preserve">Observable (motor de medición)</w:t>
            </w:r>
          </w:p>
        </w:tc>
      </w:tr>
      <w:tr>
        <w:tc>
          <w:tcPr>
            <w:tcW w:type="dxa" w:w="4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Energía psicodinámica</w:t>
            </w:r>
          </w:p>
        </w:tc>
        <w:tc>
          <w:tcPr>
            <w:tcW w:type="dxa" w:w="46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A_t = V_W / (|ΔP_W| + ε)</w:t>
            </w:r>
          </w:p>
        </w:tc>
      </w:tr>
      <w:tr>
        <w:tc>
          <w:tcPr>
            <w:tcW w:type="dxa" w:w="4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Viscosidad del organismo</w:t>
            </w:r>
          </w:p>
        </w:tc>
        <w:tc>
          <w:tcPr>
            <w:tcW w:type="dxa" w:w="46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 = persistence_max(A) / persistence_max(B)</w:t>
            </w:r>
          </w:p>
        </w:tc>
      </w:tr>
      <w:tr>
        <w:tc>
          <w:tcPr>
            <w:tcW w:type="dxa" w:w="4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Tejido estructural</w:t>
            </w:r>
          </w:p>
        </w:tc>
        <w:tc>
          <w:tcPr>
            <w:tcW w:type="dxa" w:w="46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distribución de persistence en el tiempo</w:t>
            </w:r>
          </w:p>
        </w:tc>
      </w:tr>
      <w:tr>
        <w:tc>
          <w:tcPr>
            <w:tcW w:type="dxa" w:w="4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Membrana crítica Ω</w:t>
            </w:r>
          </w:p>
        </w:tc>
        <w:tc>
          <w:tcPr>
            <w:tcW w:type="dxa" w:w="46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susceptibilidad sistémica integrada</w:t>
            </w:r>
          </w:p>
        </w:tc>
      </w:tr>
      <w:tr>
        <w:tc>
          <w:tcPr>
            <w:tcW w:type="dxa" w:w="4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Fatiga fisiológica</w:t>
            </w:r>
          </w:p>
        </w:tc>
        <w:tc>
          <w:tcPr>
            <w:tcW w:type="dxa" w:w="46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decaimiento exponencial saturado</w:t>
            </w:r>
          </w:p>
        </w:tc>
      </w:tr>
      <w:tr>
        <w:tc>
          <w:tcPr>
            <w:tcW w:type="dxa" w:w="4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Histéresis psicodinámica</w:t>
            </w:r>
          </w:p>
        </w:tc>
        <w:tc>
          <w:tcPr>
            <w:tcW w:type="dxa" w:w="46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conservación diferencial de estado bajo estímulo equivalente</w:t>
            </w:r>
          </w:p>
        </w:tc>
      </w:tr>
    </w:tbl>
    <w:p>
      <w:pPr>
        <w:spacing w:after="100" w:before="100"/>
      </w:pPr>
      <w:r>
        <w:t xml:space="preserve"/>
      </w:r>
    </w:p>
    <w:p>
      <w:pPr>
        <w:spacing w:after="60" w:before="60" w:line="280" w:lineRule="auto"/>
      </w:pPr>
      <w:r>
        <w:rPr>
          <w:rFonts w:ascii="Arial" w:cs="Arial" w:eastAsia="Arial" w:hAnsi="Arial"/>
          <w:color w:val="111827"/>
          <w:sz w:val="22"/>
          <w:szCs w:val="22"/>
        </w:rPr>
        <w:t xml:space="preserve">El lenguaje necesita la metáfora para ser comunicable. El observable no. A_t es una razón entre flujo y desplazamiento. Puede aplicarse a cualquier sistema donde existan esas dos cantidades medibles. No sabe que está midiendo un mercado financiero.</w:t>
      </w:r>
    </w:p>
    <w:p>
      <w:pPr>
        <w:pStyle w:val="Heading1"/>
        <w:pBdr>
          <w:bottom w:val="single" w:color="1D4ED8" w:sz="6" w:space="4"/>
        </w:pBdr>
        <w:spacing w:after="120" w:before="400"/>
      </w:pPr>
      <w:r>
        <w:rPr>
          <w:rFonts w:ascii="Arial" w:cs="Arial" w:eastAsia="Arial" w:hAnsi="Arial"/>
          <w:b/>
          <w:bCs/>
          <w:color w:val="0F172A"/>
          <w:sz w:val="30"/>
          <w:szCs w:val="30"/>
        </w:rPr>
        <w:t xml:space="preserve">II. Por qué “psico” fue la metáfora correcta</w:t>
      </w:r>
    </w:p>
    <w:p>
      <w:pPr>
        <w:spacing w:after="60" w:before="60" w:line="280" w:lineRule="auto"/>
      </w:pPr>
      <w:r>
        <w:rPr>
          <w:rFonts w:ascii="Arial" w:cs="Arial" w:eastAsia="Arial" w:hAnsi="Arial"/>
          <w:color w:val="111827"/>
          <w:sz w:val="22"/>
          <w:szCs w:val="22"/>
        </w:rPr>
        <w:t xml:space="preserve">Las metáforas generativas en ciencia no son errores que deben corregirse. Son andamiajes que permiten construir before de que existan las herramientas formales. Ejemplos históricos: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Metáfora inicial</w:t>
            </w:r>
          </w:p>
        </w:tc>
        <w:tc>
          <w:tcPr>
            <w:tcW w:type="dxa" w:w="31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Campo científico</w:t>
            </w:r>
          </w:p>
        </w:tc>
        <w:tc>
          <w:tcPr>
            <w:tcW w:type="dxa" w:w="31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Observable que sobrevivió</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374151"/>
                <w:sz w:val="20"/>
                <w:szCs w:val="20"/>
              </w:rPr>
              <w:t xml:space="preserve">“Campo” magnético</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Física clásica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1D4ED8"/>
                <w:sz w:val="20"/>
                <w:szCs w:val="20"/>
              </w:rPr>
              <w:t xml:space="preserve">Ecuaciones de Maxwell</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374151"/>
                <w:sz w:val="20"/>
                <w:szCs w:val="20"/>
              </w:rPr>
              <w:t xml:space="preserve">“Corriente” eléctrica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Electromagnetismo</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1D4ED8"/>
                <w:sz w:val="20"/>
                <w:szCs w:val="20"/>
              </w:rPr>
              <w:t xml:space="preserve">Diferencial de potencial</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374151"/>
                <w:sz w:val="20"/>
                <w:szCs w:val="20"/>
              </w:rPr>
              <w:t xml:space="preserve">“Memoria” inmunológica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Inmunología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1D4ED8"/>
                <w:sz w:val="20"/>
                <w:szCs w:val="20"/>
              </w:rPr>
              <w:t xml:space="preserve">Clones de linfocitos B/T</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374151"/>
                <w:sz w:val="20"/>
                <w:szCs w:val="20"/>
              </w:rPr>
              <w:t xml:space="preserve">“Atracción” gravitacional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Mecánica clásica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1D4ED8"/>
                <w:sz w:val="20"/>
                <w:szCs w:val="20"/>
              </w:rPr>
              <w:t xml:space="preserve">Curvatura del espacio-tiempo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374151"/>
                <w:sz w:val="20"/>
                <w:szCs w:val="20"/>
              </w:rPr>
              <w:t xml:space="preserve">“Energia psicodinámica”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QPLAB</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1D4ED8"/>
                <w:sz w:val="20"/>
                <w:szCs w:val="20"/>
              </w:rPr>
              <w:t xml:space="preserve">Desacople flujo/desplazamiento</w:t>
            </w:r>
          </w:p>
        </w:tc>
      </w:tr>
    </w:tbl>
    <w:p>
      <w:pPr>
        <w:spacing w:after="100" w:before="100"/>
      </w:pPr>
      <w:r>
        <w:t xml:space="preserve"/>
      </w:r>
    </w:p>
    <w:p>
      <w:pPr>
        <w:spacing w:after="60" w:before="60" w:line="280" w:lineRule="auto"/>
      </w:pPr>
      <w:r>
        <w:rPr>
          <w:rFonts w:ascii="Arial" w:cs="Arial" w:eastAsia="Arial" w:hAnsi="Arial"/>
          <w:color w:val="111827"/>
          <w:sz w:val="22"/>
          <w:szCs w:val="22"/>
        </w:rPr>
        <w:t xml:space="preserve">“Psico” fue correcto como andamiaje porque capturó algo real: los mercados tienen agentes con memoria, con estados internos que no se resetean instantáneamente, con respuestas que dependen del camino histórico. Esas propiedades son reales. La metáfora las nombró antes de que el observable las midiera.</w:t>
      </w:r>
    </w:p>
    <w:p>
      <w:pPr>
        <w:pStyle w:val="Heading1"/>
        <w:pBdr>
          <w:bottom w:val="single" w:color="1D4ED8" w:sz="6" w:space="4"/>
        </w:pBdr>
        <w:spacing w:after="120" w:before="400"/>
      </w:pPr>
      <w:r>
        <w:rPr>
          <w:rFonts w:ascii="Arial" w:cs="Arial" w:eastAsia="Arial" w:hAnsi="Arial"/>
          <w:b/>
          <w:bCs/>
          <w:color w:val="0F172A"/>
          <w:sz w:val="30"/>
          <w:szCs w:val="30"/>
        </w:rPr>
        <w:t xml:space="preserve">III. Lo que el observable realmente mide</w:t>
      </w:r>
    </w:p>
    <w:p>
      <w:pPr>
        <w:pStyle w:val="Heading2"/>
        <w:spacing w:after="100" w:before="280"/>
      </w:pPr>
      <w:r>
        <w:rPr>
          <w:rFonts w:ascii="Arial" w:cs="Arial" w:eastAsia="Arial" w:hAnsi="Arial"/>
          <w:b/>
          <w:bCs/>
          <w:color w:val="1D4ED8"/>
          <w:sz w:val="24"/>
          <w:szCs w:val="24"/>
        </w:rPr>
        <w:t xml:space="preserve">La fórmula sin narrativa</w:t>
      </w:r>
    </w:p>
    <w:p>
      <w:pPr>
        <w:spacing w:after="60" w:before="60" w:line="280" w:lineRule="auto"/>
      </w:pPr>
      <w:r>
        <w:rPr>
          <w:rFonts w:ascii="Arial" w:cs="Arial" w:eastAsia="Arial" w:hAnsi="Arial"/>
          <w:color w:val="111827"/>
          <w:sz w:val="22"/>
          <w:szCs w:val="22"/>
        </w:rPr>
        <w:t xml:space="preserve">Despojada de lenguaje interpretativo, la fórmula central del motor mide:</w:t>
      </w:r>
    </w:p>
    <w:p>
      <w:pPr>
        <w:spacing w:after="60" w:before="60"/>
      </w:pPr>
      <w:r>
        <w:t xml:space="preserve"/>
      </w:r>
    </w:p>
    <w:p>
      <w:pPr>
        <w:shd w:fill="F1F5F9" w:val="clear"/>
        <w:spacing w:after="40" w:before="40" w:line="280" w:lineRule="auto"/>
        <w:ind w:left="720"/>
      </w:pPr>
      <w:r>
        <w:rPr>
          <w:rFonts w:ascii="Courier New" w:cs="Courier New" w:eastAsia="Courier New" w:hAnsi="Courier New"/>
          <w:color w:val="0F172A"/>
          <w:sz w:val="20"/>
          <w:szCs w:val="20"/>
        </w:rPr>
        <w:t xml:space="preserve">A_t = V_W / (|ΔP_W| + ε)</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Variable</w:t>
            </w:r>
          </w:p>
        </w:tc>
        <w:tc>
          <w:tcPr>
            <w:tcW w:type="dxa" w:w="2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Descripción física</w:t>
            </w:r>
          </w:p>
        </w:tc>
        <w:tc>
          <w:tcPr>
            <w:tcW w:type="dxa" w:w="4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Significado estructural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7C3AED"/>
                <w:sz w:val="20"/>
                <w:szCs w:val="20"/>
              </w:rPr>
              <w:t xml:space="preserve">V_W</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Flujo acumulado</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475569"/>
                <w:sz w:val="20"/>
                <w:szCs w:val="20"/>
              </w:rPr>
              <w:t xml:space="preserve">Actividad total del sistema en la ventana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7C3AED"/>
                <w:sz w:val="20"/>
                <w:szCs w:val="20"/>
              </w:rPr>
              <w:t xml:space="preserve">|ΔP_W|</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Desplazamiento neto</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475569"/>
                <w:sz w:val="20"/>
                <w:szCs w:val="20"/>
              </w:rPr>
              <w:t xml:space="preserve">Cambio de estado observable en la ventana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7C3AED"/>
                <w:sz w:val="20"/>
                <w:szCs w:val="20"/>
              </w:rPr>
              <w:t xml:space="preserve">A_t</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Razón flujo/desplazamiento</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475569"/>
                <w:sz w:val="20"/>
                <w:szCs w:val="20"/>
              </w:rPr>
              <w:t xml:space="preserve">Presión interna relativa al movimiento generado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7C3AED"/>
                <w:sz w:val="20"/>
                <w:szCs w:val="20"/>
              </w:rPr>
              <w:t xml:space="preserve">A_t alto</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Alto flujo, bajo desplaz.</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475569"/>
                <w:sz w:val="20"/>
                <w:szCs w:val="20"/>
              </w:rPr>
              <w:t xml:space="preserve">El sistema absorbe energía sin cambiar de estado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7C3AED"/>
                <w:sz w:val="20"/>
                <w:szCs w:val="20"/>
              </w:rPr>
              <w:t xml:space="preserve">A_t bajo</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Bajo flujo, alto desplaz.</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475569"/>
                <w:sz w:val="20"/>
                <w:szCs w:val="20"/>
              </w:rPr>
              <w:t xml:space="preserve">El sistema descarga: cambio de estado con poco flujo</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6EFAC" w:sz="1"/>
              <w:left w:val="single" w:color="86EFAC" w:sz="1"/>
              <w:bottom w:val="single" w:color="86EFAC" w:sz="1"/>
              <w:right w:val="single" w:color="86EFAC" w:sz="1"/>
            </w:tcBorders>
            <w:shd w:fill="F0FDF4" w:val="clear"/>
            <w:tcMar>
              <w:top w:type="dxa" w:w="120"/>
              <w:left w:type="dxa" w:w="200"/>
              <w:bottom w:type="dxa" w:w="120"/>
              <w:right w:type="dxa" w:w="200"/>
            </w:tcMar>
          </w:tcPr>
          <w:p>
            <w:pPr>
              <w:spacing w:after="40" w:before="0"/>
            </w:pPr>
            <w:r>
              <w:rPr>
                <w:rFonts w:ascii="Arial" w:cs="Arial" w:eastAsia="Arial" w:hAnsi="Arial"/>
                <w:b/>
                <w:bCs/>
                <w:color w:val="86EFAC"/>
                <w:sz w:val="18"/>
                <w:szCs w:val="18"/>
              </w:rPr>
              <w:t xml:space="preserve">El observable es agnóstico</w:t>
            </w:r>
          </w:p>
          <w:p>
            <w:pPr>
              <w:spacing w:after="0" w:before="0"/>
            </w:pPr>
            <w:r>
              <w:rPr>
                <w:rFonts w:ascii="Arial" w:cs="Arial" w:eastAsia="Arial" w:hAnsi="Arial"/>
                <w:i/>
                <w:iCs/>
                <w:color w:val="1F2937"/>
                <w:sz w:val="20"/>
                <w:szCs w:val="20"/>
              </w:rPr>
              <w:t xml:space="preserve">A_t no sabe si mide un mercado, tráfico vehicular, actividad neuronal o flujo de información. La fórmula mide desacople entre flujo y desplazamiento en cualquier sistema donde ambas cantidades existan.</w:t>
            </w:r>
          </w:p>
        </w:tc>
      </w:tr>
    </w:tbl>
    <w:p>
      <w:pPr>
        <w:pStyle w:val="Heading1"/>
        <w:pBdr>
          <w:bottom w:val="single" w:color="1D4ED8" w:sz="6" w:space="4"/>
        </w:pBdr>
        <w:spacing w:after="120" w:before="400"/>
      </w:pPr>
      <w:r>
        <w:rPr>
          <w:rFonts w:ascii="Arial" w:cs="Arial" w:eastAsia="Arial" w:hAnsi="Arial"/>
          <w:b/>
          <w:bCs/>
          <w:color w:val="0F172A"/>
          <w:sz w:val="30"/>
          <w:szCs w:val="30"/>
        </w:rPr>
        <w:t xml:space="preserve">IV. Conservación estructural como propiedad general</w:t>
      </w:r>
    </w:p>
    <w:p>
      <w:pPr>
        <w:spacing w:after="60" w:before="60" w:line="280" w:lineRule="auto"/>
      </w:pPr>
      <w:r>
        <w:rPr>
          <w:rFonts w:ascii="Arial" w:cs="Arial" w:eastAsia="Arial" w:hAnsi="Arial"/>
          <w:color w:val="111827"/>
          <w:sz w:val="22"/>
          <w:szCs w:val="22"/>
        </w:rPr>
        <w:t xml:space="preserve">Lo que el motor mide es conservación estructural: la tendencia de un sistema dinámico a retener estado interno después de recibir presión externa. Esa propiedad aparece en múltiples dominios: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0F172A"/>
                <w:sz w:val="20"/>
                <w:szCs w:val="20"/>
              </w:rPr>
              <w:t xml:space="preserve">Sistema</w:t>
            </w:r>
          </w:p>
        </w:tc>
        <w:tc>
          <w:tcPr>
            <w:tcW w:type="dxa" w:w="33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0F172A"/>
                <w:sz w:val="20"/>
                <w:szCs w:val="20"/>
              </w:rPr>
              <w:t xml:space="preserve">Análogo de A_t</w:t>
            </w:r>
          </w:p>
        </w:tc>
        <w:tc>
          <w:tcPr>
            <w:tcW w:type="dxa" w:w="3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0F172A"/>
                <w:sz w:val="20"/>
                <w:szCs w:val="20"/>
              </w:rPr>
              <w:t xml:space="preserve">Histéresis observable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Mercado financiero</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1D4ED8"/>
                <w:sz w:val="20"/>
                <w:szCs w:val="20"/>
              </w:rPr>
              <w:t xml:space="preserve">Volumen / desplazamiento de precio</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475569"/>
                <w:sz w:val="20"/>
                <w:szCs w:val="20"/>
              </w:rPr>
              <w:t xml:space="preserve">BTC vs XAU: H ≈ 1.94</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Tráfico vehicular</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1D4ED8"/>
                <w:sz w:val="20"/>
                <w:szCs w:val="20"/>
              </w:rPr>
              <w:t xml:space="preserve">Densidad / velocidad media</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475569"/>
                <w:sz w:val="20"/>
                <w:szCs w:val="20"/>
              </w:rPr>
              <w:t xml:space="preserve">Retención de congestión post-evento</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Red neuronal</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1D4ED8"/>
                <w:sz w:val="20"/>
                <w:szCs w:val="20"/>
              </w:rPr>
              <w:t xml:space="preserve">Actividad sináptica / potencial de membrana</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475569"/>
                <w:sz w:val="20"/>
                <w:szCs w:val="20"/>
              </w:rPr>
              <w:t xml:space="preserve">Plasticidad hebbiana</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Epidemiología</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1D4ED8"/>
                <w:sz w:val="20"/>
                <w:szCs w:val="20"/>
              </w:rPr>
              <w:t xml:space="preserve">Contagios / cambio en R0</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475569"/>
                <w:sz w:val="20"/>
                <w:szCs w:val="20"/>
              </w:rPr>
              <w:t xml:space="preserve">Memoria inmunológica poblacional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Red social</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1D4ED8"/>
                <w:sz w:val="20"/>
                <w:szCs w:val="20"/>
              </w:rPr>
              <w:t xml:space="preserve">Actividad / propagación de información</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475569"/>
                <w:sz w:val="20"/>
                <w:szCs w:val="20"/>
              </w:rPr>
              <w:t xml:space="preserve">Saturación antes de cascadas virales</w:t>
            </w:r>
          </w:p>
        </w:tc>
      </w:tr>
    </w:tbl>
    <w:p>
      <w:pPr>
        <w:spacing w:after="100" w:before="100"/>
      </w:pPr>
      <w:r>
        <w:t xml:space="preserve"/>
      </w:r>
    </w:p>
    <w:p>
      <w:pPr>
        <w:spacing w:after="60" w:before="60" w:line="280" w:lineRule="auto"/>
      </w:pPr>
      <w:r>
        <w:rPr>
          <w:rFonts w:ascii="Arial" w:cs="Arial" w:eastAsia="Arial" w:hAnsi="Arial"/>
          <w:color w:val="111827"/>
          <w:sz w:val="22"/>
          <w:szCs w:val="22"/>
        </w:rPr>
        <w:t xml:space="preserve">La tabla anterior es una hipótesis de trabajo, no un hallazgo. La única celda con dato experimental real es la primera. Las demás representan dominios donde el observable podría aplicarse si se dispone de datos análogos. La generalización correcta es experimental, no conceptual.</w:t>
      </w:r>
    </w:p>
    <w:p>
      <w:pPr>
        <w:pStyle w:val="Heading1"/>
        <w:pBdr>
          <w:bottom w:val="single" w:color="1D4ED8" w:sz="6" w:space="4"/>
        </w:pBdr>
        <w:spacing w:after="120" w:before="400"/>
      </w:pPr>
      <w:r>
        <w:rPr>
          <w:rFonts w:ascii="Arial" w:cs="Arial" w:eastAsia="Arial" w:hAnsi="Arial"/>
          <w:b/>
          <w:bCs/>
          <w:color w:val="0F172A"/>
          <w:sz w:val="30"/>
          <w:szCs w:val="30"/>
        </w:rPr>
        <w:t xml:space="preserve">V. El lenguaje que emergió sin ser buscado</w:t>
      </w:r>
    </w:p>
    <w:p>
      <w:pPr>
        <w:spacing w:after="60" w:before="60" w:line="280" w:lineRule="auto"/>
      </w:pPr>
      <w:r>
        <w:rPr>
          <w:rFonts w:ascii="Arial" w:cs="Arial" w:eastAsia="Arial" w:hAnsi="Arial"/>
          <w:color w:val="111827"/>
          <w:sz w:val="22"/>
          <w:szCs w:val="22"/>
        </w:rPr>
        <w:t xml:space="preserve">A lo largo del desarrollo del proyecto, sin búsqueda explícita, apareció vocabulario que pertenece a física de sistemas complejos más que a psicología financiera: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CD34D" w:sz="1"/>
              <w:left w:val="single" w:color="FCD34D" w:sz="1"/>
              <w:bottom w:val="single" w:color="FCD34D" w:sz="1"/>
              <w:right w:val="single" w:color="FCD34D" w:sz="1"/>
            </w:tcBorders>
            <w:shd w:fill="FFFBEB" w:val="clear"/>
            <w:tcMar>
              <w:top w:type="dxa" w:w="80"/>
              <w:left w:type="dxa" w:w="140"/>
              <w:bottom w:type="dxa" w:w="80"/>
              <w:right w:type="dxa" w:w="140"/>
            </w:tcMar>
          </w:tcPr>
          <w:p>
            <w:r>
              <w:rPr>
                <w:rFonts w:ascii="Arial" w:cs="Arial" w:eastAsia="Arial" w:hAnsi="Arial"/>
                <w:b/>
                <w:bCs/>
                <w:color w:val="0F172A"/>
                <w:sz w:val="20"/>
                <w:szCs w:val="20"/>
              </w:rPr>
              <w:t xml:space="preserve">Lenguaje psicológico original</w:t>
            </w:r>
          </w:p>
        </w:tc>
        <w:tc>
          <w:tcPr>
            <w:tcW w:type="dxa" w:w="4680"/>
            <w:tcBorders>
              <w:top w:val="single" w:color="86EFAC" w:sz="1"/>
              <w:left w:val="single" w:color="86EFAC" w:sz="1"/>
              <w:bottom w:val="single" w:color="86EFAC" w:sz="1"/>
              <w:right w:val="single" w:color="86EFAC" w:sz="1"/>
            </w:tcBorders>
            <w:shd w:fill="F0FDF4" w:val="clear"/>
            <w:tcMar>
              <w:top w:type="dxa" w:w="80"/>
              <w:left w:type="dxa" w:w="140"/>
              <w:bottom w:type="dxa" w:w="80"/>
              <w:right w:type="dxa" w:w="140"/>
            </w:tcMar>
          </w:tcPr>
          <w:p>
            <w:r>
              <w:rPr>
                <w:rFonts w:ascii="Arial" w:cs="Arial" w:eastAsia="Arial" w:hAnsi="Arial"/>
                <w:b/>
                <w:bCs/>
                <w:color w:val="0F172A"/>
                <w:sz w:val="20"/>
                <w:szCs w:val="20"/>
              </w:rPr>
              <w:t xml:space="preserve">Lenguaje estructural emergente</w:t>
            </w:r>
          </w:p>
        </w:tc>
      </w:tr>
      <w:tr>
        <w:tc>
          <w:tcPr>
            <w:tcW w:type="dxa" w:w="4680"/>
            <w:tcBorders>
              <w:top w:val="single" w:color="FCD34D" w:sz="1"/>
              <w:left w:val="single" w:color="FCD34D" w:sz="1"/>
              <w:bottom w:val="single" w:color="FCD34D" w:sz="1"/>
              <w:right w:val="single" w:color="FCD34D"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Energía emocional colectiva</w:t>
            </w:r>
          </w:p>
        </w:tc>
        <w:tc>
          <w:tcPr>
            <w:tcW w:type="dxa" w:w="4680"/>
            <w:tcBorders>
              <w:top w:val="single" w:color="86EFAC" w:sz="1"/>
              <w:left w:val="single" w:color="86EFAC" w:sz="1"/>
              <w:bottom w:val="single" w:color="86EFAC" w:sz="1"/>
              <w:right w:val="single" w:color="86EFA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Flujo relativo a desplazamiento</w:t>
            </w:r>
          </w:p>
        </w:tc>
      </w:tr>
      <w:tr>
        <w:tc>
          <w:tcPr>
            <w:tcW w:type="dxa" w:w="4680"/>
            <w:tcBorders>
              <w:top w:val="single" w:color="FCD34D" w:sz="1"/>
              <w:left w:val="single" w:color="FCD34D" w:sz="1"/>
              <w:bottom w:val="single" w:color="FCD34D" w:sz="1"/>
              <w:right w:val="single" w:color="FCD34D"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Memoria del tejido</w:t>
            </w:r>
          </w:p>
        </w:tc>
        <w:tc>
          <w:tcPr>
            <w:tcW w:type="dxa" w:w="4680"/>
            <w:tcBorders>
              <w:top w:val="single" w:color="86EFAC" w:sz="1"/>
              <w:left w:val="single" w:color="86EFAC" w:sz="1"/>
              <w:bottom w:val="single" w:color="86EFAC" w:sz="1"/>
              <w:right w:val="single" w:color="86EFA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Conservación de estado (persistence)</w:t>
            </w:r>
          </w:p>
        </w:tc>
      </w:tr>
      <w:tr>
        <w:tc>
          <w:tcPr>
            <w:tcW w:type="dxa" w:w="4680"/>
            <w:tcBorders>
              <w:top w:val="single" w:color="FCD34D" w:sz="1"/>
              <w:left w:val="single" w:color="FCD34D" w:sz="1"/>
              <w:bottom w:val="single" w:color="FCD34D" w:sz="1"/>
              <w:right w:val="single" w:color="FCD34D"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Viscosidad psicodinámica</w:t>
            </w:r>
          </w:p>
        </w:tc>
        <w:tc>
          <w:tcPr>
            <w:tcW w:type="dxa" w:w="4680"/>
            <w:tcBorders>
              <w:top w:val="single" w:color="86EFAC" w:sz="1"/>
              <w:left w:val="single" w:color="86EFAC" w:sz="1"/>
              <w:bottom w:val="single" w:color="86EFAC" w:sz="1"/>
              <w:right w:val="single" w:color="86EFA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Histéresis diferencial (H)</w:t>
            </w:r>
          </w:p>
        </w:tc>
      </w:tr>
      <w:tr>
        <w:tc>
          <w:tcPr>
            <w:tcW w:type="dxa" w:w="4680"/>
            <w:tcBorders>
              <w:top w:val="single" w:color="FCD34D" w:sz="1"/>
              <w:left w:val="single" w:color="FCD34D" w:sz="1"/>
              <w:bottom w:val="single" w:color="FCD34D" w:sz="1"/>
              <w:right w:val="single" w:color="FCD34D"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Temperatura fisiológica</w:t>
            </w:r>
          </w:p>
        </w:tc>
        <w:tc>
          <w:tcPr>
            <w:tcW w:type="dxa" w:w="4680"/>
            <w:tcBorders>
              <w:top w:val="single" w:color="86EFAC" w:sz="1"/>
              <w:left w:val="single" w:color="86EFAC" w:sz="1"/>
              <w:bottom w:val="single" w:color="86EFAC" w:sz="1"/>
              <w:right w:val="single" w:color="86EFA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Volatilidad como función de disipación</w:t>
            </w:r>
          </w:p>
        </w:tc>
      </w:tr>
      <w:tr>
        <w:tc>
          <w:tcPr>
            <w:tcW w:type="dxa" w:w="4680"/>
            <w:tcBorders>
              <w:top w:val="single" w:color="FCD34D" w:sz="1"/>
              <w:left w:val="single" w:color="FCD34D" w:sz="1"/>
              <w:bottom w:val="single" w:color="FCD34D" w:sz="1"/>
              <w:right w:val="single" w:color="FCD34D"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Membrana crítica Ω</w:t>
            </w:r>
          </w:p>
        </w:tc>
        <w:tc>
          <w:tcPr>
            <w:tcW w:type="dxa" w:w="4680"/>
            <w:tcBorders>
              <w:top w:val="single" w:color="86EFAC" w:sz="1"/>
              <w:left w:val="single" w:color="86EFAC" w:sz="1"/>
              <w:bottom w:val="single" w:color="86EFAC" w:sz="1"/>
              <w:right w:val="single" w:color="86EFA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Umbral de transición de fase</w:t>
            </w:r>
          </w:p>
        </w:tc>
      </w:tr>
      <w:tr>
        <w:tc>
          <w:tcPr>
            <w:tcW w:type="dxa" w:w="4680"/>
            <w:tcBorders>
              <w:top w:val="single" w:color="FCD34D" w:sz="1"/>
              <w:left w:val="single" w:color="FCD34D" w:sz="1"/>
              <w:bottom w:val="single" w:color="FCD34D" w:sz="1"/>
              <w:right w:val="single" w:color="FCD34D"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Organismo financiero</w:t>
            </w:r>
          </w:p>
        </w:tc>
        <w:tc>
          <w:tcPr>
            <w:tcW w:type="dxa" w:w="4680"/>
            <w:tcBorders>
              <w:top w:val="single" w:color="86EFAC" w:sz="1"/>
              <w:left w:val="single" w:color="86EFAC" w:sz="1"/>
              <w:bottom w:val="single" w:color="86EFAC" w:sz="1"/>
              <w:right w:val="single" w:color="86EFA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Sistema dinámico bajo presión contextual</w:t>
            </w:r>
          </w:p>
        </w:tc>
      </w:tr>
      <w:tr>
        <w:tc>
          <w:tcPr>
            <w:tcW w:type="dxa" w:w="4680"/>
            <w:tcBorders>
              <w:top w:val="single" w:color="FCD34D" w:sz="1"/>
              <w:left w:val="single" w:color="FCD34D" w:sz="1"/>
              <w:bottom w:val="single" w:color="FCD34D" w:sz="1"/>
              <w:right w:val="single" w:color="FCD34D"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Patología estructural</w:t>
            </w:r>
          </w:p>
        </w:tc>
        <w:tc>
          <w:tcPr>
            <w:tcW w:type="dxa" w:w="4680"/>
            <w:tcBorders>
              <w:top w:val="single" w:color="86EFAC" w:sz="1"/>
              <w:left w:val="single" w:color="86EFAC" w:sz="1"/>
              <w:bottom w:val="single" w:color="86EFAC" w:sz="1"/>
              <w:right w:val="single" w:color="86EFA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Estado fuera de cuenca atractora</w:t>
            </w:r>
          </w:p>
        </w:tc>
      </w:tr>
      <w:tr>
        <w:tc>
          <w:tcPr>
            <w:tcW w:type="dxa" w:w="4680"/>
            <w:tcBorders>
              <w:top w:val="single" w:color="FCD34D" w:sz="1"/>
              <w:left w:val="single" w:color="FCD34D" w:sz="1"/>
              <w:bottom w:val="single" w:color="FCD34D" w:sz="1"/>
              <w:right w:val="single" w:color="FCD34D"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Regeneración celular</w:t>
            </w:r>
          </w:p>
        </w:tc>
        <w:tc>
          <w:tcPr>
            <w:tcW w:type="dxa" w:w="4680"/>
            <w:tcBorders>
              <w:top w:val="single" w:color="86EFAC" w:sz="1"/>
              <w:left w:val="single" w:color="86EFAC" w:sz="1"/>
              <w:bottom w:val="single" w:color="86EFAC" w:sz="1"/>
              <w:right w:val="single" w:color="86EFA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Relajación hacia equilibrio tras descarga</w:t>
            </w:r>
          </w:p>
        </w:tc>
      </w:tr>
    </w:tbl>
    <w:p>
      <w:pPr>
        <w:spacing w:after="100" w:before="100"/>
      </w:pPr>
      <w:r>
        <w:t xml:space="preserve"/>
      </w:r>
    </w:p>
    <w:p>
      <w:pPr>
        <w:spacing w:after="60" w:before="60" w:line="280" w:lineRule="auto"/>
      </w:pPr>
      <w:r>
        <w:rPr>
          <w:rFonts w:ascii="Arial" w:cs="Arial" w:eastAsia="Arial" w:hAnsi="Arial"/>
          <w:color w:val="111827"/>
          <w:sz w:val="22"/>
          <w:szCs w:val="22"/>
        </w:rPr>
        <w:t xml:space="preserve">El desplazamiento de lenguaje no fue deliberado. Emergió del proceso de operacionalización. Cada vez que una variable psicológica necesitó convertirse en código ejecutable, el lenguaje se volvió más físico y menos narrativo. Eso es una señal metodológica importante.</w:t>
      </w:r>
    </w:p>
    <w:p>
      <w:pPr>
        <w:pStyle w:val="Heading1"/>
        <w:pBdr>
          <w:bottom w:val="single" w:color="1D4ED8" w:sz="6" w:space="4"/>
        </w:pBdr>
        <w:spacing w:after="120" w:before="400"/>
      </w:pPr>
      <w:r>
        <w:rPr>
          <w:rFonts w:ascii="Arial" w:cs="Arial" w:eastAsia="Arial" w:hAnsi="Arial"/>
          <w:b/>
          <w:bCs/>
          <w:color w:val="0F172A"/>
          <w:sz w:val="30"/>
          <w:szCs w:val="30"/>
        </w:rPr>
        <w:t xml:space="preserve">VI. Advertencia metodológica: la ancla experimental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D34D" w:sz="1"/>
              <w:left w:val="single" w:color="FCD34D" w:sz="1"/>
              <w:bottom w:val="single" w:color="FCD34D" w:sz="1"/>
              <w:right w:val="single" w:color="FCD34D" w:sz="1"/>
            </w:tcBorders>
            <w:shd w:fill="FFFBEB" w:val="clear"/>
            <w:tcMar>
              <w:top w:type="dxa" w:w="120"/>
              <w:left w:type="dxa" w:w="200"/>
              <w:bottom w:type="dxa" w:w="120"/>
              <w:right w:type="dxa" w:w="200"/>
            </w:tcMar>
          </w:tcPr>
          <w:p>
            <w:pPr>
              <w:spacing w:after="40" w:before="0"/>
            </w:pPr>
            <w:r>
              <w:rPr>
                <w:rFonts w:ascii="Arial" w:cs="Arial" w:eastAsia="Arial" w:hAnsi="Arial"/>
                <w:b/>
                <w:bCs/>
                <w:color w:val="FCD34D"/>
                <w:sz w:val="18"/>
                <w:szCs w:val="18"/>
              </w:rPr>
              <w:t xml:space="preserve">Principio de generalización conservadora</w:t>
            </w:r>
          </w:p>
          <w:p>
            <w:pPr>
              <w:spacing w:after="0" w:before="0"/>
            </w:pPr>
            <w:r>
              <w:rPr>
                <w:rFonts w:ascii="Arial" w:cs="Arial" w:eastAsia="Arial" w:hAnsi="Arial"/>
                <w:i/>
                <w:iCs/>
                <w:color w:val="1F2937"/>
                <w:sz w:val="20"/>
                <w:szCs w:val="20"/>
              </w:rPr>
              <w:t xml:space="preserve">El momento correcto para reclamar que QPLAB mide dinámica estructural universal es cuando H ≈ 2x se replique en un sistema que no sea un mercado financiero, con datos reales, usando el mismo motor sin modificación.</w:t>
            </w:r>
          </w:p>
        </w:tc>
      </w:tr>
    </w:tbl>
    <w:p>
      <w:pPr>
        <w:spacing w:after="100" w:before="100"/>
      </w:pPr>
      <w:r>
        <w:t xml:space="preserve"/>
      </w:r>
    </w:p>
    <w:p>
      <w:pPr>
        <w:spacing w:after="60" w:before="60" w:line="280" w:lineRule="auto"/>
      </w:pPr>
      <w:r>
        <w:rPr>
          <w:rFonts w:ascii="Arial" w:cs="Arial" w:eastAsia="Arial" w:hAnsi="Arial"/>
          <w:color w:val="111827"/>
          <w:sz w:val="22"/>
          <w:szCs w:val="22"/>
        </w:rPr>
        <w:t xml:space="preserve">Hasta ese momento, la generalización es una hipótesis de trabajo. El proyecto ya tiene suficiente para avanzar sin necesitar reclamar universalidad prematura:</w:t>
      </w:r>
    </w:p>
    <w:p>
      <w:pPr>
        <w:spacing w:after="60" w:before="60"/>
      </w:pPr>
      <w:r>
        <w:t xml:space="preserve"/>
      </w:r>
    </w:p>
    <w:p>
      <w:pPr>
        <w:pStyle w:val="ListParagraph"/>
        <w:numPr>
          <w:ilvl w:val="0"/>
          <w:numId w:val="2"/>
        </w:numPr>
        <w:spacing w:after="30" w:before="30"/>
      </w:pPr>
      <w:r>
        <w:rPr>
          <w:rFonts w:ascii="Arial" w:cs="Arial" w:eastAsia="Arial" w:hAnsi="Arial"/>
          <w:b/>
          <w:bCs/>
          <w:color w:val="065F46"/>
          <w:sz w:val="22"/>
          <w:szCs w:val="22"/>
        </w:rPr>
        <w:t xml:space="preserve">Métrica operacional con dato real: H ≈ 1.94</w:t>
      </w:r>
    </w:p>
    <w:p>
      <w:pPr>
        <w:pStyle w:val="ListParagraph"/>
        <w:numPr>
          <w:ilvl w:val="0"/>
          <w:numId w:val="2"/>
        </w:numPr>
        <w:spacing w:after="30" w:before="30"/>
      </w:pPr>
      <w:r>
        <w:rPr>
          <w:rFonts w:ascii="Arial" w:cs="Arial" w:eastAsia="Arial" w:hAnsi="Arial"/>
          <w:b w:val="false"/>
          <w:bCs w:val="false"/>
          <w:color w:val="111827"/>
          <w:sz w:val="22"/>
          <w:szCs w:val="22"/>
        </w:rPr>
        <w:t xml:space="preserve">Observable independiente de la narrativa: A_t sobrevive sin lenguaje psicológico</w:t>
      </w:r>
    </w:p>
    <w:p>
      <w:pPr>
        <w:pStyle w:val="ListParagraph"/>
        <w:numPr>
          <w:ilvl w:val="0"/>
          <w:numId w:val="2"/>
        </w:numPr>
        <w:spacing w:after="30" w:before="30"/>
      </w:pPr>
      <w:r>
        <w:rPr>
          <w:rFonts w:ascii="Arial" w:cs="Arial" w:eastAsia="Arial" w:hAnsi="Arial"/>
          <w:b w:val="false"/>
          <w:bCs w:val="false"/>
          <w:color w:val="111827"/>
          <w:sz w:val="22"/>
          <w:szCs w:val="22"/>
        </w:rPr>
        <w:t xml:space="preserve">Motor reproducible: mismo código, mismo resultado</w:t>
      </w:r>
    </w:p>
    <w:p>
      <w:pPr>
        <w:pStyle w:val="ListParagraph"/>
        <w:numPr>
          <w:ilvl w:val="0"/>
          <w:numId w:val="2"/>
        </w:numPr>
        <w:spacing w:after="30" w:before="30"/>
      </w:pPr>
      <w:r>
        <w:rPr>
          <w:rFonts w:ascii="Arial" w:cs="Arial" w:eastAsia="Arial" w:hAnsi="Arial"/>
          <w:b w:val="false"/>
          <w:bCs w:val="false"/>
          <w:color w:val="111827"/>
          <w:sz w:val="22"/>
          <w:szCs w:val="22"/>
        </w:rPr>
        <w:t xml:space="preserve">Hipótesis falsable: si H colapsa en V3, la propiedad dependía del threshold</w:t>
      </w:r>
    </w:p>
    <w:p>
      <w:pPr>
        <w:pStyle w:val="ListParagraph"/>
        <w:numPr>
          <w:ilvl w:val="0"/>
          <w:numId w:val="2"/>
        </w:numPr>
        <w:spacing w:after="30" w:before="30"/>
      </w:pPr>
      <w:r>
        <w:rPr>
          <w:rFonts w:ascii="Arial" w:cs="Arial" w:eastAsia="Arial" w:hAnsi="Arial"/>
          <w:b w:val="false"/>
          <w:bCs w:val="false"/>
          <w:color w:val="111827"/>
          <w:sz w:val="22"/>
          <w:szCs w:val="22"/>
        </w:rPr>
        <w:t xml:space="preserve">Línea base fechada: 11 de junio de 2026, condiciones exactas registradas</w:t>
      </w:r>
    </w:p>
    <w:p>
      <w:pPr>
        <w:spacing w:after="80" w:before="80"/>
      </w:pPr>
      <w:r>
        <w:t xml:space="preserve"/>
      </w:r>
    </w:p>
    <w:p>
      <w:pPr>
        <w:spacing w:after="60" w:before="60" w:line="280" w:lineRule="auto"/>
      </w:pPr>
      <w:r>
        <w:rPr>
          <w:rFonts w:ascii="Arial" w:cs="Arial" w:eastAsia="Arial" w:hAnsi="Arial"/>
          <w:color w:val="111827"/>
          <w:sz w:val="22"/>
          <w:szCs w:val="22"/>
        </w:rPr>
        <w:t xml:space="preserve">Eso es más que suficiente para constituir un programa experimental serio. La universalidad se gana con replicación, no con argumento.</w:t>
      </w:r>
    </w:p>
    <w:p>
      <w:pPr>
        <w:pStyle w:val="Heading1"/>
        <w:pBdr>
          <w:bottom w:val="single" w:color="1D4ED8" w:sz="6" w:space="4"/>
        </w:pBdr>
        <w:spacing w:after="120" w:before="400"/>
      </w:pPr>
      <w:r>
        <w:rPr>
          <w:rFonts w:ascii="Arial" w:cs="Arial" w:eastAsia="Arial" w:hAnsi="Arial"/>
          <w:b/>
          <w:bCs/>
          <w:color w:val="0F172A"/>
          <w:sz w:val="30"/>
          <w:szCs w:val="30"/>
        </w:rPr>
        <w:t xml:space="preserve">VII. Definición actual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6EFAC" w:sz="2"/>
              <w:left w:val="single" w:color="86EFAC" w:sz="2"/>
              <w:bottom w:val="single" w:color="86EFAC" w:sz="2"/>
              <w:right w:val="single" w:color="86EFAC" w:sz="2"/>
            </w:tcBorders>
            <w:shd w:fill="F0FDF4" w:val="clear"/>
            <w:tcMar>
              <w:top w:type="dxa" w:w="160"/>
              <w:left w:type="dxa" w:w="240"/>
              <w:bottom w:type="dxa" w:w="160"/>
              <w:right w:type="dxa" w:w="240"/>
            </w:tcMar>
          </w:tcPr>
          <w:p>
            <w:pPr>
              <w:spacing w:after="80" w:before="0"/>
            </w:pPr>
            <w:r>
              <w:rPr>
                <w:rFonts w:ascii="Arial" w:cs="Arial" w:eastAsia="Arial" w:hAnsi="Arial"/>
                <w:b/>
                <w:bCs/>
                <w:color w:val="065F46"/>
                <w:sz w:val="26"/>
                <w:szCs w:val="26"/>
              </w:rPr>
              <w:t xml:space="preserve">QPLAB es un laboratorio de medición de conservación estructural</w:t>
            </w:r>
          </w:p>
          <w:p>
            <w:pPr>
              <w:spacing w:after="60" w:before="0"/>
            </w:pPr>
            <w:r>
              <w:rPr>
                <w:rFonts w:ascii="Arial" w:cs="Arial" w:eastAsia="Arial" w:hAnsi="Arial"/>
                <w:color w:val="1F2937"/>
                <w:sz w:val="24"/>
                <w:szCs w:val="24"/>
              </w:rPr>
              <w:t xml:space="preserve">en sistemas dinámicos bajo presión contextual,</w:t>
            </w:r>
          </w:p>
          <w:p>
            <w:pPr>
              <w:spacing w:after="80" w:before="0"/>
            </w:pPr>
            <w:r>
              <w:rPr>
                <w:rFonts w:ascii="Arial" w:cs="Arial" w:eastAsia="Arial" w:hAnsi="Arial"/>
                <w:color w:val="1F2937"/>
                <w:sz w:val="24"/>
                <w:szCs w:val="24"/>
              </w:rPr>
              <w:t xml:space="preserve">con el mercado financiero como primer organismo experimental.</w:t>
            </w:r>
          </w:p>
          <w:p>
            <w:pPr>
              <w:spacing w:after="40" w:before="0"/>
            </w:pPr>
            <w:r>
              <w:rPr>
                <w:rFonts w:ascii="Arial" w:cs="Arial" w:eastAsia="Arial" w:hAnsi="Arial"/>
                <w:i/>
                <w:iCs/>
                <w:color w:val="475569"/>
                <w:sz w:val="20"/>
                <w:szCs w:val="20"/>
              </w:rPr>
              <w:t xml:space="preserve">Suficientemente restringido para ser falsable.</w:t>
            </w:r>
          </w:p>
          <w:p>
            <w:pPr>
              <w:spacing w:after="0" w:before="0"/>
            </w:pPr>
            <w:r>
              <w:rPr>
                <w:rFonts w:ascii="Arial" w:cs="Arial" w:eastAsia="Arial" w:hAnsi="Arial"/>
                <w:i/>
                <w:iCs/>
                <w:color w:val="475569"/>
                <w:sz w:val="20"/>
                <w:szCs w:val="20"/>
              </w:rPr>
              <w:t xml:space="preserve">Suficientemente general para ser relevante.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
              <w:left w:val="single" w:color="7C3AED" w:sz="1"/>
              <w:bottom w:val="single" w:color="7C3AED" w:sz="1"/>
              <w:right w:val="single" w:color="7C3AED" w:sz="1"/>
            </w:tcBorders>
            <w:shd w:fill="F5F3FF" w:val="clear"/>
            <w:tcMar>
              <w:top w:type="dxa" w:w="120"/>
              <w:left w:type="dxa" w:w="200"/>
              <w:bottom w:type="dxa" w:w="120"/>
              <w:right w:type="dxa" w:w="200"/>
            </w:tcMar>
          </w:tcPr>
          <w:p>
            <w:pPr>
              <w:spacing w:after="40" w:before="0"/>
            </w:pPr>
            <w:r>
              <w:rPr>
                <w:rFonts w:ascii="Arial" w:cs="Arial" w:eastAsia="Arial" w:hAnsi="Arial"/>
                <w:b/>
                <w:bCs/>
                <w:color w:val="7C3AED"/>
                <w:sz w:val="18"/>
                <w:szCs w:val="18"/>
              </w:rPr>
              <w:t xml:space="preserve">Registro de madurez epistemológica — 11 de junio de 2026</w:t>
            </w:r>
          </w:p>
          <w:p>
            <w:pPr>
              <w:spacing w:after="0" w:before="0"/>
            </w:pPr>
            <w:r>
              <w:rPr>
                <w:rFonts w:ascii="Arial" w:cs="Arial" w:eastAsia="Arial" w:hAnsi="Arial"/>
                <w:i/>
                <w:iCs/>
                <w:color w:val="1F2937"/>
                <w:sz w:val="20"/>
                <w:szCs w:val="20"/>
              </w:rPr>
              <w:t xml:space="preserve">El proyecto reconoció que su observable es más general que su metáfora original. Esto no invalida el lenguaje generativo inicial. Lo trasciende. La metáfora fue el andamiaje correcto. El observable es la construcción que quedó.</w:t>
            </w:r>
          </w:p>
        </w:tc>
      </w:tr>
    </w:tbl>
    <w:p>
      <w:pPr>
        <w:spacing w:after="200" w:before="20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QPLAB — Nota Epistemológica  |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F172A"/>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2026-06-11T21:18:36.123Z</dcterms:created>
  <dcterms:modified xsi:type="dcterms:W3CDTF">2026-06-11T21:18:36.135Z</dcterms:modified>
</cp:coreProperties>
</file>

<file path=docProps/custom.xml><?xml version="1.0" encoding="utf-8"?>
<Properties xmlns="http://schemas.openxmlformats.org/officeDocument/2006/custom-properties" xmlns:vt="http://schemas.openxmlformats.org/officeDocument/2006/docPropsVTypes"/>
</file>