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50" w:before="0"/>
        <w:jc w:val="center"/>
      </w:pPr>
      <w:r>
        <w:rPr>
          <w:rFonts w:ascii="Arial" w:cs="Arial" w:eastAsia="Arial" w:hAnsi="Arial"/>
          <w:b/>
          <w:bCs/>
          <w:color w:val="1A3A6B"/>
          <w:sz w:val="52"/>
          <w:szCs w:val="52"/>
        </w:rPr>
        <w:t xml:space="preserve">XAUUSD vs BTCUSD</w:t>
      </w:r>
    </w:p>
    <w:p>
      <w:pPr>
        <w:spacing w:after="40" w:before="0"/>
        <w:jc w:val="center"/>
      </w:pPr>
      <w:r>
        <w:rPr>
          <w:rFonts w:ascii="Arial" w:cs="Arial" w:eastAsia="Arial" w:hAnsi="Arial"/>
          <w:color w:val="2D5FA0"/>
          <w:sz w:val="30"/>
          <w:szCs w:val="30"/>
        </w:rPr>
        <w:t xml:space="preserve">Análisis comparativo de similitudes y diferencias</w:t>
      </w:r>
    </w:p>
    <w:p>
      <w:pPr>
        <w:spacing w:after="30" w:before="0"/>
        <w:jc w:val="center"/>
      </w:pPr>
      <w:r>
        <w:rPr>
          <w:rFonts w:ascii="Arial" w:cs="Arial" w:eastAsia="Arial" w:hAnsi="Arial"/>
          <w:color w:val="0F6E56"/>
          <w:sz w:val="24"/>
          <w:szCs w:val="24"/>
        </w:rPr>
        <w:t xml:space="preserve">Primera validación inter-activo de la Física Estructural del Mercado</w:t>
      </w:r>
    </w:p>
    <w:p>
      <w:pPr>
        <w:spacing w:after="200" w:before="0"/>
        <w:jc w:val="center"/>
      </w:pPr>
      <w:r>
        <w:rPr>
          <w:rFonts w:ascii="Arial" w:cs="Arial" w:eastAsia="Arial" w:hAnsi="Arial"/>
          <w:color w:val="888888"/>
          <w:sz w:val="20"/>
          <w:szCs w:val="20"/>
        </w:rPr>
        <w:t xml:space="preserve">288,981 ticks XAU · 127,619 ticks BTC · 416,600 ticks totales · 10 junio 2026</w:t>
      </w:r>
    </w:p>
    <w:p>
      <w:pPr>
        <w:pBdr>
          <w:bottom w:val="single" w:color="CCCCCC" w:sz="4" w:space="1"/>
        </w:pBdr>
        <w:spacing w:after="120" w:before="120"/>
      </w:pPr>
    </w:p>
    <w:p/>
    <w:p>
      <w:pPr>
        <w:spacing w:after="60" w:before="60"/>
        <w:jc w:val="center"/>
      </w:pPr>
      <w:r>
        <w:rPr>
          <w:rFonts w:ascii="Arial" w:cs="Arial" w:eastAsia="Arial" w:hAnsi="Arial"/>
          <w:color w:val="555555"/>
          <w:sz w:val="20"/>
          <w:szCs w:val="20"/>
        </w:rPr>
        <w:t xml:space="preserve">Quantum Scalper V29.3  ·  X-LAB Research Expansion  ·  Física Estructural del Mercado</w:t>
      </w:r>
    </w:p>
    <w:p/>
    <w:p/>
    <w:p>
      <w:pPr>
        <w:pStyle w:val="Heading1"/>
        <w:spacing w:after="140" w:before="300"/>
      </w:pPr>
      <w:r>
        <w:rPr>
          <w:rFonts w:ascii="Arial" w:cs="Arial" w:eastAsia="Arial" w:hAnsi="Arial"/>
          <w:b/>
          <w:bCs/>
          <w:color w:val="1A3A6B"/>
          <w:sz w:val="32"/>
          <w:szCs w:val="32"/>
        </w:rPr>
        <w:t xml:space="preserve">1. Resumen ejecutivo</w:t>
      </w:r>
    </w:p>
    <w:p>
      <w:pPr>
        <w:spacing w:after="100" w:before="60"/>
        <w:jc w:val="both"/>
      </w:pPr>
      <w:r>
        <w:rPr>
          <w:rFonts w:ascii="Arial" w:cs="Arial" w:eastAsia="Arial" w:hAnsi="Arial"/>
          <w:color w:val="333333"/>
          <w:sz w:val="22"/>
          <w:szCs w:val="22"/>
        </w:rPr>
        <w:t xml:space="preserve">Este documento presenta la primera comparación sistemática entre XAUUSD (Oro) y BTCUSD (Bitcoin) bajo el framework de la Física Estructural del Mercado. El análisis cubre 416,600 ticks combinados y evalúa si las leyes descubiertas en el Oro son específicas de ese activo o constituyen principios universales del ecosistema de mercado.</w:t>
      </w:r>
    </w:p>
    <w:p>
      <w:pPr>
        <w:spacing w:after="100" w:before="60"/>
        <w:jc w:val="both"/>
      </w:pPr>
      <w:r>
        <w:rPr>
          <w:rFonts w:ascii="Arial" w:cs="Arial" w:eastAsia="Arial" w:hAnsi="Arial"/>
          <w:color w:val="333333"/>
          <w:sz w:val="22"/>
          <w:szCs w:val="22"/>
        </w:rPr>
        <w:t xml:space="preserve">La conclusión central es que el organismo de mercado tiene la misma fisiología en ambos activos pero metabolismos distintos. Las leyes fundamentales — condición M ≥ 0.90, ley inversa de descarga, topología de atractores, estructura de correlaciones — se confirman en Bitcoin con exactitud. Lo que cambia entre activos es la firma específica del gatillo R2D y la velocidad de los ciclos internos del sistema.</w:t>
      </w:r>
    </w:p>
    <w:p/>
    <w:p>
      <w:pPr>
        <w:pStyle w:val="Heading1"/>
        <w:spacing w:after="140" w:before="300"/>
      </w:pPr>
      <w:r>
        <w:rPr>
          <w:rFonts w:ascii="Arial" w:cs="Arial" w:eastAsia="Arial" w:hAnsi="Arial"/>
          <w:b/>
          <w:bCs/>
          <w:color w:val="1A3A6B"/>
          <w:sz w:val="32"/>
          <w:szCs w:val="32"/>
        </w:rPr>
        <w:t xml:space="preserve">2. Descripción de los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Característica</w:t>
            </w:r>
          </w:p>
        </w:tc>
        <w:tc>
          <w:tcPr>
            <w:tcW w:type="dxa" w:w="327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XAUUSD — Oro</w:t>
            </w:r>
          </w:p>
        </w:tc>
        <w:tc>
          <w:tcPr>
            <w:tcW w:type="dxa" w:w="3276"/>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BTCUSD — Bitcoin</w:t>
            </w:r>
          </w:p>
        </w:tc>
      </w:tr>
      <w:tr>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Dataset</w:t>
            </w:r>
          </w:p>
        </w:tc>
        <w:tc>
          <w:tcPr>
            <w:tcW w:type="dxa" w:w="327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RESEARCH_CORE_V3_09_jun_26</w:t>
            </w:r>
          </w:p>
        </w:tc>
        <w:tc>
          <w:tcPr>
            <w:tcW w:type="dxa" w:w="327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RESEARCH_CORE_V3_BTC_10JUN2026</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Total ticks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288,981</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127,619</w:t>
            </w:r>
          </w:p>
        </w:tc>
      </w:tr>
      <w:tr>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Duración aprox.</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~1,205 min (20 horas)</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~530 min (8.8 horas)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Regímenes detectados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R1, R2, R2A, R2D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R1, R2, R2A, R2D</w:t>
            </w:r>
          </w:p>
        </w:tc>
      </w:tr>
      <w:tr>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R1 (inicialización)</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2,450 — 0.85%</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1,126 — 0.88%</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R2 (atractor base)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259,719 — 89.87%</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118,606 — 92.94%</w:t>
            </w:r>
          </w:p>
        </w:tc>
      </w:tr>
      <w:tr>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R2A (saturación)</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1,663 — 0.58%</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632 — 0.50%</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R2D (descarga)</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25,149 — 8.70%</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7,255 — 5.68%</w:t>
            </w:r>
          </w:p>
        </w:tc>
      </w:tr>
      <w:tr>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Eventos R2D analizados</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22,463 (precursor R2 puro)</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6,476 (precursor R2 puro)</w:t>
            </w:r>
          </w:p>
        </w:tc>
      </w:tr>
    </w:tbl>
    <w:p/>
    <w:p>
      <w:pPr>
        <w:spacing w:after="100" w:before="60"/>
        <w:jc w:val="both"/>
      </w:pPr>
      <w:r>
        <w:rPr>
          <w:rFonts w:ascii="Arial" w:cs="Arial" w:eastAsia="Arial" w:hAnsi="Arial"/>
          <w:color w:val="333333"/>
          <w:sz w:val="22"/>
          <w:szCs w:val="22"/>
        </w:rPr>
        <w:t xml:space="preserve">Ambos datasets comparten exactamente la misma arquitectura de 26 columnas y 4 regímenes, lo que permite una comparación directa sin preprocesamiento diferencial. La distribución de regímenes es notablemente similar entre los dos activos, con R2 dominando en torno al 90-93%, R2D en el 6-9%, y R2A por debajo del 1%.</w:t>
      </w:r>
    </w:p>
    <w:p/>
    <w:p>
      <w:pPr>
        <w:pStyle w:val="Heading1"/>
        <w:spacing w:after="140" w:before="300"/>
      </w:pPr>
      <w:r>
        <w:rPr>
          <w:rFonts w:ascii="Arial" w:cs="Arial" w:eastAsia="Arial" w:hAnsi="Arial"/>
          <w:b/>
          <w:bCs/>
          <w:color w:val="1A3A6B"/>
          <w:sz w:val="32"/>
          <w:szCs w:val="32"/>
        </w:rPr>
        <w:t xml:space="preserve">3. Firma estructural por régimen: comparación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936"/>
        <w:gridCol w:w="936"/>
        <w:gridCol w:w="936"/>
        <w:gridCol w:w="936"/>
        <w:gridCol w:w="936"/>
        <w:gridCol w:w="936"/>
        <w:gridCol w:w="936"/>
        <w:gridCol w:w="936"/>
      </w:tblGrid>
      <w:tr>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w:t>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w:t>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w:t>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TF</w:t>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vel</w:t>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T.En.</w:t>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persist</w:t>
            </w:r>
          </w:p>
        </w:tc>
        <w:tc>
          <w:tcPr>
            <w:tcW w:type="dxa" w:w="93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run_med</w:t>
            </w:r>
          </w:p>
        </w:tc>
      </w:tr>
      <w:tr>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 R2</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0.348</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0.541</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0.822</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0.309</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0.099</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0.135</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1,532</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w:t>
            </w:r>
          </w:p>
        </w:tc>
      </w:tr>
      <w:tr>
        <w:tc>
          <w:tcPr>
            <w:tcW w:type="dxa" w:w="117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 R2</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0.425</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0.411</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0.809</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0.205</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0.081</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0.118</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283</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9</w:t>
            </w:r>
          </w:p>
        </w:tc>
      </w:tr>
      <w:tr>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Δ relativo</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+22%</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−24%</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−34%</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−18%</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−13%</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−82%</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+50%</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r>
      <w:tr>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 R2D</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0.326</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0.555</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0.960</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0.372</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0.343</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0.345</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1,851</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r>
      <w:tr>
        <w:tc>
          <w:tcPr>
            <w:tcW w:type="dxa" w:w="117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 R2D</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0.323</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0.551</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0.968</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0.373</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0.349</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0.367</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394</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r>
      <w:tr>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Δ relativo</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93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93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w:t>
            </w:r>
          </w:p>
        </w:tc>
        <w:tc>
          <w:tcPr>
            <w:tcW w:type="dxa" w:w="93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−79%</w:t>
            </w:r>
          </w:p>
        </w:tc>
        <w:tc>
          <w:tcPr>
            <w:tcW w:type="dxa" w:w="93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igual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w:r>
          </w:p>
        </w:tc>
      </w:tr>
      <w:tr>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 R2A</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0.924</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0.010</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0.984</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0.004</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0.003</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0.004</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437</w:t>
            </w:r>
          </w:p>
        </w:tc>
        <w:tc>
          <w:tcPr>
            <w:tcW w:type="dxa" w:w="93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r>
      <w:tr>
        <w:tc>
          <w:tcPr>
            <w:tcW w:type="dxa" w:w="117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 R2A</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0.547</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0.024</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0.963</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0.010</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0.052</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0.074</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28</w:t>
            </w:r>
          </w:p>
        </w:tc>
        <w:tc>
          <w:tcPr>
            <w:tcW w:type="dxa" w:w="93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r>
      <w:tr>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Δ relativo</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−41%</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+140%</w:t>
            </w:r>
          </w:p>
        </w:tc>
        <w:tc>
          <w:tcPr>
            <w:tcW w:type="dxa" w:w="93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+150%</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+17×</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+18×</w:t>
            </w:r>
          </w:p>
        </w:tc>
        <w:tc>
          <w:tcPr>
            <w:tcW w:type="dxa" w:w="93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−94%</w:t>
            </w:r>
          </w:p>
        </w:tc>
        <w:tc>
          <w:tcPr>
            <w:tcW w:type="dxa" w:w="93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+50%</w:t>
            </w:r>
          </w:p>
        </w:tc>
      </w:tr>
    </w:tbl>
    <w:p/>
    <w:p>
      <w:pPr>
        <w:spacing w:after="100" w:before="60"/>
        <w:jc w:val="both"/>
      </w:pPr>
      <w:r>
        <w:rPr>
          <w:rFonts w:ascii="Arial" w:cs="Arial" w:eastAsia="Arial" w:hAnsi="Arial"/>
          <w:color w:val="333333"/>
          <w:sz w:val="22"/>
          <w:szCs w:val="22"/>
        </w:rPr>
        <w:t xml:space="preserve">La tabla revela la arquitectura comparada con claridad. En R2D (descarga), los valores de A, F, M, TF y velocidad son prácticamente intercambiables entre los dos activos: la diferencia en velocidad es +2%, en M es +1%, en TF es +0.3%. El instante del disparo es fisiológicamente idéntico. Sin embargo, la attractor_persistence en R2D es 79% más corta en BTC, lo que indica que los runs de descarga se distribuyen de forma muy distinta aunque el instante individual sea el mismo.</w:t>
      </w:r>
    </w:p>
    <w:p>
      <w:pPr>
        <w:spacing w:after="100" w:before="60"/>
        <w:jc w:val="both"/>
      </w:pPr>
      <w:r>
        <w:rPr>
          <w:rFonts w:ascii="Arial" w:cs="Arial" w:eastAsia="Arial" w:hAnsi="Arial"/>
          <w:color w:val="333333"/>
          <w:sz w:val="22"/>
          <w:szCs w:val="22"/>
        </w:rPr>
        <w:t xml:space="preserve">En R2A (saturación), la diferencia es estructural: XAU alcanza A=0.924 (casi 1.0 exacto) mientras BTC llega a A=0.547. La saturación en Bitcoin es parcial — el sistema entra en el estado crítico sin llegar al límite absoluto de Absorción. Esto, combinado con un run máximo de 16 ticks frente a 492 en XAU, define a R2A de BTC como un estado de saturación efímera vs la saturación prolongada del Oro.</w:t>
      </w:r>
    </w:p>
    <w:p/>
    <w:p>
      <w:pPr>
        <w:pStyle w:val="Heading1"/>
        <w:spacing w:after="140" w:before="300"/>
      </w:pPr>
      <w:r>
        <w:rPr>
          <w:rFonts w:ascii="Arial" w:cs="Arial" w:eastAsia="Arial" w:hAnsi="Arial"/>
          <w:b/>
          <w:bCs/>
          <w:color w:val="1A3A6B"/>
          <w:sz w:val="32"/>
          <w:szCs w:val="32"/>
        </w:rPr>
        <w:t xml:space="preserve">4. Test de universalidad: 9 leyes confirmadas, 2 activo-específicas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3276"/>
        <w:gridCol w:w="1458"/>
        <w:gridCol w:w="1458"/>
        <w:gridCol w:w="1466"/>
      </w:tblGrid>
      <w:tr>
        <w:tc>
          <w:tcPr>
            <w:tcW w:type="dxa" w:w="70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327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Ley / Hallazgo</w:t>
            </w:r>
          </w:p>
        </w:tc>
        <w:tc>
          <w:tcPr>
            <w:tcW w:type="dxa" w:w="145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w:t>
            </w:r>
          </w:p>
        </w:tc>
        <w:tc>
          <w:tcPr>
            <w:tcW w:type="dxa" w:w="145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BTC</w:t>
            </w:r>
          </w:p>
        </w:tc>
        <w:tc>
          <w:tcPr>
            <w:tcW w:type="dxa" w:w="146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Veredicto</w:t>
            </w:r>
          </w:p>
        </w:tc>
      </w:tr>
      <w:tr>
        <w:tc>
          <w:tcPr>
            <w:tcW w:type="dxa" w:w="702"/>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w:t>
            </w:r>
          </w:p>
        </w:tc>
        <w:tc>
          <w:tcPr>
            <w:tcW w:type="dxa" w:w="32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 ≥ 0.90 condición necesaria de R2D</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 excepciones / 25,149</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 excepciones / 7,255</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2</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ΔM positivo al entrar R2D</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+0.154 med, 81.6%</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+0.175 med, 84.8%</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3</w:t>
            </w:r>
          </w:p>
        </w:tc>
        <w:tc>
          <w:tcPr>
            <w:tcW w:type="dxa" w:w="32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Silencio cinético t−1: velocidad cae ~52%</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vel_med=0.003</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vel_med=0.0005</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4</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Ley inversa vel_pre → r2d_energy</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 = −0.877</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 = −0.748</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5</w:t>
            </w:r>
          </w:p>
        </w:tc>
        <w:tc>
          <w:tcPr>
            <w:tcW w:type="dxa" w:w="32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R2D mediana run = 1 tick</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mediana=1, máx=5</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mediana=1, máx=4</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6</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R2D precedido por R2 (dominante)</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89.3% desde R2</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89.3% desde R2</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7</w:t>
            </w:r>
          </w:p>
        </w:tc>
        <w:tc>
          <w:tcPr>
            <w:tcW w:type="dxa" w:w="32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R2A solo desde/hacia R2; TF≈0 y vel≈0</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confirmado</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confirmado</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8</w:t>
            </w:r>
          </w:p>
        </w:tc>
        <w:tc>
          <w:tcPr>
            <w:tcW w:type="dxa" w:w="327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R1 = artefacto: M=0 con vel alta</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M=0 en 99.8%</w:t>
            </w:r>
          </w:p>
        </w:tc>
        <w:tc>
          <w:tcPr>
            <w:tcW w:type="dxa" w:w="145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M=0 en 94.1%</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9</w:t>
            </w:r>
          </w:p>
        </w:tc>
        <w:tc>
          <w:tcPr>
            <w:tcW w:type="dxa" w:w="32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Bloque A–F (r≈−0.95) y bloque vel–energía (r≈+0.85) ortogonales</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r=−0.960, r=+0.838</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r=−0.935, r=+0.855</w:t>
            </w:r>
          </w:p>
        </w:tc>
        <w:tc>
          <w:tcPr>
            <w:tcW w:type="dxa" w:w="146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UNIVERSAL</w:t>
            </w:r>
          </w:p>
        </w:tc>
      </w:tr>
      <w:tr>
        <w:tc>
          <w:tcPr>
            <w:tcW w:type="dxa" w:w="70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10</w:t>
            </w:r>
          </w:p>
        </w:tc>
        <w:tc>
          <w:tcPr>
            <w:tcW w:type="dxa" w:w="3276"/>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Señal A↑ en t−2 como discriminante principal</w:t>
            </w:r>
          </w:p>
        </w:tc>
        <w:tc>
          <w:tcPr>
            <w:tcW w:type="dxa" w:w="1458"/>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Cohen d=+0.57 ✓</w:t>
            </w:r>
          </w:p>
        </w:tc>
        <w:tc>
          <w:tcPr>
            <w:tcW w:type="dxa" w:w="145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Cohen d=+0.26 ✗</w:t>
            </w:r>
          </w:p>
        </w:tc>
        <w:tc>
          <w:tcPr>
            <w:tcW w:type="dxa" w:w="1466"/>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ACTIVO-ESP.</w:t>
            </w:r>
          </w:p>
        </w:tc>
      </w:tr>
      <w:tr>
        <w:tc>
          <w:tcPr>
            <w:tcW w:type="dxa" w:w="70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11</w:t>
            </w:r>
          </w:p>
        </w:tc>
        <w:tc>
          <w:tcPr>
            <w:tcW w:type="dxa" w:w="327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Regla óptima A≥0.45 &amp; vel≤0.050 portable</w:t>
            </w:r>
          </w:p>
        </w:tc>
        <w:tc>
          <w:tcPr>
            <w:tcW w:type="dxa" w:w="145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F1=0.614, Lift=2.05×</w:t>
            </w:r>
          </w:p>
        </w:tc>
        <w:tc>
          <w:tcPr>
            <w:tcW w:type="dxa" w:w="145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F1=0.247, Lift=1.32×</w:t>
            </w:r>
          </w:p>
        </w:tc>
        <w:tc>
          <w:tcPr>
            <w:tcW w:type="dxa" w:w="146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NO PORTABLE</w:t>
            </w:r>
          </w:p>
        </w:tc>
      </w:tr>
    </w:tbl>
    <w:p/>
    <w:p>
      <w:pPr>
        <w:spacing w:after="100" w:before="60"/>
        <w:jc w:val="both"/>
      </w:pPr>
      <w:r>
        <w:rPr>
          <w:rFonts w:ascii="Arial" w:cs="Arial" w:eastAsia="Arial" w:hAnsi="Arial"/>
          <w:color w:val="333333"/>
          <w:sz w:val="22"/>
          <w:szCs w:val="22"/>
        </w:rPr>
        <w:t xml:space="preserve">El test de universalidad evalúa cada ley descubierta en XAU contra los datos de BTC. Nueve de once leyes se confirman en Bitcoin con fidelidad alta. Las dos excepciones son la señal A↑ como discriminante del gatillo (activo-específica) y la portabilidad directa de la regla óptima de XAU a BTC (no portable sin recalibración).</w:t>
      </w:r>
    </w:p>
    <w:p>
      <w:pPr>
        <w:spacing w:after="100" w:before="60"/>
        <w:jc w:val="both"/>
      </w:pPr>
      <w:r>
        <w:rPr>
          <w:rFonts w:ascii="Arial" w:cs="Arial" w:eastAsia="Arial" w:hAnsi="Arial"/>
          <w:color w:val="333333"/>
          <w:sz w:val="22"/>
          <w:szCs w:val="22"/>
        </w:rPr>
        <w:t xml:space="preserve">El hallazgo más robusto es la condición M ≥ 0.90: con M_min = 0.9010 en 7,255 eventos de BTC, la ley se verifica con exactitud absoluta. No hay una sola excepción en ninguno de los dos activos combinados (32,404 eventos R2D totales). Esta ley no es estadística — es una propiedad estructural del sistema.</w:t>
      </w:r>
    </w:p>
    <w:p/>
    <w:p>
      <w:pPr>
        <w:pStyle w:val="Heading1"/>
        <w:spacing w:after="140" w:before="300"/>
      </w:pPr>
      <w:r>
        <w:rPr>
          <w:rFonts w:ascii="Arial" w:cs="Arial" w:eastAsia="Arial" w:hAnsi="Arial"/>
          <w:b/>
          <w:bCs/>
          <w:color w:val="1A3A6B"/>
          <w:sz w:val="32"/>
          <w:szCs w:val="32"/>
        </w:rPr>
        <w:t xml:space="preserve">5. Trayectoria del gatillo R2D: comparación tick a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70"/>
        <w:gridCol w:w="1170"/>
        <w:gridCol w:w="1170"/>
        <w:gridCol w:w="1170"/>
        <w:gridCol w:w="1170"/>
        <w:gridCol w:w="1170"/>
        <w:gridCol w:w="1170"/>
        <w:gridCol w:w="1170"/>
      </w:tblGrid>
      <w:tr>
        <w:tc>
          <w:tcPr>
            <w:tcW w:type="dxa" w:w="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Tick</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 xau</w:t>
            </w:r>
          </w:p>
        </w:tc>
        <w:tc>
          <w:tcPr>
            <w:tcW w:type="dxa" w:w="117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A btc</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 xau</w:t>
            </w:r>
          </w:p>
        </w:tc>
        <w:tc>
          <w:tcPr>
            <w:tcW w:type="dxa" w:w="117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F btc</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 xau</w:t>
            </w:r>
          </w:p>
        </w:tc>
        <w:tc>
          <w:tcPr>
            <w:tcW w:type="dxa" w:w="117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M btc</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vel xau</w:t>
            </w:r>
          </w:p>
        </w:tc>
        <w:tc>
          <w:tcPr>
            <w:tcW w:type="dxa" w:w="117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vel btc</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t−10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0.3552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0.3991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0.5198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0.4563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0.1343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0.1019</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t−7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0.3590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0.3939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0.5161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0.4639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0.8390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0.8356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0.1344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0.1005</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t−4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0.3297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0.3989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0.5523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0.4533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0.8539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0.8377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0.1378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0.1055</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t−3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0.3625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0.4197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0.5104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0.4215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0.8480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0.8388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0.1239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0.0901</w:t>
            </w:r>
          </w:p>
        </w:tc>
      </w:tr>
      <w:tr>
        <w:tc>
          <w:tcPr>
            <w:tcW w:type="dxa" w:w="78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t−2</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0.4293</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0.4525</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0.4308</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0.3801</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0.8502</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0.8324</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0.1855</w:t>
            </w:r>
          </w:p>
        </w:tc>
        <w:tc>
          <w:tcPr>
            <w:tcW w:type="dxa" w:w="117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0.1104</w:t>
            </w:r>
          </w:p>
        </w:tc>
      </w:tr>
      <w:tr>
        <w:tc>
          <w:tcPr>
            <w:tcW w:type="dxa" w:w="7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t−1</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0.4252</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0.4305</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0.4360</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0.4132</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0.8067</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0.7932</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0.0890</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0.0834</w:t>
            </w:r>
          </w:p>
        </w:tc>
      </w:tr>
      <w:tr>
        <w:tc>
          <w:tcPr>
            <w:tcW w:type="dxa" w:w="7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t=0</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0.3258</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0.3225</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0.5547</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0.5510</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0.9604</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0.9678</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0.3428</w:t>
            </w:r>
          </w:p>
        </w:tc>
        <w:tc>
          <w:tcPr>
            <w:tcW w:type="dxa" w:w="117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0.3485</w:t>
            </w:r>
          </w:p>
        </w:tc>
      </w:tr>
    </w:tbl>
    <w:p/>
    <w:p>
      <w:pPr>
        <w:spacing w:after="100" w:before="60"/>
        <w:jc w:val="both"/>
      </w:pPr>
      <w:r>
        <w:rPr>
          <w:rFonts w:ascii="Arial" w:cs="Arial" w:eastAsia="Arial" w:hAnsi="Arial"/>
          <w:color w:val="333333"/>
          <w:sz w:val="22"/>
          <w:szCs w:val="22"/>
        </w:rPr>
        <w:t xml:space="preserve">La trayectoria comparada muestra el alto grado de universalidad del patrón pre-R2D. En t−2, ambos activos experimentan simultáneamente el mismo tipo de movimiento: A sube, F cae, TF cae. En t−1 ambos frenan (silencio cinético). En t=0 ambos disparan con valores casi idénticos de M (0.960 vs 0.968) y velocidad (0.343 vs 0.349).</w:t>
      </w:r>
    </w:p>
    <w:p>
      <w:pPr>
        <w:spacing w:after="100" w:before="60"/>
        <w:jc w:val="both"/>
      </w:pPr>
      <w:r>
        <w:rPr>
          <w:rFonts w:ascii="Arial" w:cs="Arial" w:eastAsia="Arial" w:hAnsi="Arial"/>
          <w:color w:val="333333"/>
          <w:sz w:val="22"/>
          <w:szCs w:val="22"/>
        </w:rPr>
        <w:t xml:space="preserve">La única diferencia observable en la trayectoria es la magnitud de la señal A en t−2: en XAU el salto es de +0.19 unidades respecto al base; en BTC es de +0.12 unidades sobre una base ya más alta. Como el nivel base de A en BTC es mayor (0.425 vs 0.348 en R2), el desplazamiento relativo es más pequeño y menos discriminante estadísticamente.</w:t>
      </w:r>
    </w:p>
    <w:p/>
    <w:p>
      <w:pPr>
        <w:pStyle w:val="Heading1"/>
        <w:spacing w:after="140" w:before="300"/>
      </w:pPr>
      <w:r>
        <w:rPr>
          <w:rFonts w:ascii="Arial" w:cs="Arial" w:eastAsia="Arial" w:hAnsi="Arial"/>
          <w:b/>
          <w:bCs/>
          <w:color w:val="1A3A6B"/>
          <w:sz w:val="32"/>
          <w:szCs w:val="32"/>
        </w:rPr>
        <w:t xml:space="preserve">6. Estructura de correlaciones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38"/>
        <w:gridCol w:w="1638"/>
        <w:gridCol w:w="1638"/>
        <w:gridCol w:w="2106"/>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 de variables</w:t>
            </w:r>
          </w:p>
        </w:tc>
        <w:tc>
          <w:tcPr>
            <w:tcW w:type="dxa" w:w="163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w:t>
            </w:r>
          </w:p>
        </w:tc>
        <w:tc>
          <w:tcPr>
            <w:tcW w:type="dxa" w:w="1638"/>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w:t>
            </w:r>
          </w:p>
        </w:tc>
        <w:tc>
          <w:tcPr>
            <w:tcW w:type="dxa" w:w="163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Diferencia</w:t>
            </w:r>
          </w:p>
        </w:tc>
        <w:tc>
          <w:tcPr>
            <w:tcW w:type="dxa" w:w="210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Interpretación</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 — F</w:t>
            </w:r>
          </w:p>
        </w:tc>
        <w:tc>
          <w:tcPr>
            <w:tcW w:type="dxa" w:w="1638"/>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−0.960</w:t>
            </w:r>
          </w:p>
        </w:tc>
        <w:tc>
          <w:tcPr>
            <w:tcW w:type="dxa" w:w="1638"/>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−0.935</w:t>
            </w:r>
          </w:p>
        </w:tc>
        <w:tc>
          <w:tcPr>
            <w:tcW w:type="dxa" w:w="163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igual</w:t>
            </w:r>
          </w:p>
        </w:tc>
        <w:tc>
          <w:tcPr>
            <w:tcW w:type="dxa" w:w="210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Espejo bimodal universal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S — P</w:t>
            </w:r>
          </w:p>
        </w:tc>
        <w:tc>
          <w:tcPr>
            <w:tcW w:type="dxa" w:w="1638"/>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+0.841</w:t>
            </w:r>
          </w:p>
        </w:tc>
        <w:tc>
          <w:tcPr>
            <w:tcW w:type="dxa" w:w="1638"/>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+0.791</w:t>
            </w:r>
          </w:p>
        </w:tc>
        <w:tc>
          <w:tcPr>
            <w:tcW w:type="dxa" w:w="163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igual</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Acoplamiento estructural universal</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TF — F</w:t>
            </w:r>
          </w:p>
        </w:tc>
        <w:tc>
          <w:tcPr>
            <w:tcW w:type="dxa" w:w="1638"/>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+0.861</w:t>
            </w:r>
          </w:p>
        </w:tc>
        <w:tc>
          <w:tcPr>
            <w:tcW w:type="dxa" w:w="1638"/>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+0.880</w:t>
            </w:r>
          </w:p>
        </w:tc>
        <w:tc>
          <w:tcPr>
            <w:tcW w:type="dxa" w:w="163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igual</w:t>
            </w:r>
          </w:p>
        </w:tc>
        <w:tc>
          <w:tcPr>
            <w:tcW w:type="dxa" w:w="210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TF proxy de F en ambos activos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TF — A</w:t>
            </w:r>
          </w:p>
        </w:tc>
        <w:tc>
          <w:tcPr>
            <w:tcW w:type="dxa" w:w="1638"/>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−0.819</w:t>
            </w:r>
          </w:p>
        </w:tc>
        <w:tc>
          <w:tcPr>
            <w:tcW w:type="dxa" w:w="1638"/>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−0.873</w:t>
            </w:r>
          </w:p>
        </w:tc>
        <w:tc>
          <w:tcPr>
            <w:tcW w:type="dxa" w:w="163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igual</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Anti-correlación universal</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vel — T. Energía</w:t>
            </w:r>
          </w:p>
        </w:tc>
        <w:tc>
          <w:tcPr>
            <w:tcW w:type="dxa" w:w="1638"/>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+0.838</w:t>
            </w:r>
          </w:p>
        </w:tc>
        <w:tc>
          <w:tcPr>
            <w:tcW w:type="dxa" w:w="1638"/>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+0.855</w:t>
            </w:r>
          </w:p>
        </w:tc>
        <w:tc>
          <w:tcPr>
            <w:tcW w:type="dxa" w:w="163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 igual</w:t>
            </w:r>
          </w:p>
        </w:tc>
        <w:tc>
          <w:tcPr>
            <w:tcW w:type="dxa" w:w="210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Bloque dinámico universal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M — TF</w:t>
            </w:r>
          </w:p>
        </w:tc>
        <w:tc>
          <w:tcPr>
            <w:tcW w:type="dxa" w:w="1638"/>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+0.531</w:t>
            </w:r>
          </w:p>
        </w:tc>
        <w:tc>
          <w:tcPr>
            <w:tcW w:type="dxa" w:w="1638"/>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+0.349</w:t>
            </w:r>
          </w:p>
        </w:tc>
        <w:tc>
          <w:tcPr>
            <w:tcW w:type="dxa" w:w="163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−34%</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Memoria-fatiga menos acopladas en BTC</w:t>
            </w:r>
          </w:p>
        </w:tc>
      </w:tr>
    </w:tbl>
    <w:p/>
    <w:p>
      <w:pPr>
        <w:spacing w:after="100" w:before="60"/>
        <w:jc w:val="both"/>
      </w:pPr>
      <w:r>
        <w:rPr>
          <w:rFonts w:ascii="Arial" w:cs="Arial" w:eastAsia="Arial" w:hAnsi="Arial"/>
          <w:color w:val="333333"/>
          <w:sz w:val="22"/>
          <w:szCs w:val="22"/>
        </w:rPr>
        <w:t xml:space="preserve">La estructura de correlaciones es la más parecida de todas las comparaciones. Los dos bloques fundamentales — estructural (A–F anti-correlacionados) y dinámico (vel–energía) — son prácticamente idénticos en ambos activos. TF como proxy de F (r &gt; +0.86) es igualmente universal.</w:t>
      </w:r>
    </w:p>
    <w:p>
      <w:pPr>
        <w:spacing w:after="100" w:before="60"/>
        <w:jc w:val="both"/>
      </w:pPr>
      <w:r>
        <w:rPr>
          <w:rFonts w:ascii="Arial" w:cs="Arial" w:eastAsia="Arial" w:hAnsi="Arial"/>
          <w:color w:val="333333"/>
          <w:sz w:val="22"/>
          <w:szCs w:val="22"/>
        </w:rPr>
        <w:t xml:space="preserve">La única correlación que difiere significativamente es M–TF: +0.531 en XAU vs +0.349 en BTC. En el Oro, cuando la memoria acumula, la fatiga sube en paralelo con mayor fuerza. En Bitcoin, la fatiga se disipa de forma más independiente. Esto puede reflejar que el ciclo de memoria-descarga de BTC es más errático — el sistema puede acumular M sin que TF crezca proporcionalmente, generando condiciones de descarga más impredecibles.</w:t>
      </w:r>
    </w:p>
    <w:p/>
    <w:p>
      <w:pPr>
        <w:pStyle w:val="Heading1"/>
        <w:spacing w:after="140" w:before="300"/>
      </w:pPr>
      <w:r>
        <w:rPr>
          <w:rFonts w:ascii="Arial" w:cs="Arial" w:eastAsia="Arial" w:hAnsi="Arial"/>
          <w:b/>
          <w:bCs/>
          <w:color w:val="1A3A6B"/>
          <w:sz w:val="32"/>
          <w:szCs w:val="32"/>
        </w:rPr>
        <w:t xml:space="preserve">7. El gatillo R2D: universal en estructura, específico en firma</w:t>
      </w:r>
    </w:p>
    <w:p>
      <w:pPr>
        <w:pStyle w:val="Heading2"/>
        <w:spacing w:after="100" w:before="220"/>
      </w:pPr>
      <w:r>
        <w:rPr>
          <w:rFonts w:ascii="Arial" w:cs="Arial" w:eastAsia="Arial" w:hAnsi="Arial"/>
          <w:b/>
          <w:bCs/>
          <w:color w:val="2D5FA0"/>
          <w:sz w:val="26"/>
          <w:szCs w:val="26"/>
        </w:rPr>
        <w:t xml:space="preserve">7.1 Discriminantes por activo</w:t>
      </w:r>
    </w:p>
    <w:p>
      <w:pPr>
        <w:spacing w:after="100" w:before="60"/>
        <w:jc w:val="both"/>
      </w:pPr>
      <w:r>
        <w:rPr>
          <w:rFonts w:ascii="Arial" w:cs="Arial" w:eastAsia="Arial" w:hAnsi="Arial"/>
          <w:color w:val="333333"/>
          <w:sz w:val="22"/>
          <w:szCs w:val="22"/>
        </w:rPr>
        <w:t xml:space="preserve">El análisis de feature importance revela que el discriminante principal cambia de activo a activo. En XAU, la señal más potente es A↑ en t−2 (Cohen d = +0.57, separación de medianas = +0.248). En BTC, A no discrimina (separación = −0.0005). Los discriminantes en BTC son P↓ (Cohen d = −0.439) y S↓ (Cohen d = −0.379).</w:t>
      </w:r>
    </w:p>
    <w:p>
      <w:pPr>
        <w:spacing w:after="100" w:before="60"/>
        <w:jc w:val="both"/>
      </w:pPr>
      <w:r>
        <w:rPr>
          <w:rFonts w:ascii="Arial" w:cs="Arial" w:eastAsia="Arial" w:hAnsi="Arial"/>
          <w:color w:val="333333"/>
          <w:sz w:val="22"/>
          <w:szCs w:val="22"/>
        </w:rPr>
        <w:t xml:space="preserve">Esto tiene una interpretación física directa. En XAU, la descarga está precedida por un estado de alta Absorción: el mercado del Oro 'compra tensión' antes de liberar energía. En BTC, la descarga está precedida por un estado de baja Presión y bajo Spread: el mercado de Bitcoin 'se comprime estructuralmente' antes del movimiento. Son dos mecanismos distintos de acumulación de energía potencial, aunque la descarga resultante sea casi idéntica.</w:t>
      </w:r>
    </w:p>
    <w:p>
      <w:pPr>
        <w:pStyle w:val="Heading2"/>
        <w:spacing w:after="100" w:before="220"/>
      </w:pPr>
      <w:r>
        <w:rPr>
          <w:rFonts w:ascii="Arial" w:cs="Arial" w:eastAsia="Arial" w:hAnsi="Arial"/>
          <w:b/>
          <w:bCs/>
          <w:color w:val="2D5FA0"/>
          <w:sz w:val="26"/>
          <w:szCs w:val="26"/>
        </w:rPr>
        <w:t xml:space="preserve">7.2 Reglas de detección calibradas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1170"/>
        <w:gridCol w:w="1170"/>
        <w:gridCol w:w="1170"/>
        <w:gridCol w:w="1170"/>
        <w:gridCol w:w="1170"/>
        <w:gridCol w:w="1296"/>
      </w:tblGrid>
      <w:tr>
        <w:tc>
          <w:tcPr>
            <w:tcW w:type="dxa" w:w="421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Regla</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Activo</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TP</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FP</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TPR</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Prec.</w:t>
            </w:r>
          </w:p>
        </w:tc>
        <w:tc>
          <w:tcPr>
            <w:tcW w:type="dxa" w:w="129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Lift</w:t>
            </w:r>
          </w:p>
        </w:tc>
      </w:tr>
      <w:tr>
        <w:tc>
          <w:tcPr>
            <w:tcW w:type="dxa" w:w="4212"/>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A≥0.45 &amp; vel≤0.050 (óptima XAU)</w:t>
            </w:r>
          </w:p>
        </w:tc>
        <w:tc>
          <w:tcPr>
            <w:tcW w:type="dxa" w:w="117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XAU</w:t>
            </w:r>
          </w:p>
        </w:tc>
        <w:tc>
          <w:tcPr>
            <w:tcW w:type="dxa" w:w="117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13,380</w:t>
            </w:r>
          </w:p>
        </w:tc>
        <w:tc>
          <w:tcPr>
            <w:tcW w:type="dxa" w:w="117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7,724</w:t>
            </w:r>
          </w:p>
        </w:tc>
        <w:tc>
          <w:tcPr>
            <w:tcW w:type="dxa" w:w="117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59.6%</w:t>
            </w:r>
          </w:p>
        </w:tc>
        <w:tc>
          <w:tcPr>
            <w:tcW w:type="dxa" w:w="117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63.4%</w:t>
            </w:r>
          </w:p>
        </w:tc>
        <w:tc>
          <w:tcPr>
            <w:tcW w:type="dxa" w:w="129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2.05×</w:t>
            </w:r>
          </w:p>
        </w:tc>
      </w:tr>
      <w:tr>
        <w:tc>
          <w:tcPr>
            <w:tcW w:type="dxa" w:w="421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A≥0.45 &amp; vel≤0.050 (misma regla en BTC)</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BTC</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4,321</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24,230</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66.7%</w:t>
            </w:r>
          </w:p>
        </w:tc>
        <w:tc>
          <w:tcPr>
            <w:tcW w:type="dxa" w:w="117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15.1%</w:t>
            </w:r>
          </w:p>
        </w:tc>
        <w:tc>
          <w:tcPr>
            <w:tcW w:type="dxa" w:w="129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1.32×</w:t>
            </w:r>
          </w:p>
        </w:tc>
      </w:tr>
      <w:tr>
        <w:tc>
          <w:tcPr>
            <w:tcW w:type="dxa" w:w="4212"/>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P≤0.42 &amp; vel≤0.001 (óptima BTC — mayor lift)</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BTC</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2,105</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7,755</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32.5%</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21.3%</w:t>
            </w:r>
          </w:p>
        </w:tc>
        <w:tc>
          <w:tcPr>
            <w:tcW w:type="dxa" w:w="129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1.86×</w:t>
            </w:r>
          </w:p>
        </w:tc>
      </w:tr>
      <w:tr>
        <w:tc>
          <w:tcPr>
            <w:tcW w:type="dxa" w:w="4212"/>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P≤0.42 &amp; S≤0.34 &amp; vel≤0.003 (mayor prec. BTC)</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BTC</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1,430</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4,909</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22.1%</w:t>
            </w:r>
          </w:p>
        </w:tc>
        <w:tc>
          <w:tcPr>
            <w:tcW w:type="dxa" w:w="117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22.6%</w:t>
            </w:r>
          </w:p>
        </w:tc>
        <w:tc>
          <w:tcPr>
            <w:tcW w:type="dxa" w:w="129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1.97×</w:t>
            </w:r>
          </w:p>
        </w:tc>
      </w:tr>
    </w:tbl>
    <w:p/>
    <w:p>
      <w:pPr>
        <w:spacing w:after="100" w:before="60"/>
        <w:jc w:val="both"/>
      </w:pPr>
      <w:r>
        <w:rPr>
          <w:rFonts w:ascii="Arial" w:cs="Arial" w:eastAsia="Arial" w:hAnsi="Arial"/>
          <w:color w:val="333333"/>
          <w:sz w:val="22"/>
          <w:szCs w:val="22"/>
        </w:rPr>
        <w:t xml:space="preserve">La diferencia de Lift entre la regla óptima de XAU (2.05×) y la misma regla aplicada a BTC (1.32×) confirma que la recalibración por instrumento es necesaria. La regla óptima calibrada para BTC alcanza 1.97× de Lift con mayor precisión. Nótese que el Lift absoluto en BTC es inferior al de XAU incluso con la regla óptima — en parte porque la base rate de R2D es mayor en BTC (11.47% vs 8.70%), lo que hace el problema intrínsecamente más difícil.</w:t>
      </w:r>
    </w:p>
    <w:p/>
    <w:p>
      <w:pPr>
        <w:pStyle w:val="Heading1"/>
        <w:spacing w:after="140" w:before="300"/>
      </w:pPr>
      <w:r>
        <w:rPr>
          <w:rFonts w:ascii="Arial" w:cs="Arial" w:eastAsia="Arial" w:hAnsi="Arial"/>
          <w:b/>
          <w:bCs/>
          <w:color w:val="1A3A6B"/>
          <w:sz w:val="32"/>
          <w:szCs w:val="32"/>
        </w:rPr>
        <w:t xml:space="preserve">8. El estado R2A: saturación total vs saturación parcial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Propiedad R2A</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w:t>
            </w:r>
          </w:p>
        </w:tc>
        <w:tc>
          <w:tcPr>
            <w:tcW w:type="dxa" w:w="351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 mediana</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1.000 — saturación absoluta</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0.545 — saturación parcial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F mediana</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0.000 — colapso total</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0.000 — idéntico</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 mediana</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0.977</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0.977 — idéntico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TF mediana</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0.000</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0.000 — idéntico</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vel mediana</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0.001034 — congelado</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0.001034 — idéntico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Run máximo</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492 ticks</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16 ticks — 30× más corto</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Precursor R2→R2A</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mediana 20 ticks en R2</w:t>
            </w:r>
          </w:p>
        </w:tc>
        <w:tc>
          <w:tcPr>
            <w:tcW w:type="dxa" w:w="351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mediana 32 ticks — más largo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Post R2A</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100% → R2</w:t>
            </w:r>
          </w:p>
        </w:tc>
        <w:tc>
          <w:tcPr>
            <w:tcW w:type="dxa" w:w="351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96% → R2, 4 casos R2A→R2D</w:t>
            </w:r>
          </w:p>
        </w:tc>
      </w:tr>
    </w:tbl>
    <w:p/>
    <w:p>
      <w:pPr>
        <w:spacing w:after="100" w:before="60"/>
        <w:jc w:val="both"/>
      </w:pPr>
      <w:r>
        <w:rPr>
          <w:rFonts w:ascii="Arial" w:cs="Arial" w:eastAsia="Arial" w:hAnsi="Arial"/>
          <w:color w:val="333333"/>
          <w:sz w:val="22"/>
          <w:szCs w:val="22"/>
        </w:rPr>
        <w:t xml:space="preserve">R2A es el régimen donde las diferencias entre activos son más pronunciadas. Los valores de F, M, TF y velocidad en la mediana son prácticamente idénticos en ambos activos — F=0, TF=0, vel≈0.001, M≈0.977 — lo que confirma que el estado crítico tiene el mismo núcleo fisiológico. Sin embargo, la Absorción (A) y la Presión (P) se comportan de forma radicalmente distinta.</w:t>
      </w:r>
    </w:p>
    <w:p>
      <w:pPr>
        <w:spacing w:after="100" w:before="60"/>
        <w:jc w:val="both"/>
      </w:pPr>
      <w:r>
        <w:rPr>
          <w:rFonts w:ascii="Arial" w:cs="Arial" w:eastAsia="Arial" w:hAnsi="Arial"/>
          <w:color w:val="333333"/>
          <w:sz w:val="22"/>
          <w:szCs w:val="22"/>
        </w:rPr>
        <w:t xml:space="preserve">En XAU, A alcanza 1.000 en la mediana — el límite absoluto del sistema. En BTC, A alcanza 0.545. El organismo del Oro satura completamente su capacidad de absorción; el de Bitcoin llega a un estado de alta absorción pero sin alcanzar el techo. La analogía física es un condensador: XAU se carga al 100%, BTC al 55%. La consecuencia es que el estado R2A de XAU es mucho más estable (puede mantenerse hasta 492 ticks) mientras que el de BTC es efímero (máximo 16 ticks).</w:t>
      </w:r>
    </w:p>
    <w:p/>
    <w:p>
      <w:pPr>
        <w:pStyle w:val="Heading1"/>
        <w:spacing w:after="140" w:before="300"/>
      </w:pPr>
      <w:r>
        <w:rPr>
          <w:rFonts w:ascii="Arial" w:cs="Arial" w:eastAsia="Arial" w:hAnsi="Arial"/>
          <w:b/>
          <w:bCs/>
          <w:color w:val="1A3A6B"/>
          <w:sz w:val="32"/>
          <w:szCs w:val="32"/>
        </w:rPr>
        <w:t xml:space="preserve">9. Diferencias estructurales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40"/>
        <w:gridCol w:w="3110"/>
        <w:gridCol w:w="3110"/>
      </w:tblGrid>
      <w:tr>
        <w:tc>
          <w:tcPr>
            <w:tcW w:type="dxa" w:w="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Niv.</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Diferencia</w:t>
            </w:r>
          </w:p>
        </w:tc>
        <w:tc>
          <w:tcPr>
            <w:tcW w:type="dxa" w:w="31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w:t>
            </w:r>
          </w:p>
        </w:tc>
        <w:tc>
          <w:tcPr>
            <w:tcW w:type="dxa" w:w="31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BTC</w:t>
            </w:r>
          </w:p>
        </w:tc>
      </w:tr>
      <w:tr>
        <w:tc>
          <w:tcPr>
            <w:tcW w:type="dxa" w:w="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CRÍT.</w:t>
            </w:r>
          </w:p>
        </w:tc>
        <w:tc>
          <w:tcPr>
            <w:tcW w:type="dxa" w:w="23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Discriminante del gatillo R2D</w:t>
            </w:r>
          </w:p>
        </w:tc>
        <w:tc>
          <w:tcPr>
            <w:tcW w:type="dxa" w:w="31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 en t−2 (Cohen d=+0.57)</w:t>
            </w:r>
          </w:p>
        </w:tc>
        <w:tc>
          <w:tcPr>
            <w:tcW w:type="dxa" w:w="31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 &amp; S↓ en t−2 (Cohen d=−0.44/−0.38)</w:t>
            </w:r>
          </w:p>
        </w:tc>
      </w:tr>
      <w:tr>
        <w:tc>
          <w:tcPr>
            <w:tcW w:type="dxa" w:w="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ALTO</w:t>
            </w:r>
          </w:p>
        </w:tc>
        <w:tc>
          <w:tcPr>
            <w:tcW w:type="dxa" w:w="234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Velocidad del metabolismo</w:t>
            </w:r>
          </w:p>
        </w:tc>
        <w:tc>
          <w:tcPr>
            <w:tcW w:type="dxa" w:w="31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persist. media R2 = 1,532 ticks</w:t>
            </w:r>
          </w:p>
        </w:tc>
        <w:tc>
          <w:tcPr>
            <w:tcW w:type="dxa" w:w="31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persist. media R2 = 283 ticks (5.4× menor)</w:t>
            </w:r>
          </w:p>
        </w:tc>
      </w:tr>
      <w:tr>
        <w:tc>
          <w:tcPr>
            <w:tcW w:type="dxa" w:w="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ALTO</w:t>
            </w:r>
          </w:p>
        </w:tc>
        <w:tc>
          <w:tcPr>
            <w:tcW w:type="dxa" w:w="234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Nivel de saturación en R2A</w:t>
            </w:r>
          </w:p>
        </w:tc>
        <w:tc>
          <w:tcPr>
            <w:tcW w:type="dxa" w:w="31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 = 1.000 (saturación total)</w:t>
            </w:r>
          </w:p>
        </w:tc>
        <w:tc>
          <w:tcPr>
            <w:tcW w:type="dxa" w:w="31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 = 0.547 (saturación parcial)</w:t>
            </w:r>
          </w:p>
        </w:tc>
      </w:tr>
      <w:tr>
        <w:tc>
          <w:tcPr>
            <w:tcW w:type="dxa" w:w="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ALTO</w:t>
            </w:r>
          </w:p>
        </w:tc>
        <w:tc>
          <w:tcPr>
            <w:tcW w:type="dxa" w:w="234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Duración máxima R2A</w:t>
            </w:r>
          </w:p>
        </w:tc>
        <w:tc>
          <w:tcPr>
            <w:tcW w:type="dxa" w:w="31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492 ticks consecutivos</w:t>
            </w:r>
          </w:p>
        </w:tc>
        <w:tc>
          <w:tcPr>
            <w:tcW w:type="dxa" w:w="31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16 ticks (30× más corto)</w:t>
            </w:r>
          </w:p>
        </w:tc>
      </w:tr>
      <w:tr>
        <w:tc>
          <w:tcPr>
            <w:tcW w:type="dxa" w:w="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MEDIO</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Acoplamiento M–TF</w:t>
            </w:r>
          </w:p>
        </w:tc>
        <w:tc>
          <w:tcPr>
            <w:tcW w:type="dxa" w:w="31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 = +0.531</w:t>
            </w:r>
          </w:p>
        </w:tc>
        <w:tc>
          <w:tcPr>
            <w:tcW w:type="dxa" w:w="31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 = +0.349 (menos acoplado)</w:t>
            </w:r>
          </w:p>
        </w:tc>
      </w:tr>
      <w:tr>
        <w:tc>
          <w:tcPr>
            <w:tcW w:type="dxa" w:w="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MEDIO</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Frecuencia R2D</w:t>
            </w:r>
          </w:p>
        </w:tc>
        <w:tc>
          <w:tcPr>
            <w:tcW w:type="dxa" w:w="31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8.70% de los ticks</w:t>
            </w:r>
          </w:p>
        </w:tc>
        <w:tc>
          <w:tcPr>
            <w:tcW w:type="dxa" w:w="31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5.68% de los ticks</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INFO</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Transición R2A→R2D directa</w:t>
            </w:r>
          </w:p>
        </w:tc>
        <w:tc>
          <w:tcPr>
            <w:tcW w:type="dxa" w:w="31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Muy rara (4 casos)</w:t>
            </w:r>
          </w:p>
        </w:tc>
        <w:tc>
          <w:tcPr>
            <w:tcW w:type="dxa" w:w="31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10 casos observados</w:t>
            </w:r>
          </w:p>
        </w:tc>
      </w:tr>
    </w:tbl>
    <w:p/>
    <w:p>
      <w:pPr>
        <w:pStyle w:val="Heading1"/>
        <w:spacing w:after="140" w:before="300"/>
      </w:pPr>
      <w:r>
        <w:rPr>
          <w:rFonts w:ascii="Arial" w:cs="Arial" w:eastAsia="Arial" w:hAnsi="Arial"/>
          <w:b/>
          <w:bCs/>
          <w:color w:val="1A3A6B"/>
          <w:sz w:val="32"/>
          <w:szCs w:val="32"/>
        </w:rPr>
        <w:t xml:space="preserve">10. Similitudes estructurales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8"/>
        <w:gridCol w:w="2876"/>
        <w:gridCol w:w="2876"/>
      </w:tblGrid>
      <w:tr>
        <w:tc>
          <w:tcPr>
            <w:tcW w:type="dxa" w:w="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280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Similitud</w:t>
            </w:r>
          </w:p>
        </w:tc>
        <w:tc>
          <w:tcPr>
            <w:tcW w:type="dxa" w:w="287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w:t>
            </w:r>
          </w:p>
        </w:tc>
        <w:tc>
          <w:tcPr>
            <w:tcW w:type="dxa" w:w="2876"/>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w:t>
            </w:r>
          </w:p>
        </w:tc>
      </w:tr>
      <w:tr>
        <w:tc>
          <w:tcPr>
            <w:tcW w:type="dxa" w:w="80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Condición M ≥ 0.90 para R2D</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 excepciones / 25,149</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 excepciones / 7,255</w:t>
            </w:r>
          </w:p>
        </w:tc>
      </w:tr>
      <w:tr>
        <w:tc>
          <w:tcPr>
            <w:tcW w:type="dxa" w:w="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Firma R2D en t=0 (M, vel, TF)</w:t>
            </w:r>
          </w:p>
        </w:tc>
        <w:tc>
          <w:tcPr>
            <w:tcW w:type="dxa" w:w="287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M=0.960, vel=0.343, TF=0.372</w:t>
            </w:r>
          </w:p>
        </w:tc>
        <w:tc>
          <w:tcPr>
            <w:tcW w:type="dxa" w:w="287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M=0.968, vel=0.349, TF=0.373</w:t>
            </w:r>
          </w:p>
        </w:tc>
      </w:tr>
      <w:tr>
        <w:tc>
          <w:tcPr>
            <w:tcW w:type="dxa" w:w="80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Silencio cinético t−1: vel cae ~52%</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0.185→0.089 (−52%)</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0.110→0.083 (−52%)</w:t>
            </w:r>
          </w:p>
        </w:tc>
      </w:tr>
      <w:tr>
        <w:tc>
          <w:tcPr>
            <w:tcW w:type="dxa" w:w="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Topología R2→R2D→R2 y R2→R2A→R2</w:t>
            </w:r>
          </w:p>
        </w:tc>
        <w:tc>
          <w:tcPr>
            <w:tcW w:type="dxa" w:w="287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confirmada</w:t>
            </w:r>
          </w:p>
        </w:tc>
        <w:tc>
          <w:tcPr>
            <w:tcW w:type="dxa" w:w="287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confirmada</w:t>
            </w:r>
          </w:p>
        </w:tc>
      </w:tr>
      <w:tr>
        <w:tc>
          <w:tcPr>
            <w:tcW w:type="dxa" w:w="80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Bloque A–F anti-correlacionado</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 = −0.960</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 = −0.935</w:t>
            </w:r>
          </w:p>
        </w:tc>
      </w:tr>
      <w:tr>
        <w:tc>
          <w:tcPr>
            <w:tcW w:type="dxa" w:w="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TF como proxy de F (r &gt; +0.86)</w:t>
            </w:r>
          </w:p>
        </w:tc>
        <w:tc>
          <w:tcPr>
            <w:tcW w:type="dxa" w:w="287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 = +0.861</w:t>
            </w:r>
          </w:p>
        </w:tc>
        <w:tc>
          <w:tcPr>
            <w:tcW w:type="dxa" w:w="287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 = +0.880</w:t>
            </w:r>
          </w:p>
        </w:tc>
      </w:tr>
      <w:tr>
        <w:tc>
          <w:tcPr>
            <w:tcW w:type="dxa" w:w="80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Bloque vel–energía (r &gt; +0.83)</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 = +0.838</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r = +0.855</w:t>
            </w:r>
          </w:p>
        </w:tc>
      </w:tr>
      <w:tr>
        <w:tc>
          <w:tcPr>
            <w:tcW w:type="dxa" w:w="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R1 = artefacto inicialización M=0</w:t>
            </w:r>
          </w:p>
        </w:tc>
        <w:tc>
          <w:tcPr>
            <w:tcW w:type="dxa" w:w="287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M=0 en 99.8% de R1</w:t>
            </w:r>
          </w:p>
        </w:tc>
        <w:tc>
          <w:tcPr>
            <w:tcW w:type="dxa" w:w="287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M=0 en 94.1% de R1</w:t>
            </w:r>
          </w:p>
        </w:tc>
      </w:tr>
      <w:tr>
        <w:tc>
          <w:tcPr>
            <w:tcW w:type="dxa" w:w="80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R2A con TF≈0, vel≈0, M&gt;0.96</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TF=0.004, vel=0.003</w:t>
            </w:r>
          </w:p>
        </w:tc>
        <w:tc>
          <w:tcPr>
            <w:tcW w:type="dxa" w:w="2876"/>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TF=0.010, vel=0.052</w:t>
            </w:r>
          </w:p>
        </w:tc>
      </w:tr>
      <w:tr>
        <w:tc>
          <w:tcPr>
            <w:tcW w:type="dxa" w:w="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w:t>
            </w:r>
          </w:p>
        </w:tc>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ΔM positivo al entrar R2D (&gt;81%)</w:t>
            </w:r>
          </w:p>
        </w:tc>
        <w:tc>
          <w:tcPr>
            <w:tcW w:type="dxa" w:w="2876"/>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+0.154, 81.6% casos</w:t>
            </w:r>
          </w:p>
        </w:tc>
        <w:tc>
          <w:tcPr>
            <w:tcW w:type="dxa" w:w="2876"/>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+0.175, 84.8% casos</w:t>
            </w:r>
          </w:p>
        </w:tc>
      </w:tr>
    </w:tbl>
    <w:p/>
    <w:p>
      <w:pPr>
        <w:pStyle w:val="Heading1"/>
        <w:spacing w:after="140" w:before="300"/>
      </w:pPr>
      <w:r>
        <w:rPr>
          <w:rFonts w:ascii="Arial" w:cs="Arial" w:eastAsia="Arial" w:hAnsi="Arial"/>
          <w:b/>
          <w:bCs/>
          <w:color w:val="1A3A6B"/>
          <w:sz w:val="32"/>
          <w:szCs w:val="32"/>
        </w:rPr>
        <w:t xml:space="preserve">11. Implicaciones para la física estructural del mercado</w:t>
      </w:r>
    </w:p>
    <w:p>
      <w:pPr>
        <w:pStyle w:val="Heading2"/>
        <w:spacing w:after="100" w:before="220"/>
      </w:pPr>
      <w:r>
        <w:rPr>
          <w:rFonts w:ascii="Arial" w:cs="Arial" w:eastAsia="Arial" w:hAnsi="Arial"/>
          <w:b/>
          <w:bCs/>
          <w:color w:val="2D5FA0"/>
          <w:sz w:val="26"/>
          <w:szCs w:val="26"/>
        </w:rPr>
        <w:t xml:space="preserve">11.1 El organismo de mercado es universal</w:t>
      </w:r>
    </w:p>
    <w:p>
      <w:pPr>
        <w:spacing w:after="100" w:before="60"/>
        <w:jc w:val="both"/>
      </w:pPr>
      <w:r>
        <w:rPr>
          <w:rFonts w:ascii="Arial" w:cs="Arial" w:eastAsia="Arial" w:hAnsi="Arial"/>
          <w:color w:val="333333"/>
          <w:sz w:val="22"/>
          <w:szCs w:val="22"/>
        </w:rPr>
        <w:t xml:space="preserve">El resultado más importante de esta comparación es que la arquitectura del organismo de mercado — su fisiología — es la misma en activos tan distintos como el Oro y el Bitcoin. Esto no era evidente a priori: son activos con microestructuras, participantes, sesiones horarias y dinámicas de volatilidad completamente diferentes. Sin embargo, el sistema CORE detecta los mismos cuatro regímenes, con las mismas propiedades cualitativas y las mismas leyes cuantitativas en ambos.</w:t>
      </w:r>
    </w:p>
    <w:p>
      <w:pPr>
        <w:spacing w:after="100" w:before="60"/>
        <w:jc w:val="both"/>
      </w:pPr>
      <w:r>
        <w:rPr>
          <w:rFonts w:ascii="Arial" w:cs="Arial" w:eastAsia="Arial" w:hAnsi="Arial"/>
          <w:color w:val="333333"/>
          <w:sz w:val="22"/>
          <w:szCs w:val="22"/>
        </w:rPr>
        <w:t xml:space="preserve">Esto sugiere que la Física Estructural del Mercado está capturando propiedades fundamentales del comportamiento colectivo de los participantes de mercado, no artefactos del instrumento específico. La memoria (M), la fatiga (TF), y los estados de descarga (R2D) y saturación (R2A) son manifestaciones de dinámicas universales de sistemas complejos con retroalimentación.</w:t>
      </w:r>
    </w:p>
    <w:p>
      <w:pPr>
        <w:pStyle w:val="Heading2"/>
        <w:spacing w:after="100" w:before="220"/>
      </w:pPr>
      <w:r>
        <w:rPr>
          <w:rFonts w:ascii="Arial" w:cs="Arial" w:eastAsia="Arial" w:hAnsi="Arial"/>
          <w:b/>
          <w:bCs/>
          <w:color w:val="2D5FA0"/>
          <w:sz w:val="26"/>
          <w:szCs w:val="26"/>
        </w:rPr>
        <w:t xml:space="preserve">11.2 El metabolismo es específico del activo</w:t>
      </w:r>
    </w:p>
    <w:p>
      <w:pPr>
        <w:spacing w:after="100" w:before="60"/>
        <w:jc w:val="both"/>
      </w:pPr>
      <w:r>
        <w:rPr>
          <w:rFonts w:ascii="Arial" w:cs="Arial" w:eastAsia="Arial" w:hAnsi="Arial"/>
          <w:color w:val="333333"/>
          <w:sz w:val="22"/>
          <w:szCs w:val="22"/>
        </w:rPr>
        <w:t xml:space="preserve">Lo que varía entre activos es la velocidad y la intensidad de estos procesos. BTC opera con ciclos 5.4 veces más rápidos que XAU en el estado base. BTC nunca alcanza la saturación prolongada del estado R2A. La firma del gatillo R2D refleja mecanismos de acumulación distintos (A↑ en XAU vs P↓&amp;S↓ en BTC). Estos son rasgos del metabolismo del activo, no de su fisiología.</w:t>
      </w:r>
    </w:p>
    <w:p>
      <w:pPr>
        <w:spacing w:after="100" w:before="60"/>
        <w:jc w:val="both"/>
      </w:pPr>
      <w:r>
        <w:rPr>
          <w:rFonts w:ascii="Arial" w:cs="Arial" w:eastAsia="Arial" w:hAnsi="Arial"/>
          <w:color w:val="333333"/>
          <w:sz w:val="22"/>
          <w:szCs w:val="22"/>
        </w:rPr>
        <w:t xml:space="preserve">La analogía biológica que mejor captura esto es la comparación de mamíferos por tamaño: un elefante y un ratón tienen el mismo sistema cardiovascular, el mismo sistema nervioso, los mismos órganos. Pero el corazón del ratón late 600 veces por minuto y el del elefante 30. El Oro es el elefante. Bitcoin es el ratón.</w:t>
      </w:r>
    </w:p>
    <w:p>
      <w:pPr>
        <w:pStyle w:val="Heading2"/>
        <w:spacing w:after="100" w:before="220"/>
      </w:pPr>
      <w:r>
        <w:rPr>
          <w:rFonts w:ascii="Arial" w:cs="Arial" w:eastAsia="Arial" w:hAnsi="Arial"/>
          <w:b/>
          <w:bCs/>
          <w:color w:val="2D5FA0"/>
          <w:sz w:val="26"/>
          <w:szCs w:val="26"/>
        </w:rPr>
        <w:t xml:space="preserve">11.3 Próximos pasos</w:t>
      </w:r>
    </w:p>
    <w:p>
      <w:pPr>
        <w:pStyle w:val="ListParagraph"/>
        <w:numPr>
          <w:ilvl w:val="0"/>
          <w:numId w:val="2"/>
        </w:numPr>
        <w:spacing w:after="60" w:before="40"/>
      </w:pPr>
      <w:r>
        <w:rPr>
          <w:rFonts w:ascii="Arial" w:cs="Arial" w:eastAsia="Arial" w:hAnsi="Arial"/>
          <w:color w:val="333333"/>
          <w:sz w:val="22"/>
          <w:szCs w:val="22"/>
        </w:rPr>
        <w:t xml:space="preserve">Extender el análisis a EURUSD, NVDA o S&amp;P500 para confirmar la universalidad en tres o más activos.</w:t>
      </w:r>
    </w:p>
    <w:p>
      <w:pPr>
        <w:pStyle w:val="ListParagraph"/>
        <w:numPr>
          <w:ilvl w:val="0"/>
          <w:numId w:val="2"/>
        </w:numPr>
        <w:spacing w:after="60" w:before="40"/>
      </w:pPr>
      <w:r>
        <w:rPr>
          <w:rFonts w:ascii="Arial" w:cs="Arial" w:eastAsia="Arial" w:hAnsi="Arial"/>
          <w:color w:val="333333"/>
          <w:sz w:val="22"/>
          <w:szCs w:val="22"/>
        </w:rPr>
        <w:t xml:space="preserve">Construir un clasificador automático de 'tipo de metabolismo' que ajuste los umbrales del detector según el activo.</w:t>
      </w:r>
    </w:p>
    <w:p>
      <w:pPr>
        <w:pStyle w:val="ListParagraph"/>
        <w:numPr>
          <w:ilvl w:val="0"/>
          <w:numId w:val="2"/>
        </w:numPr>
        <w:spacing w:after="60" w:before="40"/>
      </w:pPr>
      <w:r>
        <w:rPr>
          <w:rFonts w:ascii="Arial" w:cs="Arial" w:eastAsia="Arial" w:hAnsi="Arial"/>
          <w:color w:val="333333"/>
          <w:sz w:val="22"/>
          <w:szCs w:val="22"/>
        </w:rPr>
        <w:t xml:space="preserve">Investigar si la diferencia en saturación R2A (A=1.0 en XAU vs A=0.55 en BTC) tiene correlato en la microestructura del mercado.</w:t>
      </w:r>
    </w:p>
    <w:p>
      <w:pPr>
        <w:pStyle w:val="ListParagraph"/>
        <w:numPr>
          <w:ilvl w:val="0"/>
          <w:numId w:val="2"/>
        </w:numPr>
        <w:spacing w:after="60" w:before="40"/>
      </w:pPr>
      <w:r>
        <w:rPr>
          <w:rFonts w:ascii="Arial" w:cs="Arial" w:eastAsia="Arial" w:hAnsi="Arial"/>
          <w:color w:val="333333"/>
          <w:sz w:val="22"/>
          <w:szCs w:val="22"/>
        </w:rPr>
        <w:t xml:space="preserve">Analizar si el acoplamiento M–TF más débil en BTC (+0.349 vs +0.531) explica la mayor dificultad de predicción del gatillo R2D en ese activo.</w:t>
      </w:r>
    </w:p>
    <w:p>
      <w:pPr>
        <w:pStyle w:val="ListParagraph"/>
        <w:numPr>
          <w:ilvl w:val="0"/>
          <w:numId w:val="2"/>
        </w:numPr>
        <w:spacing w:after="60" w:before="40"/>
      </w:pPr>
      <w:r>
        <w:rPr>
          <w:rFonts w:ascii="Arial" w:cs="Arial" w:eastAsia="Arial" w:hAnsi="Arial"/>
          <w:color w:val="333333"/>
          <w:sz w:val="22"/>
          <w:szCs w:val="22"/>
        </w:rPr>
        <w:t xml:space="preserve">Estudiar los 10 casos de transición directa R2A→R2D en BTC: ¿condición de inestabilidad del estado crítico exclusiva de activos con metabolismo rápido?</w:t>
      </w:r>
    </w:p>
    <w:p/>
    <w:p>
      <w:pPr>
        <w:pBdr>
          <w:bottom w:val="single" w:color="CCCCCC" w:sz="4" w:space="1"/>
        </w:pBdr>
        <w:spacing w:after="120" w:before="120"/>
      </w:pPr>
    </w:p>
    <w:p>
      <w:pPr>
        <w:spacing w:after="0" w:before="120"/>
        <w:jc w:val="center"/>
      </w:pPr>
      <w:r>
        <w:rPr>
          <w:rFonts w:ascii="Arial" w:cs="Arial" w:eastAsia="Arial" w:hAnsi="Arial"/>
          <w:color w:val="AAAAAA"/>
          <w:sz w:val="18"/>
          <w:szCs w:val="18"/>
        </w:rPr>
        <w:t xml:space="preserve">Fin del informe  ·  X-LAB / Quantum Scalper Framework  ·  10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AAAAAA"/>
        <w:sz w:val="18"/>
        <w:szCs w:val="18"/>
      </w:rPr>
      <w:t xml:space="preserve">X-LAB · Quantum Scalper V29.3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jc w:val="right"/>
    </w:pPr>
    <w:r>
      <w:rPr>
        <w:rFonts w:ascii="Arial" w:cs="Arial" w:eastAsia="Arial" w:hAnsi="Arial"/>
        <w:color w:val="888888"/>
        <w:sz w:val="18"/>
        <w:szCs w:val="18"/>
      </w:rPr>
      <w:t xml:space="preserve">XAUUSD vs BTCUSD — Análisis comparativo · Física Estructural del Mercado · X-LAB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A6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D5FA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2026-06-11T02:15:07.360Z</dcterms:created>
  <dcterms:modified xsi:type="dcterms:W3CDTF">2026-06-11T02:15:07.372Z</dcterms:modified>
</cp:coreProperties>
</file>

<file path=docProps/custom.xml><?xml version="1.0" encoding="utf-8"?>
<Properties xmlns="http://schemas.openxmlformats.org/officeDocument/2006/custom-properties" xmlns:vt="http://schemas.openxmlformats.org/officeDocument/2006/docPropsVTypes"/>
</file>