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C73ABE" w14:textId="49C76DC7" w:rsidR="00B45FE9" w:rsidRPr="007B03C2" w:rsidRDefault="007B03C2" w:rsidP="007A3515">
      <w:pPr>
        <w:rPr>
          <w:b/>
          <w:sz w:val="28"/>
          <w:szCs w:val="28"/>
        </w:rPr>
      </w:pPr>
      <w:r w:rsidRPr="007B03C2">
        <w:rPr>
          <w:b/>
          <w:sz w:val="28"/>
          <w:szCs w:val="28"/>
        </w:rPr>
        <w:t xml:space="preserve">NOTE: AC stopped working on this aff halfway through </w:t>
      </w:r>
    </w:p>
    <w:p w14:paraId="3E25847C" w14:textId="77777777" w:rsidR="00D851FB" w:rsidRDefault="00D851FB" w:rsidP="007A3515"/>
    <w:p w14:paraId="3DD882C9" w14:textId="361E4059" w:rsidR="00087AE8" w:rsidRPr="00087AE8" w:rsidRDefault="00087AE8" w:rsidP="00087AE8">
      <w:pPr>
        <w:pStyle w:val="Heading1"/>
      </w:pPr>
      <w:r>
        <w:lastRenderedPageBreak/>
        <w:t>1AC</w:t>
      </w:r>
    </w:p>
    <w:p w14:paraId="40584D62" w14:textId="5E676E5B" w:rsidR="00D851FB" w:rsidRDefault="00D851FB" w:rsidP="00084170">
      <w:pPr>
        <w:pStyle w:val="Heading4"/>
      </w:pPr>
      <w:r>
        <w:t>During the Summit of the Americas, Chavez gave Obama a book</w:t>
      </w:r>
      <w:r w:rsidR="00873C50">
        <w:t>—a gift</w:t>
      </w:r>
      <w:r>
        <w:t>. He looked confused, expecting it to be one of Chavez’s books. Obama said later that he was going to give Chavez one of this own. The book was “The Open Veins of Latin</w:t>
      </w:r>
      <w:r w:rsidR="008B552F">
        <w:t xml:space="preserve"> America” by Eduardo Galeano.</w:t>
      </w:r>
    </w:p>
    <w:p w14:paraId="37181220" w14:textId="77777777" w:rsidR="005E18DB" w:rsidRDefault="005E18DB" w:rsidP="007A3515"/>
    <w:p w14:paraId="44535FE4" w14:textId="7B064A3B" w:rsidR="00434AF7" w:rsidRDefault="00434AF7" w:rsidP="007A3515">
      <w:r>
        <w:t>[</w:t>
      </w:r>
      <w:proofErr w:type="gramStart"/>
      <w:r>
        <w:t>stuff</w:t>
      </w:r>
      <w:proofErr w:type="gramEnd"/>
      <w:r>
        <w:t xml:space="preserve"> about derrida/</w:t>
      </w:r>
      <w:r w:rsidR="009D753B">
        <w:t xml:space="preserve">a card about </w:t>
      </w:r>
      <w:r>
        <w:t>the gift]</w:t>
      </w:r>
    </w:p>
    <w:p w14:paraId="317C14B7" w14:textId="77777777" w:rsidR="005E18DB" w:rsidRDefault="005E18DB" w:rsidP="007A3515"/>
    <w:p w14:paraId="169D7542" w14:textId="49F4265B" w:rsidR="006519B5" w:rsidRDefault="000D6907" w:rsidP="00084170">
      <w:pPr>
        <w:pStyle w:val="Heading4"/>
      </w:pPr>
      <w:r>
        <w:t xml:space="preserve">But </w:t>
      </w:r>
      <w:r w:rsidR="00434AF7">
        <w:t>this</w:t>
      </w:r>
      <w:r w:rsidR="0039214D">
        <w:t xml:space="preserve"> </w:t>
      </w:r>
      <w:r w:rsidR="0039214D" w:rsidRPr="00105456">
        <w:t>gift can only be returned when the historical structures of violence that the book describes are dismantled</w:t>
      </w:r>
      <w:r w:rsidR="00334981">
        <w:t>.</w:t>
      </w:r>
      <w:r w:rsidR="00873C50">
        <w:t xml:space="preserve"> </w:t>
      </w:r>
      <w:r w:rsidR="00DA292B">
        <w:t>This is a prerequisite to any form of economic engagement.</w:t>
      </w:r>
      <w:bookmarkStart w:id="0" w:name="_GoBack"/>
      <w:bookmarkEnd w:id="0"/>
    </w:p>
    <w:p w14:paraId="1E99112A" w14:textId="77777777" w:rsidR="000D6907" w:rsidRDefault="000D6907" w:rsidP="007A3515"/>
    <w:p w14:paraId="2F7C21BD" w14:textId="2AEA6309" w:rsidR="00A61A9C" w:rsidRPr="00084170" w:rsidRDefault="00A61A9C" w:rsidP="00084170">
      <w:pPr>
        <w:pStyle w:val="Heading4"/>
      </w:pPr>
      <w:r w:rsidRPr="00084170">
        <w:t xml:space="preserve">Status quo </w:t>
      </w:r>
      <w:r w:rsidR="00CE3653" w:rsidRPr="00084170">
        <w:t>structures</w:t>
      </w:r>
      <w:r w:rsidRPr="00084170">
        <w:t xml:space="preserve"> preclude any form of communication with the subaltern—instead, the first step is listening</w:t>
      </w:r>
    </w:p>
    <w:p w14:paraId="48272920" w14:textId="77777777" w:rsidR="00A61A9C" w:rsidRDefault="00A61A9C" w:rsidP="00A61A9C">
      <w:r w:rsidRPr="00BD62C2">
        <w:rPr>
          <w:rStyle w:val="StyleStyleBold12pt"/>
        </w:rPr>
        <w:t>Maggio</w:t>
      </w:r>
      <w:r>
        <w:t xml:space="preserve"> (Lawyer and PhD candidate at University of Florida) 20</w:t>
      </w:r>
      <w:r w:rsidRPr="00BD62C2">
        <w:rPr>
          <w:rStyle w:val="StyleStyleBold12pt"/>
        </w:rPr>
        <w:t>07</w:t>
      </w:r>
      <w:r>
        <w:br/>
        <w:t>(Jay, “’Can the Subaltern Speak?</w:t>
      </w:r>
      <w:proofErr w:type="gramStart"/>
      <w:r>
        <w:t>’:</w:t>
      </w:r>
      <w:proofErr w:type="gramEnd"/>
      <w:r>
        <w:t xml:space="preserve"> </w:t>
      </w:r>
      <w:r w:rsidRPr="00D34928">
        <w:t>Political Theory, Translation, Representation, and Gayatri Chakravorty Spivak</w:t>
      </w:r>
      <w:r>
        <w:t>” Alternatives: Global, Local, Political, Vol. 32, No. 4 (Oct.-Dec. 2007), pp. 419-443 )</w:t>
      </w:r>
    </w:p>
    <w:p w14:paraId="216185D2" w14:textId="77777777" w:rsidR="00A61A9C" w:rsidRPr="000B6EAA" w:rsidRDefault="00A61A9C" w:rsidP="00A61A9C"/>
    <w:p w14:paraId="355790EC" w14:textId="77777777" w:rsidR="00A61A9C" w:rsidRDefault="00A61A9C" w:rsidP="00A61A9C">
      <w:pPr>
        <w:rPr>
          <w:rStyle w:val="StyleBoldUnderline"/>
        </w:rPr>
      </w:pPr>
      <w:r w:rsidRPr="0039214D">
        <w:rPr>
          <w:sz w:val="16"/>
        </w:rPr>
        <w:t xml:space="preserve">Several important thinkers have discussed the process of translation in depth. Most notably, Walter Benjamin struggled with the intricacies of translation. For Benjamin, the "receiver" of translation is a meaning- less concept. </w:t>
      </w:r>
      <w:r w:rsidRPr="0022723D">
        <w:rPr>
          <w:rStyle w:val="StyleBoldUnderline"/>
        </w:rPr>
        <w:t>No translation is ever the "same" as the "original</w:t>
      </w:r>
      <w:r w:rsidRPr="0039214D">
        <w:rPr>
          <w:sz w:val="16"/>
        </w:rPr>
        <w:t xml:space="preserve">." In other words, a translation cannot "possibly reveal or establish this hid- den relationship."110 </w:t>
      </w:r>
      <w:r w:rsidRPr="0022723D">
        <w:rPr>
          <w:rStyle w:val="StyleBoldUnderline"/>
        </w:rPr>
        <w:t>It is not</w:t>
      </w:r>
      <w:r w:rsidRPr="0039214D">
        <w:rPr>
          <w:sz w:val="16"/>
        </w:rPr>
        <w:t xml:space="preserve"> </w:t>
      </w:r>
      <w:r w:rsidRPr="0022723D">
        <w:rPr>
          <w:rStyle w:val="StyleBoldUnderline"/>
        </w:rPr>
        <w:t>the translator's task to represent the original, for such a representation is impossible</w:t>
      </w:r>
      <w:r w:rsidRPr="0039214D">
        <w:rPr>
          <w:sz w:val="16"/>
        </w:rPr>
        <w:t xml:space="preserve">: "Even the greatest translation is destined to be part of the growth of its own language."111 </w:t>
      </w:r>
      <w:r w:rsidRPr="0022723D">
        <w:rPr>
          <w:rStyle w:val="StyleBoldUnderline"/>
        </w:rPr>
        <w:t>The translator must look at the interaction between languages, and must explore the "intention underlying each language as a whole.</w:t>
      </w:r>
      <w:r w:rsidRPr="0039214D">
        <w:rPr>
          <w:sz w:val="16"/>
        </w:rPr>
        <w:t xml:space="preserve">"112 On Benjamin's account, </w:t>
      </w:r>
      <w:r w:rsidRPr="0022723D">
        <w:rPr>
          <w:rStyle w:val="StyleBoldUnderline"/>
        </w:rPr>
        <w:t>translation is the "coming to terms with" the foreignness of types of communication</w:t>
      </w:r>
      <w:r w:rsidRPr="0039214D">
        <w:rPr>
          <w:sz w:val="16"/>
        </w:rPr>
        <w:t xml:space="preserve">, the "getting at" the element of language that creates an aporia.113 Translation is, in a sense, the "movement" between one hermeneutic moment and another.114 Hence, </w:t>
      </w:r>
      <w:r w:rsidRPr="0022723D">
        <w:rPr>
          <w:rStyle w:val="StyleBoldUnderline"/>
        </w:rPr>
        <w:t>a translation can actually "elevate" the original</w:t>
      </w:r>
      <w:r w:rsidRPr="0039214D">
        <w:rPr>
          <w:sz w:val="16"/>
        </w:rPr>
        <w:t xml:space="preserve">, and </w:t>
      </w:r>
      <w:r w:rsidRPr="0022723D">
        <w:rPr>
          <w:rStyle w:val="StyleBoldUnderline"/>
        </w:rPr>
        <w:t>the task of the translator is to "echo" the original</w:t>
      </w:r>
      <w:r w:rsidRPr="0039214D">
        <w:rPr>
          <w:sz w:val="16"/>
        </w:rPr>
        <w:t xml:space="preserve"> </w:t>
      </w:r>
      <w:r w:rsidRPr="0022723D">
        <w:rPr>
          <w:rStyle w:val="StyleBoldUnderline"/>
        </w:rPr>
        <w:t>in a way</w:t>
      </w:r>
      <w:r w:rsidRPr="0039214D">
        <w:rPr>
          <w:sz w:val="16"/>
        </w:rPr>
        <w:t xml:space="preserve"> </w:t>
      </w:r>
      <w:proofErr w:type="gramStart"/>
      <w:r w:rsidRPr="0022723D">
        <w:rPr>
          <w:rStyle w:val="StyleBoldUnderline"/>
        </w:rPr>
        <w:t>that</w:t>
      </w:r>
      <w:proofErr w:type="gramEnd"/>
      <w:r w:rsidRPr="0022723D">
        <w:rPr>
          <w:rStyle w:val="StyleBoldUnderline"/>
        </w:rPr>
        <w:t xml:space="preserve"> helps illuminate the intended meaning</w:t>
      </w:r>
      <w:r w:rsidRPr="0039214D">
        <w:rPr>
          <w:sz w:val="16"/>
        </w:rPr>
        <w:t xml:space="preserve">.115 Benjamin suggests that </w:t>
      </w:r>
      <w:r w:rsidRPr="0022723D">
        <w:rPr>
          <w:rStyle w:val="StyleBoldUnderline"/>
        </w:rPr>
        <w:t>translation</w:t>
      </w:r>
      <w:r w:rsidRPr="0039214D">
        <w:rPr>
          <w:sz w:val="16"/>
        </w:rPr>
        <w:t xml:space="preserve"> is always at the margins of dis- course and that it </w:t>
      </w:r>
      <w:r w:rsidRPr="0022723D">
        <w:rPr>
          <w:rStyle w:val="StyleBoldUnderline"/>
        </w:rPr>
        <w:t>acts a kind of "midway" point in intellectual dialogue</w:t>
      </w:r>
      <w:r w:rsidRPr="0039214D">
        <w:rPr>
          <w:sz w:val="16"/>
        </w:rPr>
        <w:t xml:space="preserve">.116 </w:t>
      </w:r>
      <w:r w:rsidRPr="0022723D">
        <w:rPr>
          <w:rStyle w:val="StyleBoldUnderline"/>
        </w:rPr>
        <w:t>A translator cannot</w:t>
      </w:r>
      <w:r w:rsidRPr="0039214D">
        <w:rPr>
          <w:sz w:val="16"/>
        </w:rPr>
        <w:t xml:space="preserve"> simply </w:t>
      </w:r>
      <w:r w:rsidRPr="0022723D">
        <w:rPr>
          <w:rStyle w:val="StyleBoldUnderline"/>
        </w:rPr>
        <w:t>rely on literalness</w:t>
      </w:r>
      <w:r w:rsidRPr="0039214D">
        <w:rPr>
          <w:sz w:val="16"/>
        </w:rPr>
        <w:t xml:space="preserve">, </w:t>
      </w:r>
      <w:r w:rsidRPr="00905D14">
        <w:rPr>
          <w:sz w:val="12"/>
          <w:szCs w:val="12"/>
        </w:rPr>
        <w:t xml:space="preserve">on a virtual dãrtelling, because in literal translation there is nothing but emptiness. Literary critic George Steiner explains this notion of translation in the context of expressing the intentions of the writer so "far as [the translator] is able."118 Roland Barthes also examined the methods of translation. Barthes asserted that culture itself was an artifact that could be translated into academic discourse. Everyday cultural objects and events - such as commercials, soap powders, cookery, and so forth - create subordinate connotations, which exist next to their standard meanings. These subordinate meanings subsequently help reinforce the values of the dominant capitalist-bourgeois system. In translating everyday culture, Barthes is "interested in the semiotically rich resources of an emerging consumer society."119 For example, in trans- lating the meaning of the image of Greta Garbo's face, Barthes writes: "Garbo offered to one's gaze a sort of Platonic Idea of the human creature, which explains why her face is almost sexually undefined, without however leaving one in doubt." Barthes sees the meaning of the popular-culture figure Garbo in the context, or language, of Platonic philosophy. This is an exemplar of translating culture into the language of reason. That being said, Barthes attempts to offer a translation that is a bit too systematic for an accounting of the Spivakian subaltern. </w:t>
      </w:r>
      <w:r w:rsidRPr="00905D14">
        <w:rPr>
          <w:rStyle w:val="StyleBoldUnderline"/>
          <w:sz w:val="12"/>
          <w:szCs w:val="12"/>
        </w:rPr>
        <w:t xml:space="preserve">The </w:t>
      </w:r>
      <w:r w:rsidRPr="0022723D">
        <w:rPr>
          <w:rStyle w:val="StyleBoldUnderline"/>
        </w:rPr>
        <w:t>subaltern c</w:t>
      </w:r>
      <w:r>
        <w:rPr>
          <w:rStyle w:val="StyleBoldUnderline"/>
        </w:rPr>
        <w:t>annot be spoken for by a struc</w:t>
      </w:r>
      <w:r w:rsidRPr="0022723D">
        <w:rPr>
          <w:rStyle w:val="StyleBoldUnderline"/>
        </w:rPr>
        <w:t>turalist metalanguage</w:t>
      </w:r>
      <w:r w:rsidRPr="00905D14">
        <w:rPr>
          <w:sz w:val="12"/>
          <w:szCs w:val="12"/>
        </w:rPr>
        <w:t xml:space="preserve">. Henri Lefebvre criticized Barthes's theory of translation for hav- ing </w:t>
      </w:r>
      <w:proofErr w:type="gramStart"/>
      <w:r w:rsidRPr="00905D14">
        <w:rPr>
          <w:sz w:val="12"/>
          <w:szCs w:val="12"/>
        </w:rPr>
        <w:t>a "fetishism of signification."</w:t>
      </w:r>
      <w:proofErr w:type="gramEnd"/>
      <w:r w:rsidRPr="00905D14">
        <w:rPr>
          <w:sz w:val="12"/>
          <w:szCs w:val="12"/>
        </w:rPr>
        <w:t xml:space="preserve">120 Lefebvre argues that an overrid- ing theory is not well suited to interpret culture: "Its desire to pin phenomena down to textual meaning ... is ill-equipped to deal with the blankness and boredom of daily life."121 In his concluding thoughts, Lefebvre argues that the "everyday needs to be understood as a series of shifting, interconnecting elements that resist the mod- ern notion that sight offers intelligibility."122 This notion aligns with Steiner's ideas of "language in perpetual change."123 Steiner writes: But the ordinary language is, literally at every moment, subject to mutation. This takes many forms. New words enter in as old words lapse. Grammatical conventions are changed under the pressure of idiomatic use or by cultural ordinance. The spectrum of permissible expression as against that which is taboo shifts per- petually. At a deeper level, the relative dimensions and intensities of the spoken and the unspoken alter.124 ¶ Using this translation of the "relative dimension and intensities of the spoken and the unspoken," I believe a thinker can express subaltern life with appropriate sensitivity and subtleness.125 Spivak herself has written much about </w:t>
      </w:r>
      <w:r w:rsidRPr="00905D14">
        <w:rPr>
          <w:sz w:val="12"/>
          <w:szCs w:val="12"/>
        </w:rPr>
        <w:lastRenderedPageBreak/>
        <w:t>translation. As one might expect,</w:t>
      </w:r>
      <w:r w:rsidRPr="0039214D">
        <w:rPr>
          <w:sz w:val="16"/>
        </w:rPr>
        <w:t xml:space="preserve"> </w:t>
      </w:r>
      <w:r w:rsidRPr="0022723D">
        <w:rPr>
          <w:rStyle w:val="StyleBoldUnderline"/>
        </w:rPr>
        <w:t>an earnest listening is the first step to translation</w:t>
      </w:r>
      <w:r w:rsidRPr="0039214D">
        <w:rPr>
          <w:sz w:val="16"/>
        </w:rPr>
        <w:t xml:space="preserve">.126 Or, to be more accurate, </w:t>
      </w:r>
      <w:r w:rsidRPr="0022723D">
        <w:rPr>
          <w:rStyle w:val="StyleBoldUnderline"/>
        </w:rPr>
        <w:t>declaring the subaltern silent is the initial stride toward an "unsilencing" of the subaltern</w:t>
      </w:r>
      <w:r w:rsidRPr="0039214D">
        <w:rPr>
          <w:sz w:val="16"/>
        </w:rPr>
        <w:t xml:space="preserve">.127 Yet, </w:t>
      </w:r>
      <w:r w:rsidRPr="0022723D">
        <w:rPr>
          <w:rStyle w:val="StyleBoldUnderline"/>
        </w:rPr>
        <w:t>after a thinker has awareness of the unique silence of the subaltern, then a translation can take place.</w:t>
      </w:r>
      <w:r w:rsidRPr="0039214D">
        <w:rPr>
          <w:sz w:val="16"/>
        </w:rPr>
        <w:t xml:space="preserve"> Regarding translation, Spivak agrees with Benjamin that </w:t>
      </w:r>
      <w:r w:rsidRPr="0022723D">
        <w:rPr>
          <w:rStyle w:val="StyleBoldUnderline"/>
        </w:rPr>
        <w:t>one can- not signify the "original</w:t>
      </w:r>
      <w:r w:rsidRPr="0039214D">
        <w:rPr>
          <w:sz w:val="16"/>
        </w:rPr>
        <w:t xml:space="preserve">": </w:t>
      </w:r>
      <w:r w:rsidRPr="0022723D">
        <w:rPr>
          <w:rStyle w:val="StyleBoldUnderline"/>
        </w:rPr>
        <w:t xml:space="preserve">Translation is a "necessary </w:t>
      </w:r>
      <w:proofErr w:type="gramStart"/>
      <w:r w:rsidRPr="0022723D">
        <w:rPr>
          <w:rStyle w:val="StyleBoldUnderline"/>
        </w:rPr>
        <w:t>impossibility</w:t>
      </w:r>
      <w:r w:rsidRPr="0039214D">
        <w:rPr>
          <w:sz w:val="16"/>
        </w:rPr>
        <w:t>.</w:t>
      </w:r>
      <w:proofErr w:type="gramEnd"/>
      <w:r w:rsidRPr="0039214D">
        <w:rPr>
          <w:sz w:val="16"/>
        </w:rPr>
        <w:t xml:space="preserve"> . . . </w:t>
      </w:r>
      <w:r w:rsidRPr="0022723D">
        <w:rPr>
          <w:rStyle w:val="StyleBoldUnderline"/>
        </w:rPr>
        <w:t>It is</w:t>
      </w:r>
      <w:r w:rsidRPr="0039214D">
        <w:rPr>
          <w:sz w:val="16"/>
        </w:rPr>
        <w:t xml:space="preserve"> not a sign but </w:t>
      </w:r>
      <w:r w:rsidRPr="0022723D">
        <w:rPr>
          <w:rStyle w:val="StyleBoldUnderline"/>
        </w:rPr>
        <w:t>a mark and therefore cannot signify an 'origi- nal.</w:t>
      </w:r>
      <w:r w:rsidRPr="0039214D">
        <w:rPr>
          <w:sz w:val="16"/>
        </w:rPr>
        <w:t xml:space="preserve">'"128 For Spivak, the translator must attempt to "inhabit" the host language.129 She or he must populate "even if on loan, the many man- sions, and many levels of the host language." In other words, </w:t>
      </w:r>
      <w:r w:rsidRPr="0022723D">
        <w:rPr>
          <w:rStyle w:val="StyleBoldUnderline"/>
        </w:rPr>
        <w:t>the translator must always attempt to find the presuppositions of the lan- guage and of the cultures that are communicating</w:t>
      </w:r>
      <w:r w:rsidRPr="0039214D">
        <w:rPr>
          <w:sz w:val="16"/>
        </w:rPr>
        <w:t xml:space="preserve">. "The translator should make an attempt to grasp the writer's presuppositions. </w:t>
      </w:r>
      <w:r w:rsidRPr="0022723D">
        <w:rPr>
          <w:rStyle w:val="StyleBoldUnderline"/>
        </w:rPr>
        <w:t>Translation is not the stringing together of the most accurate syn- onyms by the most proximate syntax.</w:t>
      </w:r>
      <w:r w:rsidRPr="0039214D">
        <w:rPr>
          <w:sz w:val="16"/>
        </w:rPr>
        <w:t xml:space="preserve">"130 In this sense, Spivak's notion of translation again echoes Benjamin's. Yet Spivak is, I think, more willing than Benjamin to expand the social responsibility of the trans- lator. She writes: "I hope I have been able to at least suggest that </w:t>
      </w:r>
      <w:r w:rsidRPr="0022723D">
        <w:rPr>
          <w:rStyle w:val="StyleBoldUnderline"/>
        </w:rPr>
        <w:t>this [negative] state of the world has something to do with a failure of responsible translation</w:t>
      </w:r>
      <w:r w:rsidRPr="0039214D">
        <w:rPr>
          <w:sz w:val="16"/>
        </w:rPr>
        <w:t xml:space="preserve">, in the general and the narrow sense."131 At first glance it may not seem that translation, as I suggest its use, is needed to address Spivak's issue of subaltern silence. Yet Spivak's framing of her question implies the lack of action on behalf of the subaltern; in other words, Spivak grants a Kantian yardstick the privi- lege of creating a metastandard by which she measures the subaltern. Despite this lingering language of Kantianism, Spivak rejects the notion that there is a metastandard at all. Echoing Derrida, she asserts there is no "outside" to which anyone has access.132 Benjamin's "perfect language" cannot exist; </w:t>
      </w:r>
      <w:r w:rsidRPr="0022723D">
        <w:rPr>
          <w:rStyle w:val="StyleBoldUnderline"/>
        </w:rPr>
        <w:t>the Western scholar must always be aware of the "inaccessibility" of knowledge of the other</w:t>
      </w:r>
      <w:r w:rsidRPr="0039214D">
        <w:rPr>
          <w:sz w:val="16"/>
        </w:rPr>
        <w:t xml:space="preserve">.133 Yet </w:t>
      </w:r>
      <w:r w:rsidRPr="0022723D">
        <w:rPr>
          <w:rStyle w:val="StyleBoldUnderline"/>
        </w:rPr>
        <w:t>this inaccessibility could be overcome,</w:t>
      </w:r>
      <w:r w:rsidRPr="0039214D">
        <w:rPr>
          <w:sz w:val="16"/>
        </w:rPr>
        <w:t xml:space="preserve"> given favorable conditions, </w:t>
      </w:r>
      <w:r w:rsidRPr="0022723D">
        <w:rPr>
          <w:rStyle w:val="StyleBoldUnderline"/>
        </w:rPr>
        <w:t>by an attempt to "translate" the other, rather than seeking an imaginary "knowledge</w:t>
      </w:r>
      <w:r w:rsidRPr="0039214D">
        <w:rPr>
          <w:sz w:val="16"/>
        </w:rPr>
        <w:t xml:space="preserve">." It is possible that </w:t>
      </w:r>
      <w:r w:rsidRPr="0022723D">
        <w:rPr>
          <w:rStyle w:val="StyleBoldUnderline"/>
        </w:rPr>
        <w:t>this "translation" can be explained as simply as a desire to "understand," rather than to "know."</w:t>
      </w:r>
      <w:r w:rsidRPr="0039214D">
        <w:rPr>
          <w:sz w:val="16"/>
        </w:rPr>
        <w:t xml:space="preserve"> ("Knowledge," of course, is always linked to power and domination.) In this sense, Spivak could simply be calling for a deeper analysis of the subaltern, one that recognizes the extent of difference between cultures. However, I suggest that a slightly more radical approach is necessary. </w:t>
      </w:r>
      <w:r w:rsidRPr="0022723D">
        <w:rPr>
          <w:rStyle w:val="StyleBoldUnderline"/>
        </w:rPr>
        <w:t>One must fully recognize that one is "translat- ing" without an ability to accurately signify the other.</w:t>
      </w:r>
      <w:r w:rsidRPr="00334981">
        <w:rPr>
          <w:sz w:val="12"/>
          <w:szCs w:val="12"/>
        </w:rPr>
        <w:t xml:space="preserve"> If "[</w:t>
      </w:r>
      <w:proofErr w:type="gramStart"/>
      <w:r w:rsidRPr="00334981">
        <w:rPr>
          <w:sz w:val="12"/>
          <w:szCs w:val="12"/>
        </w:rPr>
        <w:t>c]ul</w:t>
      </w:r>
      <w:proofErr w:type="gramEnd"/>
      <w:r w:rsidRPr="00334981">
        <w:rPr>
          <w:sz w:val="12"/>
          <w:szCs w:val="12"/>
        </w:rPr>
        <w:t xml:space="preserve"> tural translation was always implicitly the horizon of literary translation," then the translator must recognize the implicated relationship of the Westerner and the subaltern: "If there is a relation to the other as other ... it can only be an ethical relation," not one based on "knowledge."134 Hence, we must recognize that translation, understood in the broadest sense, can help us understand, respect, the subaltern. Given an expansive definition of text one can assume that translation "covers a wide variety of activities, most of which are aimed at making texts accessible to people who do not know the language." I suggest that we expand the notion of translation to apply to all types of culture and social practices. In this sense, one can see "argu- ments" in the nonrational and "value assertions" in the aesthetic. This notion of "</w:t>
      </w:r>
      <w:r w:rsidRPr="0022723D">
        <w:rPr>
          <w:rStyle w:val="StyleBoldUnderline"/>
        </w:rPr>
        <w:t>translation" solves some Spivakian problems by interpret- ing the subaltern culture of everyday life</w:t>
      </w:r>
      <w:r w:rsidRPr="0039214D">
        <w:rPr>
          <w:sz w:val="16"/>
        </w:rPr>
        <w:t>.</w:t>
      </w:r>
      <w:r w:rsidRPr="00905D14">
        <w:rPr>
          <w:sz w:val="12"/>
          <w:szCs w:val="12"/>
        </w:rPr>
        <w:t xml:space="preserve"> If, as noted above, cultural translation has always been implied in literary translation, then this approach to the subaltern merely takes this implication to its prag- matic conclusion. Of course, translating the culture of the subaltern is a difficult task, and it takes great patience, empathy, and depth. Spivak notes how hard it is to translate the literary when "the original is not written in one of the languages of northwestern Europe"; hence, the translation of the subaltern culture would likely be even more difficult.135 Michel de Certeau argues that one should study the cultural prac- tices of daily culture, the "repetitive tasks people do every day."136 Given his examination of the everyday, Certeau translates the logic of neighborhoods and of cooking: ¶ On the one hand, living in a neighborhood according to family practices recalls the "swarming structure of the street," which is also the anthill-like structure of activities punctuated by spaces and relationships. </w:t>
      </w:r>
      <w:proofErr w:type="gramStart"/>
      <w:r w:rsidRPr="00905D14">
        <w:rPr>
          <w:sz w:val="12"/>
          <w:szCs w:val="12"/>
        </w:rPr>
        <w:t>On the other hand, culinary virtuosities estab- lish the plural language of stratified histories, of multiple rela- tionships.</w:t>
      </w:r>
      <w:proofErr w:type="gramEnd"/>
      <w:r w:rsidRPr="00905D14">
        <w:rPr>
          <w:sz w:val="12"/>
          <w:szCs w:val="12"/>
        </w:rPr>
        <w:t xml:space="preserve"> On the other hand, culinary virtuosities establish the plural language of stratified histories, of multiple relationships between enjoyment and manipulation, of fundamental languages spelled out in everyday details.137 ¶ As seen in the above-quoted passage, the "everyday" culture of neigh- borhoods and cookery conveys an argument about the nature of life, about the values by which we do, and should, live. In fact, even bor- ingness and boredom communicate a great deal about cultures.138 "Considering culture as it is practiced, not in what is most valued by official representation or economic politics, but in what upholds it and organizes it, three priorities stand out: orality, operations, and the ordinary."139 Hence, the everyday, the oral, and the ordinary express epistemological, ethical, and ontological values. In this sense, </w:t>
      </w:r>
      <w:r w:rsidRPr="0022723D">
        <w:rPr>
          <w:rStyle w:val="StyleBoldUnderline"/>
        </w:rPr>
        <w:t xml:space="preserve">the subaltern "silence" can be translated, either through the literal silence or as a poststructuralist symptom of the </w:t>
      </w:r>
      <w:r w:rsidRPr="0039214D">
        <w:rPr>
          <w:rStyle w:val="StyleBoldUnderline"/>
          <w:b w:val="0"/>
          <w:sz w:val="12"/>
          <w:u w:val="none"/>
        </w:rPr>
        <w:t>¶</w:t>
      </w:r>
      <w:r w:rsidRPr="0022723D">
        <w:rPr>
          <w:rStyle w:val="StyleBoldUnderline"/>
        </w:rPr>
        <w:t xml:space="preserve"> dominant language</w:t>
      </w:r>
      <w:r w:rsidRPr="0039214D">
        <w:rPr>
          <w:sz w:val="16"/>
        </w:rPr>
        <w:t xml:space="preserve">.140 With Certeau's notion of the everyday, Lefebvre's ideas about the "series of shifting, interconnecting ele- ments" unite as a possible underlying mode of translation of the sub- altern.141 In other words, </w:t>
      </w:r>
      <w:r w:rsidRPr="0022723D">
        <w:rPr>
          <w:rStyle w:val="StyleBoldUnderline"/>
        </w:rPr>
        <w:t>to translate culture is to translate the "con- stant process of producing meanings of and from our social experience,"</w:t>
      </w:r>
      <w:r w:rsidRPr="0039214D">
        <w:rPr>
          <w:sz w:val="16"/>
        </w:rPr>
        <w:t xml:space="preserve"> and </w:t>
      </w:r>
      <w:r w:rsidRPr="0022723D">
        <w:rPr>
          <w:rStyle w:val="StyleBoldUnderline"/>
        </w:rPr>
        <w:t>those meaning are always laden with elements of the political</w:t>
      </w:r>
      <w:r w:rsidRPr="0039214D">
        <w:rPr>
          <w:sz w:val="16"/>
        </w:rPr>
        <w:t>: "</w:t>
      </w:r>
      <w:r w:rsidRPr="0022723D">
        <w:rPr>
          <w:rStyle w:val="StyleBoldUnderline"/>
        </w:rPr>
        <w:t>Culture</w:t>
      </w:r>
      <w:r w:rsidRPr="0039214D">
        <w:rPr>
          <w:sz w:val="16"/>
        </w:rPr>
        <w:t xml:space="preserve"> (and its meanings and pleasures) </w:t>
      </w:r>
      <w:r w:rsidRPr="0022723D">
        <w:rPr>
          <w:rStyle w:val="StyleBoldUnderline"/>
        </w:rPr>
        <w:t>is a constant succession of social practices</w:t>
      </w:r>
      <w:r w:rsidRPr="0039214D">
        <w:rPr>
          <w:sz w:val="16"/>
        </w:rPr>
        <w:t xml:space="preserve">; it is therefore inherently political, it is centrally involved in the distribution and possible redistribution of various forms of social power."142 Hence, to translate culture is </w:t>
      </w:r>
      <w:proofErr w:type="gramStart"/>
      <w:r w:rsidRPr="0039214D">
        <w:rPr>
          <w:sz w:val="16"/>
        </w:rPr>
        <w:t>a help</w:t>
      </w:r>
      <w:proofErr w:type="gramEnd"/>
      <w:r w:rsidRPr="0039214D">
        <w:rPr>
          <w:sz w:val="16"/>
        </w:rPr>
        <w:t xml:space="preserve"> in understanding the political logic of the subaltern. Translation is also a useful approach because it renders transparent the ways that certain forms of communication reinforce definite hierarchies and social chauvinisms. Staten points out that this form/status connection is apparent in the argument between Derrida and Rey Chow about the phonetic nature of Chinese written language: "Chow uncritically relies on the logo-phonocentric norm as a value."143 Ironically, Chow criticizes Derrida for marginalizing the Chinese language, while at the same time affirming the dominant for- mal status of phonetic-based languages. This type of normative value hidden in the form of the communication is exactly what a "</w:t>
      </w:r>
      <w:r w:rsidRPr="0022723D">
        <w:rPr>
          <w:rStyle w:val="StyleBoldUnderline"/>
        </w:rPr>
        <w:t>transla- tion</w:t>
      </w:r>
      <w:r w:rsidRPr="0039214D">
        <w:rPr>
          <w:sz w:val="16"/>
        </w:rPr>
        <w:t xml:space="preserve">" of the subaltern can help mitigate. In this sense, Spivak's writing - to the extent that it </w:t>
      </w:r>
      <w:r w:rsidRPr="0022723D">
        <w:rPr>
          <w:rStyle w:val="StyleBoldUnderline"/>
        </w:rPr>
        <w:t>breaks down the standard barriers of philosophical/academic discourse</w:t>
      </w:r>
      <w:r w:rsidRPr="0039214D">
        <w:rPr>
          <w:sz w:val="16"/>
        </w:rPr>
        <w:t xml:space="preserve"> - also ac</w:t>
      </w:r>
      <w:r w:rsidRPr="0022723D">
        <w:rPr>
          <w:rStyle w:val="StyleBoldUnderline"/>
        </w:rPr>
        <w:t xml:space="preserve">ts as critique against the standard forms of Western </w:t>
      </w:r>
      <w:r w:rsidRPr="0022723D">
        <w:rPr>
          <w:rStyle w:val="StyleBoldUnderline"/>
        </w:rPr>
        <w:lastRenderedPageBreak/>
        <w:t xml:space="preserve">discourse. </w:t>
      </w:r>
      <w:r w:rsidRPr="0039214D">
        <w:rPr>
          <w:sz w:val="16"/>
        </w:rPr>
        <w:t>Like Sati or Bhanduri's suicide, Spivak's writing operates as a subversive text, one that can be either translated or interpreted. "[E</w:t>
      </w:r>
      <w:r w:rsidRPr="0022723D">
        <w:rPr>
          <w:rStyle w:val="StyleBoldUnderline"/>
        </w:rPr>
        <w:t>c</w:t>
      </w:r>
      <w:r w:rsidRPr="0039214D">
        <w:rPr>
          <w:sz w:val="16"/>
        </w:rPr>
        <w:t xml:space="preserve">onomic power is both underpinned and exceeded by semiotic power, that is, the power to make meanings."144 In other words, to translate culture or texts into Western discourse is to implicitly critique the underlying normative assumptions of different forms of communication. Finally, and possibly most importantly, a notion of translating the subaltern recognizes that the Western translator is always a self-aware contingent mediator through which the other - the "other" - is understood. </w:t>
      </w:r>
      <w:r w:rsidRPr="005A4389">
        <w:rPr>
          <w:rStyle w:val="StyleBoldUnderline"/>
        </w:rPr>
        <w:t>This approach</w:t>
      </w:r>
      <w:r w:rsidRPr="0039214D">
        <w:rPr>
          <w:sz w:val="16"/>
        </w:rPr>
        <w:t xml:space="preserve"> avoids the Spivakian problem of the "fix- ity" of the subaltern because it </w:t>
      </w:r>
      <w:r w:rsidRPr="005A4389">
        <w:rPr>
          <w:rStyle w:val="StyleBoldUnderline"/>
        </w:rPr>
        <w:t>recognizes the conditional nature of the constitution of both the dominant group as well as the subaltern. The Western critic is constituted by the other, or the subaltern, and the subaltern is also constructed vis-à-vis its relation to the dominant groups.</w:t>
      </w:r>
      <w:r w:rsidRPr="0039214D">
        <w:rPr>
          <w:sz w:val="16"/>
        </w:rPr>
        <w:t xml:space="preserve"> "[</w:t>
      </w:r>
      <w:proofErr w:type="gramStart"/>
      <w:r w:rsidRPr="0039214D">
        <w:rPr>
          <w:sz w:val="16"/>
        </w:rPr>
        <w:t>T]here</w:t>
      </w:r>
      <w:proofErr w:type="gramEnd"/>
      <w:r w:rsidRPr="0039214D">
        <w:rPr>
          <w:sz w:val="16"/>
        </w:rPr>
        <w:t xml:space="preserve"> is no such thing as the structure of meanings for him independently of his interpretation of them; for one is woven into the other."145 This inside/outside relationship takes the form of a Derridean association. Spivak herself admits her debt to Derrida and to his deconstructive analysis and its reliance on the persistence </w:t>
      </w:r>
      <w:r w:rsidRPr="0039214D">
        <w:rPr>
          <w:sz w:val="12"/>
        </w:rPr>
        <w:t>¶</w:t>
      </w:r>
      <w:r w:rsidRPr="0039214D">
        <w:rPr>
          <w:sz w:val="16"/>
        </w:rPr>
        <w:t xml:space="preserve"> of self-presence.146 In this sense the Western critic/ translator is always in a dialectic relationship with the subaltern - a dialectic that consti- tutes both contingent entities. Of course, as Benjamin writes, the "pri- </w:t>
      </w:r>
      <w:proofErr w:type="gramStart"/>
      <w:r w:rsidRPr="0039214D">
        <w:rPr>
          <w:sz w:val="16"/>
        </w:rPr>
        <w:t>mary</w:t>
      </w:r>
      <w:proofErr w:type="gramEnd"/>
      <w:r w:rsidRPr="0039214D">
        <w:rPr>
          <w:sz w:val="16"/>
        </w:rPr>
        <w:t xml:space="preserve"> concern of the genuine translator remains elusive."147 Yet the translator exists in the context of a historical relationship. In fact, it is "one of the most powerful and fruitful historical" processes.148 Given this historical process, </w:t>
      </w:r>
      <w:r w:rsidRPr="005A4389">
        <w:rPr>
          <w:rStyle w:val="StyleBoldUnderline"/>
        </w:rPr>
        <w:t>an approach of "translat- ing" the subaltern fulfills</w:t>
      </w:r>
      <w:r w:rsidRPr="0039214D">
        <w:rPr>
          <w:sz w:val="16"/>
        </w:rPr>
        <w:t xml:space="preserve"> Spivak's call for </w:t>
      </w:r>
      <w:r>
        <w:rPr>
          <w:rStyle w:val="StyleBoldUnderline"/>
        </w:rPr>
        <w:t>a more fluid epistemol</w:t>
      </w:r>
      <w:r w:rsidRPr="005A4389">
        <w:rPr>
          <w:rStyle w:val="StyleBoldUnderline"/>
        </w:rPr>
        <w:t>ogy</w:t>
      </w:r>
      <w:r w:rsidRPr="00905D14">
        <w:rPr>
          <w:sz w:val="12"/>
          <w:szCs w:val="12"/>
        </w:rPr>
        <w:t xml:space="preserve">.149 It also directly allows the understanding of the subaltern to be self-consciously mediated via a Marxist/Derridean strategy that - somewhat - meets the strict standards elaborated by Spivak.150 Given Spivak's criticisms in "Can the Subaltern Speak?" translation is a more appropriate role than "representation." As Benjamin, Spivak, and others point out, a "translator" is always keenly aware that she or he is not offering a work that is equivalent with the "original," nor is she or he offering a wholly "imaginative" translation. In other words, neither dartelling nor vertreten are implied in the act of trans- lation. The translator is certainly trying to "capture" an aspect of the original and convey that, but is not trying to "represent" (vertreten) or "re-present" (dartelling) the original. This is implied, to a certain extent, in Charles Taylor's notion of "interpretation," which is not dissimilar to the strategy of "transla- tion" that I am suggesting. Taylor </w:t>
      </w:r>
      <w:proofErr w:type="gramStart"/>
      <w:r w:rsidRPr="00905D14">
        <w:rPr>
          <w:sz w:val="12"/>
          <w:szCs w:val="12"/>
        </w:rPr>
        <w:t>acknowledges that</w:t>
      </w:r>
      <w:proofErr w:type="gramEnd"/>
      <w:r w:rsidRPr="00905D14">
        <w:rPr>
          <w:sz w:val="12"/>
          <w:szCs w:val="12"/>
        </w:rPr>
        <w:t xml:space="preserve"> "there is an important sense in which a meaning reexpressed in a new medium can not be declared identical."151 </w:t>
      </w:r>
      <w:r w:rsidRPr="00905D14">
        <w:rPr>
          <w:rStyle w:val="StyleBoldUnderline"/>
          <w:sz w:val="12"/>
          <w:szCs w:val="12"/>
        </w:rPr>
        <w:t>Translation</w:t>
      </w:r>
      <w:r w:rsidRPr="005A4389">
        <w:rPr>
          <w:rStyle w:val="StyleBoldUnderline"/>
        </w:rPr>
        <w:t xml:space="preserve"> implies a certain distance, and in that distance is the space for the subaltern to speak. </w:t>
      </w:r>
      <w:r w:rsidRPr="0039214D">
        <w:rPr>
          <w:sz w:val="12"/>
          <w:szCs w:val="12"/>
        </w:rPr>
        <w:t>Using the language of "interpretation," Taylor writes: "A successful interpretation is one which makes clear the meaning originally pre- sent in a confused, fragmentary, cloudy form. But how does one know that this interpretation is correct? Presumably because it makes sense of the original text: What is strange, mystifying, puzzling, contradic- tory is no longer so."152 Yet</w:t>
      </w:r>
      <w:r w:rsidRPr="0039214D">
        <w:rPr>
          <w:sz w:val="16"/>
        </w:rPr>
        <w:t xml:space="preserve"> </w:t>
      </w:r>
      <w:r w:rsidRPr="005A4389">
        <w:rPr>
          <w:rStyle w:val="StyleBoldUnderline"/>
        </w:rPr>
        <w:t>with the</w:t>
      </w:r>
      <w:r w:rsidRPr="0039214D">
        <w:rPr>
          <w:sz w:val="16"/>
        </w:rPr>
        <w:t xml:space="preserve"> case of the </w:t>
      </w:r>
      <w:r w:rsidRPr="005A4389">
        <w:rPr>
          <w:rStyle w:val="StyleBoldUnderline"/>
        </w:rPr>
        <w:t xml:space="preserve">subaltern, one must first decide to recog- nize the language of communication as a valid mode. In other words, </w:t>
      </w:r>
      <w:proofErr w:type="gramStart"/>
      <w:r w:rsidRPr="005A4389">
        <w:rPr>
          <w:rStyle w:val="StyleBoldUnderline"/>
        </w:rPr>
        <w:t>we(</w:t>
      </w:r>
      <w:proofErr w:type="gramEnd"/>
      <w:r w:rsidRPr="005A4389">
        <w:rPr>
          <w:rStyle w:val="StyleBoldUnderline"/>
        </w:rPr>
        <w:t>st) must try hard to listen to people in all of their forms of com- munication. The subaltern speaks all the time: We are simply unable to hear them.</w:t>
      </w:r>
      <w:r w:rsidRPr="0039214D">
        <w:rPr>
          <w:sz w:val="12"/>
          <w:szCs w:val="12"/>
        </w:rPr>
        <w:t xml:space="preserve"> Some might suggest that it is naïve to advocate a benevolent translator in the West who offers a sympathetic reading of the subal- tern. This criticism is well taken, and it lingers in the thoughts of this writer. Yet scholars in disparate fields have been attempting this type of analysis. Certeau's examination of residential space and cookery is a good example of this type of cultural translation. Additionally, Joe Moran' s work also provides a good template for this style of cultural ¶ translation: In Reading the Everyday he investigates the meaning of such mundane activities as waiting at a bus stop and shopping in malls.153 There is also an intellectual movement, rooted somewhat in Marxism, to read inanimate "things" as if they communicated ideas.154 This "thing theory" has collided somewhat with the recogni- tion that the study of the subaltern must often examine the hidden texts of popular, native, or mass culture.155 Of course, subaltern translation must be sensitive to not impose the dominant mode of discourse onto the communication. For exam- ple, Robert Ray understands the underlying texts of (popular) cul- ture when he writes: "Tutti Frutti' remains more revolutionary than 'Woman is the Nigger of the World': Music's effects always register less at the level of explicit political content than at the level of sound."156 Hence, music, like most aspects of culture, communicates in a nonexplicit and nonrational way. It is the Western intellectual's duty - assuming the goal is a discourse with the subaltern - to trans- late the culture and languages of the subaltern, while always being aware of her role as translator.</w:t>
      </w:r>
      <w:r w:rsidRPr="0039214D">
        <w:rPr>
          <w:sz w:val="16"/>
        </w:rPr>
        <w:t xml:space="preserve"> </w:t>
      </w:r>
      <w:r w:rsidRPr="005A4389">
        <w:rPr>
          <w:rStyle w:val="StyleBoldUnderline"/>
        </w:rPr>
        <w:t xml:space="preserve">Once this translation takes place in earnest, then the West can, hopefully, have a somewhat open dia- logue with the subaltern about values, ontology, oppression, and political theory. </w:t>
      </w:r>
    </w:p>
    <w:p w14:paraId="5C1A0A67" w14:textId="77777777" w:rsidR="00A61A9C" w:rsidRDefault="00A61A9C" w:rsidP="0039214D"/>
    <w:p w14:paraId="6E0E0ACD" w14:textId="0CAE4E77" w:rsidR="00A61A9C" w:rsidRDefault="00DB77E0" w:rsidP="00A61A9C">
      <w:pPr>
        <w:pStyle w:val="Heading4"/>
      </w:pPr>
      <w:r>
        <w:t xml:space="preserve">Let’s read from Galeano, as he describes the </w:t>
      </w:r>
      <w:r w:rsidR="00DA292B">
        <w:t>violence</w:t>
      </w:r>
    </w:p>
    <w:p w14:paraId="3E7912FC" w14:textId="77777777" w:rsidR="0039214D" w:rsidRPr="0039214D" w:rsidRDefault="0039214D" w:rsidP="0039214D">
      <w:r w:rsidRPr="0039214D">
        <w:t>Eduardo Galeano, 1973</w:t>
      </w:r>
    </w:p>
    <w:p w14:paraId="45DA2FA1" w14:textId="77777777" w:rsidR="0039214D" w:rsidRPr="00105456" w:rsidRDefault="0039214D" w:rsidP="0039214D"/>
    <w:p w14:paraId="5E620469" w14:textId="77777777" w:rsidR="0039214D" w:rsidRPr="00105456" w:rsidRDefault="0039214D" w:rsidP="0039214D">
      <w:pPr>
        <w:rPr>
          <w:sz w:val="24"/>
        </w:rPr>
      </w:pPr>
      <w:r w:rsidRPr="00105456">
        <w:rPr>
          <w:rStyle w:val="highlight2"/>
          <w:rFonts w:ascii="Times New Roman" w:hAnsi="Times New Roman"/>
        </w:rPr>
        <w:t>The human murder by poverty in Latin America is secret; every year, without making a sound, three Hiroshima bombs explode over communities that have become accustomed to suffering with clenched teeth. This systematic violence is not apparent but is real and constantly increasing: its holocausts are not made known in the sensational press but in Food and Agricultural Organization statistics.</w:t>
      </w:r>
      <w:r w:rsidRPr="00105456">
        <w:t xml:space="preserve"> Ball says that </w:t>
      </w:r>
      <w:r w:rsidRPr="00105456">
        <w:rPr>
          <w:rStyle w:val="highlight2"/>
          <w:rFonts w:ascii="Times New Roman" w:hAnsi="Times New Roman"/>
        </w:rPr>
        <w:t xml:space="preserve">it is still possible to act with impunity because the poor cannot set off a world war, but the Imperium is worried: unable to multiply the dinner, it does what it can to suppress the diners. "Fight poverty, kill a beggar!" some genius of black humor scrawled on a wall in La Paz. </w:t>
      </w:r>
      <w:r w:rsidRPr="00105456">
        <w:t xml:space="preserve">What do the heirs to Malthus propose bur to kill all the beggars-to-be before they are born? </w:t>
      </w:r>
      <w:r w:rsidRPr="00105456">
        <w:rPr>
          <w:rStyle w:val="highlight2"/>
          <w:rFonts w:ascii="Times New Roman" w:hAnsi="Times New Roman"/>
        </w:rPr>
        <w:t xml:space="preserve">Robert McNamara, </w:t>
      </w:r>
      <w:r w:rsidRPr="00105456">
        <w:t xml:space="preserve">the World Bank president who was chairman of Ford and then secretary of defense, </w:t>
      </w:r>
      <w:r w:rsidRPr="00105456">
        <w:rPr>
          <w:rStyle w:val="highlight2"/>
          <w:rFonts w:ascii="Times New Roman" w:hAnsi="Times New Roman"/>
        </w:rPr>
        <w:t>has called the population explosion the greatest obstacle to progress in Latin America; the World Bank, he says, will give priority in its loans to countries that implement birth control plans. McNamara notes with regret that the brains of the poor do 25 percent less thinking, and the World Bank technocrats</w:t>
      </w:r>
      <w:r w:rsidRPr="00105456">
        <w:t xml:space="preserve"> (who have already been born) </w:t>
      </w:r>
      <w:r w:rsidRPr="00105456">
        <w:rPr>
          <w:rStyle w:val="highlight2"/>
          <w:rFonts w:ascii="Times New Roman" w:hAnsi="Times New Roman"/>
        </w:rPr>
        <w:t>set computers humming to produce labyrinthine abracadabras on the advantages of not being born</w:t>
      </w:r>
      <w:r w:rsidRPr="00105456">
        <w:t xml:space="preserve">: "If," </w:t>
      </w:r>
      <w:r w:rsidRPr="00105456">
        <w:lastRenderedPageBreak/>
        <w:t>one of the Bank's documents assures us, "a developing country with an average per capita</w:t>
      </w:r>
      <w:r w:rsidRPr="00105456">
        <w:rPr>
          <w:sz w:val="24"/>
        </w:rPr>
        <w:t xml:space="preserve"> </w:t>
      </w:r>
      <w:r w:rsidRPr="00105456">
        <w:t>income of $150 to $200 a year succeeds in reducing its fertility by 50 percent in a period of twenty-five years, at the end of thirty years its per capita income will be higher by at least 40 percent than the level it would otherwise have achieved, and twice as high after sixty years." Lyndon B. Johnson's remark has become famous: "Let us act on the fact that less than $5 invested in population control is worth $100 invested in economic growth."</w:t>
      </w:r>
      <w:r w:rsidRPr="00105456">
        <w:rPr>
          <w:position w:val="12"/>
          <w:sz w:val="18"/>
          <w:szCs w:val="18"/>
        </w:rPr>
        <w:t xml:space="preserve"> </w:t>
      </w:r>
      <w:r w:rsidRPr="00105456">
        <w:t>Dwight D. Elsenhower prophesied that if the world’s inhabitants continued multiplying at the same rate, not only would the danger of revolution be increased, but there would also be a lowering of living standards for all peoples, including his own.</w:t>
      </w:r>
    </w:p>
    <w:p w14:paraId="71501093" w14:textId="77777777" w:rsidR="0039214D" w:rsidRPr="00105456" w:rsidRDefault="0039214D" w:rsidP="0039214D">
      <w:pPr>
        <w:rPr>
          <w:sz w:val="24"/>
        </w:rPr>
      </w:pPr>
      <w:r w:rsidRPr="00105456">
        <w:t xml:space="preserve">The United States is more concerned than any other country with spreading and imposing family planning in the farthest outposts. Not only the government, but the Rockefeller and the Ford foundations as well, have nightmares about millions of children advancing like locusts over the horizon from the third world. Plato and Aristotle considered the question before Malthus and McNamara; in our day this global offensive plays a well-defined role. Its aim is to justify the very unequal income distribution between countries and social elates, to convince the poor that poverty is the result of the children they don't avoid having, and to dam the rebellious advance of the masses. </w:t>
      </w:r>
      <w:r w:rsidRPr="00105456">
        <w:rPr>
          <w:rStyle w:val="highlight2"/>
          <w:rFonts w:ascii="Times New Roman" w:hAnsi="Times New Roman"/>
        </w:rPr>
        <w:t>While intrauterine devices compete with bombs and machine-gun salvos to arrest the growth of the Vietnamese population, in Latin America it is more hygienic and effective to kill guerrilleros in the womb than in the mountains or the streets. Various U.S. missions have sterilized thousands of women in Amazonia, although this is the least populated habitable zone on our planet</w:t>
      </w:r>
      <w:r w:rsidRPr="00105456">
        <w:t xml:space="preserve">. Most Latin American countries have no real surplus of people; on the contrary, they have too few. Brazil has thirty-eight times fewer inhabitants per square mile than Belgium, Paraguay has forty-nine times fewer than England, Peru has thirty-two times fewer than Japan. Haiti and El Salvador, the human antheaps of Latin America, have lower population densities than Italy. The pretexts invoked are an insult to the intelligence; the real intentions anger us. No less than half the territory of Bolivia, Brazil, Chile, Ecuador, Paraguay, and Venezuela has </w:t>
      </w:r>
      <w:proofErr w:type="gramStart"/>
      <w:r w:rsidRPr="00105456">
        <w:t>no</w:t>
      </w:r>
      <w:proofErr w:type="gramEnd"/>
      <w:r w:rsidRPr="00105456">
        <w:t xml:space="preserve"> inhabitants at all. No Latin American population grows less than Uruguay's— a country of old folk— yet no nation has taken such a bearing in recent years, with a crisis that would seem to drag it into the last circle of hell. Uruguay is empty, and its fertile lands could provide food for infinitely more people than those who now suffer in such penury.</w:t>
      </w:r>
    </w:p>
    <w:p w14:paraId="3AD1E379" w14:textId="36EDFF55" w:rsidR="0039214D" w:rsidRPr="0039214D" w:rsidRDefault="0039214D" w:rsidP="0039214D">
      <w:r w:rsidRPr="00105456">
        <w:t xml:space="preserve">Over a century ago a Guatemalan foreign minister said prophetically: "It would be strange if the remedy should come from the United Stares, the same place which brings us the disease." Now that the Alliance for Progress is dead and buried the Imperium proposes, more in panic than in generosity, to solve Latin America's problems by eliminating Latin Americans; </w:t>
      </w:r>
      <w:r w:rsidRPr="00105456">
        <w:rPr>
          <w:rStyle w:val="highlight2"/>
          <w:rFonts w:ascii="Times New Roman" w:hAnsi="Times New Roman"/>
          <w:sz w:val="20"/>
        </w:rPr>
        <w:t>Washington has reason to suspect that the poor peoples don't prefer to be poor. But it is impossible to desire the end without desiring the means.</w:t>
      </w:r>
      <w:r w:rsidRPr="00105456">
        <w:rPr>
          <w:rStyle w:val="highlight2"/>
          <w:rFonts w:ascii="Times New Roman" w:hAnsi="Times New Roman"/>
        </w:rPr>
        <w:t xml:space="preserve"> Those who deny liberation to Latin America also deny our only possible rebirth, and incidentally absolve the existing structures from blame</w:t>
      </w:r>
      <w:r w:rsidRPr="00105456">
        <w:rPr>
          <w:b/>
          <w:color w:val="000000"/>
          <w:sz w:val="16"/>
        </w:rPr>
        <w:t xml:space="preserve">. </w:t>
      </w:r>
      <w:r w:rsidRPr="00105456">
        <w:rPr>
          <w:rStyle w:val="highlight2"/>
          <w:rFonts w:ascii="Times New Roman" w:hAnsi="Times New Roman"/>
          <w:color w:val="000000"/>
          <w:sz w:val="16"/>
        </w:rPr>
        <w:t xml:space="preserve">Our youth multiplies, rises, </w:t>
      </w:r>
      <w:proofErr w:type="gramStart"/>
      <w:r w:rsidRPr="00105456">
        <w:rPr>
          <w:rStyle w:val="highlight2"/>
          <w:rFonts w:ascii="Times New Roman" w:hAnsi="Times New Roman"/>
          <w:color w:val="000000"/>
          <w:sz w:val="16"/>
        </w:rPr>
        <w:t>listens</w:t>
      </w:r>
      <w:proofErr w:type="gramEnd"/>
      <w:r w:rsidRPr="00105456">
        <w:rPr>
          <w:rStyle w:val="highlight2"/>
          <w:rFonts w:ascii="Times New Roman" w:hAnsi="Times New Roman"/>
          <w:color w:val="000000"/>
          <w:sz w:val="16"/>
        </w:rPr>
        <w:t>: what does the voice of the system offer?</w:t>
      </w:r>
      <w:r w:rsidRPr="00105456">
        <w:rPr>
          <w:rStyle w:val="highlight2"/>
          <w:rFonts w:ascii="Times New Roman" w:hAnsi="Times New Roman"/>
        </w:rPr>
        <w:t xml:space="preserve"> The system speaks a surrealist language. In lands that are empty it proposes to avoid births; in countries where capital is plentiful but wasted it suggests that capital is lacking; it describes as "aid" the deforming orthopedics of loans and the draining of wealth that results from foreign investment; it calls upon big land-owners to carry out agrarian reforms and upon the oligarchy to practice social justice</w:t>
      </w:r>
      <w:r w:rsidRPr="00105456">
        <w:t>. The class struggle only exists, we are told, because foreign agents stir it up; but social classes do exist and the oppression of one by the other is known as the Western way of life. The Marines undertake their criminal expeditions only to restore order and social peace; the dictatorships linked to Washington lay foundations in their jails for the law-abiding state, and ban strikes and smash trade unions to protect the freedom to work.</w:t>
      </w:r>
    </w:p>
    <w:p w14:paraId="21107E30" w14:textId="77777777" w:rsidR="0039214D" w:rsidRPr="00105456" w:rsidRDefault="0039214D" w:rsidP="0039214D">
      <w:pPr>
        <w:rPr>
          <w:rStyle w:val="highlight2"/>
          <w:rFonts w:ascii="Times New Roman" w:hAnsi="Times New Roman"/>
        </w:rPr>
      </w:pPr>
      <w:r w:rsidRPr="00105456">
        <w:rPr>
          <w:rStyle w:val="highlight2"/>
          <w:rFonts w:ascii="Times New Roman" w:hAnsi="Times New Roman"/>
        </w:rPr>
        <w:t>Is everything forbidden us except to fold our arms? Poverty is not written in the stars; under development is not one of God's mysterious designs.</w:t>
      </w:r>
      <w:r w:rsidRPr="00105456">
        <w:t xml:space="preserve"> Redemptive years of revolution pass; the ruling classes wait and meanwhile pronounce hellfire anathema on everybody. </w:t>
      </w:r>
      <w:r w:rsidRPr="00105456">
        <w:rPr>
          <w:rStyle w:val="highlight2"/>
          <w:rFonts w:ascii="Times New Roman" w:hAnsi="Times New Roman"/>
        </w:rPr>
        <w:t xml:space="preserve">In a sense the right wing is correct in identifying itself with tranquillity and order: it is an order of daily humiliation for the majority, but an </w:t>
      </w:r>
      <w:r w:rsidRPr="00105456">
        <w:rPr>
          <w:rStyle w:val="highlight2"/>
          <w:rFonts w:ascii="Times New Roman" w:hAnsi="Times New Roman"/>
        </w:rPr>
        <w:lastRenderedPageBreak/>
        <w:t xml:space="preserve">order nonetheless; it is a tranquillity in which injustice continues to be unjust and hunger to be hungry. </w:t>
      </w:r>
      <w:r w:rsidRPr="00105456">
        <w:t xml:space="preserve">If the future turns out to be a Pandora's box, the conservative has reason to shout, "I have been betrayed." And the ideologists of impotence, the slaves who look at themselves with the master's eyes, are not slow to join in the outcry. </w:t>
      </w:r>
      <w:r w:rsidRPr="00105456">
        <w:rPr>
          <w:rStyle w:val="highlight2"/>
          <w:rFonts w:ascii="Times New Roman" w:hAnsi="Times New Roman"/>
          <w:sz w:val="20"/>
        </w:rPr>
        <w:t xml:space="preserve">The bronze eagle of the Maine, thrown down on the day the Cuban Revolution triumphed, now is abandoned. </w:t>
      </w:r>
      <w:proofErr w:type="gramStart"/>
      <w:r w:rsidRPr="00105456">
        <w:rPr>
          <w:rStyle w:val="highlight2"/>
          <w:rFonts w:ascii="Times New Roman" w:hAnsi="Times New Roman"/>
          <w:sz w:val="20"/>
        </w:rPr>
        <w:t>Its wings broken, in a doorway in the old town in Havana.</w:t>
      </w:r>
      <w:proofErr w:type="gramEnd"/>
      <w:r w:rsidRPr="00105456">
        <w:rPr>
          <w:rStyle w:val="highlight2"/>
          <w:rFonts w:ascii="Times New Roman" w:hAnsi="Times New Roman"/>
          <w:sz w:val="20"/>
        </w:rPr>
        <w:t xml:space="preserve"> Since that day in Cuba, other countries have set off on different roads on the experiment of change;</w:t>
      </w:r>
      <w:r w:rsidRPr="00105456">
        <w:rPr>
          <w:rStyle w:val="highlight2"/>
          <w:rFonts w:ascii="Times New Roman" w:hAnsi="Times New Roman"/>
        </w:rPr>
        <w:t xml:space="preserve"> perpetuation of the existing order of things is perpetuation of the crime. Recovery of the resources that have always been usurped is recovery of our destiny.</w:t>
      </w:r>
    </w:p>
    <w:p w14:paraId="3B455843" w14:textId="5794261B" w:rsidR="001B0415" w:rsidRDefault="0039214D" w:rsidP="007A3515">
      <w:pPr>
        <w:rPr>
          <w:rStyle w:val="highlight2"/>
          <w:rFonts w:ascii="Times New Roman" w:hAnsi="Times New Roman"/>
        </w:rPr>
      </w:pPr>
      <w:r w:rsidRPr="00105456">
        <w:rPr>
          <w:rStyle w:val="highlight2"/>
          <w:rFonts w:ascii="Times New Roman" w:hAnsi="Times New Roman"/>
        </w:rPr>
        <w:t>The ghosts of all the revolutions that have been strangled or betrayed through Latin America's tortured history emerge in the new experiments</w:t>
      </w:r>
      <w:r w:rsidRPr="00105456">
        <w:t xml:space="preserve">, as if the present had been foreseen and begotten by the contradictions of the past. </w:t>
      </w:r>
      <w:r w:rsidRPr="00105456">
        <w:rPr>
          <w:rStyle w:val="highlight2"/>
          <w:rFonts w:ascii="Times New Roman" w:hAnsi="Times New Roman"/>
        </w:rPr>
        <w:t>History is a prophet who looks back: because of what was, and against what was, it announces what will be.</w:t>
      </w:r>
      <w:r w:rsidRPr="00105456">
        <w:t xml:space="preserve"> </w:t>
      </w:r>
      <w:r w:rsidRPr="00105456">
        <w:rPr>
          <w:rStyle w:val="highlight2"/>
          <w:rFonts w:ascii="Times New Roman" w:hAnsi="Times New Roman"/>
        </w:rPr>
        <w:t>And so this book, which seeks to chronicle our despoliation and at the same time explain how the current mechanisms of plunder operate, will present in close proximity the caravelled conquistadors and the jet-propelled technocrats; Hernan Cortes and the Marines; the agents of the Spanish Crown and the International Monetary Fund missions; the dividends from the slave trade and the profits of General Motors. And, too, the defeated heroes and revolutions of our time, the infamies and the dead and resurrected hopes: the fertile sacrifices. When Alexander von Humboldt investigated the customs of the ancient inhabitants of the Bogota plateau, he found that the Indians called the victims of ritual ceremonies quihica. Quihica meant "door"; the death of each chosen victim opened the door to a new cycle of 185 moons.</w:t>
      </w:r>
    </w:p>
    <w:p w14:paraId="6986B2D2" w14:textId="77777777" w:rsidR="00334981" w:rsidRDefault="00334981" w:rsidP="007A3515">
      <w:pPr>
        <w:rPr>
          <w:rStyle w:val="highlight2"/>
          <w:rFonts w:ascii="Times New Roman" w:hAnsi="Times New Roman"/>
        </w:rPr>
      </w:pPr>
    </w:p>
    <w:p w14:paraId="6F871A66" w14:textId="77777777" w:rsidR="00334981" w:rsidRPr="00334981" w:rsidRDefault="00334981" w:rsidP="007A3515">
      <w:pPr>
        <w:rPr>
          <w:rFonts w:ascii="Times New Roman" w:hAnsi="Times New Roman"/>
          <w:b/>
          <w:sz w:val="19"/>
          <w:u w:val="thick"/>
        </w:rPr>
      </w:pPr>
    </w:p>
    <w:p w14:paraId="2286E964" w14:textId="77777777" w:rsidR="00434AF7" w:rsidRDefault="00434AF7" w:rsidP="001B0415"/>
    <w:p w14:paraId="1F315CF9" w14:textId="07E2A128" w:rsidR="00434AF7" w:rsidRDefault="00434AF7" w:rsidP="00434AF7">
      <w:pPr>
        <w:pStyle w:val="Heading4"/>
      </w:pPr>
      <w:r>
        <w:t xml:space="preserve">Our articulation of the subaltern is a UNIQUE approach to TEACHING.  We must RESIST the impulse to subsume the aff under a dominant topic.   This kind of liberal inclusionary discourse saps our speech act of revolutionary potential, destroying it through </w:t>
      </w:r>
      <w:r w:rsidR="00DB77E0">
        <w:t>stasis</w:t>
      </w:r>
    </w:p>
    <w:p w14:paraId="43C880B8" w14:textId="77777777" w:rsidR="00434AF7" w:rsidRPr="002C10D7" w:rsidRDefault="00434AF7" w:rsidP="00434AF7">
      <w:pPr>
        <w:pStyle w:val="evidencetext"/>
        <w:ind w:left="720"/>
        <w:rPr>
          <w:sz w:val="20"/>
          <w:szCs w:val="20"/>
          <w:lang w:val="en-US"/>
        </w:rPr>
      </w:pPr>
      <w:r>
        <w:rPr>
          <w:sz w:val="20"/>
          <w:szCs w:val="20"/>
          <w:lang w:val="en-US"/>
        </w:rPr>
        <w:t xml:space="preserve">Georg M. </w:t>
      </w:r>
      <w:r w:rsidRPr="007D2DDE">
        <w:rPr>
          <w:b/>
          <w:sz w:val="22"/>
          <w:u w:val="thick" w:color="000000"/>
          <w:lang w:val="en-US" w:eastAsia="en-US"/>
        </w:rPr>
        <w:t>Gugelberger</w:t>
      </w:r>
      <w:r>
        <w:rPr>
          <w:sz w:val="20"/>
          <w:szCs w:val="20"/>
          <w:lang w:val="en-US"/>
        </w:rPr>
        <w:t xml:space="preserve">, </w:t>
      </w:r>
      <w:r w:rsidRPr="007D2DDE">
        <w:rPr>
          <w:sz w:val="20"/>
          <w:szCs w:val="20"/>
          <w:lang w:val="en-US"/>
        </w:rPr>
        <w:t>Professor of Comparative Literature at the University of California</w:t>
      </w:r>
      <w:r>
        <w:rPr>
          <w:sz w:val="20"/>
          <w:szCs w:val="20"/>
          <w:lang w:val="en-US"/>
        </w:rPr>
        <w:t>, “</w:t>
      </w:r>
      <w:r w:rsidRPr="007D2DDE">
        <w:rPr>
          <w:sz w:val="20"/>
          <w:szCs w:val="20"/>
          <w:lang w:val="en-US"/>
        </w:rPr>
        <w:t>The Real Thing: Testimonial Discourse and Latin America</w:t>
      </w:r>
      <w:r>
        <w:rPr>
          <w:sz w:val="20"/>
          <w:szCs w:val="20"/>
          <w:lang w:val="en-US"/>
        </w:rPr>
        <w:t>”, Introduction, 19</w:t>
      </w:r>
      <w:r w:rsidRPr="007D2DDE">
        <w:rPr>
          <w:b/>
          <w:sz w:val="22"/>
          <w:u w:val="thick" w:color="000000"/>
          <w:lang w:val="en-US" w:eastAsia="en-US"/>
        </w:rPr>
        <w:t>96</w:t>
      </w:r>
      <w:r>
        <w:rPr>
          <w:sz w:val="20"/>
          <w:szCs w:val="20"/>
          <w:lang w:val="en-US"/>
        </w:rPr>
        <w:t>, Google Books, pg. 10-13, TB</w:t>
      </w:r>
    </w:p>
    <w:p w14:paraId="7DFED886" w14:textId="77777777" w:rsidR="00434AF7" w:rsidRDefault="00434AF7" w:rsidP="00434AF7"/>
    <w:p w14:paraId="34C58A09" w14:textId="77777777" w:rsidR="00434AF7" w:rsidRPr="00E97B89" w:rsidRDefault="00434AF7" w:rsidP="00434AF7">
      <w:pPr>
        <w:pStyle w:val="evidencetext"/>
        <w:rPr>
          <w:rStyle w:val="highlight2"/>
        </w:rPr>
      </w:pPr>
      <w:r w:rsidRPr="00E97B89">
        <w:rPr>
          <w:rStyle w:val="highlight2"/>
        </w:rPr>
        <w:t>The testimonio is placed at the intersection of multiple roads: oral versus literary (which implies questioning why the literary has always colonized the oral); authored/authoritarian discourse versus edited dis-course (one author or two authors?: is the text a product of Rigoberta Menchti or rather of her editor Elisabeth Burgos-Debray?); literature versus anthropology; literature versus non-literature, or even against literature; autobiography versus demography (people's writing); the battle of representationality; the canon debate (is this a work that should be integrated into the canon and what happens if it is?); "master-piece" of literature versus minority writing; and issues of postmodern-ity versus postcoloniality.</w:t>
      </w:r>
      <w:r w:rsidRPr="007D2DDE">
        <w:t xml:space="preserve"> The scandal of the assignment of Rigoberta Mencluis testimonio in one of the required courses at Stanford Uni-versity becomes a central focus for the neoconservative assaults on mul-ticultural education and political correctness. What is the place of such a text in tertiary education generally (regardless of discipline)? And what happens if we use such a text? </w:t>
      </w:r>
      <w:r w:rsidRPr="00E97B89">
        <w:rPr>
          <w:rStyle w:val="highlight2"/>
        </w:rPr>
        <w:t xml:space="preserve">Few genres have begged as many questions and interpellated mainstream discourse to such a degree. </w:t>
      </w:r>
    </w:p>
    <w:p w14:paraId="194D50C4" w14:textId="77777777" w:rsidR="00434AF7" w:rsidRDefault="00434AF7" w:rsidP="00434AF7">
      <w:pPr>
        <w:pStyle w:val="evidencetext"/>
      </w:pPr>
    </w:p>
    <w:p w14:paraId="46202C58" w14:textId="77777777" w:rsidR="00434AF7" w:rsidRDefault="00434AF7" w:rsidP="00434AF7">
      <w:pPr>
        <w:pStyle w:val="evidencetext"/>
      </w:pPr>
      <w:r w:rsidRPr="00E97B89">
        <w:rPr>
          <w:rStyle w:val="highlight2"/>
        </w:rPr>
        <w:t>Representative of the oppressed subaltern, the repressed and home-less, the exiled and the migrant, this genre, which at first resisted a place in the house of genology</w:t>
      </w:r>
      <w:r w:rsidRPr="007D2DDE">
        <w:t xml:space="preserve"> (the study of literary genres), </w:t>
      </w:r>
      <w:r w:rsidRPr="00E97B89">
        <w:rPr>
          <w:rStyle w:val="highlight2"/>
        </w:rPr>
        <w:t>is so mobile that permitting it entry into the institution of higher learning makes the process of learning indeed "unheimlich"</w:t>
      </w:r>
      <w:r w:rsidRPr="007D2DDE">
        <w:t xml:space="preserve"> (uncanny). </w:t>
      </w:r>
      <w:r w:rsidRPr="00E97B89">
        <w:rPr>
          <w:rStyle w:val="highlight2"/>
        </w:rPr>
        <w:t>The literary nomad or subaltern speech as that which cannot be really spoken is always outside of the home/base/canon. Its battlefield is the border area be-tween transgression and acceptance.</w:t>
      </w:r>
      <w:r w:rsidRPr="007D2DDE">
        <w:t xml:space="preserve"> </w:t>
      </w:r>
      <w:r w:rsidRPr="00E97B89">
        <w:rPr>
          <w:rStyle w:val="highlight2"/>
        </w:rPr>
        <w:t>If we accept, that is, integrate, the outside work into the home of the canon, we violate the authenticity of the genre.</w:t>
      </w:r>
      <w:r w:rsidRPr="007D2DDE">
        <w:t xml:space="preserve"> Yet, if we do not integrate such genres, we are forced to continue policing the canon with the most conservative policies. The </w:t>
      </w:r>
      <w:r w:rsidRPr="007D2DDE">
        <w:lastRenderedPageBreak/>
        <w:t xml:space="preserve">implications of dealing with this at first harmless genre thereby become paradigmatic for the situation of the intellectual in today's institution. </w:t>
      </w:r>
    </w:p>
    <w:p w14:paraId="5B520E33" w14:textId="77777777" w:rsidR="00434AF7" w:rsidRDefault="00434AF7" w:rsidP="00434AF7">
      <w:pPr>
        <w:pStyle w:val="evidencetext"/>
        <w:rPr>
          <w:lang w:val="en-US"/>
        </w:rPr>
      </w:pPr>
    </w:p>
    <w:p w14:paraId="75F79962" w14:textId="77777777" w:rsidR="00434AF7" w:rsidRDefault="00434AF7" w:rsidP="00434AF7">
      <w:pPr>
        <w:pStyle w:val="evidencetext"/>
      </w:pPr>
      <w:r w:rsidRPr="0073080C">
        <w:rPr>
          <w:rStyle w:val="highlight2"/>
        </w:rPr>
        <w:t>The genre of the testimonio seemed at first to cling steadfastly to representationality and to be outside canonized literature—a nomadic and homeless genre with the hope for solidarity and community not only in Latin America. It is the homelessness of an unplaceable genre between disciplines</w:t>
      </w:r>
      <w:r w:rsidRPr="007D2DDE">
        <w:t xml:space="preserve"> (e.g., literature and anthropology), on the verge of being autobiography without being autobiography, authored without having an author. </w:t>
      </w:r>
      <w:r w:rsidRPr="0073080C">
        <w:rPr>
          <w:rStyle w:val="highlight2"/>
        </w:rPr>
        <w:t>It is the genre that reflected homelessness and poverty and suddenly found an institutional home in the expanded canon. The genre of the oppressed, of the migrating and impoverished Indian in Guatemala, turned into (un)comfortable reading material for those in centers of higher learning.</w:t>
      </w:r>
      <w:r w:rsidRPr="007D2DDE">
        <w:t xml:space="preserve"> In other words, it </w:t>
      </w:r>
      <w:r w:rsidRPr="0073080C">
        <w:rPr>
          <w:rStyle w:val="highlight2"/>
        </w:rPr>
        <w:t>changed from product to commodity.8 But it did not do so because of its content alone, but rather for its perhaps too easy assimilation into mainstream discourse. When counterdiscourse is co-opted by mainstream discourse, new problems arise.</w:t>
      </w:r>
      <w:r w:rsidRPr="007D2DDE">
        <w:t xml:space="preserve"> These problems urgently require to be addressed. </w:t>
      </w:r>
    </w:p>
    <w:p w14:paraId="36C44328" w14:textId="77777777" w:rsidR="00434AF7" w:rsidRDefault="00434AF7" w:rsidP="00434AF7">
      <w:pPr>
        <w:pStyle w:val="evidencetext"/>
      </w:pPr>
    </w:p>
    <w:p w14:paraId="2251276E" w14:textId="77777777" w:rsidR="00434AF7" w:rsidRPr="00AB5916" w:rsidRDefault="00434AF7" w:rsidP="00434AF7">
      <w:pPr>
        <w:pStyle w:val="evidencetext"/>
        <w:rPr>
          <w:rStyle w:val="highlight2"/>
        </w:rPr>
      </w:pPr>
      <w:r w:rsidRPr="007D2DDE">
        <w:t xml:space="preserve">Where do we go from here? If, as indeed it can be shown with ease, </w:t>
      </w:r>
      <w:r w:rsidRPr="00AB5916">
        <w:rPr>
          <w:rStyle w:val="highlight2"/>
        </w:rPr>
        <w:t>institutionalized literary discourse fights for expansion of the canon (correctly, we might add, but only to a certain degree) without being fully aware of the implications that canonization entails (such as merely creating new can(n)on fodder), where do we go if we still hope to regain use-value for literature rather than the generic exchange-value of in-creasing commodification? The answer must be a continuous search for ways of subverting the history of mere canonization reform.</w:t>
      </w:r>
      <w:r w:rsidRPr="007D2DDE">
        <w:t xml:space="preserve"> In ocher words, </w:t>
      </w:r>
      <w:r w:rsidRPr="00AB5916">
        <w:rPr>
          <w:rStyle w:val="highlight2"/>
        </w:rPr>
        <w:t>we must look for new ways of understanding this process of co-optation,</w:t>
      </w:r>
      <w:r w:rsidRPr="007D2DDE">
        <w:t xml:space="preserve"> unless we are satisfied with previous avant-garde methods of strange-making (Shklovsky's ostranenija). One way to do this certainly is to constantly historicize the process of canon expansion and integra-tion, restoring to the work that has become a harmless masterpiece a harmful allegorical quality. And </w:t>
      </w:r>
      <w:r w:rsidRPr="00AB5916">
        <w:rPr>
          <w:rStyle w:val="highlight2"/>
        </w:rPr>
        <w:t xml:space="preserve">we must continuously find ways to render nomadic discourses that are homebound; we must keep them nomadic; we must not allow their return home; we must leave them as "unheimlich" and threatening. </w:t>
      </w:r>
    </w:p>
    <w:p w14:paraId="1E626EE5" w14:textId="77777777" w:rsidR="00434AF7" w:rsidRDefault="00434AF7" w:rsidP="00434AF7">
      <w:pPr>
        <w:pStyle w:val="evidencetext"/>
        <w:rPr>
          <w:lang w:val="en-US"/>
        </w:rPr>
      </w:pPr>
    </w:p>
    <w:p w14:paraId="4145090E" w14:textId="77777777" w:rsidR="00434AF7" w:rsidRPr="00AB5916" w:rsidRDefault="00434AF7" w:rsidP="00434AF7">
      <w:pPr>
        <w:pStyle w:val="evidencetext"/>
        <w:rPr>
          <w:rStyle w:val="highlight2"/>
        </w:rPr>
      </w:pPr>
      <w:r w:rsidRPr="002C10D7">
        <w:t xml:space="preserve">For this necessary interpellation, </w:t>
      </w:r>
      <w:r w:rsidRPr="00AB5916">
        <w:rPr>
          <w:rStyle w:val="highlight2"/>
        </w:rPr>
        <w:t>we can learn from Gilles Deleuze and Felix Guattari how to turn the teaching machine into the "war machine."9</w:t>
      </w:r>
      <w:r w:rsidRPr="002C10D7">
        <w:t xml:space="preserve"> Deleuze and Guattari are very aware of the need for nomadic erosion, of how nomadic deterritorialization is constantly reterritorial-ized by the state (machine) and the teaching machine. </w:t>
      </w:r>
      <w:r w:rsidRPr="00AB5916">
        <w:rPr>
          <w:rStyle w:val="highlight2"/>
        </w:rPr>
        <w:t xml:space="preserve">Implicit in my remarks about the subversive elements of the testimonio, which has be-come reterritorialized in the canon debate (canon = Institutional State Apparatus), is the expressed need for changing the paradigms of literary expectancy. If canon equals state and if the masterpieces (of literature) strengthen the state, the emphasis must be on finding the Sprenguitze, the dynamite of otherness that nomadic discourse can provide. </w:t>
      </w:r>
    </w:p>
    <w:p w14:paraId="10792AF7" w14:textId="77777777" w:rsidR="00434AF7" w:rsidRDefault="00434AF7" w:rsidP="00434AF7">
      <w:pPr>
        <w:pStyle w:val="evidencetext"/>
      </w:pPr>
    </w:p>
    <w:p w14:paraId="13720725" w14:textId="77777777" w:rsidR="00434AF7" w:rsidRPr="00AB5916" w:rsidRDefault="00434AF7" w:rsidP="00434AF7">
      <w:pPr>
        <w:pStyle w:val="evidencetext"/>
        <w:rPr>
          <w:rStyle w:val="highlight2"/>
        </w:rPr>
      </w:pPr>
      <w:r w:rsidRPr="00AB5916">
        <w:rPr>
          <w:rStyle w:val="highlight2"/>
        </w:rPr>
        <w:t>What are we to do in "the teaching machine," we who came from the intrinsic study of literature and moved toward a liberating dis-course, from there even moved "against literature," once we became aware of the implications of what we had fought for originally</w:t>
      </w:r>
      <w:r w:rsidRPr="002C10D7">
        <w:t xml:space="preserve"> (namely, the expansion of the canon, introductio</w:t>
      </w:r>
      <w:r>
        <w:t>n of marginal discourses, inter</w:t>
      </w:r>
      <w:r w:rsidRPr="002C10D7">
        <w:t xml:space="preserve">est in minority, Third World, and postcolonial literatures, feminisms and marxisms)? </w:t>
      </w:r>
      <w:r w:rsidRPr="00AB5916">
        <w:rPr>
          <w:rStyle w:val="highlight2"/>
        </w:rPr>
        <w:t>Has the struggle been to achieve merely another list of required readings? Voices of a new disciplinary mapping already</w:t>
      </w:r>
      <w:r>
        <w:rPr>
          <w:rStyle w:val="highlight2"/>
        </w:rPr>
        <w:t xml:space="preserve"> as-sume with confidence that "</w:t>
      </w:r>
      <w:r>
        <w:rPr>
          <w:rStyle w:val="highlight2"/>
          <w:lang w:val="en-US"/>
        </w:rPr>
        <w:t>T</w:t>
      </w:r>
      <w:r w:rsidRPr="00AB5916">
        <w:rPr>
          <w:rStyle w:val="highlight2"/>
        </w:rPr>
        <w:t>he frontiers in our profession seem to exist only to be endlessly crossed, violated, renegotiated"</w:t>
      </w:r>
      <w:r w:rsidRPr="002C10D7">
        <w:t xml:space="preserve"> (Greenblatt and Gunn 1992, 7). </w:t>
      </w:r>
      <w:r w:rsidRPr="00AB5916">
        <w:rPr>
          <w:rStyle w:val="highlight2"/>
        </w:rPr>
        <w:t>We must monitor the system's ever increasing capability and capacity to always turn the "anti" into the "pro," coun-terdiscourse into discourse, the anricanonical into the requirement.</w:t>
      </w:r>
      <w:r w:rsidRPr="002C10D7">
        <w:t xml:space="preserve"> Needless to say, </w:t>
      </w:r>
      <w:r w:rsidRPr="00AB5916">
        <w:rPr>
          <w:rStyle w:val="highlight2"/>
        </w:rPr>
        <w:t xml:space="preserve">the first thing is to stay alert, the second is to historicize rather than to interpret. We need to show in testimonial discourse specifically, as in Third World literature and minority discourse in general, how this movement from an authentic margin has been be-trayed by inclusion in the Western canon, which can be considered as yet another form of colonialization. </w:t>
      </w:r>
    </w:p>
    <w:p w14:paraId="1888DFE0" w14:textId="77777777" w:rsidR="00434AF7" w:rsidRDefault="00434AF7" w:rsidP="00434AF7">
      <w:pPr>
        <w:pStyle w:val="evidencetext"/>
      </w:pPr>
    </w:p>
    <w:p w14:paraId="56014826" w14:textId="77777777" w:rsidR="00434AF7" w:rsidRDefault="00434AF7" w:rsidP="00434AF7">
      <w:pPr>
        <w:pStyle w:val="evidencetext"/>
      </w:pPr>
      <w:r w:rsidRPr="002C10D7">
        <w:t xml:space="preserve">But is this all? </w:t>
      </w:r>
      <w:r w:rsidRPr="00AB5916">
        <w:rPr>
          <w:rStyle w:val="highlight2"/>
        </w:rPr>
        <w:t xml:space="preserve">I propose that we learn more from this: namely, that we not develop an aesthetic methodology akin to the various avant-gardisms of modernism and most certainly not the ludic pastiche that characterizes postmodernism, but that we construct and search for the Sprengatze of the nomadology Deleuze and Guattari </w:t>
      </w:r>
      <w:r w:rsidRPr="00AB5916">
        <w:rPr>
          <w:rStyle w:val="highlight2"/>
        </w:rPr>
        <w:lastRenderedPageBreak/>
        <w:t>envision. That would imply a continuously shifting emphasis on different discourses and a willingness to move from a once potentially liberating discourse co another once it becomes obvious that the integration into the institu-tion has de-energized the former discourse. This enlarged understand-ing of how capital works forces those who had illusions about an all too easy redemption</w:t>
      </w:r>
      <w:r w:rsidRPr="002C10D7">
        <w:t xml:space="preserve"> (from Benjamin to the present) to once again real-istically assess the situation of how literary discourse functions within the state. </w:t>
      </w:r>
    </w:p>
    <w:p w14:paraId="0A39C75A" w14:textId="77777777" w:rsidR="00434AF7" w:rsidRDefault="00434AF7" w:rsidP="00434AF7">
      <w:pPr>
        <w:pStyle w:val="evidencetext"/>
        <w:rPr>
          <w:rStyle w:val="highlight2"/>
        </w:rPr>
      </w:pPr>
    </w:p>
    <w:p w14:paraId="65A19099" w14:textId="77777777" w:rsidR="00434AF7" w:rsidRDefault="00434AF7" w:rsidP="00434AF7">
      <w:pPr>
        <w:pStyle w:val="evidencetext"/>
        <w:rPr>
          <w:rStyle w:val="highlight2"/>
        </w:rPr>
      </w:pPr>
      <w:r w:rsidRPr="00AB5916">
        <w:rPr>
          <w:rStyle w:val="highlight2"/>
        </w:rPr>
        <w:t>The increasing co-optation of everything into an irritating, best-selling pluralism of all disciplines</w:t>
      </w:r>
      <w:r w:rsidRPr="002C10D7">
        <w:t>—for example, institutionalized Cul-tural Studies (see Fredric Jameson as discussed by John Beverley in these pages)—</w:t>
      </w:r>
      <w:r w:rsidRPr="00AB5916">
        <w:rPr>
          <w:rStyle w:val="highlight2"/>
        </w:rPr>
        <w:t>is akin to reterrirorializing everything that previously was deterritorialized. This process is the taming of the nomad by the sedentary, the continuous alienation of dis-alienational moments. But the margin at the center may not be the answer to the problem.</w:t>
      </w:r>
    </w:p>
    <w:p w14:paraId="2CB46271" w14:textId="77777777" w:rsidR="00434AF7" w:rsidRDefault="00434AF7" w:rsidP="001B0415"/>
    <w:p w14:paraId="0B2EC1B2" w14:textId="77777777" w:rsidR="00434AF7" w:rsidRDefault="00434AF7" w:rsidP="001B0415"/>
    <w:p w14:paraId="1A6E2FCA" w14:textId="22185C43" w:rsidR="00434AF7" w:rsidRDefault="00CA6D76" w:rsidP="00CA6D76">
      <w:pPr>
        <w:pStyle w:val="Heading4"/>
      </w:pPr>
      <w:r>
        <w:t>[</w:t>
      </w:r>
      <w:proofErr w:type="gramStart"/>
      <w:r>
        <w:t>tag</w:t>
      </w:r>
      <w:proofErr w:type="gramEnd"/>
      <w:r>
        <w:t>]</w:t>
      </w:r>
    </w:p>
    <w:p w14:paraId="102C17B3" w14:textId="77777777" w:rsidR="00434AF7" w:rsidRPr="002955AF" w:rsidRDefault="00434AF7" w:rsidP="00434AF7">
      <w:pPr>
        <w:ind w:left="720"/>
        <w:rPr>
          <w:bCs/>
        </w:rPr>
      </w:pPr>
      <w:r w:rsidRPr="002955AF">
        <w:rPr>
          <w:bCs/>
        </w:rPr>
        <w:t xml:space="preserve">Ugo </w:t>
      </w:r>
      <w:r w:rsidRPr="002955AF">
        <w:rPr>
          <w:b/>
          <w:color w:val="000000"/>
          <w:u w:val="thick" w:color="000000"/>
        </w:rPr>
        <w:t>Mattei</w:t>
      </w:r>
      <w:r w:rsidRPr="002955AF">
        <w:rPr>
          <w:bCs/>
        </w:rPr>
        <w:t xml:space="preserve">, Alfred and Hanna Fromm Professor of International and Comparative Law at the University of California, Hastings College and Professor of Civil Law at the University of Turin, Laura </w:t>
      </w:r>
      <w:r w:rsidRPr="002955AF">
        <w:rPr>
          <w:b/>
          <w:color w:val="000000"/>
          <w:u w:val="thick" w:color="000000"/>
        </w:rPr>
        <w:t>and Nader</w:t>
      </w:r>
      <w:r w:rsidRPr="002955AF">
        <w:rPr>
          <w:bCs/>
        </w:rPr>
        <w:t>, Professor of Anthropology at UC Berkeley, “Plunder: When the Rule of Law is Illegal”, 20</w:t>
      </w:r>
      <w:r w:rsidRPr="002955AF">
        <w:rPr>
          <w:b/>
          <w:color w:val="000000"/>
          <w:u w:val="thick" w:color="000000"/>
        </w:rPr>
        <w:t>08</w:t>
      </w:r>
      <w:r w:rsidRPr="002955AF">
        <w:rPr>
          <w:bCs/>
        </w:rPr>
        <w:t>, pg. 4-8, TB</w:t>
      </w:r>
    </w:p>
    <w:p w14:paraId="0695F42A" w14:textId="77777777" w:rsidR="00434AF7" w:rsidRPr="002955AF" w:rsidRDefault="00434AF7" w:rsidP="00434AF7">
      <w:pPr>
        <w:rPr>
          <w:bCs/>
          <w:u w:val="thick"/>
        </w:rPr>
      </w:pPr>
    </w:p>
    <w:p w14:paraId="41C4A355" w14:textId="77777777" w:rsidR="00434AF7" w:rsidRPr="002955AF" w:rsidRDefault="00434AF7" w:rsidP="00434AF7">
      <w:pPr>
        <w:pStyle w:val="evidencetext"/>
      </w:pPr>
      <w:r w:rsidRPr="002955AF">
        <w:t>Western countries identify themselves as law-abiding and civilized no matter what their actual history reveals. Such identification is acquired by false knowledge and false comparison with other peoples, those who were said to “lack” the rule of law, such as in China, Japan, India, and in the Islamic world more generally. Similarly today, according to some leading economists, Third World developing countries “lack” the minimal institutional systems necessary for the unfolding of a global market that now serves (as in the past) to further the construction of Western superiority.</w:t>
      </w:r>
    </w:p>
    <w:p w14:paraId="2FBAD6EF" w14:textId="77777777" w:rsidR="00434AF7" w:rsidRPr="002955AF" w:rsidRDefault="00434AF7" w:rsidP="00434AF7">
      <w:pPr>
        <w:pStyle w:val="evidencetext"/>
      </w:pPr>
      <w:r w:rsidRPr="002955AF">
        <w:t xml:space="preserve">We argue in this book that </w:t>
      </w:r>
      <w:r w:rsidRPr="002955AF">
        <w:rPr>
          <w:rStyle w:val="highlight2"/>
        </w:rPr>
        <w:t>foreign-imposed privatization laws that facilitate unconscionable bargains at the expense of the people are vehicles of plunder, not of legality. The very same policy</w:t>
      </w:r>
      <w:r w:rsidRPr="002955AF">
        <w:t xml:space="preserve"> of corporatization and open markets, imposed today globally by the so-called Washington consensus, </w:t>
      </w:r>
      <w:r w:rsidRPr="002955AF">
        <w:rPr>
          <w:rStyle w:val="highlight2"/>
        </w:rPr>
        <w:t>was used by Western bankers and the business community in Latin America as the main vehicle to “open the veins” of the continent, to borrow Eduardo Galeano’s metaphor,</w:t>
      </w:r>
      <w:r w:rsidRPr="002955AF">
        <w:t xml:space="preserve"> with no solution or continuity between colonial and post-colonial times. It was used in Africa to facilitate the forced transfer of slaves to America, and today to facilitate the extraction of agricultural products, oils, minerals, ideas, and cultural artifacts in the same countries. The policy of violently opening markets for free trade (especially of weapons), used today in Afghanistan and Iraq, was used in China during the nineteenth-century Opium War, in which free trade was interpreted as an obligation to buy drugs from British dealers. The policy of protecting Western industry by means of tariffs and barriers to entry, while at the same time forcing local industries to compete on the open market, was used by the British empire in Bengal, as it is today by the WTO in Asia, Africa, and Latin America. In all these settings </w:t>
      </w:r>
      <w:r w:rsidRPr="002955AF">
        <w:rPr>
          <w:rStyle w:val="highlight2"/>
        </w:rPr>
        <w:t>the tragic human suffering produced by such plunder is simply ignored.</w:t>
      </w:r>
      <w:r w:rsidRPr="002955AF">
        <w:t xml:space="preserve"> In all these settings law played a major role in legalizing and legitimating such practices of powerful actors against the powerless. Yet, this use of power is scarcely explored in the study of Western law.</w:t>
      </w:r>
    </w:p>
    <w:p w14:paraId="2DD46D9C" w14:textId="77777777" w:rsidR="00434AF7" w:rsidRPr="002955AF" w:rsidRDefault="00434AF7" w:rsidP="00434AF7">
      <w:pPr>
        <w:pStyle w:val="evidencetext"/>
      </w:pPr>
      <w:r w:rsidRPr="002955AF">
        <w:t xml:space="preserve">The dominant image of the rule of law, we argue, is false historically and in the present, because it does not fully acknowledge its dark side. </w:t>
      </w:r>
      <w:r w:rsidRPr="002955AF">
        <w:rPr>
          <w:rStyle w:val="highlight2"/>
        </w:rPr>
        <w:t>The false representation starts from the idea that good law (which others “lack”) is autonomous, separate from society</w:t>
      </w:r>
      <w:r w:rsidRPr="002955AF">
        <w:t xml:space="preserve"> and its institutions, technical, non-political, non-distributive, and reactive rather than proactive: more succinctly, a technological framework for an “efficient” market. Because of these false representations, good governance that ostensibly characterizes the law’s purposes becomes the backbone of naturalized professional arguments that are marshaled to legitimize plunder.</w:t>
      </w:r>
    </w:p>
    <w:p w14:paraId="497DCAE5" w14:textId="77777777" w:rsidR="00434AF7" w:rsidRPr="002955AF" w:rsidRDefault="00434AF7" w:rsidP="00434AF7">
      <w:pPr>
        <w:pStyle w:val="evidencetext"/>
      </w:pPr>
      <w:r w:rsidRPr="002955AF">
        <w:t xml:space="preserve">We argue that </w:t>
      </w:r>
      <w:r w:rsidRPr="002955AF">
        <w:rPr>
          <w:rStyle w:val="highlight2"/>
        </w:rPr>
        <w:t>the rule of law has a bright and a dark side, with the latter progressively conquering new terrain whenever the former is not empowered by a political soul. In the absence of such political life, the rule of law becomes a cold technology, and the dark side can cover the whole picture as law yields to embrace brute violence.</w:t>
      </w:r>
      <w:r w:rsidRPr="002955AF">
        <w:t xml:space="preserve"> The political empowerment of the bright side of law can stem from a variety of places, not necessarily rooted in justice. During the Cold War, for example, there was some incentive to practice a democratic rule of law in its positive functions of order, conflict management, principled and fair decision-making. But the change in the balance of power after the Cold War nourished the law’s dark side, removing the political bite to the law. The United States’ ruling elite no longer needed to persuade other countries and people of the values of democracy and the virtue of the rule of law which after communism, in its Soviet realization, had collapsed </w:t>
      </w:r>
      <w:r w:rsidRPr="002955AF">
        <w:lastRenderedPageBreak/>
        <w:t xml:space="preserve">under corruption and illegality. Gradually, incentives for institutional virtues declined in the West. </w:t>
      </w:r>
      <w:r w:rsidRPr="002955AF">
        <w:rPr>
          <w:rStyle w:val="highlight2"/>
        </w:rPr>
        <w:t>A public shift from justice to profit, from respects to thefts, followed within an atmosphere of silenced political debate, overwhelmed by self-congratulatory rhetoric,</w:t>
      </w:r>
      <w:r w:rsidRPr="002955AF">
        <w:t xml:space="preserve"> such as the end of history, through the 1990s. Later the </w:t>
      </w:r>
      <w:r w:rsidRPr="002955AF">
        <w:rPr>
          <w:rStyle w:val="highlight2"/>
        </w:rPr>
        <w:t>political silence accompanying plunder was further normalized by talk of patriotism,</w:t>
      </w:r>
      <w:r w:rsidRPr="002955AF">
        <w:t xml:space="preserve"> “detainees,” “enemy combatants,” and special tribunals reminiscent of earlier nineteenth- and twentieth-century authoritarians including anti-law phases as in “tort reform” or torture policies. Such post-September 11 praxis, as well as its perennial power surrender to corporate actors, takes us a long way from an American model of legality and democracy that, though rhetorical and hypocritical in many ways, has been admired worldwide and arguably contributed to the ending of the Cold War.</w:t>
      </w:r>
    </w:p>
    <w:p w14:paraId="79DD8922" w14:textId="77777777" w:rsidR="00434AF7" w:rsidRPr="002955AF" w:rsidRDefault="00434AF7" w:rsidP="00434AF7">
      <w:pPr>
        <w:pStyle w:val="evidencetext"/>
      </w:pPr>
      <w:r w:rsidRPr="002955AF">
        <w:t>Because of the scope of our project, we have selected materials and illustrations that include large parts of the world but are not meant to be comprehensive. In our examples, the uses of the rule oflaw are discussed in the past and in the present, both domestically and in their international dimension, taking into due consideration the declining role of states as compared to large corporate actors. When large corporate actors dominate states or become knitted with them, law becomes a product of the economy, and what was once “Western” domination is now multinational corporate capitalism. Democracy, rule of law, development, international human rights, and arguments about “lack” are in the present legal landscape a strong part of the rhetoric of legitimization of international corporate extraction.</w:t>
      </w:r>
    </w:p>
    <w:p w14:paraId="42E2C44E" w14:textId="77777777" w:rsidR="00434AF7" w:rsidRPr="002955AF" w:rsidRDefault="00434AF7" w:rsidP="00434AF7">
      <w:pPr>
        <w:pStyle w:val="evidencetext"/>
      </w:pPr>
      <w:r w:rsidRPr="002955AF">
        <w:t>Contemporary mass cultures operate within a short timespan. Most Western intellectuals do not grasp that it is because of previous expansionist empires that culture become connected with one another and share a good deal of world history. Worse, many intellectuals do not acknowledge that it is exactly because of the plunder of gold, silver, bioresources, and more that development accelerated in the West, so that underdevelopment is a historically produced victimization of weaker and more enclosed communities and not the disease of less people.</w:t>
      </w:r>
    </w:p>
    <w:p w14:paraId="1091ADFE" w14:textId="77777777" w:rsidR="00434AF7" w:rsidRPr="002955AF" w:rsidRDefault="00434AF7" w:rsidP="00434AF7">
      <w:pPr>
        <w:pStyle w:val="evidencetext"/>
      </w:pPr>
      <w:r w:rsidRPr="002955AF">
        <w:rPr>
          <w:rStyle w:val="highlight2"/>
        </w:rPr>
        <w:t>Prevailing short-term and short-sighted opportunism must be overcome. Far too many politicized people exist in today’s world – as demonstrated by the worldwide opposition to the US invasion of Iraq – for American imperialism to be sustained. A narrative history of the imperial adventure rendered in historical and contemporary legal terms opens up a possibility for a radical rethinking of a model of development defined by Western ideas of progress, development, and efficiency.</w:t>
      </w:r>
      <w:r w:rsidRPr="002955AF">
        <w:t xml:space="preserve"> A vision of a just society necessitates that we eschew an idea of freedom that allows for massive inequality because the rule of law is invariably used to protect the bottom line. </w:t>
      </w:r>
      <w:r w:rsidRPr="002955AF">
        <w:rPr>
          <w:rStyle w:val="highlight2"/>
        </w:rPr>
        <w:t>Liberation is a better word than freedom. Liberation cannot exist without authentic democracy, and no democracy exists without just distribution of resources.</w:t>
      </w:r>
      <w:r w:rsidRPr="002955AF">
        <w:t xml:space="preserve"> Does the rule of law still have a role in attempting to establish the conditions for liberation?</w:t>
      </w:r>
    </w:p>
    <w:p w14:paraId="3FCCB1F4" w14:textId="77777777" w:rsidR="00434AF7" w:rsidRPr="002955AF" w:rsidRDefault="00434AF7" w:rsidP="00434AF7">
      <w:pPr>
        <w:pStyle w:val="evidencetext"/>
      </w:pPr>
      <w:r w:rsidRPr="002955AF">
        <w:rPr>
          <w:rStyle w:val="highlight2"/>
        </w:rPr>
        <w:t>Perhaps empowering its bright side and fully exposing the dark aspects of the rule of law can transform it into a tool for taking control of a runaway world,</w:t>
      </w:r>
      <w:r w:rsidRPr="002955AF">
        <w:t xml:space="preserve"> fueled by an economic dynamic called neo-liberalism. </w:t>
      </w:r>
      <w:r w:rsidRPr="002955AF">
        <w:rPr>
          <w:rStyle w:val="highlight2"/>
        </w:rPr>
        <w:t>Perhaps the rule of law cannot be reformed and only revolution can disentangle it from the lethal hug of plunder. In both cases, understanding plunder is a precondition for action. New directions call for a recognition of the configuration that has accompanied the different waves of Euro-American expansions. A reconfiguration would mean, first and foremost, a clear rejection of an ideology of inherent superiority of Western culture that does not recognize that the West is itself part of something much larger.</w:t>
      </w:r>
      <w:r w:rsidRPr="002955AF">
        <w:t xml:space="preserve"> After all, the discovery of agriculture and three great world religions – Christianity, Islam, and Judaism – had their origin in the Middle East. Most importantly for our purposes we propose a hard-nosed look at what is behind the rule of law as an undisputable value of current corporate-dominated capitalism.</w:t>
      </w:r>
    </w:p>
    <w:p w14:paraId="2AD3BED3" w14:textId="77777777" w:rsidR="00434AF7" w:rsidRPr="002955AF" w:rsidRDefault="00434AF7" w:rsidP="00434AF7">
      <w:pPr>
        <w:pStyle w:val="evidencetext"/>
        <w:rPr>
          <w:rStyle w:val="highlight2"/>
        </w:rPr>
      </w:pPr>
      <w:r w:rsidRPr="002955AF">
        <w:t xml:space="preserve">Several outstanding thinkers today, in and out of academia, are suggesting that the problems we are facing are systemic to a several-hundred-year-old system of Euro-American expansion and domination based on extraction and plunder, a system that is now adopted by India and China. Cultural and material destruction has proceeded at an accelerated pace at least since the eighteenth century. The two legitimizing strategies, one motivated by a universal concept of justice, the other by a universal concept of efficiency (the former commonly associated with colonialism and the latter with modern Americanization) are deeply flawed and no longer acceptable. The “lack” argument, where a comparative absence is created that can only be remedied by transferring law from a Western source, is, also, outrageous when seen as yet another imperial move. Similarly outrageous is law as a social and political tool that empowers local elites to interface with the global economy in the face of increasing social inequities. </w:t>
      </w:r>
      <w:r w:rsidRPr="002955AF">
        <w:rPr>
          <w:rStyle w:val="highlight2"/>
        </w:rPr>
        <w:t>Plunder, we suggest, is an important concept to unify and portray, as the rule, distortions in the model of capitalist expansion that are at most acknowledged as exceptions.</w:t>
      </w:r>
    </w:p>
    <w:p w14:paraId="184C6EAF" w14:textId="77777777" w:rsidR="00434AF7" w:rsidRPr="002955AF" w:rsidRDefault="00434AF7" w:rsidP="00434AF7">
      <w:pPr>
        <w:pStyle w:val="evidencetext"/>
      </w:pPr>
      <w:r w:rsidRPr="002955AF">
        <w:rPr>
          <w:rStyle w:val="highlight2"/>
        </w:rPr>
        <w:t xml:space="preserve">Perhaps plunder as the rule rather than the exception allows the reader to get outraged. The Enron scandal, the mutual fund scandal, and other examples portrayed as exceptions (such as the torture in Abu Ghraib, Guantanamo Bay, Baghram Air Force Base or the use of illegal weapons of mass destruction in Falluja) in fact are the rule of corporate capitalist development; workers are victimized; people lose their </w:t>
      </w:r>
      <w:r w:rsidRPr="002955AF">
        <w:rPr>
          <w:rStyle w:val="highlight2"/>
        </w:rPr>
        <w:lastRenderedPageBreak/>
        <w:t>savings; innocents are killed; peasants are starved.</w:t>
      </w:r>
      <w:r w:rsidRPr="002955AF">
        <w:rPr>
          <w:rStyle w:val="highlight2"/>
          <w:b w:val="0"/>
        </w:rPr>
        <w:t xml:space="preserve"> </w:t>
      </w:r>
      <w:r w:rsidRPr="002955AF">
        <w:t>The distinction between what is legal and what is illegal blurs in a world in which the rule of law is reduced to a dull rhetoric or to Orwellian double-speak. How much more suffering do we need to realize that similar tragedies are the rule and not the exception? How much more time do we need to recognize the civilizing failure of corporate capitalism and the need to organize radical alternatives to its destructive models of development?</w:t>
      </w:r>
    </w:p>
    <w:p w14:paraId="1BC973DA" w14:textId="77777777" w:rsidR="00434AF7" w:rsidRDefault="00434AF7" w:rsidP="001B0415"/>
    <w:p w14:paraId="06DA75DD" w14:textId="76A9AB45" w:rsidR="00334981" w:rsidRPr="001B0415" w:rsidRDefault="00334981" w:rsidP="00DA292B">
      <w:pPr>
        <w:pStyle w:val="Heading4"/>
      </w:pPr>
      <w:r>
        <w:t>We endorse an opening of the debate space</w:t>
      </w:r>
      <w:r w:rsidR="00DA292B">
        <w:t xml:space="preserve"> to discuss the structures that cause economic violence in Latin America.</w:t>
      </w:r>
    </w:p>
    <w:sectPr w:rsidR="00334981" w:rsidRPr="001B0415"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C2E2C9" w14:textId="77777777" w:rsidR="00084170" w:rsidRDefault="00084170" w:rsidP="00E46E7E">
      <w:r>
        <w:separator/>
      </w:r>
    </w:p>
  </w:endnote>
  <w:endnote w:type="continuationSeparator" w:id="0">
    <w:p w14:paraId="2E2374E4" w14:textId="77777777" w:rsidR="00084170" w:rsidRDefault="00084170"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C92842" w14:textId="77777777" w:rsidR="00084170" w:rsidRDefault="00084170" w:rsidP="00E46E7E">
      <w:r>
        <w:separator/>
      </w:r>
    </w:p>
  </w:footnote>
  <w:footnote w:type="continuationSeparator" w:id="0">
    <w:p w14:paraId="1BF4042E" w14:textId="77777777" w:rsidR="00084170" w:rsidRDefault="00084170"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51FB"/>
    <w:rsid w:val="000140EC"/>
    <w:rsid w:val="00016A35"/>
    <w:rsid w:val="00084170"/>
    <w:rsid w:val="00087AE8"/>
    <w:rsid w:val="000C16B3"/>
    <w:rsid w:val="000D6907"/>
    <w:rsid w:val="001408C0"/>
    <w:rsid w:val="00143FD7"/>
    <w:rsid w:val="001463FB"/>
    <w:rsid w:val="00186DB7"/>
    <w:rsid w:val="001B0415"/>
    <w:rsid w:val="001D7626"/>
    <w:rsid w:val="002613DA"/>
    <w:rsid w:val="002B6353"/>
    <w:rsid w:val="002B68C8"/>
    <w:rsid w:val="002F35F4"/>
    <w:rsid w:val="002F3E28"/>
    <w:rsid w:val="002F40E6"/>
    <w:rsid w:val="00303E5B"/>
    <w:rsid w:val="00313226"/>
    <w:rsid w:val="0031425E"/>
    <w:rsid w:val="00325059"/>
    <w:rsid w:val="00334981"/>
    <w:rsid w:val="003353F7"/>
    <w:rsid w:val="00357719"/>
    <w:rsid w:val="00374144"/>
    <w:rsid w:val="00375FE9"/>
    <w:rsid w:val="0039214D"/>
    <w:rsid w:val="003B3EC7"/>
    <w:rsid w:val="003F42AF"/>
    <w:rsid w:val="00412F6D"/>
    <w:rsid w:val="0042635A"/>
    <w:rsid w:val="00434AF7"/>
    <w:rsid w:val="00466B6F"/>
    <w:rsid w:val="00474A52"/>
    <w:rsid w:val="004B3188"/>
    <w:rsid w:val="004B3DB3"/>
    <w:rsid w:val="004C63B5"/>
    <w:rsid w:val="004D461E"/>
    <w:rsid w:val="004F2589"/>
    <w:rsid w:val="00517479"/>
    <w:rsid w:val="005A0BE5"/>
    <w:rsid w:val="005B57E0"/>
    <w:rsid w:val="005C0E1F"/>
    <w:rsid w:val="005E0D2B"/>
    <w:rsid w:val="005E18DB"/>
    <w:rsid w:val="005E2C99"/>
    <w:rsid w:val="006519B5"/>
    <w:rsid w:val="00672258"/>
    <w:rsid w:val="0067575B"/>
    <w:rsid w:val="00692C26"/>
    <w:rsid w:val="006F2D3D"/>
    <w:rsid w:val="00700835"/>
    <w:rsid w:val="00726F87"/>
    <w:rsid w:val="007333B9"/>
    <w:rsid w:val="00791B7D"/>
    <w:rsid w:val="007A3515"/>
    <w:rsid w:val="007B03C2"/>
    <w:rsid w:val="007C49A8"/>
    <w:rsid w:val="007D7924"/>
    <w:rsid w:val="007E470C"/>
    <w:rsid w:val="007E5F71"/>
    <w:rsid w:val="00821415"/>
    <w:rsid w:val="0083768F"/>
    <w:rsid w:val="00873C50"/>
    <w:rsid w:val="008B552F"/>
    <w:rsid w:val="00905D14"/>
    <w:rsid w:val="0091595A"/>
    <w:rsid w:val="009165EA"/>
    <w:rsid w:val="009829F2"/>
    <w:rsid w:val="00993F61"/>
    <w:rsid w:val="009B0746"/>
    <w:rsid w:val="009C198B"/>
    <w:rsid w:val="009D207E"/>
    <w:rsid w:val="009D753B"/>
    <w:rsid w:val="009E5822"/>
    <w:rsid w:val="009E691A"/>
    <w:rsid w:val="00A074CB"/>
    <w:rsid w:val="00A369C4"/>
    <w:rsid w:val="00A47986"/>
    <w:rsid w:val="00A61A9C"/>
    <w:rsid w:val="00A91A24"/>
    <w:rsid w:val="00AC0E99"/>
    <w:rsid w:val="00AF1E67"/>
    <w:rsid w:val="00AF5046"/>
    <w:rsid w:val="00AF70D4"/>
    <w:rsid w:val="00B169A1"/>
    <w:rsid w:val="00B33E0C"/>
    <w:rsid w:val="00B45FE9"/>
    <w:rsid w:val="00B55D49"/>
    <w:rsid w:val="00B65E97"/>
    <w:rsid w:val="00B84180"/>
    <w:rsid w:val="00BE63EA"/>
    <w:rsid w:val="00C42A3C"/>
    <w:rsid w:val="00CA6D76"/>
    <w:rsid w:val="00CD2C6D"/>
    <w:rsid w:val="00CE3653"/>
    <w:rsid w:val="00CF1A0F"/>
    <w:rsid w:val="00D36252"/>
    <w:rsid w:val="00D4330B"/>
    <w:rsid w:val="00D460F1"/>
    <w:rsid w:val="00D51B44"/>
    <w:rsid w:val="00D6085D"/>
    <w:rsid w:val="00D66D57"/>
    <w:rsid w:val="00D81480"/>
    <w:rsid w:val="00D851FB"/>
    <w:rsid w:val="00DA292B"/>
    <w:rsid w:val="00DA2E40"/>
    <w:rsid w:val="00DA5BF8"/>
    <w:rsid w:val="00DB77E0"/>
    <w:rsid w:val="00DC71AA"/>
    <w:rsid w:val="00DD2FAB"/>
    <w:rsid w:val="00DE627C"/>
    <w:rsid w:val="00DF1850"/>
    <w:rsid w:val="00E46E7E"/>
    <w:rsid w:val="00E95631"/>
    <w:rsid w:val="00F1173B"/>
    <w:rsid w:val="00F42466"/>
    <w:rsid w:val="00F45F2E"/>
    <w:rsid w:val="00F8428C"/>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2139ED9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87AE8"/>
    <w:rPr>
      <w:rFonts w:ascii="Calibri" w:hAnsi="Calibri"/>
      <w:sz w:val="22"/>
    </w:rPr>
  </w:style>
  <w:style w:type="paragraph" w:styleId="Heading1">
    <w:name w:val="heading 1"/>
    <w:aliases w:val="Pocket"/>
    <w:basedOn w:val="Normal"/>
    <w:next w:val="Normal"/>
    <w:link w:val="Heading1Char"/>
    <w:uiPriority w:val="9"/>
    <w:qFormat/>
    <w:rsid w:val="00087AE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87AE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87AE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087AE8"/>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087AE8"/>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087AE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87AE8"/>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87AE8"/>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087AE8"/>
    <w:rPr>
      <w:rFonts w:asciiTheme="majorHAnsi" w:eastAsiaTheme="majorEastAsia" w:hAnsiTheme="majorHAnsi" w:cstheme="majorBidi"/>
      <w:b/>
      <w:bCs/>
      <w:iCs/>
      <w:sz w:val="26"/>
    </w:rPr>
  </w:style>
  <w:style w:type="paragraph" w:styleId="NoSpacing">
    <w:name w:val="No Spacing"/>
    <w:uiPriority w:val="1"/>
    <w:rsid w:val="00087AE8"/>
  </w:style>
  <w:style w:type="character" w:customStyle="1" w:styleId="StyleStyleBold12pt">
    <w:name w:val="Style Style Bold + 12 pt"/>
    <w:aliases w:val="Cite"/>
    <w:basedOn w:val="DefaultParagraphFont"/>
    <w:uiPriority w:val="1"/>
    <w:qFormat/>
    <w:rsid w:val="00087AE8"/>
    <w:rPr>
      <w:b/>
      <w:sz w:val="26"/>
      <w:u w:val="none"/>
    </w:rPr>
  </w:style>
  <w:style w:type="character" w:customStyle="1" w:styleId="StyleBoldUnderline">
    <w:name w:val="Style Bold Underline"/>
    <w:aliases w:val="Underline"/>
    <w:basedOn w:val="DefaultParagraphFont"/>
    <w:uiPriority w:val="1"/>
    <w:qFormat/>
    <w:rsid w:val="00087AE8"/>
    <w:rPr>
      <w:b/>
      <w:sz w:val="22"/>
      <w:u w:val="single"/>
    </w:rPr>
  </w:style>
  <w:style w:type="paragraph" w:styleId="DocumentMap">
    <w:name w:val="Document Map"/>
    <w:basedOn w:val="Normal"/>
    <w:link w:val="DocumentMapChar"/>
    <w:uiPriority w:val="99"/>
    <w:semiHidden/>
    <w:unhideWhenUsed/>
    <w:rsid w:val="00087AE8"/>
    <w:rPr>
      <w:rFonts w:ascii="Lucida Grande" w:hAnsi="Lucida Grande" w:cs="Lucida Grande"/>
    </w:rPr>
  </w:style>
  <w:style w:type="character" w:customStyle="1" w:styleId="DocumentMapChar">
    <w:name w:val="Document Map Char"/>
    <w:basedOn w:val="DefaultParagraphFont"/>
    <w:link w:val="DocumentMap"/>
    <w:uiPriority w:val="99"/>
    <w:semiHidden/>
    <w:rsid w:val="00087AE8"/>
    <w:rPr>
      <w:rFonts w:ascii="Lucida Grande" w:hAnsi="Lucida Grande" w:cs="Lucida Grande"/>
      <w:sz w:val="22"/>
    </w:rPr>
  </w:style>
  <w:style w:type="paragraph" w:styleId="ListParagraph">
    <w:name w:val="List Paragraph"/>
    <w:basedOn w:val="Normal"/>
    <w:uiPriority w:val="34"/>
    <w:rsid w:val="00087AE8"/>
    <w:pPr>
      <w:ind w:left="720"/>
      <w:contextualSpacing/>
    </w:pPr>
  </w:style>
  <w:style w:type="paragraph" w:styleId="Header">
    <w:name w:val="header"/>
    <w:basedOn w:val="Normal"/>
    <w:link w:val="HeaderChar"/>
    <w:uiPriority w:val="99"/>
    <w:unhideWhenUsed/>
    <w:rsid w:val="00087AE8"/>
    <w:pPr>
      <w:tabs>
        <w:tab w:val="center" w:pos="4320"/>
        <w:tab w:val="right" w:pos="8640"/>
      </w:tabs>
    </w:pPr>
  </w:style>
  <w:style w:type="character" w:customStyle="1" w:styleId="HeaderChar">
    <w:name w:val="Header Char"/>
    <w:basedOn w:val="DefaultParagraphFont"/>
    <w:link w:val="Header"/>
    <w:uiPriority w:val="99"/>
    <w:rsid w:val="00087AE8"/>
    <w:rPr>
      <w:rFonts w:ascii="Calibri" w:hAnsi="Calibri"/>
      <w:sz w:val="22"/>
    </w:rPr>
  </w:style>
  <w:style w:type="paragraph" w:styleId="Footer">
    <w:name w:val="footer"/>
    <w:basedOn w:val="Normal"/>
    <w:link w:val="FooterChar"/>
    <w:uiPriority w:val="99"/>
    <w:unhideWhenUsed/>
    <w:rsid w:val="00087AE8"/>
    <w:pPr>
      <w:tabs>
        <w:tab w:val="center" w:pos="4320"/>
        <w:tab w:val="right" w:pos="8640"/>
      </w:tabs>
    </w:pPr>
  </w:style>
  <w:style w:type="character" w:customStyle="1" w:styleId="FooterChar">
    <w:name w:val="Footer Char"/>
    <w:basedOn w:val="DefaultParagraphFont"/>
    <w:link w:val="Footer"/>
    <w:uiPriority w:val="99"/>
    <w:rsid w:val="00087AE8"/>
    <w:rPr>
      <w:rFonts w:ascii="Calibri" w:hAnsi="Calibri"/>
      <w:sz w:val="22"/>
    </w:rPr>
  </w:style>
  <w:style w:type="character" w:styleId="PageNumber">
    <w:name w:val="page number"/>
    <w:basedOn w:val="DefaultParagraphFont"/>
    <w:uiPriority w:val="99"/>
    <w:semiHidden/>
    <w:unhideWhenUsed/>
    <w:rsid w:val="00087AE8"/>
  </w:style>
  <w:style w:type="character" w:styleId="Hyperlink">
    <w:name w:val="Hyperlink"/>
    <w:basedOn w:val="DefaultParagraphFont"/>
    <w:uiPriority w:val="99"/>
    <w:unhideWhenUsed/>
    <w:rsid w:val="00087AE8"/>
    <w:rPr>
      <w:color w:val="0000FF" w:themeColor="hyperlink"/>
      <w:u w:val="single"/>
    </w:rPr>
  </w:style>
  <w:style w:type="paragraph" w:customStyle="1" w:styleId="boldcite">
    <w:name w:val="bold cite"/>
    <w:basedOn w:val="Normal"/>
    <w:rsid w:val="0039214D"/>
    <w:rPr>
      <w:rFonts w:ascii="Times New Roman" w:eastAsia="Calibri" w:hAnsi="Times New Roman" w:cs="Times New Roman"/>
      <w:b/>
      <w:color w:val="000000"/>
      <w:szCs w:val="20"/>
      <w:u w:val="thick" w:color="000000"/>
    </w:rPr>
  </w:style>
  <w:style w:type="paragraph" w:customStyle="1" w:styleId="BlockTitle2">
    <w:name w:val="Block Title #2"/>
    <w:basedOn w:val="Normal"/>
    <w:rsid w:val="0039214D"/>
    <w:pPr>
      <w:keepNext/>
      <w:pBdr>
        <w:top w:val="single" w:sz="18" w:space="1" w:color="000000"/>
        <w:left w:val="single" w:sz="18" w:space="4" w:color="000000"/>
        <w:bottom w:val="single" w:sz="18" w:space="1" w:color="000000"/>
        <w:right w:val="single" w:sz="18" w:space="4" w:color="000000"/>
      </w:pBdr>
      <w:ind w:left="1728" w:right="1728"/>
      <w:jc w:val="center"/>
    </w:pPr>
    <w:rPr>
      <w:rFonts w:ascii="Times New Roman" w:eastAsia="Calibri" w:hAnsi="Times New Roman" w:cs="Arial"/>
      <w:b/>
      <w:bCs/>
      <w:color w:val="000000"/>
      <w:kern w:val="32"/>
      <w:sz w:val="24"/>
      <w:szCs w:val="32"/>
    </w:rPr>
  </w:style>
  <w:style w:type="character" w:customStyle="1" w:styleId="highlight2">
    <w:name w:val="highlight2"/>
    <w:basedOn w:val="DefaultParagraphFont"/>
    <w:rsid w:val="0039214D"/>
    <w:rPr>
      <w:rFonts w:ascii="Arial" w:hAnsi="Arial"/>
      <w:b/>
      <w:sz w:val="19"/>
      <w:u w:val="thick"/>
      <w:bdr w:val="none" w:sz="0" w:space="0" w:color="auto"/>
      <w:shd w:val="clear" w:color="auto" w:fill="auto"/>
    </w:rPr>
  </w:style>
  <w:style w:type="paragraph" w:customStyle="1" w:styleId="evidencetext">
    <w:name w:val="evidence text"/>
    <w:basedOn w:val="Normal"/>
    <w:next w:val="Normal"/>
    <w:link w:val="evidencetextChar1"/>
    <w:rsid w:val="00434AF7"/>
    <w:pPr>
      <w:ind w:left="432" w:right="432"/>
    </w:pPr>
    <w:rPr>
      <w:rFonts w:ascii="Arial" w:eastAsia="Times New Roman" w:hAnsi="Arial" w:cs="Times New Roman"/>
      <w:color w:val="000000"/>
      <w:sz w:val="16"/>
      <w:lang w:val="x-none" w:eastAsia="x-none"/>
    </w:rPr>
  </w:style>
  <w:style w:type="character" w:customStyle="1" w:styleId="evidencetextChar1">
    <w:name w:val="evidence text Char1"/>
    <w:link w:val="evidencetext"/>
    <w:rsid w:val="00434AF7"/>
    <w:rPr>
      <w:rFonts w:ascii="Arial" w:eastAsia="Times New Roman" w:hAnsi="Arial" w:cs="Times New Roman"/>
      <w:color w:val="000000"/>
      <w:sz w:val="16"/>
      <w:lang w:val="x-none" w:eastAsia="x-none"/>
    </w:rPr>
  </w:style>
  <w:style w:type="character" w:customStyle="1" w:styleId="StyleBold">
    <w:name w:val="Style Bold"/>
    <w:basedOn w:val="DefaultParagraphFont"/>
    <w:uiPriority w:val="9"/>
    <w:semiHidden/>
    <w:rsid w:val="00CE3653"/>
    <w:rPr>
      <w:b/>
      <w:bCs/>
    </w:rPr>
  </w:style>
  <w:style w:type="character" w:styleId="FollowedHyperlink">
    <w:name w:val="FollowedHyperlink"/>
    <w:basedOn w:val="DefaultParagraphFont"/>
    <w:uiPriority w:val="99"/>
    <w:semiHidden/>
    <w:rsid w:val="00CE3653"/>
    <w:rPr>
      <w:color w:val="auto"/>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87AE8"/>
    <w:rPr>
      <w:rFonts w:ascii="Calibri" w:hAnsi="Calibri"/>
      <w:sz w:val="22"/>
    </w:rPr>
  </w:style>
  <w:style w:type="paragraph" w:styleId="Heading1">
    <w:name w:val="heading 1"/>
    <w:aliases w:val="Pocket"/>
    <w:basedOn w:val="Normal"/>
    <w:next w:val="Normal"/>
    <w:link w:val="Heading1Char"/>
    <w:uiPriority w:val="9"/>
    <w:qFormat/>
    <w:rsid w:val="00087AE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87AE8"/>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87AE8"/>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087AE8"/>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087AE8"/>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087AE8"/>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87AE8"/>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87AE8"/>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087AE8"/>
    <w:rPr>
      <w:rFonts w:asciiTheme="majorHAnsi" w:eastAsiaTheme="majorEastAsia" w:hAnsiTheme="majorHAnsi" w:cstheme="majorBidi"/>
      <w:b/>
      <w:bCs/>
      <w:iCs/>
      <w:sz w:val="26"/>
    </w:rPr>
  </w:style>
  <w:style w:type="paragraph" w:styleId="NoSpacing">
    <w:name w:val="No Spacing"/>
    <w:uiPriority w:val="1"/>
    <w:rsid w:val="00087AE8"/>
  </w:style>
  <w:style w:type="character" w:customStyle="1" w:styleId="StyleStyleBold12pt">
    <w:name w:val="Style Style Bold + 12 pt"/>
    <w:aliases w:val="Cite"/>
    <w:basedOn w:val="DefaultParagraphFont"/>
    <w:uiPriority w:val="1"/>
    <w:qFormat/>
    <w:rsid w:val="00087AE8"/>
    <w:rPr>
      <w:b/>
      <w:sz w:val="26"/>
      <w:u w:val="none"/>
    </w:rPr>
  </w:style>
  <w:style w:type="character" w:customStyle="1" w:styleId="StyleBoldUnderline">
    <w:name w:val="Style Bold Underline"/>
    <w:aliases w:val="Underline"/>
    <w:basedOn w:val="DefaultParagraphFont"/>
    <w:uiPriority w:val="1"/>
    <w:qFormat/>
    <w:rsid w:val="00087AE8"/>
    <w:rPr>
      <w:b/>
      <w:sz w:val="22"/>
      <w:u w:val="single"/>
    </w:rPr>
  </w:style>
  <w:style w:type="paragraph" w:styleId="DocumentMap">
    <w:name w:val="Document Map"/>
    <w:basedOn w:val="Normal"/>
    <w:link w:val="DocumentMapChar"/>
    <w:uiPriority w:val="99"/>
    <w:semiHidden/>
    <w:unhideWhenUsed/>
    <w:rsid w:val="00087AE8"/>
    <w:rPr>
      <w:rFonts w:ascii="Lucida Grande" w:hAnsi="Lucida Grande" w:cs="Lucida Grande"/>
    </w:rPr>
  </w:style>
  <w:style w:type="character" w:customStyle="1" w:styleId="DocumentMapChar">
    <w:name w:val="Document Map Char"/>
    <w:basedOn w:val="DefaultParagraphFont"/>
    <w:link w:val="DocumentMap"/>
    <w:uiPriority w:val="99"/>
    <w:semiHidden/>
    <w:rsid w:val="00087AE8"/>
    <w:rPr>
      <w:rFonts w:ascii="Lucida Grande" w:hAnsi="Lucida Grande" w:cs="Lucida Grande"/>
      <w:sz w:val="22"/>
    </w:rPr>
  </w:style>
  <w:style w:type="paragraph" w:styleId="ListParagraph">
    <w:name w:val="List Paragraph"/>
    <w:basedOn w:val="Normal"/>
    <w:uiPriority w:val="34"/>
    <w:rsid w:val="00087AE8"/>
    <w:pPr>
      <w:ind w:left="720"/>
      <w:contextualSpacing/>
    </w:pPr>
  </w:style>
  <w:style w:type="paragraph" w:styleId="Header">
    <w:name w:val="header"/>
    <w:basedOn w:val="Normal"/>
    <w:link w:val="HeaderChar"/>
    <w:uiPriority w:val="99"/>
    <w:unhideWhenUsed/>
    <w:rsid w:val="00087AE8"/>
    <w:pPr>
      <w:tabs>
        <w:tab w:val="center" w:pos="4320"/>
        <w:tab w:val="right" w:pos="8640"/>
      </w:tabs>
    </w:pPr>
  </w:style>
  <w:style w:type="character" w:customStyle="1" w:styleId="HeaderChar">
    <w:name w:val="Header Char"/>
    <w:basedOn w:val="DefaultParagraphFont"/>
    <w:link w:val="Header"/>
    <w:uiPriority w:val="99"/>
    <w:rsid w:val="00087AE8"/>
    <w:rPr>
      <w:rFonts w:ascii="Calibri" w:hAnsi="Calibri"/>
      <w:sz w:val="22"/>
    </w:rPr>
  </w:style>
  <w:style w:type="paragraph" w:styleId="Footer">
    <w:name w:val="footer"/>
    <w:basedOn w:val="Normal"/>
    <w:link w:val="FooterChar"/>
    <w:uiPriority w:val="99"/>
    <w:unhideWhenUsed/>
    <w:rsid w:val="00087AE8"/>
    <w:pPr>
      <w:tabs>
        <w:tab w:val="center" w:pos="4320"/>
        <w:tab w:val="right" w:pos="8640"/>
      </w:tabs>
    </w:pPr>
  </w:style>
  <w:style w:type="character" w:customStyle="1" w:styleId="FooterChar">
    <w:name w:val="Footer Char"/>
    <w:basedOn w:val="DefaultParagraphFont"/>
    <w:link w:val="Footer"/>
    <w:uiPriority w:val="99"/>
    <w:rsid w:val="00087AE8"/>
    <w:rPr>
      <w:rFonts w:ascii="Calibri" w:hAnsi="Calibri"/>
      <w:sz w:val="22"/>
    </w:rPr>
  </w:style>
  <w:style w:type="character" w:styleId="PageNumber">
    <w:name w:val="page number"/>
    <w:basedOn w:val="DefaultParagraphFont"/>
    <w:uiPriority w:val="99"/>
    <w:semiHidden/>
    <w:unhideWhenUsed/>
    <w:rsid w:val="00087AE8"/>
  </w:style>
  <w:style w:type="character" w:styleId="Hyperlink">
    <w:name w:val="Hyperlink"/>
    <w:basedOn w:val="DefaultParagraphFont"/>
    <w:uiPriority w:val="99"/>
    <w:unhideWhenUsed/>
    <w:rsid w:val="00087AE8"/>
    <w:rPr>
      <w:color w:val="0000FF" w:themeColor="hyperlink"/>
      <w:u w:val="single"/>
    </w:rPr>
  </w:style>
  <w:style w:type="paragraph" w:customStyle="1" w:styleId="boldcite">
    <w:name w:val="bold cite"/>
    <w:basedOn w:val="Normal"/>
    <w:rsid w:val="0039214D"/>
    <w:rPr>
      <w:rFonts w:ascii="Times New Roman" w:eastAsia="Calibri" w:hAnsi="Times New Roman" w:cs="Times New Roman"/>
      <w:b/>
      <w:color w:val="000000"/>
      <w:szCs w:val="20"/>
      <w:u w:val="thick" w:color="000000"/>
    </w:rPr>
  </w:style>
  <w:style w:type="paragraph" w:customStyle="1" w:styleId="BlockTitle2">
    <w:name w:val="Block Title #2"/>
    <w:basedOn w:val="Normal"/>
    <w:rsid w:val="0039214D"/>
    <w:pPr>
      <w:keepNext/>
      <w:pBdr>
        <w:top w:val="single" w:sz="18" w:space="1" w:color="000000"/>
        <w:left w:val="single" w:sz="18" w:space="4" w:color="000000"/>
        <w:bottom w:val="single" w:sz="18" w:space="1" w:color="000000"/>
        <w:right w:val="single" w:sz="18" w:space="4" w:color="000000"/>
      </w:pBdr>
      <w:ind w:left="1728" w:right="1728"/>
      <w:jc w:val="center"/>
    </w:pPr>
    <w:rPr>
      <w:rFonts w:ascii="Times New Roman" w:eastAsia="Calibri" w:hAnsi="Times New Roman" w:cs="Arial"/>
      <w:b/>
      <w:bCs/>
      <w:color w:val="000000"/>
      <w:kern w:val="32"/>
      <w:sz w:val="24"/>
      <w:szCs w:val="32"/>
    </w:rPr>
  </w:style>
  <w:style w:type="character" w:customStyle="1" w:styleId="highlight2">
    <w:name w:val="highlight2"/>
    <w:basedOn w:val="DefaultParagraphFont"/>
    <w:rsid w:val="0039214D"/>
    <w:rPr>
      <w:rFonts w:ascii="Arial" w:hAnsi="Arial"/>
      <w:b/>
      <w:sz w:val="19"/>
      <w:u w:val="thick"/>
      <w:bdr w:val="none" w:sz="0" w:space="0" w:color="auto"/>
      <w:shd w:val="clear" w:color="auto" w:fill="auto"/>
    </w:rPr>
  </w:style>
  <w:style w:type="paragraph" w:customStyle="1" w:styleId="evidencetext">
    <w:name w:val="evidence text"/>
    <w:basedOn w:val="Normal"/>
    <w:next w:val="Normal"/>
    <w:link w:val="evidencetextChar1"/>
    <w:rsid w:val="00434AF7"/>
    <w:pPr>
      <w:ind w:left="432" w:right="432"/>
    </w:pPr>
    <w:rPr>
      <w:rFonts w:ascii="Arial" w:eastAsia="Times New Roman" w:hAnsi="Arial" w:cs="Times New Roman"/>
      <w:color w:val="000000"/>
      <w:sz w:val="16"/>
      <w:lang w:val="x-none" w:eastAsia="x-none"/>
    </w:rPr>
  </w:style>
  <w:style w:type="character" w:customStyle="1" w:styleId="evidencetextChar1">
    <w:name w:val="evidence text Char1"/>
    <w:link w:val="evidencetext"/>
    <w:rsid w:val="00434AF7"/>
    <w:rPr>
      <w:rFonts w:ascii="Arial" w:eastAsia="Times New Roman" w:hAnsi="Arial" w:cs="Times New Roman"/>
      <w:color w:val="000000"/>
      <w:sz w:val="16"/>
      <w:lang w:val="x-none" w:eastAsia="x-none"/>
    </w:rPr>
  </w:style>
  <w:style w:type="character" w:customStyle="1" w:styleId="StyleBold">
    <w:name w:val="Style Bold"/>
    <w:basedOn w:val="DefaultParagraphFont"/>
    <w:uiPriority w:val="9"/>
    <w:semiHidden/>
    <w:rsid w:val="00CE3653"/>
    <w:rPr>
      <w:b/>
      <w:bCs/>
    </w:rPr>
  </w:style>
  <w:style w:type="character" w:styleId="FollowedHyperlink">
    <w:name w:val="FollowedHyperlink"/>
    <w:basedOn w:val="DefaultParagraphFont"/>
    <w:uiPriority w:val="99"/>
    <w:semiHidden/>
    <w:rsid w:val="00CE3653"/>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Rut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25</TotalTime>
  <Pages>10</Pages>
  <Words>6695</Words>
  <Characters>38162</Characters>
  <Application>Microsoft Macintosh Word</Application>
  <DocSecurity>0</DocSecurity>
  <Lines>318</Lines>
  <Paragraphs>89</Paragraphs>
  <ScaleCrop>false</ScaleCrop>
  <Company>Whitman College</Company>
  <LinksUpToDate>false</LinksUpToDate>
  <CharactersWithSpaces>44768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Foster</dc:creator>
  <cp:keywords/>
  <dc:description/>
  <cp:lastModifiedBy>Dikshant Malla</cp:lastModifiedBy>
  <cp:revision>10</cp:revision>
  <dcterms:created xsi:type="dcterms:W3CDTF">2013-07-23T02:30:00Z</dcterms:created>
  <dcterms:modified xsi:type="dcterms:W3CDTF">2013-08-10T19:31:00Z</dcterms:modified>
</cp:coreProperties>
</file>