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2A84" w:rsidRPr="003D65E4" w:rsidRDefault="00662A84" w:rsidP="00662A84">
      <w:pPr>
        <w:pStyle w:val="Heading3"/>
        <w:rPr>
          <w:rStyle w:val="StyleStyleBold12pt"/>
          <w:rFonts w:asciiTheme="majorHAnsi" w:hAnsiTheme="majorHAnsi" w:cstheme="majorHAnsi"/>
          <w:b/>
        </w:rPr>
      </w:pPr>
    </w:p>
    <w:p w:rsidR="009D7445" w:rsidRDefault="009D7445" w:rsidP="0025295F">
      <w:pPr>
        <w:pStyle w:val="Heading1"/>
      </w:pPr>
      <w:r>
        <w:lastRenderedPageBreak/>
        <w:t>NDI 2013 – 6WS – B</w:t>
      </w:r>
      <w:bookmarkStart w:id="0" w:name="_GoBack"/>
      <w:bookmarkEnd w:id="0"/>
      <w:r>
        <w:t>ananas Neg</w:t>
      </w:r>
    </w:p>
    <w:p w:rsidR="00662A84" w:rsidRPr="003D65E4" w:rsidRDefault="00662A84" w:rsidP="0025295F">
      <w:pPr>
        <w:pStyle w:val="Heading1"/>
      </w:pPr>
      <w:r w:rsidRPr="003D65E4">
        <w:lastRenderedPageBreak/>
        <w:t>T – Government to Government</w:t>
      </w:r>
    </w:p>
    <w:p w:rsidR="00662A84" w:rsidRPr="003D65E4" w:rsidRDefault="00662A84" w:rsidP="00662A84">
      <w:pPr>
        <w:pStyle w:val="Heading3"/>
        <w:rPr>
          <w:rFonts w:asciiTheme="majorHAnsi" w:hAnsiTheme="majorHAnsi" w:cstheme="majorHAnsi"/>
        </w:rPr>
      </w:pPr>
      <w:r w:rsidRPr="003D65E4">
        <w:rPr>
          <w:rFonts w:asciiTheme="majorHAnsi" w:hAnsiTheme="majorHAnsi" w:cstheme="majorHAnsi"/>
        </w:rPr>
        <w:lastRenderedPageBreak/>
        <w:t>1NC</w:t>
      </w: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Interpretation - Engagement requires DIRECT talks – means both governments must be involved</w:t>
      </w:r>
    </w:p>
    <w:p w:rsidR="00662A84" w:rsidRPr="003D65E4" w:rsidRDefault="00662A84" w:rsidP="00662A84">
      <w:pPr>
        <w:rPr>
          <w:rFonts w:asciiTheme="majorHAnsi" w:hAnsiTheme="majorHAnsi" w:cstheme="majorHAnsi"/>
          <w:lang w:eastAsia="ko-KR"/>
        </w:rPr>
      </w:pPr>
      <w:r w:rsidRPr="003D65E4">
        <w:rPr>
          <w:rFonts w:asciiTheme="majorHAnsi" w:hAnsiTheme="majorHAnsi" w:cstheme="majorHAnsi"/>
          <w:b/>
          <w:bCs/>
          <w:sz w:val="24"/>
          <w:lang w:eastAsia="ko-KR"/>
        </w:rPr>
        <w:t>Crocker ‘9</w:t>
      </w:r>
      <w:r w:rsidRPr="003D65E4">
        <w:rPr>
          <w:rFonts w:asciiTheme="majorHAnsi" w:hAnsiTheme="majorHAnsi" w:cstheme="majorHAnsi"/>
          <w:lang w:eastAsia="ko-KR"/>
        </w:rPr>
        <w:t xml:space="preserve"> [9/13/09, Chester A. Crocker is a professor of strategic studies at the Walsh School of Foreign Service at Georgetown University, was an assistant secretary of state for African affairs from 1981 to 1989. “Terms of Engagement,” http://www.nytimes.com/2009/09/14/opinion/14crocker.html?_r=1&amp;]</w:t>
      </w:r>
    </w:p>
    <w:p w:rsidR="00662A84" w:rsidRPr="003D65E4" w:rsidRDefault="00662A84" w:rsidP="00662A84">
      <w:pPr>
        <w:ind w:left="288" w:right="288"/>
        <w:rPr>
          <w:rFonts w:asciiTheme="majorHAnsi" w:hAnsiTheme="majorHAnsi" w:cstheme="majorHAnsi"/>
          <w:sz w:val="16"/>
        </w:rPr>
      </w:pPr>
    </w:p>
    <w:p w:rsidR="00662A84" w:rsidRPr="003D65E4" w:rsidRDefault="00662A84" w:rsidP="00662A84">
      <w:pPr>
        <w:ind w:left="288" w:right="288"/>
        <w:rPr>
          <w:rFonts w:asciiTheme="majorHAnsi" w:hAnsiTheme="majorHAnsi" w:cstheme="majorHAnsi"/>
          <w:sz w:val="16"/>
        </w:rPr>
      </w:pPr>
      <w:r w:rsidRPr="003D65E4">
        <w:rPr>
          <w:rFonts w:asciiTheme="majorHAnsi" w:hAnsiTheme="majorHAnsi" w:cstheme="majorHAnsi"/>
          <w:sz w:val="16"/>
        </w:rPr>
        <w:t xml:space="preserve">PRESIDENT </w:t>
      </w:r>
      <w:r w:rsidRPr="003D65E4">
        <w:rPr>
          <w:rStyle w:val="StyleBoldUnderline"/>
          <w:rFonts w:asciiTheme="majorHAnsi" w:hAnsiTheme="majorHAnsi" w:cstheme="majorHAnsi"/>
          <w:b w:val="0"/>
        </w:rPr>
        <w:t>OBAMA will have a hard time achieving his foreign policy goals</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until he masters some key terms</w:t>
      </w:r>
      <w:r w:rsidRPr="003D65E4">
        <w:rPr>
          <w:rFonts w:asciiTheme="majorHAnsi" w:hAnsiTheme="majorHAnsi" w:cstheme="majorHAnsi"/>
          <w:sz w:val="16"/>
        </w:rPr>
        <w:t xml:space="preserve"> and better manages the expectations they convey. Given the furor that will surround the news of America’s readiness to hold talks with Iran, </w:t>
      </w:r>
      <w:r w:rsidRPr="003D65E4">
        <w:rPr>
          <w:rStyle w:val="StyleBoldUnderline"/>
          <w:rFonts w:asciiTheme="majorHAnsi" w:hAnsiTheme="majorHAnsi" w:cstheme="majorHAnsi"/>
          <w:b w:val="0"/>
        </w:rPr>
        <w:t>he could start with “engagement</w:t>
      </w:r>
      <w:r w:rsidRPr="003D65E4">
        <w:rPr>
          <w:rFonts w:asciiTheme="majorHAnsi" w:hAnsiTheme="majorHAnsi" w:cstheme="majorHAnsi"/>
          <w:sz w:val="16"/>
        </w:rPr>
        <w:t xml:space="preserve">” — </w:t>
      </w:r>
      <w:r w:rsidRPr="003D65E4">
        <w:rPr>
          <w:rStyle w:val="StyleBoldUnderline"/>
          <w:rFonts w:asciiTheme="majorHAnsi" w:hAnsiTheme="majorHAnsi" w:cstheme="majorHAnsi"/>
          <w:b w:val="0"/>
        </w:rPr>
        <w:t>one of the trickiest terms in the policy lexicon The Obama administration has used this term to contrast its approach with its</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predecessor’s resistance to talking with adversaries and troublemakers</w:t>
      </w:r>
      <w:r w:rsidRPr="003D65E4">
        <w:rPr>
          <w:rFonts w:asciiTheme="majorHAnsi" w:hAnsiTheme="majorHAnsi" w:cstheme="majorHAnsi"/>
          <w:sz w:val="16"/>
        </w:rPr>
        <w:t>. His critics show that they misunderstand the concept of engagement when they ridicule it as making nice with nasty or hostile regimes. Let’s get a few things straight. Enga</w:t>
      </w:r>
      <w:r w:rsidRPr="003D65E4">
        <w:rPr>
          <w:rStyle w:val="StyleBoldUnderline"/>
          <w:rFonts w:asciiTheme="majorHAnsi" w:hAnsiTheme="majorHAnsi" w:cstheme="majorHAnsi"/>
          <w:b w:val="0"/>
        </w:rPr>
        <w:t>gement in statecraft is not about sweet talk.</w:t>
      </w:r>
      <w:r w:rsidRPr="003D65E4">
        <w:rPr>
          <w:rFonts w:asciiTheme="majorHAnsi" w:hAnsiTheme="majorHAnsi" w:cstheme="majorHAnsi"/>
          <w:sz w:val="16"/>
        </w:rPr>
        <w:t xml:space="preserve"> Nor is it based on the illusion that our problems with rogue regimes can be solved if only we would talk to them. </w:t>
      </w:r>
      <w:r w:rsidRPr="003D65E4">
        <w:rPr>
          <w:rStyle w:val="StyleBoldUnderline"/>
          <w:rFonts w:asciiTheme="majorHAnsi" w:hAnsiTheme="majorHAnsi" w:cstheme="majorHAnsi"/>
          <w:b w:val="0"/>
        </w:rPr>
        <w:t xml:space="preserve">Engagement is not normalization, and its goal is not improved relations. It is not akin to détente, working for rapprochement, or appeasement. </w:t>
      </w:r>
      <w:r w:rsidRPr="003D65E4">
        <w:rPr>
          <w:rFonts w:asciiTheme="majorHAnsi" w:hAnsiTheme="majorHAnsi" w:cstheme="majorHAnsi"/>
          <w:sz w:val="16"/>
        </w:rPr>
        <w:t xml:space="preserve">So </w:t>
      </w:r>
      <w:r w:rsidRPr="003D65E4">
        <w:rPr>
          <w:rFonts w:asciiTheme="majorHAnsi" w:hAnsiTheme="majorHAnsi" w:cstheme="majorHAnsi"/>
          <w:iCs/>
          <w:sz w:val="24"/>
          <w:u w:val="single"/>
        </w:rPr>
        <w:t>how do you define an engagement strategy? It does require direct talks.</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 xml:space="preserve">There is simply no better way to convey authoritative statements of position or to hear responses. But establishing talks is just a first step. </w:t>
      </w:r>
      <w:r w:rsidRPr="003D65E4">
        <w:rPr>
          <w:rFonts w:asciiTheme="majorHAnsi" w:hAnsiTheme="majorHAnsi" w:cstheme="majorHAnsi"/>
          <w:sz w:val="16"/>
        </w:rPr>
        <w:t>The goal of engagement is to change the other country’s perception of its own interests and realistic options and, hence, to modify its policies and its behavior.</w:t>
      </w:r>
    </w:p>
    <w:p w:rsidR="00662A84" w:rsidRPr="003D65E4" w:rsidRDefault="00662A84" w:rsidP="00662A84">
      <w:pPr>
        <w:rPr>
          <w:rFonts w:asciiTheme="majorHAnsi" w:hAnsiTheme="majorHAnsi" w:cstheme="majorHAnsi"/>
        </w:rPr>
      </w:pPr>
    </w:p>
    <w:p w:rsidR="00662A84" w:rsidRPr="003D65E4" w:rsidRDefault="00662A84" w:rsidP="00CE1FE1">
      <w:pPr>
        <w:rPr>
          <w:rFonts w:asciiTheme="majorHAnsi" w:hAnsiTheme="majorHAnsi" w:cstheme="majorHAnsi"/>
          <w:b/>
          <w:sz w:val="24"/>
        </w:rPr>
      </w:pPr>
      <w:r w:rsidRPr="003D65E4">
        <w:rPr>
          <w:rFonts w:asciiTheme="majorHAnsi" w:hAnsiTheme="majorHAnsi" w:cstheme="majorHAnsi"/>
          <w:b/>
          <w:sz w:val="24"/>
        </w:rPr>
        <w:t xml:space="preserve">Violation – The affirmative is not engagement – they </w:t>
      </w:r>
      <w:r w:rsidR="008E12D8" w:rsidRPr="003D65E4">
        <w:rPr>
          <w:rFonts w:asciiTheme="majorHAnsi" w:hAnsiTheme="majorHAnsi" w:cstheme="majorHAnsi"/>
          <w:b/>
          <w:sz w:val="24"/>
        </w:rPr>
        <w:t>are a unilateral reduction in</w:t>
      </w:r>
      <w:r w:rsidR="00CE1FE1" w:rsidRPr="003D65E4">
        <w:rPr>
          <w:rFonts w:asciiTheme="majorHAnsi" w:hAnsiTheme="majorHAnsi" w:cstheme="majorHAnsi"/>
          <w:b/>
          <w:sz w:val="24"/>
        </w:rPr>
        <w:t xml:space="preserve"> the claims against Cuba for the expropriation of a private companies property</w:t>
      </w:r>
    </w:p>
    <w:p w:rsidR="00662A84" w:rsidRPr="003D65E4" w:rsidRDefault="00662A84" w:rsidP="00662A84">
      <w:pPr>
        <w:rPr>
          <w:rFonts w:asciiTheme="majorHAnsi" w:hAnsiTheme="majorHAnsi" w:cstheme="majorHAnsi"/>
          <w:b/>
          <w:sz w:val="24"/>
        </w:rPr>
      </w:pP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Limits – not limiting engagement to the 2 governments involved blows the lid off the topic – justifies the involvement of international organizations, non governmental actors, and private companies</w:t>
      </w:r>
    </w:p>
    <w:p w:rsidR="00662A84" w:rsidRPr="003D65E4" w:rsidRDefault="00662A84" w:rsidP="00662A84">
      <w:pPr>
        <w:rPr>
          <w:rFonts w:asciiTheme="majorHAnsi" w:hAnsiTheme="majorHAnsi" w:cstheme="majorHAnsi"/>
          <w:b/>
          <w:sz w:val="24"/>
        </w:rPr>
      </w:pP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Ground – direct engagement with the government is the only stable basis for negative ground – both governments must be involved to gain links to international politics DA’s, explicit QPQ’s, and relations based disadvantages</w:t>
      </w:r>
    </w:p>
    <w:p w:rsidR="00662A84" w:rsidRPr="003D65E4" w:rsidRDefault="00662A84" w:rsidP="00662A84">
      <w:pPr>
        <w:pStyle w:val="Heading3"/>
        <w:rPr>
          <w:rFonts w:asciiTheme="majorHAnsi" w:hAnsiTheme="majorHAnsi" w:cstheme="majorHAnsi"/>
        </w:rPr>
      </w:pPr>
      <w:r w:rsidRPr="003D65E4">
        <w:rPr>
          <w:rFonts w:asciiTheme="majorHAnsi" w:hAnsiTheme="majorHAnsi" w:cstheme="majorHAnsi"/>
        </w:rPr>
        <w:lastRenderedPageBreak/>
        <w:t>2NC Overview</w:t>
      </w:r>
    </w:p>
    <w:p w:rsidR="0062218F" w:rsidRPr="003D65E4" w:rsidRDefault="0062218F" w:rsidP="00662A84">
      <w:pPr>
        <w:rPr>
          <w:rFonts w:asciiTheme="majorHAnsi" w:hAnsiTheme="majorHAnsi" w:cstheme="majorHAnsi"/>
          <w:sz w:val="24"/>
        </w:rPr>
      </w:pP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 xml:space="preserve">Topicality is an interpretation of the resolution that questions the exact wording of the plan text </w:t>
      </w:r>
    </w:p>
    <w:p w:rsidR="00662A84" w:rsidRPr="003D65E4" w:rsidRDefault="00662A84" w:rsidP="00662A84">
      <w:pPr>
        <w:rPr>
          <w:rFonts w:asciiTheme="majorHAnsi" w:hAnsiTheme="majorHAnsi" w:cstheme="majorHAnsi"/>
          <w:b/>
          <w:sz w:val="24"/>
        </w:rPr>
      </w:pP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 xml:space="preserve">Topical </w:t>
      </w:r>
      <w:r w:rsidR="009968B1" w:rsidRPr="003D65E4">
        <w:rPr>
          <w:rFonts w:asciiTheme="majorHAnsi" w:hAnsiTheme="majorHAnsi" w:cstheme="majorHAnsi"/>
          <w:b/>
          <w:sz w:val="24"/>
        </w:rPr>
        <w:t>affirmatives</w:t>
      </w:r>
      <w:r w:rsidRPr="003D65E4">
        <w:rPr>
          <w:rFonts w:asciiTheme="majorHAnsi" w:hAnsiTheme="majorHAnsi" w:cstheme="majorHAnsi"/>
          <w:b/>
          <w:sz w:val="24"/>
        </w:rPr>
        <w:t xml:space="preserve"> must involve the direct engagement of both government</w:t>
      </w:r>
      <w:r w:rsidR="007F44E9" w:rsidRPr="003D65E4">
        <w:rPr>
          <w:rFonts w:asciiTheme="majorHAnsi" w:hAnsiTheme="majorHAnsi" w:cstheme="majorHAnsi"/>
          <w:b/>
          <w:sz w:val="24"/>
        </w:rPr>
        <w:t>s—they violate this because they unilaterally reduce US claims to money Cuba owes an American private company</w:t>
      </w:r>
      <w:r w:rsidR="0074107B" w:rsidRPr="003D65E4">
        <w:rPr>
          <w:rFonts w:asciiTheme="majorHAnsi" w:hAnsiTheme="majorHAnsi" w:cstheme="majorHAnsi"/>
          <w:b/>
          <w:sz w:val="24"/>
        </w:rPr>
        <w:t>—this isn’t engagement toward Cuba–</w:t>
      </w:r>
      <w:r w:rsidRPr="003D65E4">
        <w:rPr>
          <w:rFonts w:asciiTheme="majorHAnsi" w:hAnsiTheme="majorHAnsi" w:cstheme="majorHAnsi"/>
          <w:b/>
          <w:sz w:val="24"/>
        </w:rPr>
        <w:t>that’s Crocker</w:t>
      </w:r>
    </w:p>
    <w:p w:rsidR="00662A84" w:rsidRPr="003D65E4" w:rsidRDefault="00662A84" w:rsidP="00662A84">
      <w:pPr>
        <w:rPr>
          <w:rFonts w:asciiTheme="majorHAnsi" w:hAnsiTheme="majorHAnsi" w:cstheme="majorHAnsi"/>
          <w:b/>
          <w:sz w:val="24"/>
        </w:rPr>
      </w:pPr>
    </w:p>
    <w:p w:rsidR="00544F33" w:rsidRPr="003D65E4" w:rsidRDefault="00544F33" w:rsidP="00662A84">
      <w:pPr>
        <w:rPr>
          <w:rFonts w:asciiTheme="majorHAnsi" w:hAnsiTheme="majorHAnsi" w:cstheme="majorHAnsi"/>
          <w:b/>
          <w:sz w:val="24"/>
        </w:rPr>
      </w:pPr>
    </w:p>
    <w:p w:rsidR="00662A84" w:rsidRPr="003D65E4" w:rsidRDefault="00662A84" w:rsidP="00662A84">
      <w:pPr>
        <w:pStyle w:val="Heading3"/>
        <w:rPr>
          <w:rFonts w:asciiTheme="majorHAnsi" w:hAnsiTheme="majorHAnsi" w:cstheme="majorHAnsi"/>
        </w:rPr>
      </w:pPr>
      <w:r w:rsidRPr="003D65E4">
        <w:rPr>
          <w:rFonts w:asciiTheme="majorHAnsi" w:hAnsiTheme="majorHAnsi" w:cstheme="majorHAnsi"/>
        </w:rPr>
        <w:lastRenderedPageBreak/>
        <w:t xml:space="preserve">AT: We Meet </w:t>
      </w:r>
    </w:p>
    <w:p w:rsidR="00AA3C5D" w:rsidRPr="003D65E4" w:rsidRDefault="00AA3C5D" w:rsidP="00662A84">
      <w:pPr>
        <w:rPr>
          <w:rFonts w:asciiTheme="majorHAnsi" w:hAnsiTheme="majorHAnsi" w:cstheme="majorHAnsi"/>
          <w:sz w:val="24"/>
        </w:rPr>
      </w:pP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 xml:space="preserve">You don’t meet - The interaction with the target government must be explicit in the plan text – even though they may result in government interaction </w:t>
      </w:r>
      <w:r w:rsidR="009D2FE6" w:rsidRPr="003D65E4">
        <w:rPr>
          <w:rFonts w:asciiTheme="majorHAnsi" w:hAnsiTheme="majorHAnsi" w:cstheme="majorHAnsi"/>
          <w:b/>
          <w:sz w:val="24"/>
        </w:rPr>
        <w:t>that is an effect of the plan</w:t>
      </w:r>
    </w:p>
    <w:p w:rsidR="00662A84" w:rsidRPr="003D65E4" w:rsidRDefault="00662A84" w:rsidP="00662A84">
      <w:pPr>
        <w:rPr>
          <w:rFonts w:asciiTheme="majorHAnsi" w:hAnsiTheme="majorHAnsi" w:cstheme="majorHAnsi"/>
        </w:rPr>
      </w:pPr>
    </w:p>
    <w:p w:rsidR="00662A84" w:rsidRPr="003D65E4" w:rsidRDefault="00662A84" w:rsidP="00662A84">
      <w:pPr>
        <w:rPr>
          <w:rFonts w:asciiTheme="majorHAnsi" w:hAnsiTheme="majorHAnsi" w:cstheme="majorHAnsi"/>
        </w:rPr>
      </w:pPr>
    </w:p>
    <w:p w:rsidR="00662A84" w:rsidRPr="003D65E4" w:rsidRDefault="00662A84" w:rsidP="00662A84">
      <w:pPr>
        <w:rPr>
          <w:rFonts w:asciiTheme="majorHAnsi" w:hAnsiTheme="majorHAnsi" w:cstheme="majorHAnsi"/>
        </w:rPr>
      </w:pPr>
    </w:p>
    <w:p w:rsidR="00662A84" w:rsidRPr="003D65E4" w:rsidRDefault="00EA3C88" w:rsidP="00662A84">
      <w:pPr>
        <w:pStyle w:val="Heading3"/>
        <w:rPr>
          <w:rFonts w:asciiTheme="majorHAnsi" w:hAnsiTheme="majorHAnsi" w:cstheme="majorHAnsi"/>
        </w:rPr>
      </w:pPr>
      <w:r w:rsidRPr="003D65E4">
        <w:rPr>
          <w:rFonts w:asciiTheme="majorHAnsi" w:hAnsiTheme="majorHAnsi" w:cstheme="majorHAnsi"/>
        </w:rPr>
        <w:lastRenderedPageBreak/>
        <w:t>AT: Private Companies C/I</w:t>
      </w:r>
    </w:p>
    <w:p w:rsidR="00662A84" w:rsidRPr="003D65E4" w:rsidRDefault="00662A84" w:rsidP="00662A84">
      <w:pPr>
        <w:rPr>
          <w:rFonts w:asciiTheme="majorHAnsi" w:hAnsiTheme="majorHAnsi" w:cstheme="majorHAnsi"/>
          <w:b/>
        </w:rPr>
      </w:pP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Prefer our interpretation – it is the most precise – our evidence has the intent to define and is from a US foreign policy professor studying Obama’s options – precise interpretations are critical to predictable limits – prominent definitions of engagement are the ones used in real world policymaking and sets the best model of education for debate</w:t>
      </w:r>
    </w:p>
    <w:p w:rsidR="00662A84" w:rsidRPr="003D65E4" w:rsidRDefault="00662A84" w:rsidP="00662A84">
      <w:pPr>
        <w:rPr>
          <w:rFonts w:asciiTheme="majorHAnsi" w:hAnsiTheme="majorHAnsi" w:cstheme="majorHAnsi"/>
          <w:b/>
          <w:sz w:val="24"/>
        </w:rPr>
      </w:pP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Their interpretation is bad</w:t>
      </w:r>
    </w:p>
    <w:p w:rsidR="00662A84" w:rsidRPr="003D65E4" w:rsidRDefault="00662A84" w:rsidP="00662A84">
      <w:pPr>
        <w:rPr>
          <w:rFonts w:asciiTheme="majorHAnsi" w:hAnsiTheme="majorHAnsi" w:cstheme="majorHAnsi"/>
          <w:b/>
          <w:sz w:val="24"/>
        </w:rPr>
      </w:pP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Limits – Their interpretation unlimits the topic – allowing for 3rd party organizations blows the lid off the topic – the permutations off different mechanisms, areas of cooperation, AND actors will multiply the number of possible affs by hundreds – limits are key – their interpretation causes a race to the margins with affirmatives reading smaller affs and negatives erring towards generics which means we don’t get real content knowledge over any of the affs</w:t>
      </w:r>
    </w:p>
    <w:p w:rsidR="00662A84" w:rsidRPr="003D65E4" w:rsidRDefault="00662A84" w:rsidP="00662A84">
      <w:pPr>
        <w:rPr>
          <w:rFonts w:asciiTheme="majorHAnsi" w:hAnsiTheme="majorHAnsi" w:cstheme="majorHAnsi"/>
          <w:b/>
          <w:sz w:val="24"/>
        </w:rPr>
      </w:pPr>
    </w:p>
    <w:p w:rsidR="007B3707" w:rsidRPr="003D65E4" w:rsidRDefault="007B3707" w:rsidP="007B3707">
      <w:pPr>
        <w:rPr>
          <w:rFonts w:asciiTheme="majorHAnsi" w:hAnsiTheme="majorHAnsi" w:cstheme="majorHAnsi"/>
          <w:b/>
          <w:sz w:val="24"/>
        </w:rPr>
      </w:pPr>
      <w:r w:rsidRPr="003D65E4">
        <w:rPr>
          <w:rFonts w:asciiTheme="majorHAnsi" w:hAnsiTheme="majorHAnsi" w:cstheme="majorHAnsi"/>
          <w:b/>
          <w:sz w:val="24"/>
        </w:rPr>
        <w:t>Ground – the basis for most negative ground on the topic comes from engaging the opposing government – QPQ’s, internal politics, relations, appeasement are ALL only relevant if the government of the target country are involved – this preservation of ground is critical to clash in debates – clash generates in depth debates that provides relevant topic education</w:t>
      </w:r>
    </w:p>
    <w:p w:rsidR="00662A84" w:rsidRPr="003D65E4" w:rsidRDefault="00662A84" w:rsidP="00662A84">
      <w:pPr>
        <w:rPr>
          <w:rFonts w:asciiTheme="majorHAnsi" w:hAnsiTheme="majorHAnsi" w:cstheme="majorHAnsi"/>
          <w:b/>
        </w:rPr>
      </w:pP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Engagement requires contact and dialogue – means that actors of both ends must be involved</w:t>
      </w:r>
    </w:p>
    <w:p w:rsidR="00662A84" w:rsidRPr="003D65E4" w:rsidRDefault="00662A84" w:rsidP="00662A84">
      <w:pPr>
        <w:rPr>
          <w:rFonts w:asciiTheme="majorHAnsi" w:hAnsiTheme="majorHAnsi" w:cstheme="majorHAnsi"/>
          <w:lang w:eastAsia="ko-KR"/>
        </w:rPr>
      </w:pPr>
      <w:r w:rsidRPr="003D65E4">
        <w:rPr>
          <w:rFonts w:asciiTheme="majorHAnsi" w:hAnsiTheme="majorHAnsi" w:cstheme="majorHAnsi"/>
          <w:b/>
          <w:bCs/>
          <w:sz w:val="24"/>
          <w:lang w:eastAsia="ko-KR"/>
        </w:rPr>
        <w:t>Lederach ’12</w:t>
      </w:r>
      <w:r w:rsidRPr="003D65E4">
        <w:rPr>
          <w:rFonts w:asciiTheme="majorHAnsi" w:hAnsiTheme="majorHAnsi" w:cstheme="majorHAnsi"/>
          <w:lang w:eastAsia="ko-KR"/>
        </w:rPr>
        <w:t xml:space="preserve"> </w:t>
      </w:r>
      <w:r w:rsidRPr="003D65E4">
        <w:rPr>
          <w:rFonts w:asciiTheme="majorHAnsi" w:hAnsiTheme="majorHAnsi" w:cstheme="majorHAnsi"/>
          <w:sz w:val="16"/>
          <w:szCs w:val="16"/>
          <w:lang w:eastAsia="ko-KR"/>
        </w:rPr>
        <w:t>[1/25/12, John Paul Lederach is professor of international peacebuilding at the University of Notre Dame’s Kroc Institute for International Peace Studies. “From Isolation to Engagement: Strategies for Countering Violent Extremism,” http://peacepolicy.nd.edu/2012/01/25/from-isolation-to-engagement-strategies-for-countering-violent-extremism/]</w:t>
      </w:r>
    </w:p>
    <w:p w:rsidR="00662A84" w:rsidRPr="003D65E4" w:rsidRDefault="00662A84" w:rsidP="00662A84">
      <w:pPr>
        <w:ind w:left="288" w:right="288"/>
        <w:rPr>
          <w:rFonts w:asciiTheme="majorHAnsi" w:hAnsiTheme="majorHAnsi" w:cstheme="majorHAnsi"/>
          <w:sz w:val="16"/>
        </w:rPr>
      </w:pPr>
      <w:r w:rsidRPr="003D65E4">
        <w:rPr>
          <w:rFonts w:asciiTheme="majorHAnsi" w:hAnsiTheme="majorHAnsi" w:cstheme="majorHAnsi"/>
          <w:sz w:val="16"/>
        </w:rPr>
        <w:t xml:space="preserve">Peacebuilding, on the other hand, proposes a strategy of engagement. </w:t>
      </w:r>
      <w:r w:rsidRPr="003D65E4">
        <w:rPr>
          <w:rStyle w:val="StyleBoldUnderline"/>
          <w:rFonts w:asciiTheme="majorHAnsi" w:hAnsiTheme="majorHAnsi" w:cstheme="majorHAnsi"/>
          <w:b w:val="0"/>
        </w:rPr>
        <w:t>Engagement requires contact and deliberative dialogue, inclusive of all views.</w:t>
      </w:r>
      <w:r w:rsidRPr="003D65E4">
        <w:rPr>
          <w:rFonts w:asciiTheme="majorHAnsi" w:hAnsiTheme="majorHAnsi" w:cstheme="majorHAnsi"/>
          <w:sz w:val="16"/>
        </w:rPr>
        <w:t xml:space="preserve"> It develops processes that focus on accurately understanding the sources of violence and addressing them through a range of nonviolent change strategies.</w:t>
      </w:r>
    </w:p>
    <w:p w:rsidR="00662A84" w:rsidRPr="003D65E4" w:rsidRDefault="00662A84" w:rsidP="00662A84">
      <w:pPr>
        <w:ind w:left="288" w:right="288"/>
        <w:rPr>
          <w:rFonts w:asciiTheme="majorHAnsi" w:hAnsiTheme="majorHAnsi" w:cstheme="majorHAnsi"/>
          <w:sz w:val="16"/>
        </w:rPr>
      </w:pP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Cuba refers to the Cuban government</w:t>
      </w:r>
    </w:p>
    <w:p w:rsidR="00662A84" w:rsidRPr="003D65E4" w:rsidRDefault="00662A84" w:rsidP="00662A84">
      <w:pPr>
        <w:rPr>
          <w:rFonts w:asciiTheme="majorHAnsi" w:hAnsiTheme="majorHAnsi" w:cstheme="majorHAnsi"/>
          <w:sz w:val="16"/>
          <w:szCs w:val="16"/>
          <w:lang w:eastAsia="ko-KR"/>
        </w:rPr>
      </w:pPr>
      <w:r w:rsidRPr="003D65E4">
        <w:rPr>
          <w:rFonts w:asciiTheme="majorHAnsi" w:hAnsiTheme="majorHAnsi" w:cstheme="majorHAnsi"/>
          <w:b/>
          <w:bCs/>
          <w:sz w:val="24"/>
          <w:lang w:eastAsia="ko-KR"/>
        </w:rPr>
        <w:t>11th Circuit 99</w:t>
      </w:r>
      <w:r w:rsidRPr="003D65E4">
        <w:rPr>
          <w:rFonts w:asciiTheme="majorHAnsi" w:hAnsiTheme="majorHAnsi" w:cstheme="majorHAnsi"/>
          <w:lang w:eastAsia="ko-KR"/>
        </w:rPr>
        <w:t xml:space="preserve"> </w:t>
      </w:r>
      <w:r w:rsidRPr="003D65E4">
        <w:rPr>
          <w:rFonts w:asciiTheme="majorHAnsi" w:hAnsiTheme="majorHAnsi" w:cstheme="majorHAnsi"/>
          <w:sz w:val="16"/>
          <w:szCs w:val="16"/>
          <w:lang w:eastAsia="ko-KR"/>
        </w:rPr>
        <w:t>[183 F.3d 1277 (11th Cir. 1999), MARLENE ALEJANDRE, individually and as personal representative of the Estate of Armando Alejandre, deceased, MIRTA MENDEZ, as personal representative of the estate of Carlos Alberto Costa, deceased, et al., Plaintiffs-Appellees, v. TELEFONICA LARGA DISTANCIA DE PUERTO RICO, INC.; MCI INTERNATIONAL, INC.; et al., Garnishees-Appellants, https://bulk.resource.org/courts.gov/c/F3/183/183.F3d.1277.99-10225.html]</w:t>
      </w:r>
    </w:p>
    <w:p w:rsidR="00662A84" w:rsidRPr="003D65E4" w:rsidRDefault="00662A84" w:rsidP="00662A84">
      <w:pPr>
        <w:ind w:left="288" w:right="288"/>
        <w:rPr>
          <w:rFonts w:asciiTheme="majorHAnsi" w:hAnsiTheme="majorHAnsi" w:cstheme="majorHAnsi"/>
          <w:sz w:val="16"/>
        </w:rPr>
      </w:pPr>
      <w:r w:rsidRPr="003D65E4">
        <w:rPr>
          <w:rFonts w:asciiTheme="majorHAnsi" w:hAnsiTheme="majorHAnsi" w:cstheme="majorHAnsi"/>
          <w:sz w:val="16"/>
        </w:rPr>
        <w:t xml:space="preserve">In this garnishment action, </w:t>
      </w:r>
      <w:r w:rsidRPr="003D65E4">
        <w:rPr>
          <w:rStyle w:val="StyleBoldUnderline"/>
          <w:rFonts w:asciiTheme="majorHAnsi" w:hAnsiTheme="majorHAnsi" w:cstheme="majorHAnsi"/>
          <w:b w:val="0"/>
        </w:rPr>
        <w:t>the district court permitted the plaintiffs to collect a portion of their judgments against the Republic of Cuba (the "Cuban Government")</w:t>
      </w:r>
      <w:r w:rsidRPr="003D65E4">
        <w:rPr>
          <w:rFonts w:asciiTheme="majorHAnsi" w:hAnsiTheme="majorHAnsi" w:cstheme="majorHAnsi"/>
          <w:sz w:val="16"/>
        </w:rPr>
        <w:t xml:space="preserve"> and the Cuban Air Force by garnishing certain debts owed to a Cuban telecommunications company. Because we conclude that this company is an entity separate from the Cuban Government, we vacate the judgment of the district court and remand this case with instructions to dissolve the writs of garnishment.¶ I.¶ 2¶ This case grows out of a decision by the Cuban Government, carried out by pilots of the Cuban Air Force, to shoot down two unarmed civilian airplanes over international waters on February 24, 1996. Three citizens of the United States and one non-citizen were killed in the attack. On October 31, 1997, the personal representatives of the estates of the three citizens, plaintiffs herein, brought actions in the United States District Court for the Southern District of Florida seeking monetary damages from the Cuban Government and the Cuban Air Force. Although neither defendant entered an appearance, the district court conducted a trial in order to determine whether the plaintiffs had satisfactory evidence to support their claims. See 28 U.S.C. 1608(e) (1994) (prohibiting default judgment against foreign sovereign unless plaintiff establishes claim "by evidence satisfactory to the court").¶ 3¶ On </w:t>
      </w:r>
      <w:r w:rsidRPr="003D65E4">
        <w:rPr>
          <w:rFonts w:asciiTheme="majorHAnsi" w:hAnsiTheme="majorHAnsi" w:cstheme="majorHAnsi"/>
          <w:sz w:val="16"/>
        </w:rPr>
        <w:lastRenderedPageBreak/>
        <w:t xml:space="preserve">December 17, 1997, the district court entered judgment for the plaintiffs and awarded them compensatory damages of $49,927,911 against the Cuban Government and Cuban Air Force, as well as punitive damages of $137,700,000 against the Cuban Air Force alone.1 See Alejandre v. Republic of Cuba, 996 F. Supp. 1239, 1253-54 (S.D. Fla. 1997) [hereinafter Alejandre I]. In an opinion accompanying the judgment, the court found that the defendants were not immune from the plaintiffs' suits because the Cuban Air Force (as an agent of the terrorist-sponsoring Cuban Government) had committed an act of extrajudicial killing by shooting down the airplanes. See 28 U.S.C. 1605(a)(7) (Supp. II 1996); Alejandre I, 996 F. Supp. at 1247-48. The court also concluded that the defendants were substantively liable to the plaintiffs, under a theory of respondeat superior, for the actions of the Cuban Air Force pilots who shot down the airplanes. See Pub. L. No. 104-208, 589, 110 Stat. 3009-172 (codified at 28 U.S.C.A. 1605 note (West Supp. 1999)); 28 U.S.C.A. 1606 (West Supp. 1999) (providing that a non-immune foreign state "shall be liable in the same manner and to the same extent as a private individual under like circumstances"); Alejandre I, 996 F. Supp. at 1249.¶ In an effort to collect a portion of this judgment against the Cuban Government and the Cuban Air Force, the plaintiffs filed a motion pursuant to Fed. R. Civ. P. 69(a)2 and Fla. Stat. ch. 77.03 (1997) requesting that post-judgment writs of garnishment be issued to the following companies (the "garnishees"): AT&amp;T Corp.; AT&amp;T of Puerto Rico, Inc.; Global One Communications, L.L.C.; IDB WorldCom Services, Inc.; MCI International, Inc.; Telefonica Larga Distancia de Puerto Rico, Inc. ("TLD"); WilTel, Inc.; WorldCom, Inc. (collectively, the "carrier garnishees" or the "carriers"); the Chase Manhattan Corporation and its subsidiaries; and Citigroup Inc. and its subsidiaries. On December 9, 1998, the district court granted the motion and directed the clerk to issue the requested writs. Each writ asked the garnishee to serve an answer stating whether it was indebted to "the Cuban Air Force or the Republic of Cuba (including any of its agencies, entities, or instrumentalities), . . . and in what sum."3 The garnishees answered the writs by stating, inter alia, that they were indebted to Empresa de Telecomunicaciones de Cuba, S.A. ("ETECSA").4 They also claimed that their debts to ETECSA were not subject to garnishment for several reasons, including: (1) that ETECSA was a separate entity not responsible for the debts of the Cuban Government; and (2) that the writs were void because the plaintiffs had failed to get a license to garnish ETECSA's property as required by the Cuban Assets Control Regulations ("CACR"), 31 C.F.R. pt. 515 (1998). See 31 C.F.R. 515.203(e) (1998). The plaintiffs replied by denying the garnishees' claims and by affirmatively asserting that any indebtedness owed to ETECSA constituted an indebtedness to the Cuban Government.¶ 5¶ On February 4, 1999, the carrier garnishees filed a joint motion to dissolve the plaintiffs' writs of garnishment pursuant to Fla. Stat. ch. 77.07(2) (1997).5 ETECSA, which had been served with a notice of garnishment as required by Fla. Stat ch. 77.055 (1997), filed a similar motion to dissolve on February 8. These motions asked the court to dissolve the writs on several grounds, including those raised in the garnishees' answers. The district court conducted a bench trial on these motions and on the garnishment pleadings.6 Rather than calling witnesses, all parties provided the court with factual background information through affidavits.¶ 6¶ These affidavits contained the following relevant information regarding the relationship among ETECSA, the Cuban Government, and the carriers. Prior to a transition period that began in August 1994, the telephone system in Cuba was operated by Empresa de Telecomunicaciones de Cuba ("EMTELCUBA"), a wholly-owned alter ego of the Cuban Government's Ministry of Communications.7 Between March and September 1994, all of the carriers except TLD and AT&amp;T of Puerto Rico signed Operating Agreements with EMTELCUBA to provide international telecommunications services between Cuba and the United States. In November 1994, the Department of the Treasury's Office of Foreign Assets Control ("OFAC") granted these carriers licenses under the CACR that permitted them to make payments to EMTELCUBA as required by the Operating Agreements. See 22 U.S.C.A. 6004(e)(3)(A) (West Supp. 1999) (authorizing the issuance of such licenses); 31 C.F.R. 515.418(a), 515.542(c) (1998) (implementing this authorization). Each license provided, in pertinent part:¶ 7¶ All necessary transactions are hereby authorized incident to the execution and performance of the Operating Agreement [the carrier] has negotiated with Empresa de Telecomunicaciones de Cuba ("EMTELCUBA") for the provision of telecommunications service between the United States and Cuba.¶ 8¶ This license authorizes all necessary transactions in connection with the transfer to Cuba of funds representing Cuba's share of compensation due for its portion of the jointly provided international telecommunications service . . . .¶ 9¶ Meanwhile, on June 28, 1994, ETECSA was incorporated as a mixed enterprise under the provisions of a 1982 Cuban law. ETECSA's stock was held by the following entities at the time of trial: 51% by Telefonica Antillana, S.A. (a Cuban company); 6.68% by Banco Financiero Internacional, S.A. (a Cuban company); 1% by Banco Internacional de Comercia, S.A. (a Cuban company); 29.29% by STET International Netherlands N.V. (a Dutch subsidiary of the publicly-owned company Telecom Italia S.p.A.); and 12.03% by Universal Trade and Management Corporation (a Panamanian company). The three Cuban companies, which together held 58.68% of ETECSA's stock, are apparently owned or controlled by the Cuban Government.8 On August 17, the Executive Committee of the Cuban Council of Ministers granted ETECSA an administrative concession to render public telecommunications services in Cuba. Under the terms of this concession, ETECSA was granted the exclusive right to supply national and international telephone and data transmission services for twelve years.¶ 10¶ One result of this exclusive concession was that, between January and April 1995, each of the carriers that had an Operating Agreement with EMTELCUBA signed a document entitled "Amendment to Transfer Rights and Obligations." Each document, which EMTELCUBA and ETECSA also signed, stated that the signatories agreed to transfer all rights, obligations, and interests of EMTELCUBA under the Operating Agreements to ETECSA. They also agreed to release EMTELCUBA from any future rights, obligations, and interests under the Agreements. ETECSA subsequently negotiated additional Operating Agreements with TLD and AT&amp;T of Puerto Rico; these two carriers received licenses from OFAC that permitted them to make payments to ETECSA9 under the Agreements. These Operating Agreements (whether transferred from EMTELCUBA or negotiated by ETECSA itself) were the source of the carriers' indebtedness to ETECSA.¶ 11¶ After reviewing this factual information and holding a hearing on February 16, 1999, the district court issued an opinion disposing of the motions to dissolve and the issues raised by the garnishment pleadings. See Alejandre v. Republic of Cuba, 42 F. Supp. 2d 1317 (S.D. Fla. 1999) [hereinafter Alejandre II]. As an initial matter, the court concluded that the carriers' debts were owed to ETECSA (rather than directly to the Cuban Government itself) and that the Cuban Government's control over ETECSA was insufficient to render ETECSA responsible for the Government's debt to the plaintiffs. See id. at 1334-39. </w:t>
      </w:r>
      <w:r w:rsidRPr="003D65E4">
        <w:rPr>
          <w:rFonts w:asciiTheme="majorHAnsi" w:hAnsiTheme="majorHAnsi" w:cstheme="majorHAnsi"/>
          <w:sz w:val="16"/>
        </w:rPr>
        <w:lastRenderedPageBreak/>
        <w:t xml:space="preserve">Nevertheless, the court held ETECSA responsible for the Government's debt on the ground that a contrary holding would unjustly prevent the plaintiffs from collecting their judgment and would override the legislative policy in favor of broadening the assets that may be executed upon to compensate victims of terrorist attacks. See id. at 1339. The court also held that 28 U.S.C.A. 1610(f)(1)(A) (West Supp. 1999), which the President had not waived, permitted the plaintiffs to garnish amounts owed ETECSA without first obtaining a license under the CACR. See id. at 1327-34.10 Therefore, the court denied the motions to dissolve and ordered that all amounts owed ETECSA in the possession or control of the garnishees be garnished in aid of execution of the plaintiffs' judgment against the Cuban Government. See id. at 1343. This appeal followed.¶ II.¶ 12¶ The central question that we must answer on appeal is whether ETECSA is an entity separate from the Cuban Government, and therefore not responsible for the Government's debt to the plaintiffs. Our review of the district court's decision to hold ETECSA responsible for this debt is guided both by the Foreign Sovereign Immunities Act ("FSIA"), 28 U.S.C. 1602-11 (1994), and by principles of Florida garnishment law.¶ A.¶ 1.¶ 13¶ The FSIA is the exclusive source of subject matter jurisdiction over all civil actions against foreign states. See Argentine Republic v. Amerada Hess Shipping Corp., 488 U.S. 428, 434-35, 109 S. Ct. 683, 688, 102 L. Ed. 2d 818 (1989); Hercaire Int'l, Inc. v. Argentina, 821 F.2d 559, 563 (11th Cir. 1987). Under section 1604 of the FSIA,11 a foreign state is immune from the jurisdiction of federal or state courts unless one of the statutory exceptions to immunity applies. See 28 U.S.C. 1605, 1607 (1994) (listing the exceptions); see also 28 U.S.C. 1330(a) (1994) (granting district court jurisdiction over civil action against non-immune foreign state). In addition, section 1609 renders the property in the United States of a foreign state immune from execution or attachment (including garnishment12) unless sections 1610-11 provide otherwise. Because section 1603(a) declares that the term "foreign state" includes an agency or instrumentality of a foreign state as defined in section 1603(b), such agencies and instrumentalities also enjoy immunity from suit and execution. The district court found that ETECSA was a government instrumentality because the Cuban Government owned or controlled the companies that held a majority of ETECSA's stock. See 28 U.S.C. 1603(b)(2) (1994); Alejandre II, 42 F. Supp. 2d at 1336. This ruling is not challenged on appeal. ETECSA's property in the United States is therefore immune from garnishment unless an exception applies.13¶ 14¶ The exception upon which the plaintiffs relied below is 28 U.S.C. 1610(a)(7) (West Supp. 1999),14 which provides:¶ 15¶ The property in the United States of a foreign state, . . . used for a commercial activity in the United States, shall not be immune from attachment in aid of execution . . . upon a judgment entered by a court of the United States . . . [if] the judgment relates to a claim for which the foreign state is not immune under section 1605(a)(7), regardless of whether the property is or was involved with the act upon which the claim is based.¶ 16¶ The last requirement of this exception is clearly met here, as the plaintiffs' underlying judgment against the Cuban Government related to a claim from which the Government was not immune by virtue of section 1605(a)(7). Thus, assuming arguendo that the amounts owed to ETECSA are property in the United States used for a commercial activity therein,15 these amounts are not immune from garnishment if ETECSA constitutes a "foreign state" for purposes of this exception. This question might appear to be easily answered: ETECSA is an instrumentality as defined by section 1603(b), and section 1603(a) declares that the term "foreign state" under the FSIA includes an instrumentality, so ETECSA is a "foreign state" under section 1610(a)(7). The Supreme Court's decision in First National City Bank v. Banco Para El Comercio Exterior de Cuba, 462 U.S. 611, 103 S. Ct. 2591, 77 L. Ed. 2d 46 (1983) [hereinafter Bancec], however, teaches that things are not that simple.16¶ 17¶ According to Bancec, "[t]he language and history of the FSIA clearly establish that the Act was not intended to affect the substantive law determining the liability of a foreign state or instrumentality, or the attribution of liability among instrumentalities of a foreign state." Id. at 620, 103 S. Ct. at 2597. Instead, government instrumentalities enjoy a presumption of separate juridical status vis-a-vis the foreign government to which they are related. While Bancec applied this presumption for purposes of determining whether an instrumentality could be held substantively liable for the debts of its related foreign government, subsequent decisions have also applied it in determining whether an exception to immunity that applies to the government may be attributed to the instrumentality as well. See id. at 613, 103 S. Ct. at 2593 (considering whether Citibank could set off value of branches nationalized by Cuban Government against amount Citibank owed to presumptively separate Cuban instrumentality); Hercaire, 821 F.2d at 564-65 (considering whether waiver of immunity by foreign government also operated to deprive presumptively separate instrumentality of immunity).17 We must consider, therefore, whether this presumption may be overcome in order to make ETECSA's assets the property of a "foreign state" (i.e., the property of the Cuban Government), thus rendering the exception to immunity in section 1610(a)(7) applicable to ETECSA and making ETECSA substantively liable for the Government's debt to the plaintiffs. See Letelier v. Republic of Chile, 748 F.2d 790, 793 (2d Cir. 1984).¶ 18¶ In Bancec, the Supreme Court highlighted two situations in which a plaintiff may overcome the presumption of separate juridical status enjoyed by an instrumentality. First, when a corporate entity is so extensively controlled by its owner that a relationship of principal and agent is created, the Court observed that one may be held liable for the actions of the other.18 Second, the Court recognized the broader equitable principle that the doctrine of corporate entity will not be regarded where to do so would work fraud or injustice or defeat overriding public policies. See Bancec, 462 U.S. at 629-630, 103 S. Ct. at 2601-02. In either situation, the plaintiff bears the burden of proving that the instrumentality is not entitled to separate recognition. See Foremost-McKesson, Inc. v. Islamic Republic of Iran, 905 F.2d 438, 447 (D.C. Cir. 1990); Letelier, 748 F.2d at 795.19¶ 2.¶ 19¶ These principles of foreign sovereign immunity provide much of the context necessary for our review of the district court's decision. Given the procedural posture of this case, however, we must also be guided by relevant principles of Florida garnishment law. See Fed. R. Civ. P. 69(a); Buck Creek Indus., Inc. v. Alcon Constr., Inc., 631 F.2d 75, 76 (5th Cir. 1980).20¶ 20¶ In their replies to the garnishees' answers, the plaintiffs asserted that the amounts owed by the garnishees to ETECSA were subject to garnishment on the ground that any indebtedness owed to ETECSA constituted an indebtedness to the Cuban Government. We interpret this assertion as a claim that ETECSA is an alter ego of the Cuban Government. Under Florida law, when a plaintiff (judgment creditor) seeks to garnish a debt owed to an entity that was not a party to the underlying judgment on the ground that the entity is an alter ego of the judgment debtor, the plaintiff bears the burden of demonstrating the alter ego relationship. See Live Supply, Inc. v. C&amp;S Plumbing, Inc., 402 So. 2d 505, 506-07 (Fla. 4th DCA 1981);21 Reeves v. Don L. Tullis &amp; Assocs., 305 So. 2d 813, 815 (Fla. 1st DCA 1975) (placing burden on plaintiff </w:t>
      </w:r>
      <w:r w:rsidRPr="003D65E4">
        <w:rPr>
          <w:rFonts w:asciiTheme="majorHAnsi" w:hAnsiTheme="majorHAnsi" w:cstheme="majorHAnsi"/>
          <w:sz w:val="16"/>
        </w:rPr>
        <w:lastRenderedPageBreak/>
        <w:t xml:space="preserve">to prove truth of allegation made in reply to garnishee's answer). This burden is consonant with the burden faced by a plaintiff who seeks to overcome an instrumentality's presumptively separate juridical status on the ground that the first situation mentioned by the Bancec Court applies. See supra note 18.¶ 21¶ In order to determine whether the plaintiffs carried their burden in this case, we must assess their arguments from the perspective of the Cuban Government. Florida law provides that when a plaintiff holding a judgment serves a writ of garnishment upon a garnishee, the plaintiff steps into the shoes of the judgment debtor and can assert only the rights that the judgment debtor could have asserted against the garnishee. See Hughes Supply, Inc. v. A.C. Elec. Corp., 145 F.R.D. 590, 593 (M.D. Fla. 1993); Reeves, 305 So. 2d at 815-16. Thus, if a contractual debtor-creditor relationship between the garnishee and the judgment debtor is terminated by a non-fraudulent novation that obligates the garnishee to a third party and eliminates the judgment debtor as a party to the contract, the plaintiff has no right to garnish sums owed by the garnishee to the third party. See Reeves, 305 So.2d at 816.¶ B.¶ 1.¶ 22¶ With these principles in mind, we consider the district court's decision to hold ETECSA responsible for the Cuban Government's debt to the plaintiffs. The court disregarded the presumptively separate juridical status of ETECSA by invoking the second situation mentioned in Bancec: that the corporate entity will not be regarded where to do so would work fraud or injustice or defeat overriding public policies. The court did not rely upon the fraud element of this rule, and indeed there appears to be no evidence in the record that would support a finding of fraud. For example, the plaintiffs made no showing that the apparent novation that transferred the rights and obligations of EMTELCUBA (an alter ego responsible for the debts of the Cuban Government, see supra note 7) under the Operating Agreements to ETECSA was entered into for the purpose of insulating payments made under those Agreements from garnishment by the Cuban Government's creditors. Instead, the court rested its decision on concerns about injustice and public policy. The core of the court's legal rationale was that failing to disregard ETECSA's separate status¶ 23¶ not only would prevent [the plaintiffs] from collecting their court-ordered final judgment for the victims of a grave violation of international law, but also would override the clear legislative policy against such terrorist attacks and in favor of broadening the property which may be executed [upon] to compensate for them.¶ 24¶ Alejandre II, 42 F. Supp. 2d at 1339. In particular, the court concluded that 28 U.S.C. 1610(f)(1)(A) constituted an "express[] legislative commitment to subject the property of a government instrumentality to attachment or execution to satisfy a judgment against [a] terrorist foreign state." Id.¶ 25¶ Upon reviewing this rationale de novo, we conclude that it is not a sufficient basis for overcoming the presumption of separate juridical status that ETECSA enjoys. While the district court's concern about the injustice of preventing plaintiffs from collecting their judgment is understandable,22 this concern is present in every case in which a plaintiff seeks to hold an instrumentality responsible for the debts of its related government. Allowing the Bancec presumption of separate juridical status to be so easily overcome would effectively render it a nullity. We recognize that the district court made an effort to distinguish this case based upon the gravity of the underlying violation of international law. Given the absence of any evidence that ETECSA was involved in the violation, however, we fail to see how this distinction is relevant to the question of whether ETECSA's separate juridical status should be overcome.¶ 26¶ With regard to the district court's public policy concerns, we agree that recent enactments evince a congressional policy against terrorist attacks and in favor of making additional property of governments that sponsor terrorism (such as Cuba) available to compensate victims of such attacks. We disagree, however, with the district court's conclusion that Congress - in section 1610(f)(1)(A) - took the further step of overriding the Bancec presumption of separate juridical status by making instrumentalities responsible for the debts of their related terrorist-sponsoring governments.23 Section 1610(f)(1)(A) provides:¶ 27¶ Notwithstanding any other provision of law, . . . any property with respect to which financial transactions are prohibited or regulated pursuant to [certain statutes, including those authorizing the CACR,24] . . . [or any] license issued pursuant thereto, shall be subject to execution or attachment in aid of execution of any judgment relating to a claim for which a foreign state (including any agency or instrumentality of such state) claiming such property is not immune under section 1605(a)(7).¶ 28¶ The effect of this section is not to subject property claimed by the instrumentality ETECSA to execution in order to satisfy the plaintiffs' judgment against the Cuban Government, but to allow the plaintiffs to execute upon property claimed by the Government itself in order to satisfy their judgment (which relates to a claim from which the Government was not immune by virtue of section 1605(a)(7)) without first obtaining a license under the CACR. See 31 C.F.R. 515.203(e). Congress has previously demonstrated in the FSIA context that it knows how to express clearly an intent to make instrumentalities substantively liable for the debts of their related foreign governments.25 Absent such a clear expression, which does not appear in section 1610(f)(1)(A),26 we see no reason to interpret that section as contravening Congress' original understanding that the FSIA "[is] not intended to affect the substantive law determining the liability of a foreign state or instrumentality, or the attribution of liability among instrumentalities of a foreign state." Bancec, 462 U.S. at 620, 103 S. Ct. at 2597.¶ 2.¶ 29¶ Having concluded that the district court erroneously disregarded ETECSA's separate juridical status on the ground that the second situation mentioned in Bancec applied, we turn to the question of whether the plaintiffs may instead overcome ETECSA's separate status under the first Bancec situation - that is, whether the plaintiffs carried their burden under Florida law of proving the alter ego relationship between the Cuban Government and ETECSA. After considering the affidavits submitted by the parties, the district court held that the plaintiffs had not carried their burden. See Alejandre II, 42 F. Supp. 2d at 1339 ("Although their relationship may bear some similarities to that between a principal and an agent, the Court does not conclude that the relationship between the Government of Cuba and ETECSA is so similar that the [Bancec] presumption of independent juridical status is overcome."). We agree. Indeed, when the situation is viewed from the perspective of the Cuban Government (in whose shoes the plaintiffs stand), it would be difficult to come to any other conclusion.¶ 30¶ Suppose, for example, that the Cuban Government sued AT&amp;T Corp. on the ground that AT&amp;T had failed to pay it (through EMTELCUBA, its alter ego) certain sums that allegedly became due under the Operating Agreement in 1996. AT&amp;T surely would defend on the ground that while it would have owed such sums to the Government had they become due in 1994, the Government no longer had any right to the sums because ETECSA succeeded to EMTELCUBA's rights and obligations under the Operating Agreement in early 1995. In order to prevail, then, the Government would have the burden of convincing the court to swallow the argument that the substitution of ETECSA for EMTELCUBA under the </w:t>
      </w:r>
      <w:r w:rsidRPr="003D65E4">
        <w:rPr>
          <w:rFonts w:asciiTheme="majorHAnsi" w:hAnsiTheme="majorHAnsi" w:cstheme="majorHAnsi"/>
          <w:sz w:val="16"/>
        </w:rPr>
        <w:lastRenderedPageBreak/>
        <w:t xml:space="preserve">Agreement had been a purposeless and ineffectual act by which the Government merely changed its name to "ETECSA" while remaining the real party in interest. The plaintiffs face exactly the same burden in this case, and we find that this argument is too difficult to digest.¶ 31¶ Nevertheless, </w:t>
      </w:r>
      <w:r w:rsidRPr="003D65E4">
        <w:rPr>
          <w:rStyle w:val="StyleBoldUnderline"/>
          <w:rFonts w:asciiTheme="majorHAnsi" w:hAnsiTheme="majorHAnsi" w:cstheme="majorHAnsi"/>
          <w:b w:val="0"/>
        </w:rPr>
        <w:t>the plaintiffs contend that we must conclude</w:t>
      </w:r>
      <w:r w:rsidRPr="003D65E4">
        <w:rPr>
          <w:rFonts w:asciiTheme="majorHAnsi" w:hAnsiTheme="majorHAnsi" w:cstheme="majorHAnsi"/>
          <w:sz w:val="16"/>
        </w:rPr>
        <w:t xml:space="preserve">, as a matter of law, </w:t>
      </w:r>
      <w:r w:rsidRPr="003D65E4">
        <w:rPr>
          <w:rStyle w:val="StyleBoldUnderline"/>
          <w:rFonts w:asciiTheme="majorHAnsi" w:hAnsiTheme="majorHAnsi" w:cstheme="majorHAnsi"/>
          <w:b w:val="0"/>
        </w:rPr>
        <w:t>that ETECSA is an alter ego of the Cuban Government because ETECSA receives payments from the carriers under the OFAC licenses</w:t>
      </w:r>
      <w:r w:rsidRPr="003D65E4">
        <w:rPr>
          <w:rFonts w:asciiTheme="majorHAnsi" w:hAnsiTheme="majorHAnsi" w:cstheme="majorHAnsi"/>
          <w:sz w:val="16"/>
        </w:rPr>
        <w:t xml:space="preserve">.27 In support of this contention, the plaintiffs point out that the relevant statute authorizes the President to "provide for the issuance of licenses for the full or partial payment to Cuba of amounts due Cuba as a result of the provision of telecommunications services." 22 U.S.C. 6004(e)(3)(A). Not surprisingly, the sections of the CACR that implement this statute and the licenses issued by OFAC thereunder include similar language. See 31 C.F.R. 515.418(a), 515.542(c). The plaintiffs argue that these references to "Cuba" mean that the licenses do not permit the carriers to make payments to any entity other than the Cuban Government.28 By making and accepting payments under these licenses, therefore, the carriers and ETECSA are supposedly estopped to deny that ETECSA is an alter ego of the Government.¶ 32¶ We reject this argument for two reasons. First, </w:t>
      </w:r>
      <w:r w:rsidRPr="003D65E4">
        <w:rPr>
          <w:rStyle w:val="StyleBoldUnderline"/>
          <w:rFonts w:asciiTheme="majorHAnsi" w:hAnsiTheme="majorHAnsi" w:cstheme="majorHAnsi"/>
          <w:b w:val="0"/>
        </w:rPr>
        <w:t xml:space="preserve">while </w:t>
      </w:r>
      <w:r w:rsidRPr="003D65E4">
        <w:rPr>
          <w:rFonts w:asciiTheme="majorHAnsi" w:hAnsiTheme="majorHAnsi" w:cstheme="majorHAnsi"/>
          <w:iCs/>
          <w:sz w:val="24"/>
          <w:u w:val="single"/>
        </w:rPr>
        <w:t>the term "Cuba"</w:t>
      </w:r>
      <w:r w:rsidRPr="003D65E4">
        <w:rPr>
          <w:rStyle w:val="StyleBoldUnderline"/>
          <w:rFonts w:asciiTheme="majorHAnsi" w:hAnsiTheme="majorHAnsi" w:cstheme="majorHAnsi"/>
          <w:b w:val="0"/>
        </w:rPr>
        <w:t xml:space="preserve"> is not specifically defined in the statute, the CACR define it to include "any political subdivision, agency, or instrumentality thereof</w:t>
      </w:r>
      <w:r w:rsidRPr="003D65E4">
        <w:rPr>
          <w:rFonts w:asciiTheme="majorHAnsi" w:hAnsiTheme="majorHAnsi" w:cstheme="majorHAnsi"/>
          <w:sz w:val="16"/>
        </w:rPr>
        <w:t xml:space="preserve">." 31 C.F.R. 515.301 (1998) (defining "foreign country"); see also 31 C.F.R. 515.201(d) (1998) (stating that the term "designated foreign country" means Cuba). </w:t>
      </w:r>
      <w:r w:rsidRPr="003D65E4">
        <w:rPr>
          <w:rStyle w:val="StyleBoldUnderline"/>
          <w:rFonts w:asciiTheme="majorHAnsi" w:hAnsiTheme="majorHAnsi" w:cstheme="majorHAnsi"/>
          <w:b w:val="0"/>
        </w:rPr>
        <w:t>Thus</w:t>
      </w:r>
      <w:r w:rsidRPr="003D65E4">
        <w:rPr>
          <w:rFonts w:asciiTheme="majorHAnsi" w:hAnsiTheme="majorHAnsi" w:cstheme="majorHAnsi"/>
          <w:sz w:val="16"/>
        </w:rPr>
        <w:t xml:space="preserve">, the garnishees' </w:t>
      </w:r>
      <w:r w:rsidRPr="003D65E4">
        <w:rPr>
          <w:rStyle w:val="StyleBoldUnderline"/>
          <w:rFonts w:asciiTheme="majorHAnsi" w:hAnsiTheme="majorHAnsi" w:cstheme="majorHAnsi"/>
          <w:b w:val="0"/>
        </w:rPr>
        <w:t>payments to "Cuba"</w:t>
      </w:r>
      <w:r w:rsidRPr="003D65E4">
        <w:rPr>
          <w:rFonts w:asciiTheme="majorHAnsi" w:hAnsiTheme="majorHAnsi" w:cstheme="majorHAnsi"/>
          <w:sz w:val="16"/>
        </w:rPr>
        <w:t xml:space="preserve"> under the licenses </w:t>
      </w:r>
      <w:r w:rsidRPr="003D65E4">
        <w:rPr>
          <w:rStyle w:val="StyleBoldUnderline"/>
          <w:rFonts w:asciiTheme="majorHAnsi" w:hAnsiTheme="majorHAnsi" w:cstheme="majorHAnsi"/>
          <w:b w:val="0"/>
        </w:rPr>
        <w:t>could be lawfully made to the separate instrumentality ETECSA rather than to the Cuban Government itself</w:t>
      </w:r>
      <w:r w:rsidRPr="003D65E4">
        <w:rPr>
          <w:rFonts w:asciiTheme="majorHAnsi" w:hAnsiTheme="majorHAnsi" w:cstheme="majorHAnsi"/>
          <w:sz w:val="16"/>
        </w:rPr>
        <w:t>. In addition, we note that the licenses issued to all of the carriers authorize more than merely payments to "Cuba"; they also authorize all necessary transactions incident to the performance of the Operating Agreements that the carriers negotiated with EMTELCUBA.29 Because these Agreements provide that the expression "EMTELCUBA" includes that entity's successors, all necessary transactions with its successor ETECSA are apparently authorized as well.</w:t>
      </w:r>
    </w:p>
    <w:p w:rsidR="00060133" w:rsidRPr="003D65E4" w:rsidRDefault="00060133" w:rsidP="00662A84">
      <w:pPr>
        <w:ind w:left="288" w:right="288"/>
        <w:rPr>
          <w:rFonts w:asciiTheme="majorHAnsi" w:hAnsiTheme="majorHAnsi" w:cstheme="majorHAnsi"/>
          <w:sz w:val="16"/>
        </w:rPr>
      </w:pPr>
    </w:p>
    <w:p w:rsidR="00060133" w:rsidRPr="003D65E4" w:rsidRDefault="00060133" w:rsidP="00CD6437">
      <w:pPr>
        <w:rPr>
          <w:rFonts w:asciiTheme="majorHAnsi" w:hAnsiTheme="majorHAnsi" w:cstheme="majorHAnsi"/>
          <w:b/>
          <w:sz w:val="24"/>
        </w:rPr>
      </w:pPr>
      <w:r w:rsidRPr="003D65E4">
        <w:rPr>
          <w:rFonts w:asciiTheme="majorHAnsi" w:hAnsiTheme="majorHAnsi" w:cstheme="majorHAnsi"/>
          <w:b/>
          <w:sz w:val="24"/>
        </w:rPr>
        <w:t>This means the plan has to be government-to-government – not private economic engagement</w:t>
      </w:r>
    </w:p>
    <w:p w:rsidR="00060133" w:rsidRPr="003D65E4" w:rsidRDefault="00CD6437" w:rsidP="00CD6437">
      <w:pPr>
        <w:rPr>
          <w:rFonts w:asciiTheme="majorHAnsi" w:hAnsiTheme="majorHAnsi" w:cstheme="majorHAnsi"/>
        </w:rPr>
      </w:pPr>
      <w:r w:rsidRPr="003D65E4">
        <w:rPr>
          <w:rFonts w:asciiTheme="majorHAnsi" w:hAnsiTheme="majorHAnsi" w:cstheme="majorHAnsi"/>
          <w:b/>
          <w:bCs/>
        </w:rPr>
        <w:t>Daga</w:t>
      </w:r>
      <w:r w:rsidR="00060133" w:rsidRPr="003D65E4">
        <w:rPr>
          <w:rFonts w:asciiTheme="majorHAnsi" w:hAnsiTheme="majorHAnsi" w:cstheme="majorHAnsi"/>
          <w:b/>
          <w:bCs/>
        </w:rPr>
        <w:t xml:space="preserve"> </w:t>
      </w:r>
      <w:r w:rsidRPr="003D65E4">
        <w:rPr>
          <w:rFonts w:asciiTheme="majorHAnsi" w:hAnsiTheme="majorHAnsi" w:cstheme="majorHAnsi"/>
          <w:b/>
          <w:bCs/>
        </w:rPr>
        <w:t>‘</w:t>
      </w:r>
      <w:r w:rsidR="00060133" w:rsidRPr="003D65E4">
        <w:rPr>
          <w:rFonts w:asciiTheme="majorHAnsi" w:hAnsiTheme="majorHAnsi" w:cstheme="majorHAnsi"/>
          <w:b/>
          <w:bCs/>
        </w:rPr>
        <w:t>13</w:t>
      </w:r>
      <w:r w:rsidR="00060133" w:rsidRPr="003D65E4">
        <w:rPr>
          <w:rStyle w:val="apple-converted-space"/>
          <w:rFonts w:asciiTheme="majorHAnsi" w:hAnsiTheme="majorHAnsi" w:cstheme="majorHAnsi"/>
          <w:b/>
          <w:bCs/>
          <w:color w:val="222222"/>
        </w:rPr>
        <w:t> </w:t>
      </w:r>
      <w:r w:rsidRPr="003D65E4">
        <w:rPr>
          <w:rFonts w:asciiTheme="majorHAnsi" w:hAnsiTheme="majorHAnsi" w:cstheme="majorHAnsi"/>
        </w:rPr>
        <w:t xml:space="preserve"> </w:t>
      </w:r>
      <w:r w:rsidRPr="003D65E4">
        <w:rPr>
          <w:rFonts w:asciiTheme="majorHAnsi" w:hAnsiTheme="majorHAnsi" w:cstheme="majorHAnsi"/>
          <w:sz w:val="16"/>
          <w:szCs w:val="16"/>
        </w:rPr>
        <w:t xml:space="preserve">[May 15th, 2013, Sergio, </w:t>
      </w:r>
      <w:r w:rsidR="00060133" w:rsidRPr="003D65E4">
        <w:rPr>
          <w:rFonts w:asciiTheme="majorHAnsi" w:hAnsiTheme="majorHAnsi" w:cstheme="majorHAnsi"/>
          <w:sz w:val="16"/>
          <w:szCs w:val="16"/>
        </w:rPr>
        <w:t xml:space="preserve">director of research at Politicas Publicas para la Libertad, in Bolivia, and a visiting senior policy analyst at the Heritage Foundation, </w:t>
      </w:r>
      <w:r w:rsidRPr="003D65E4">
        <w:rPr>
          <w:rFonts w:asciiTheme="majorHAnsi" w:hAnsiTheme="majorHAnsi" w:cstheme="majorHAnsi"/>
          <w:sz w:val="16"/>
          <w:szCs w:val="16"/>
        </w:rPr>
        <w:t xml:space="preserve">National Center for Policy Analysis </w:t>
      </w:r>
      <w:r w:rsidR="00060133" w:rsidRPr="003D65E4">
        <w:rPr>
          <w:rFonts w:asciiTheme="majorHAnsi" w:hAnsiTheme="majorHAnsi" w:cstheme="majorHAnsi"/>
          <w:sz w:val="16"/>
          <w:szCs w:val="16"/>
        </w:rPr>
        <w:t>“Economics of the 2013-2014 Debate Topic:</w:t>
      </w:r>
      <w:r w:rsidRPr="003D65E4">
        <w:rPr>
          <w:rFonts w:asciiTheme="majorHAnsi" w:hAnsiTheme="majorHAnsi" w:cstheme="majorHAnsi"/>
          <w:sz w:val="16"/>
          <w:szCs w:val="16"/>
        </w:rPr>
        <w:t xml:space="preserve"> </w:t>
      </w:r>
      <w:r w:rsidR="00060133" w:rsidRPr="003D65E4">
        <w:rPr>
          <w:rFonts w:asciiTheme="majorHAnsi" w:hAnsiTheme="majorHAnsi" w:cstheme="majorHAnsi"/>
          <w:sz w:val="16"/>
          <w:szCs w:val="16"/>
        </w:rPr>
        <w:t>U.S. Economic Engagement Tow</w:t>
      </w:r>
      <w:r w:rsidRPr="003D65E4">
        <w:rPr>
          <w:rFonts w:asciiTheme="majorHAnsi" w:hAnsiTheme="majorHAnsi" w:cstheme="majorHAnsi"/>
          <w:sz w:val="16"/>
          <w:szCs w:val="16"/>
        </w:rPr>
        <w:t xml:space="preserve">ard Cuba, Mexico or Venezuela”, </w:t>
      </w:r>
      <w:hyperlink r:id="rId7" w:tgtFrame="_blank" w:history="1">
        <w:r w:rsidR="00060133" w:rsidRPr="003D65E4">
          <w:rPr>
            <w:rFonts w:asciiTheme="majorHAnsi" w:hAnsiTheme="majorHAnsi" w:cstheme="majorHAnsi"/>
            <w:sz w:val="16"/>
            <w:szCs w:val="16"/>
          </w:rPr>
          <w:t>http://www.ncpa.org/pdfs/Message_to_Debaters_6-7-13.pdf</w:t>
        </w:r>
      </w:hyperlink>
      <w:r w:rsidRPr="003D65E4">
        <w:rPr>
          <w:rFonts w:asciiTheme="majorHAnsi" w:hAnsiTheme="majorHAnsi" w:cstheme="majorHAnsi"/>
          <w:sz w:val="16"/>
          <w:szCs w:val="16"/>
        </w:rPr>
        <w:t xml:space="preserve">] </w:t>
      </w:r>
    </w:p>
    <w:p w:rsidR="00060133" w:rsidRPr="003D65E4" w:rsidRDefault="00060133" w:rsidP="00697E46">
      <w:pPr>
        <w:rPr>
          <w:rFonts w:asciiTheme="majorHAnsi" w:hAnsiTheme="majorHAnsi" w:cstheme="majorHAnsi"/>
          <w:sz w:val="16"/>
          <w:szCs w:val="16"/>
        </w:rPr>
      </w:pPr>
      <w:r w:rsidRPr="003D65E4">
        <w:rPr>
          <w:rFonts w:asciiTheme="majorHAnsi" w:hAnsiTheme="majorHAnsi" w:cstheme="majorHAnsi"/>
          <w:u w:val="single"/>
          <w:shd w:val="clear" w:color="auto" w:fill="FFFFFF"/>
        </w:rPr>
        <w:t>Economic engagement between</w:t>
      </w:r>
      <w:r w:rsidRPr="003D65E4">
        <w:rPr>
          <w:rStyle w:val="apple-converted-space"/>
          <w:rFonts w:asciiTheme="majorHAnsi" w:eastAsia="Times New Roman" w:hAnsiTheme="majorHAnsi" w:cstheme="majorHAnsi"/>
          <w:color w:val="222222"/>
          <w:shd w:val="clear" w:color="auto" w:fill="FFFFFF"/>
        </w:rPr>
        <w:t> </w:t>
      </w:r>
      <w:r w:rsidRPr="003D65E4">
        <w:rPr>
          <w:rFonts w:asciiTheme="majorHAnsi" w:hAnsiTheme="majorHAnsi" w:cstheme="majorHAnsi"/>
          <w:sz w:val="16"/>
          <w:szCs w:val="16"/>
          <w:shd w:val="clear" w:color="auto" w:fill="FFFFFF"/>
        </w:rPr>
        <w:t>or among</w:t>
      </w:r>
      <w:r w:rsidRPr="003D65E4">
        <w:rPr>
          <w:rStyle w:val="apple-converted-space"/>
          <w:rFonts w:asciiTheme="majorHAnsi" w:eastAsia="Times New Roman" w:hAnsiTheme="majorHAnsi" w:cstheme="majorHAnsi"/>
          <w:color w:val="222222"/>
          <w:sz w:val="16"/>
          <w:szCs w:val="16"/>
          <w:shd w:val="clear" w:color="auto" w:fill="FFFFFF"/>
        </w:rPr>
        <w:t> </w:t>
      </w:r>
      <w:r w:rsidRPr="003D65E4">
        <w:rPr>
          <w:rFonts w:asciiTheme="majorHAnsi" w:hAnsiTheme="majorHAnsi" w:cstheme="majorHAnsi"/>
          <w:u w:val="single"/>
          <w:shd w:val="clear" w:color="auto" w:fill="FFFFFF"/>
        </w:rPr>
        <w:t>countries</w:t>
      </w:r>
      <w:r w:rsidRPr="003D65E4">
        <w:rPr>
          <w:rStyle w:val="apple-converted-space"/>
          <w:rFonts w:asciiTheme="majorHAnsi" w:eastAsia="Times New Roman" w:hAnsiTheme="majorHAnsi" w:cstheme="majorHAnsi"/>
          <w:color w:val="222222"/>
          <w:u w:val="single"/>
          <w:shd w:val="clear" w:color="auto" w:fill="FFFFFF"/>
        </w:rPr>
        <w:t> </w:t>
      </w:r>
      <w:r w:rsidRPr="003D65E4">
        <w:rPr>
          <w:rFonts w:asciiTheme="majorHAnsi" w:hAnsiTheme="majorHAnsi" w:cstheme="majorHAnsi"/>
          <w:sz w:val="16"/>
          <w:szCs w:val="16"/>
          <w:shd w:val="clear" w:color="auto" w:fill="FFFFFF"/>
        </w:rPr>
        <w:t>can take many forms, but this document</w:t>
      </w:r>
      <w:r w:rsidRPr="003D65E4">
        <w:rPr>
          <w:rStyle w:val="apple-converted-space"/>
          <w:rFonts w:asciiTheme="majorHAnsi" w:eastAsia="Times New Roman" w:hAnsiTheme="majorHAnsi" w:cstheme="majorHAnsi"/>
          <w:color w:val="222222"/>
          <w:sz w:val="16"/>
          <w:szCs w:val="16"/>
          <w:shd w:val="clear" w:color="auto" w:fill="FFFFFF"/>
        </w:rPr>
        <w:t> </w:t>
      </w:r>
      <w:r w:rsidRPr="003D65E4">
        <w:rPr>
          <w:rFonts w:asciiTheme="majorHAnsi" w:hAnsiTheme="majorHAnsi" w:cstheme="majorHAnsi"/>
          <w:u w:val="single"/>
          <w:shd w:val="clear" w:color="auto" w:fill="FFFFFF"/>
        </w:rPr>
        <w:t>will focus on government-to-government engagement through 1) international trade agreements</w:t>
      </w:r>
      <w:r w:rsidRPr="003D65E4">
        <w:rPr>
          <w:rStyle w:val="apple-converted-space"/>
          <w:rFonts w:asciiTheme="majorHAnsi" w:eastAsia="Times New Roman" w:hAnsiTheme="majorHAnsi" w:cstheme="majorHAnsi"/>
          <w:color w:val="222222"/>
          <w:shd w:val="clear" w:color="auto" w:fill="FFFFFF"/>
        </w:rPr>
        <w:t> </w:t>
      </w:r>
      <w:r w:rsidRPr="003D65E4">
        <w:rPr>
          <w:rFonts w:asciiTheme="majorHAnsi" w:hAnsiTheme="majorHAnsi" w:cstheme="majorHAnsi"/>
          <w:sz w:val="16"/>
          <w:szCs w:val="16"/>
          <w:shd w:val="clear" w:color="auto" w:fill="FFFFFF"/>
        </w:rPr>
        <w:t>designed to lower barriers to trade;</w:t>
      </w:r>
      <w:r w:rsidRPr="003D65E4">
        <w:rPr>
          <w:rStyle w:val="apple-converted-space"/>
          <w:rFonts w:asciiTheme="majorHAnsi" w:eastAsia="Times New Roman" w:hAnsiTheme="majorHAnsi" w:cstheme="majorHAnsi"/>
          <w:color w:val="222222"/>
          <w:shd w:val="clear" w:color="auto" w:fill="FFFFFF"/>
        </w:rPr>
        <w:t> </w:t>
      </w:r>
      <w:r w:rsidRPr="003D65E4">
        <w:rPr>
          <w:rFonts w:asciiTheme="majorHAnsi" w:hAnsiTheme="majorHAnsi" w:cstheme="majorHAnsi"/>
          <w:u w:val="single"/>
          <w:shd w:val="clear" w:color="auto" w:fill="FFFFFF"/>
        </w:rPr>
        <w:t>and 2) government foreign aid</w:t>
      </w:r>
      <w:r w:rsidRPr="003D65E4">
        <w:rPr>
          <w:rFonts w:asciiTheme="majorHAnsi" w:hAnsiTheme="majorHAnsi" w:cstheme="majorHAnsi"/>
          <w:shd w:val="clear" w:color="auto" w:fill="FFFFFF"/>
        </w:rPr>
        <w:t xml:space="preserve">; </w:t>
      </w:r>
      <w:r w:rsidRPr="003D65E4">
        <w:rPr>
          <w:rFonts w:asciiTheme="majorHAnsi" w:hAnsiTheme="majorHAnsi" w:cstheme="majorHAnsi"/>
          <w:sz w:val="16"/>
          <w:szCs w:val="16"/>
          <w:shd w:val="clear" w:color="auto" w:fill="FFFFFF"/>
        </w:rPr>
        <w:t>next</w:t>
      </w:r>
      <w:r w:rsidRPr="003D65E4">
        <w:rPr>
          <w:rFonts w:asciiTheme="majorHAnsi" w:hAnsiTheme="majorHAnsi" w:cstheme="majorHAnsi"/>
          <w:shd w:val="clear" w:color="auto" w:fill="FFFFFF"/>
        </w:rPr>
        <w:t>,</w:t>
      </w:r>
      <w:r w:rsidRPr="003D65E4">
        <w:rPr>
          <w:rStyle w:val="apple-converted-space"/>
          <w:rFonts w:asciiTheme="majorHAnsi" w:eastAsia="Times New Roman" w:hAnsiTheme="majorHAnsi" w:cstheme="majorHAnsi"/>
          <w:color w:val="222222"/>
          <w:shd w:val="clear" w:color="auto" w:fill="FFFFFF"/>
        </w:rPr>
        <w:t> </w:t>
      </w:r>
      <w:r w:rsidRPr="003D65E4">
        <w:rPr>
          <w:rFonts w:asciiTheme="majorHAnsi" w:hAnsiTheme="majorHAnsi" w:cstheme="majorHAnsi"/>
          <w:u w:val="single"/>
          <w:shd w:val="clear" w:color="auto" w:fill="FFFFFF"/>
        </w:rPr>
        <w:t>we</w:t>
      </w:r>
      <w:r w:rsidRPr="003D65E4">
        <w:rPr>
          <w:rStyle w:val="apple-converted-space"/>
          <w:rFonts w:asciiTheme="majorHAnsi" w:eastAsia="Times New Roman" w:hAnsiTheme="majorHAnsi" w:cstheme="majorHAnsi"/>
          <w:color w:val="222222"/>
          <w:u w:val="single"/>
          <w:shd w:val="clear" w:color="auto" w:fill="FFFFFF"/>
        </w:rPr>
        <w:t> </w:t>
      </w:r>
      <w:r w:rsidRPr="003D65E4">
        <w:rPr>
          <w:rFonts w:asciiTheme="majorHAnsi" w:hAnsiTheme="majorHAnsi" w:cstheme="majorHAnsi"/>
          <w:sz w:val="16"/>
          <w:szCs w:val="16"/>
          <w:shd w:val="clear" w:color="auto" w:fill="FFFFFF"/>
        </w:rPr>
        <w:t>will</w:t>
      </w:r>
      <w:r w:rsidRPr="003D65E4">
        <w:rPr>
          <w:rStyle w:val="apple-converted-space"/>
          <w:rFonts w:asciiTheme="majorHAnsi" w:eastAsia="Times New Roman" w:hAnsiTheme="majorHAnsi" w:cstheme="majorHAnsi"/>
          <w:color w:val="222222"/>
          <w:sz w:val="16"/>
          <w:szCs w:val="16"/>
          <w:shd w:val="clear" w:color="auto" w:fill="FFFFFF"/>
        </w:rPr>
        <w:t> </w:t>
      </w:r>
      <w:r w:rsidRPr="003D65E4">
        <w:rPr>
          <w:rFonts w:asciiTheme="majorHAnsi" w:hAnsiTheme="majorHAnsi" w:cstheme="majorHAnsi"/>
          <w:u w:val="single"/>
          <w:shd w:val="clear" w:color="auto" w:fill="FFFFFF"/>
        </w:rPr>
        <w:t>contrast government-to-government economic engagement with private economic engagement through</w:t>
      </w:r>
      <w:r w:rsidRPr="003D65E4">
        <w:rPr>
          <w:rStyle w:val="apple-converted-space"/>
          <w:rFonts w:asciiTheme="majorHAnsi" w:eastAsia="Times New Roman" w:hAnsiTheme="majorHAnsi" w:cstheme="majorHAnsi"/>
          <w:color w:val="222222"/>
          <w:u w:val="single"/>
          <w:shd w:val="clear" w:color="auto" w:fill="FFFFFF"/>
        </w:rPr>
        <w:t> </w:t>
      </w:r>
      <w:r w:rsidRPr="003D65E4">
        <w:rPr>
          <w:rFonts w:asciiTheme="majorHAnsi" w:hAnsiTheme="majorHAnsi" w:cstheme="majorHAnsi"/>
          <w:u w:val="single"/>
          <w:shd w:val="clear" w:color="auto" w:fill="FFFFFF"/>
        </w:rPr>
        <w:t>3)international investment</w:t>
      </w:r>
      <w:r w:rsidRPr="003D65E4">
        <w:rPr>
          <w:rFonts w:asciiTheme="majorHAnsi" w:hAnsiTheme="majorHAnsi" w:cstheme="majorHAnsi"/>
          <w:shd w:val="clear" w:color="auto" w:fill="FFFFFF"/>
        </w:rPr>
        <w:t xml:space="preserve">, </w:t>
      </w:r>
      <w:r w:rsidRPr="003D65E4">
        <w:rPr>
          <w:rFonts w:asciiTheme="majorHAnsi" w:hAnsiTheme="majorHAnsi" w:cstheme="majorHAnsi"/>
          <w:sz w:val="16"/>
          <w:szCs w:val="16"/>
          <w:shd w:val="clear" w:color="auto" w:fill="FFFFFF"/>
        </w:rPr>
        <w:t>called foreign direct investment</w:t>
      </w:r>
      <w:r w:rsidRPr="003D65E4">
        <w:rPr>
          <w:rFonts w:asciiTheme="majorHAnsi" w:hAnsiTheme="majorHAnsi" w:cstheme="majorHAnsi"/>
          <w:shd w:val="clear" w:color="auto" w:fill="FFFFFF"/>
        </w:rPr>
        <w:t>;</w:t>
      </w:r>
      <w:r w:rsidRPr="003D65E4">
        <w:rPr>
          <w:rStyle w:val="apple-converted-space"/>
          <w:rFonts w:asciiTheme="majorHAnsi" w:eastAsia="Times New Roman" w:hAnsiTheme="majorHAnsi" w:cstheme="majorHAnsi"/>
          <w:color w:val="222222"/>
          <w:shd w:val="clear" w:color="auto" w:fill="FFFFFF"/>
        </w:rPr>
        <w:t> </w:t>
      </w:r>
      <w:r w:rsidRPr="003D65E4">
        <w:rPr>
          <w:rFonts w:asciiTheme="majorHAnsi" w:hAnsiTheme="majorHAnsi" w:cstheme="majorHAnsi"/>
          <w:u w:val="single"/>
          <w:shd w:val="clear" w:color="auto" w:fill="FFFFFF"/>
        </w:rPr>
        <w:t>and</w:t>
      </w:r>
      <w:r w:rsidRPr="003D65E4">
        <w:rPr>
          <w:rStyle w:val="apple-converted-space"/>
          <w:rFonts w:asciiTheme="majorHAnsi" w:eastAsia="Times New Roman" w:hAnsiTheme="majorHAnsi" w:cstheme="majorHAnsi"/>
          <w:color w:val="222222"/>
          <w:u w:val="single"/>
          <w:shd w:val="clear" w:color="auto" w:fill="FFFFFF"/>
        </w:rPr>
        <w:t> </w:t>
      </w:r>
      <w:r w:rsidRPr="003D65E4">
        <w:rPr>
          <w:rFonts w:asciiTheme="majorHAnsi" w:hAnsiTheme="majorHAnsi" w:cstheme="majorHAnsi"/>
          <w:u w:val="single"/>
          <w:shd w:val="clear" w:color="auto" w:fill="FFFFFF"/>
        </w:rPr>
        <w:t>4)</w:t>
      </w:r>
      <w:r w:rsidRPr="003D65E4">
        <w:rPr>
          <w:rStyle w:val="apple-converted-space"/>
          <w:rFonts w:asciiTheme="majorHAnsi" w:eastAsia="Times New Roman" w:hAnsiTheme="majorHAnsi" w:cstheme="majorHAnsi"/>
          <w:color w:val="222222"/>
          <w:u w:val="single"/>
          <w:shd w:val="clear" w:color="auto" w:fill="FFFFFF"/>
        </w:rPr>
        <w:t> </w:t>
      </w:r>
      <w:r w:rsidRPr="003D65E4">
        <w:rPr>
          <w:rFonts w:asciiTheme="majorHAnsi" w:hAnsiTheme="majorHAnsi" w:cstheme="majorHAnsi"/>
          <w:u w:val="single"/>
          <w:shd w:val="clear" w:color="auto" w:fill="FFFFFF"/>
        </w:rPr>
        <w:t>remittances and migration by individuals.</w:t>
      </w:r>
      <w:r w:rsidRPr="003D65E4">
        <w:rPr>
          <w:rStyle w:val="apple-converted-space"/>
          <w:rFonts w:asciiTheme="majorHAnsi" w:eastAsia="Times New Roman" w:hAnsiTheme="majorHAnsi" w:cstheme="majorHAnsi"/>
          <w:color w:val="222222"/>
          <w:u w:val="single"/>
          <w:shd w:val="clear" w:color="auto" w:fill="FFFFFF"/>
        </w:rPr>
        <w:t> </w:t>
      </w:r>
      <w:r w:rsidRPr="003D65E4">
        <w:rPr>
          <w:rFonts w:asciiTheme="majorHAnsi" w:hAnsiTheme="majorHAnsi" w:cstheme="majorHAnsi"/>
          <w:u w:val="single"/>
          <w:shd w:val="clear" w:color="auto" w:fill="FFFFFF"/>
        </w:rPr>
        <w:t>All of these areas are important</w:t>
      </w:r>
      <w:r w:rsidRPr="003D65E4">
        <w:rPr>
          <w:rStyle w:val="apple-converted-space"/>
          <w:rFonts w:asciiTheme="majorHAnsi" w:eastAsia="Times New Roman" w:hAnsiTheme="majorHAnsi" w:cstheme="majorHAnsi"/>
          <w:color w:val="222222"/>
          <w:shd w:val="clear" w:color="auto" w:fill="FFFFFF"/>
        </w:rPr>
        <w:t> </w:t>
      </w:r>
      <w:r w:rsidRPr="003D65E4">
        <w:rPr>
          <w:rFonts w:asciiTheme="majorHAnsi" w:hAnsiTheme="majorHAnsi" w:cstheme="majorHAnsi"/>
          <w:sz w:val="16"/>
          <w:szCs w:val="16"/>
          <w:shd w:val="clear" w:color="auto" w:fill="FFFFFF"/>
        </w:rPr>
        <w:t>with respect to the countries mentioned in the debate resolution;</w:t>
      </w:r>
      <w:r w:rsidRPr="003D65E4">
        <w:rPr>
          <w:rStyle w:val="apple-converted-space"/>
          <w:rFonts w:asciiTheme="majorHAnsi" w:eastAsia="Times New Roman" w:hAnsiTheme="majorHAnsi" w:cstheme="majorHAnsi"/>
          <w:color w:val="222222"/>
          <w:u w:val="single"/>
          <w:shd w:val="clear" w:color="auto" w:fill="FFFFFF"/>
        </w:rPr>
        <w:t> </w:t>
      </w:r>
      <w:r w:rsidRPr="003D65E4">
        <w:rPr>
          <w:rFonts w:asciiTheme="majorHAnsi" w:hAnsiTheme="majorHAnsi" w:cstheme="majorHAnsi"/>
          <w:u w:val="single"/>
          <w:shd w:val="clear" w:color="auto" w:fill="FFFFFF"/>
        </w:rPr>
        <w:t>however, when discussing economic engagement by the U.S. federal government, some</w:t>
      </w:r>
      <w:r w:rsidRPr="003D65E4">
        <w:rPr>
          <w:rStyle w:val="apple-converted-space"/>
          <w:rFonts w:asciiTheme="majorHAnsi" w:eastAsia="Times New Roman" w:hAnsiTheme="majorHAnsi" w:cstheme="majorHAnsi"/>
          <w:color w:val="222222"/>
          <w:u w:val="single"/>
          <w:shd w:val="clear" w:color="auto" w:fill="FFFFFF"/>
        </w:rPr>
        <w:t> </w:t>
      </w:r>
      <w:r w:rsidRPr="003D65E4">
        <w:rPr>
          <w:rFonts w:asciiTheme="majorHAnsi" w:hAnsiTheme="majorHAnsi" w:cstheme="majorHAnsi"/>
          <w:sz w:val="16"/>
          <w:szCs w:val="16"/>
          <w:shd w:val="clear" w:color="auto" w:fill="FFFFFF"/>
        </w:rPr>
        <w:t>issues</w:t>
      </w:r>
      <w:r w:rsidRPr="003D65E4">
        <w:rPr>
          <w:rStyle w:val="apple-converted-space"/>
          <w:rFonts w:asciiTheme="majorHAnsi" w:eastAsia="Times New Roman" w:hAnsiTheme="majorHAnsi" w:cstheme="majorHAnsi"/>
          <w:color w:val="222222"/>
          <w:sz w:val="16"/>
          <w:szCs w:val="16"/>
          <w:shd w:val="clear" w:color="auto" w:fill="FFFFFF"/>
        </w:rPr>
        <w:t> </w:t>
      </w:r>
      <w:r w:rsidRPr="003D65E4">
        <w:rPr>
          <w:rFonts w:asciiTheme="majorHAnsi" w:hAnsiTheme="majorHAnsi" w:cstheme="majorHAnsi"/>
          <w:u w:val="single"/>
          <w:shd w:val="clear" w:color="auto" w:fill="FFFFFF"/>
        </w:rPr>
        <w:t xml:space="preserve">are more </w:t>
      </w:r>
      <w:r w:rsidRPr="003D65E4">
        <w:rPr>
          <w:rFonts w:asciiTheme="majorHAnsi" w:hAnsiTheme="majorHAnsi" w:cstheme="majorHAnsi"/>
          <w:sz w:val="16"/>
          <w:szCs w:val="16"/>
        </w:rPr>
        <w:t>important with respect to some countries than to others</w:t>
      </w:r>
    </w:p>
    <w:p w:rsidR="00BC69FC" w:rsidRPr="003D65E4" w:rsidRDefault="00BC69FC" w:rsidP="00697E46">
      <w:pPr>
        <w:rPr>
          <w:rFonts w:asciiTheme="majorHAnsi" w:hAnsiTheme="majorHAnsi" w:cstheme="majorHAnsi"/>
          <w:sz w:val="16"/>
          <w:szCs w:val="16"/>
        </w:rPr>
      </w:pPr>
    </w:p>
    <w:p w:rsidR="00BC69FC" w:rsidRPr="003D65E4" w:rsidRDefault="00BC69FC" w:rsidP="00BC69FC">
      <w:pPr>
        <w:rPr>
          <w:rFonts w:asciiTheme="majorHAnsi" w:hAnsiTheme="majorHAnsi" w:cstheme="majorHAnsi"/>
          <w:sz w:val="24"/>
        </w:rPr>
      </w:pPr>
    </w:p>
    <w:p w:rsidR="00BC69FC" w:rsidRPr="003D65E4" w:rsidRDefault="00BC69FC" w:rsidP="00BC69FC">
      <w:pPr>
        <w:rPr>
          <w:rFonts w:asciiTheme="majorHAnsi" w:hAnsiTheme="majorHAnsi" w:cstheme="majorHAnsi"/>
          <w:b/>
          <w:sz w:val="24"/>
        </w:rPr>
      </w:pPr>
      <w:r w:rsidRPr="003D65E4">
        <w:rPr>
          <w:rFonts w:asciiTheme="majorHAnsi" w:hAnsiTheme="majorHAnsi" w:cstheme="majorHAnsi"/>
          <w:b/>
          <w:sz w:val="24"/>
        </w:rPr>
        <w:t>Actions of private companies are not economic engagement – their investment is under CORPORATE engagement</w:t>
      </w:r>
    </w:p>
    <w:p w:rsidR="00BC69FC" w:rsidRPr="003D65E4" w:rsidRDefault="00BC69FC" w:rsidP="00BC69FC">
      <w:pPr>
        <w:rPr>
          <w:rFonts w:asciiTheme="majorHAnsi" w:hAnsiTheme="majorHAnsi" w:cstheme="majorHAnsi"/>
          <w:lang w:eastAsia="ko-KR"/>
        </w:rPr>
      </w:pPr>
      <w:r w:rsidRPr="003D65E4">
        <w:rPr>
          <w:rFonts w:asciiTheme="majorHAnsi" w:hAnsiTheme="majorHAnsi" w:cstheme="majorHAnsi"/>
          <w:b/>
          <w:bCs/>
          <w:sz w:val="24"/>
          <w:lang w:eastAsia="ko-KR"/>
        </w:rPr>
        <w:t>Cruz ‘8</w:t>
      </w:r>
      <w:r w:rsidRPr="003D65E4">
        <w:rPr>
          <w:rFonts w:asciiTheme="majorHAnsi" w:hAnsiTheme="majorHAnsi" w:cstheme="majorHAnsi"/>
          <w:lang w:eastAsia="ko-KR"/>
        </w:rPr>
        <w:t xml:space="preserve"> [6/3/08, Elfren S. Cruz is a professor of Strategic Management at the De La Salle Professional Schools, Inc. Graduate School of Business and the author of Setting Frameworks: Family Business and Strategic Management, 2005 National Book Award for Best Book in Business and Economics. “Framework; Corporate citizenship,” Business world, Lexis]</w:t>
      </w:r>
    </w:p>
    <w:p w:rsidR="00BC69FC" w:rsidRPr="003D65E4" w:rsidRDefault="00BC69FC" w:rsidP="00BC69FC">
      <w:pPr>
        <w:ind w:left="288" w:right="288"/>
        <w:rPr>
          <w:rFonts w:asciiTheme="majorHAnsi" w:hAnsiTheme="majorHAnsi" w:cstheme="majorHAnsi"/>
          <w:sz w:val="16"/>
        </w:rPr>
      </w:pPr>
      <w:r w:rsidRPr="003D65E4">
        <w:rPr>
          <w:rFonts w:asciiTheme="majorHAnsi" w:hAnsiTheme="majorHAnsi" w:cstheme="majorHAnsi"/>
          <w:sz w:val="16"/>
        </w:rPr>
        <w:t xml:space="preserve">It has become fairly common for businesspeople to talk about social responsibility. But, the use of the term "corporate social responsibility" as a blanket term for all the responsibilities of "corporate citizenship" is an oversimplification that has led to confusion even among business leaders. </w:t>
      </w:r>
      <w:r w:rsidRPr="003D65E4">
        <w:rPr>
          <w:rStyle w:val="StyleBoldUnderline"/>
          <w:rFonts w:asciiTheme="majorHAnsi" w:hAnsiTheme="majorHAnsi" w:cstheme="majorHAnsi"/>
          <w:b w:val="0"/>
        </w:rPr>
        <w:t>There</w:t>
      </w:r>
      <w:r w:rsidRPr="003D65E4">
        <w:rPr>
          <w:rFonts w:asciiTheme="majorHAnsi" w:hAnsiTheme="majorHAnsi" w:cstheme="majorHAnsi"/>
        </w:rPr>
        <w:t xml:space="preserve"> </w:t>
      </w:r>
      <w:r w:rsidRPr="003D65E4">
        <w:rPr>
          <w:rStyle w:val="StyleBoldUnderline"/>
          <w:rFonts w:asciiTheme="majorHAnsi" w:hAnsiTheme="majorHAnsi" w:cstheme="majorHAnsi"/>
          <w:b w:val="0"/>
        </w:rPr>
        <w:t>are</w:t>
      </w:r>
      <w:r w:rsidRPr="003D65E4">
        <w:rPr>
          <w:rFonts w:asciiTheme="majorHAnsi" w:hAnsiTheme="majorHAnsi" w:cstheme="majorHAnsi"/>
          <w:sz w:val="16"/>
        </w:rPr>
        <w:t xml:space="preserve"> actually </w:t>
      </w:r>
      <w:r w:rsidRPr="003D65E4">
        <w:rPr>
          <w:rFonts w:asciiTheme="majorHAnsi" w:hAnsiTheme="majorHAnsi" w:cstheme="majorHAnsi"/>
          <w:iCs/>
          <w:sz w:val="24"/>
          <w:u w:val="single"/>
        </w:rPr>
        <w:t>five core concepts</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that define</w:t>
      </w:r>
      <w:r w:rsidRPr="003D65E4">
        <w:rPr>
          <w:rFonts w:asciiTheme="majorHAnsi" w:hAnsiTheme="majorHAnsi" w:cstheme="majorHAnsi"/>
          <w:sz w:val="16"/>
        </w:rPr>
        <w:t xml:space="preserve"> the different types of </w:t>
      </w:r>
      <w:r w:rsidRPr="003D65E4">
        <w:rPr>
          <w:rFonts w:asciiTheme="majorHAnsi" w:hAnsiTheme="majorHAnsi" w:cstheme="majorHAnsi"/>
          <w:iCs/>
          <w:sz w:val="24"/>
          <w:u w:val="single"/>
        </w:rPr>
        <w:t>corporate engagement</w:t>
      </w:r>
      <w:r w:rsidRPr="003D65E4">
        <w:rPr>
          <w:rFonts w:asciiTheme="majorHAnsi" w:hAnsiTheme="majorHAnsi" w:cstheme="majorHAnsi"/>
          <w:sz w:val="16"/>
        </w:rPr>
        <w:t xml:space="preserve"> in society. </w:t>
      </w:r>
      <w:r w:rsidRPr="003D65E4">
        <w:rPr>
          <w:rStyle w:val="StyleBoldUnderline"/>
          <w:rFonts w:asciiTheme="majorHAnsi" w:hAnsiTheme="majorHAnsi" w:cstheme="majorHAnsi"/>
          <w:b w:val="0"/>
        </w:rPr>
        <w:t>These are corporate governance</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 xml:space="preserve">corporate philanthropy, corporate social responsibility, corporate social entrepreneurship, and global corporate citizenship. </w:t>
      </w:r>
      <w:r w:rsidRPr="003D65E4">
        <w:rPr>
          <w:rFonts w:asciiTheme="majorHAnsi" w:hAnsiTheme="majorHAnsi" w:cstheme="majorHAnsi"/>
          <w:sz w:val="16"/>
        </w:rPr>
        <w:t>The World Economic Forum developed a framework to help business leaders in their task of corporate engagement in society. In 1971, the forum identified the stakeholder concept. This is the idea that a company has clear responsibilities to other sectors aside from its stockholders. These other sectors include employees, customers, suppliers, the community where it operates, and the whole world when it comes to global issues like environmental pollution or destruction. Klaus Schwab is the executive chair of the World Economic Forum. In the January-</w:t>
      </w:r>
      <w:r w:rsidRPr="003D65E4">
        <w:rPr>
          <w:rFonts w:asciiTheme="majorHAnsi" w:hAnsiTheme="majorHAnsi" w:cstheme="majorHAnsi"/>
          <w:sz w:val="16"/>
        </w:rPr>
        <w:lastRenderedPageBreak/>
        <w:t xml:space="preserve">February 2008 issue of Foreign Affairs, he wrote an article entitled "Global Corporate Citizenship: How Business Can Help Save the World." Among the topics he covered in the article were the five different types of corporate citizenship. Corporate governance is more than the way a corporation is run. Every company is subject to some form of governance; otherwise, it would not have the license to operate. The central issue of corporate governance is the quality of this governance. It means that a company complies with local and international laws, transparency and accountability requirements, ethical norms, and environmental and social codes of conduct. Good corporate governance means that the company's conduct meets or exceeds what is required by laws and possibly even going beyond the mandated minimum. It is how a company behaves when nobody is looking. According to Schwab: "A key part of corporate governance is the development and implementation of internal programs to promote ethics, moral standards and socially acceptable practices. These should include respect for human rights and adherence to labor standards, as well as in- house efforts to prevent bribery and corruption." </w:t>
      </w:r>
      <w:r w:rsidRPr="003D65E4">
        <w:rPr>
          <w:rStyle w:val="StyleBoldUnderline"/>
          <w:rFonts w:asciiTheme="majorHAnsi" w:hAnsiTheme="majorHAnsi" w:cstheme="majorHAnsi"/>
          <w:b w:val="0"/>
        </w:rPr>
        <w:t>Corporate philanthropy</w:t>
      </w:r>
      <w:r w:rsidRPr="003D65E4">
        <w:rPr>
          <w:rFonts w:asciiTheme="majorHAnsi" w:hAnsiTheme="majorHAnsi" w:cstheme="majorHAnsi"/>
          <w:sz w:val="16"/>
        </w:rPr>
        <w:t xml:space="preserve"> goes beyond the mandatory requirements of corporate governance. It </w:t>
      </w:r>
      <w:r w:rsidRPr="003D65E4">
        <w:rPr>
          <w:rStyle w:val="StyleBoldUnderline"/>
          <w:rFonts w:asciiTheme="majorHAnsi" w:hAnsiTheme="majorHAnsi" w:cstheme="majorHAnsi"/>
          <w:b w:val="0"/>
        </w:rPr>
        <w:t>includes cash contributions, grants, donations, services, and investments.</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This kind of engagement</w:t>
      </w:r>
      <w:r w:rsidRPr="003D65E4">
        <w:rPr>
          <w:rFonts w:asciiTheme="majorHAnsi" w:hAnsiTheme="majorHAnsi" w:cstheme="majorHAnsi"/>
          <w:sz w:val="16"/>
        </w:rPr>
        <w:t xml:space="preserve"> normally </w:t>
      </w:r>
      <w:r w:rsidRPr="003D65E4">
        <w:rPr>
          <w:rStyle w:val="StyleBoldUnderline"/>
          <w:rFonts w:asciiTheme="majorHAnsi" w:hAnsiTheme="majorHAnsi" w:cstheme="majorHAnsi"/>
          <w:b w:val="0"/>
        </w:rPr>
        <w:t>does not go beyond</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 xml:space="preserve">writing a check or handing out donated or relief goods. </w:t>
      </w:r>
      <w:r w:rsidRPr="003D65E4">
        <w:rPr>
          <w:rFonts w:asciiTheme="majorHAnsi" w:hAnsiTheme="majorHAnsi" w:cstheme="majorHAnsi"/>
          <w:sz w:val="16"/>
        </w:rPr>
        <w:t>Social investing is a form of corporate philanthropy in which a company invests in organizations or programs that have social appeal such as education or reading programs and scholarship funds for poor students. Corporate philanthropy continues to be the preferred way for corporations. But, more and more business leaders now recognize that companies can make more efficient contributions through active engagement. According to Schwab: "</w:t>
      </w:r>
      <w:r w:rsidRPr="003D65E4">
        <w:rPr>
          <w:rStyle w:val="StyleBoldUnderline"/>
          <w:rFonts w:asciiTheme="majorHAnsi" w:hAnsiTheme="majorHAnsi" w:cstheme="majorHAnsi"/>
          <w:b w:val="0"/>
        </w:rPr>
        <w:t>The framework</w:t>
      </w:r>
      <w:r w:rsidRPr="003D65E4">
        <w:rPr>
          <w:rFonts w:asciiTheme="majorHAnsi" w:hAnsiTheme="majorHAnsi" w:cstheme="majorHAnsi"/>
          <w:sz w:val="16"/>
        </w:rPr>
        <w:t xml:space="preserve"> developed by the forum </w:t>
      </w:r>
      <w:r w:rsidRPr="003D65E4">
        <w:rPr>
          <w:rStyle w:val="StyleBoldUnderline"/>
          <w:rFonts w:asciiTheme="majorHAnsi" w:hAnsiTheme="majorHAnsi" w:cstheme="majorHAnsi"/>
          <w:b w:val="0"/>
        </w:rPr>
        <w:t>encourages the stakeholder approach</w:t>
      </w:r>
      <w:r w:rsidRPr="003D65E4">
        <w:rPr>
          <w:rFonts w:asciiTheme="majorHAnsi" w:hAnsiTheme="majorHAnsi" w:cstheme="majorHAnsi"/>
          <w:sz w:val="16"/>
        </w:rPr>
        <w:t xml:space="preserve"> </w:t>
      </w:r>
      <w:r w:rsidRPr="003D65E4">
        <w:rPr>
          <w:rFonts w:asciiTheme="majorHAnsi" w:hAnsiTheme="majorHAnsi" w:cstheme="majorHAnsi"/>
          <w:iCs/>
          <w:sz w:val="24"/>
          <w:u w:val="single"/>
        </w:rPr>
        <w:t>to corporate engagement</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and refers to this as</w:t>
      </w:r>
      <w:r w:rsidRPr="003D65E4">
        <w:rPr>
          <w:rFonts w:asciiTheme="majorHAnsi" w:hAnsiTheme="majorHAnsi" w:cstheme="majorHAnsi"/>
          <w:sz w:val="16"/>
        </w:rPr>
        <w:t xml:space="preserve"> </w:t>
      </w:r>
      <w:r w:rsidRPr="003D65E4">
        <w:rPr>
          <w:rFonts w:asciiTheme="majorHAnsi" w:hAnsiTheme="majorHAnsi" w:cstheme="majorHAnsi"/>
          <w:iCs/>
          <w:sz w:val="24"/>
          <w:u w:val="single"/>
        </w:rPr>
        <w:t>'corporate social responsibility</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This involves how a</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corporation responds to the expectations of its stakeholders</w:t>
      </w:r>
      <w:r w:rsidRPr="003D65E4">
        <w:rPr>
          <w:rFonts w:asciiTheme="majorHAnsi" w:hAnsiTheme="majorHAnsi" w:cstheme="majorHAnsi"/>
          <w:sz w:val="16"/>
        </w:rPr>
        <w:t xml:space="preserve"> - </w:t>
      </w:r>
      <w:r w:rsidRPr="003D65E4">
        <w:rPr>
          <w:rStyle w:val="StyleBoldUnderline"/>
          <w:rFonts w:asciiTheme="majorHAnsi" w:hAnsiTheme="majorHAnsi" w:cstheme="majorHAnsi"/>
          <w:b w:val="0"/>
        </w:rPr>
        <w:t>the</w:t>
      </w:r>
      <w:r w:rsidRPr="003D65E4">
        <w:rPr>
          <w:rFonts w:asciiTheme="majorHAnsi" w:hAnsiTheme="majorHAnsi" w:cstheme="majorHAnsi"/>
          <w:sz w:val="16"/>
        </w:rPr>
        <w:t xml:space="preserve"> wide </w:t>
      </w:r>
      <w:r w:rsidRPr="003D65E4">
        <w:rPr>
          <w:rStyle w:val="StyleBoldUnderline"/>
          <w:rFonts w:asciiTheme="majorHAnsi" w:hAnsiTheme="majorHAnsi" w:cstheme="majorHAnsi"/>
          <w:b w:val="0"/>
        </w:rPr>
        <w:t>community of all organizations and</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individuals</w:t>
      </w:r>
      <w:r w:rsidRPr="003D65E4">
        <w:rPr>
          <w:rFonts w:asciiTheme="majorHAnsi" w:hAnsiTheme="majorHAnsi" w:cstheme="majorHAnsi"/>
          <w:sz w:val="16"/>
        </w:rPr>
        <w:t xml:space="preserve"> that are in any way </w:t>
      </w:r>
      <w:r w:rsidRPr="003D65E4">
        <w:rPr>
          <w:rStyle w:val="StyleBoldUnderline"/>
          <w:rFonts w:asciiTheme="majorHAnsi" w:hAnsiTheme="majorHAnsi" w:cstheme="majorHAnsi"/>
          <w:b w:val="0"/>
        </w:rPr>
        <w:t>affected</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by or interested in its actions</w:t>
      </w:r>
      <w:r w:rsidRPr="003D65E4">
        <w:rPr>
          <w:rFonts w:asciiTheme="majorHAnsi" w:hAnsiTheme="majorHAnsi" w:cstheme="majorHAnsi"/>
          <w:sz w:val="16"/>
        </w:rPr>
        <w:t xml:space="preserve">: shareholders, owners, investors, employees, suppliers, clients, consumers - while trying to increase company's value." Corporate social responsibility is measured through the so-called triple bottom-line account-=ability, according to which a company reports not only its financial results but also on what it is doing and what it is not doing in meeting stakeholder expectations of its environmental and social responsibilities. Again according to Schwab: "Today, corporate social responsibility extends along the whole chain of value creation." </w:t>
      </w:r>
      <w:r w:rsidRPr="003D65E4">
        <w:rPr>
          <w:rStyle w:val="StyleBoldUnderline"/>
          <w:rFonts w:asciiTheme="majorHAnsi" w:hAnsiTheme="majorHAnsi" w:cstheme="majorHAnsi"/>
          <w:b w:val="0"/>
        </w:rPr>
        <w:t>Corporate social entrepreneurship is</w:t>
      </w:r>
      <w:r w:rsidRPr="003D65E4">
        <w:rPr>
          <w:rFonts w:asciiTheme="majorHAnsi" w:hAnsiTheme="majorHAnsi" w:cstheme="majorHAnsi"/>
          <w:sz w:val="16"/>
        </w:rPr>
        <w:t xml:space="preserve"> defined </w:t>
      </w:r>
      <w:r w:rsidRPr="003D65E4">
        <w:rPr>
          <w:rStyle w:val="StyleBoldUnderline"/>
          <w:rFonts w:asciiTheme="majorHAnsi" w:hAnsiTheme="majorHAnsi" w:cstheme="majorHAnsi"/>
          <w:b w:val="0"/>
        </w:rPr>
        <w:t>as the transformation of socially and environmentally responsible ideas into products and services</w:t>
      </w:r>
      <w:r w:rsidRPr="003D65E4">
        <w:rPr>
          <w:rFonts w:asciiTheme="majorHAnsi" w:hAnsiTheme="majorHAnsi" w:cstheme="majorHAnsi"/>
          <w:sz w:val="16"/>
        </w:rPr>
        <w:t xml:space="preserve">. Many individuals are now coming up with many innovative ideas to address specific social and environmental needs of the communities in which they are living. </w:t>
      </w:r>
      <w:r w:rsidRPr="003D65E4">
        <w:rPr>
          <w:rStyle w:val="StyleBoldUnderline"/>
          <w:rFonts w:asciiTheme="majorHAnsi" w:hAnsiTheme="majorHAnsi" w:cstheme="majorHAnsi"/>
          <w:b w:val="0"/>
        </w:rPr>
        <w:t>One of</w:t>
      </w:r>
      <w:r w:rsidRPr="003D65E4">
        <w:rPr>
          <w:rFonts w:asciiTheme="majorHAnsi" w:hAnsiTheme="majorHAnsi" w:cstheme="majorHAnsi"/>
          <w:sz w:val="16"/>
        </w:rPr>
        <w:t xml:space="preserve"> the </w:t>
      </w:r>
      <w:r w:rsidRPr="003D65E4">
        <w:rPr>
          <w:rStyle w:val="StyleBoldUnderline"/>
          <w:rFonts w:asciiTheme="majorHAnsi" w:hAnsiTheme="majorHAnsi" w:cstheme="majorHAnsi"/>
          <w:b w:val="0"/>
        </w:rPr>
        <w:t>best known examples is the Grameen Bank</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which provides</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micro-finance credits to poor rural women in</w:t>
      </w:r>
      <w:r w:rsidRPr="003D65E4">
        <w:rPr>
          <w:rFonts w:asciiTheme="majorHAnsi" w:hAnsiTheme="majorHAnsi" w:cstheme="majorHAnsi"/>
          <w:sz w:val="16"/>
        </w:rPr>
        <w:t xml:space="preserve"> </w:t>
      </w:r>
      <w:r w:rsidRPr="003D65E4">
        <w:rPr>
          <w:rStyle w:val="StyleBoldUnderline"/>
          <w:rFonts w:asciiTheme="majorHAnsi" w:hAnsiTheme="majorHAnsi" w:cstheme="majorHAnsi"/>
          <w:b w:val="0"/>
        </w:rPr>
        <w:t>Bangladesh</w:t>
      </w:r>
      <w:r w:rsidRPr="003D65E4">
        <w:rPr>
          <w:rFonts w:asciiTheme="majorHAnsi" w:hAnsiTheme="majorHAnsi" w:cstheme="majorHAnsi"/>
          <w:sz w:val="16"/>
        </w:rPr>
        <w:t xml:space="preserve"> to start livelihood projects. There have also been many initiatives in producing organic foods and so-called "green" products which are environmentally friendly. The World Economic Forum is a strong advocate of global citizenship. This concept goes beyond the other four previously mentioned concepts in that it entails focusing on the global environment which is increasingly shaped by forces beyond the control of nation-states. According to Schwab: "</w:t>
      </w:r>
      <w:r w:rsidRPr="003D65E4">
        <w:rPr>
          <w:rStyle w:val="StyleBoldUnderline"/>
          <w:rFonts w:asciiTheme="majorHAnsi" w:hAnsiTheme="majorHAnsi" w:cstheme="majorHAnsi"/>
          <w:b w:val="0"/>
        </w:rPr>
        <w:t xml:space="preserve">Global corporate citizenship refers to a company's role in addressing issues that have a dramatic impact on the future of the globe, such as climate change, water shortages, infectious diseases, and terrorism. </w:t>
      </w:r>
      <w:r w:rsidRPr="003D65E4">
        <w:rPr>
          <w:rFonts w:asciiTheme="majorHAnsi" w:hAnsiTheme="majorHAnsi" w:cstheme="majorHAnsi"/>
          <w:iCs/>
          <w:sz w:val="24"/>
          <w:u w:val="single"/>
        </w:rPr>
        <w:t>Other</w:t>
      </w:r>
      <w:r w:rsidRPr="003D65E4">
        <w:rPr>
          <w:rStyle w:val="StyleBoldUnderline"/>
          <w:rFonts w:asciiTheme="majorHAnsi" w:hAnsiTheme="majorHAnsi" w:cstheme="majorHAnsi"/>
          <w:b w:val="0"/>
        </w:rPr>
        <w:t xml:space="preserve"> challenges include </w:t>
      </w:r>
      <w:r w:rsidRPr="003D65E4">
        <w:rPr>
          <w:rFonts w:asciiTheme="majorHAnsi" w:hAnsiTheme="majorHAnsi" w:cstheme="majorHAnsi"/>
          <w:iCs/>
          <w:sz w:val="24"/>
          <w:u w:val="single"/>
        </w:rPr>
        <w:t>providing access to food,</w:t>
      </w:r>
      <w:r w:rsidRPr="003D65E4">
        <w:rPr>
          <w:rStyle w:val="StyleBoldUnderline"/>
          <w:rFonts w:asciiTheme="majorHAnsi" w:hAnsiTheme="majorHAnsi" w:cstheme="majorHAnsi"/>
          <w:b w:val="0"/>
        </w:rPr>
        <w:t xml:space="preserve"> education and </w:t>
      </w:r>
      <w:r w:rsidRPr="003D65E4">
        <w:rPr>
          <w:rFonts w:asciiTheme="majorHAnsi" w:hAnsiTheme="majorHAnsi" w:cstheme="majorHAnsi"/>
          <w:iCs/>
          <w:sz w:val="24"/>
          <w:u w:val="single"/>
        </w:rPr>
        <w:t>information technology</w:t>
      </w:r>
      <w:r w:rsidRPr="003D65E4">
        <w:rPr>
          <w:rStyle w:val="StyleBoldUnderline"/>
          <w:rFonts w:asciiTheme="majorHAnsi" w:hAnsiTheme="majorHAnsi" w:cstheme="majorHAnsi"/>
          <w:b w:val="0"/>
        </w:rPr>
        <w:t xml:space="preserve">, </w:t>
      </w:r>
      <w:r w:rsidRPr="003D65E4">
        <w:rPr>
          <w:rFonts w:asciiTheme="majorHAnsi" w:hAnsiTheme="majorHAnsi" w:cstheme="majorHAnsi"/>
          <w:iCs/>
          <w:sz w:val="24"/>
          <w:u w:val="single"/>
        </w:rPr>
        <w:t>extreme poverty, transnational crime, corruption, failed states, and disaster response and relief</w:t>
      </w:r>
      <w:r w:rsidRPr="003D65E4">
        <w:rPr>
          <w:rFonts w:asciiTheme="majorHAnsi" w:hAnsiTheme="majorHAnsi" w:cstheme="majorHAnsi"/>
          <w:sz w:val="16"/>
        </w:rPr>
        <w:t>. Each of these problems is global in scope, even if the solutions may be locally focused. He continued: "</w:t>
      </w:r>
      <w:r w:rsidRPr="003D65E4">
        <w:rPr>
          <w:rStyle w:val="StyleBoldUnderline"/>
          <w:rFonts w:asciiTheme="majorHAnsi" w:hAnsiTheme="majorHAnsi" w:cstheme="majorHAnsi"/>
          <w:b w:val="0"/>
        </w:rPr>
        <w:t>Global corporate citizenship is an extension of the stakeholder concept and involves the corporation acting as a stakeholder in global society, together with government and civil society. Global corporate citizenship can be considered a long-term investment. Since companies depend on global development, which in turn relies on stability and increased prosperity, it is in their direct interest to help improve the state of the world."</w:t>
      </w:r>
      <w:r w:rsidRPr="003D65E4">
        <w:rPr>
          <w:rFonts w:asciiTheme="majorHAnsi" w:hAnsiTheme="majorHAnsi" w:cstheme="majorHAnsi"/>
          <w:sz w:val="16"/>
        </w:rPr>
        <w:t xml:space="preserve"> For corporations which are willing to engage in global citizenship, perhaps the best advice comes from management guru Michael Porter, who wrote in the Harvard Business Review in December 2006: "Each company can identify the particular set of societal problems that it is best equipped to help resolve and from which it can gain the greatest competitive benefit.... When a well-run business applies its vast resources, expertise and management talent to problems that it understands and in which it has a stake, it can have a greater impact on social good than any other institution or philanthropic organization."</w:t>
      </w:r>
    </w:p>
    <w:p w:rsidR="00BC69FC" w:rsidRPr="003D65E4" w:rsidRDefault="00BC69FC" w:rsidP="00697E46">
      <w:pPr>
        <w:rPr>
          <w:rFonts w:asciiTheme="majorHAnsi" w:hAnsiTheme="majorHAnsi" w:cstheme="majorHAnsi"/>
          <w:sz w:val="16"/>
          <w:szCs w:val="16"/>
        </w:rPr>
      </w:pPr>
    </w:p>
    <w:p w:rsidR="00060133" w:rsidRPr="003D65E4" w:rsidRDefault="00060133" w:rsidP="00697E46">
      <w:pPr>
        <w:rPr>
          <w:rFonts w:asciiTheme="majorHAnsi" w:hAnsiTheme="majorHAnsi" w:cstheme="majorHAnsi"/>
        </w:rPr>
      </w:pPr>
    </w:p>
    <w:p w:rsidR="00662A84" w:rsidRPr="003D65E4" w:rsidRDefault="003D65E4" w:rsidP="003D65E4">
      <w:pPr>
        <w:pStyle w:val="Heading3"/>
        <w:rPr>
          <w:rFonts w:asciiTheme="majorHAnsi" w:hAnsiTheme="majorHAnsi" w:cstheme="majorHAnsi"/>
        </w:rPr>
      </w:pPr>
      <w:r w:rsidRPr="003D65E4">
        <w:rPr>
          <w:rFonts w:asciiTheme="majorHAnsi" w:hAnsiTheme="majorHAnsi" w:cstheme="majorHAnsi"/>
        </w:rPr>
        <w:lastRenderedPageBreak/>
        <w:t>Limits da</w:t>
      </w:r>
    </w:p>
    <w:p w:rsidR="00662A84" w:rsidRPr="003D65E4" w:rsidRDefault="00662A84" w:rsidP="00662A84">
      <w:pPr>
        <w:ind w:left="288" w:right="288"/>
        <w:rPr>
          <w:rFonts w:asciiTheme="majorHAnsi" w:hAnsiTheme="majorHAnsi" w:cstheme="majorHAnsi"/>
          <w:sz w:val="16"/>
        </w:rPr>
      </w:pPr>
    </w:p>
    <w:p w:rsidR="003D65E4" w:rsidRPr="003D65E4" w:rsidRDefault="003D65E4" w:rsidP="003D65E4">
      <w:pPr>
        <w:pStyle w:val="Heading4"/>
        <w:rPr>
          <w:rFonts w:asciiTheme="majorHAnsi" w:hAnsiTheme="majorHAnsi" w:cstheme="majorHAnsi"/>
        </w:rPr>
      </w:pPr>
      <w:r w:rsidRPr="003D65E4">
        <w:rPr>
          <w:rFonts w:asciiTheme="majorHAnsi" w:hAnsiTheme="majorHAnsi" w:cstheme="majorHAnsi"/>
        </w:rPr>
        <w:t>Unlimited amount of debt-relief projects possible, opens a whole new literature base</w:t>
      </w:r>
    </w:p>
    <w:p w:rsidR="003D65E4" w:rsidRPr="003D65E4" w:rsidRDefault="003D65E4" w:rsidP="003D65E4">
      <w:pPr>
        <w:rPr>
          <w:rFonts w:asciiTheme="majorHAnsi" w:hAnsiTheme="majorHAnsi" w:cstheme="majorHAnsi"/>
        </w:rPr>
      </w:pPr>
    </w:p>
    <w:p w:rsidR="003D65E4" w:rsidRPr="003D65E4" w:rsidRDefault="003D65E4" w:rsidP="003D65E4">
      <w:pPr>
        <w:rPr>
          <w:rStyle w:val="StyleStyleBold12pt"/>
          <w:rFonts w:asciiTheme="majorHAnsi" w:hAnsiTheme="majorHAnsi" w:cstheme="majorHAnsi"/>
        </w:rPr>
      </w:pPr>
      <w:r w:rsidRPr="003D65E4">
        <w:rPr>
          <w:rStyle w:val="StyleStyleBold12pt"/>
          <w:rFonts w:asciiTheme="majorHAnsi" w:hAnsiTheme="majorHAnsi" w:cstheme="majorHAnsi"/>
        </w:rPr>
        <w:t>House of Representatives 1963 – (</w:t>
      </w:r>
      <w:r w:rsidRPr="003D65E4">
        <w:rPr>
          <w:rFonts w:asciiTheme="majorHAnsi" w:hAnsiTheme="majorHAnsi" w:cstheme="majorHAnsi"/>
        </w:rPr>
        <w:t xml:space="preserve">Reproduced from a committee print dated July 19, 1963, of the </w:t>
      </w:r>
      <w:r w:rsidRPr="003D65E4">
        <w:rPr>
          <w:rFonts w:asciiTheme="majorHAnsi" w:hAnsiTheme="majorHAnsi" w:cstheme="majorHAnsi"/>
          <w:sz w:val="12"/>
        </w:rPr>
        <w:t xml:space="preserve">¶ </w:t>
      </w:r>
      <w:r w:rsidRPr="003D65E4">
        <w:rPr>
          <w:rFonts w:asciiTheme="majorHAnsi" w:hAnsiTheme="majorHAnsi" w:cstheme="majorHAnsi"/>
        </w:rPr>
        <w:t xml:space="preserve">Committee on Foreign Affairs of the United States House of Representatives, 88th Congress, 1st Session. The report was prepared </w:t>
      </w:r>
      <w:r w:rsidRPr="003D65E4">
        <w:rPr>
          <w:rFonts w:asciiTheme="majorHAnsi" w:hAnsiTheme="majorHAnsi" w:cstheme="majorHAnsi"/>
          <w:sz w:val="12"/>
        </w:rPr>
        <w:t xml:space="preserve">¶ </w:t>
      </w:r>
      <w:r w:rsidRPr="003D65E4">
        <w:rPr>
          <w:rFonts w:asciiTheme="majorHAnsi" w:hAnsiTheme="majorHAnsi" w:cstheme="majorHAnsi"/>
        </w:rPr>
        <w:t xml:space="preserve">by Mrs. Ellen C. Collier, .Foreign Affairs Division, Legislative </w:t>
      </w:r>
      <w:r w:rsidRPr="003D65E4">
        <w:rPr>
          <w:rFonts w:asciiTheme="majorHAnsi" w:hAnsiTheme="majorHAnsi" w:cstheme="majorHAnsi"/>
          <w:sz w:val="12"/>
        </w:rPr>
        <w:t xml:space="preserve">¶ </w:t>
      </w:r>
      <w:r w:rsidRPr="003D65E4">
        <w:rPr>
          <w:rFonts w:asciiTheme="majorHAnsi" w:hAnsiTheme="majorHAnsi" w:cstheme="majorHAnsi"/>
        </w:rPr>
        <w:t xml:space="preserve">Reference Service, Library of Congress, at the request of Thomas E. </w:t>
      </w:r>
      <w:r w:rsidRPr="003D65E4">
        <w:rPr>
          <w:rFonts w:asciiTheme="majorHAnsi" w:hAnsiTheme="majorHAnsi" w:cstheme="majorHAnsi"/>
          <w:sz w:val="12"/>
        </w:rPr>
        <w:t xml:space="preserve">¶ </w:t>
      </w:r>
      <w:r w:rsidRPr="003D65E4">
        <w:rPr>
          <w:rFonts w:asciiTheme="majorHAnsi" w:hAnsiTheme="majorHAnsi" w:cstheme="majorHAnsi"/>
        </w:rPr>
        <w:t xml:space="preserve">Morgan, Chairman, Committee on Foreign Affairs. The report does </w:t>
      </w:r>
      <w:r w:rsidRPr="003D65E4">
        <w:rPr>
          <w:rFonts w:asciiTheme="majorHAnsi" w:hAnsiTheme="majorHAnsi" w:cstheme="majorHAnsi"/>
          <w:sz w:val="12"/>
        </w:rPr>
        <w:t xml:space="preserve">¶ </w:t>
      </w:r>
      <w:r w:rsidRPr="003D65E4">
        <w:rPr>
          <w:rFonts w:asciiTheme="majorHAnsi" w:hAnsiTheme="majorHAnsi" w:cstheme="majorHAnsi"/>
        </w:rPr>
        <w:t>not necessarily represent the views of the Committee on Foreign ¶ Affairs, the Library of Congress, or any agency of the United ¶ States Government, available online @ http://www.devkrishan.com/resources/USExpropriationPolicy/0E-House-of-Rep-Report-on-Expropriation-of-US-business-19-Jul-1963.pdf)</w:t>
      </w:r>
    </w:p>
    <w:p w:rsidR="003D65E4" w:rsidRPr="003D65E4" w:rsidRDefault="003D65E4" w:rsidP="003D65E4">
      <w:pPr>
        <w:rPr>
          <w:rFonts w:asciiTheme="majorHAnsi" w:hAnsiTheme="majorHAnsi" w:cstheme="majorHAnsi"/>
        </w:rPr>
      </w:pPr>
      <w:r w:rsidRPr="003D65E4">
        <w:rPr>
          <w:rFonts w:asciiTheme="majorHAnsi" w:hAnsiTheme="majorHAnsi" w:cstheme="majorHAnsi"/>
        </w:rPr>
        <w:t xml:space="preserve">Cuba </w:t>
      </w:r>
      <w:r w:rsidRPr="003D65E4">
        <w:rPr>
          <w:rStyle w:val="StyleBoldUnderline"/>
          <w:rFonts w:asciiTheme="majorHAnsi" w:hAnsiTheme="majorHAnsi" w:cstheme="majorHAnsi"/>
        </w:rPr>
        <w:t>¶ Following the taking over of the Cuban Government</w:t>
      </w:r>
      <w:r w:rsidRPr="003D65E4">
        <w:rPr>
          <w:rFonts w:asciiTheme="majorHAnsi" w:hAnsiTheme="majorHAnsi" w:cstheme="majorHAnsi"/>
        </w:rPr>
        <w:t xml:space="preserve"> by Fidel Castro </w:t>
      </w:r>
      <w:r w:rsidRPr="003D65E4">
        <w:rPr>
          <w:rFonts w:asciiTheme="majorHAnsi" w:hAnsiTheme="majorHAnsi" w:cstheme="majorHAnsi"/>
          <w:sz w:val="12"/>
        </w:rPr>
        <w:t xml:space="preserve">¶ </w:t>
      </w:r>
      <w:r w:rsidRPr="003D65E4">
        <w:rPr>
          <w:rFonts w:asciiTheme="majorHAnsi" w:hAnsiTheme="majorHAnsi" w:cstheme="majorHAnsi"/>
        </w:rPr>
        <w:t xml:space="preserve">at the beginning of 1959, </w:t>
      </w:r>
      <w:r w:rsidRPr="003D65E4">
        <w:rPr>
          <w:rStyle w:val="Emphasis"/>
          <w:rFonts w:asciiTheme="majorHAnsi" w:hAnsiTheme="majorHAnsi" w:cstheme="majorHAnsi"/>
        </w:rPr>
        <w:t>American property in Cuba was rapidly subjected to</w:t>
      </w:r>
      <w:r w:rsidRPr="003D65E4">
        <w:rPr>
          <w:rFonts w:asciiTheme="majorHAnsi" w:hAnsiTheme="majorHAnsi" w:cstheme="majorHAnsi"/>
        </w:rPr>
        <w:t xml:space="preserve"> "intervention" (a term used to denote the taking over by </w:t>
      </w:r>
      <w:r w:rsidRPr="003D65E4">
        <w:rPr>
          <w:rFonts w:asciiTheme="majorHAnsi" w:hAnsiTheme="majorHAnsi" w:cstheme="majorHAnsi"/>
          <w:sz w:val="12"/>
        </w:rPr>
        <w:t xml:space="preserve">¶ </w:t>
      </w:r>
      <w:r w:rsidRPr="003D65E4">
        <w:rPr>
          <w:rFonts w:asciiTheme="majorHAnsi" w:hAnsiTheme="majorHAnsi" w:cstheme="majorHAnsi"/>
        </w:rPr>
        <w:t xml:space="preserve">the Cuban Government of the management of an enterprise), harassment, </w:t>
      </w:r>
      <w:r w:rsidRPr="003D65E4">
        <w:rPr>
          <w:rStyle w:val="Emphasis"/>
          <w:rFonts w:asciiTheme="majorHAnsi" w:hAnsiTheme="majorHAnsi" w:cstheme="majorHAnsi"/>
        </w:rPr>
        <w:t>expropriation</w:t>
      </w:r>
      <w:r w:rsidRPr="003D65E4">
        <w:rPr>
          <w:rFonts w:asciiTheme="majorHAnsi" w:hAnsiTheme="majorHAnsi" w:cstheme="majorHAnsi"/>
        </w:rPr>
        <w:t xml:space="preserve">, and confiscation. </w:t>
      </w:r>
      <w:r w:rsidRPr="003D65E4">
        <w:rPr>
          <w:rStyle w:val="Emphasis"/>
          <w:rFonts w:asciiTheme="majorHAnsi" w:hAnsiTheme="majorHAnsi" w:cstheme="majorHAnsi"/>
        </w:rPr>
        <w:t>Eventually all but a relatively small amount of U.S.-owned property was taken</w:t>
      </w:r>
      <w:r w:rsidRPr="003D65E4">
        <w:rPr>
          <w:rFonts w:asciiTheme="majorHAnsi" w:hAnsiTheme="majorHAnsi" w:cstheme="majorHAnsi"/>
        </w:rPr>
        <w:t xml:space="preserve">. Official estimates of the total value of U.S. property lost now stand at $1% billion.40 </w:t>
      </w:r>
      <w:r w:rsidRPr="003D65E4">
        <w:rPr>
          <w:rFonts w:asciiTheme="majorHAnsi" w:hAnsiTheme="majorHAnsi" w:cstheme="majorHAnsi"/>
          <w:sz w:val="12"/>
        </w:rPr>
        <w:t xml:space="preserve">¶ </w:t>
      </w:r>
      <w:r w:rsidRPr="003D65E4">
        <w:rPr>
          <w:rFonts w:asciiTheme="majorHAnsi" w:hAnsiTheme="majorHAnsi" w:cstheme="majorHAnsi"/>
        </w:rPr>
        <w:t xml:space="preserve">As far as is known by the Department of State, no compensation was </w:t>
      </w:r>
      <w:r w:rsidRPr="003D65E4">
        <w:rPr>
          <w:rFonts w:asciiTheme="majorHAnsi" w:hAnsiTheme="majorHAnsi" w:cstheme="majorHAnsi"/>
          <w:sz w:val="12"/>
        </w:rPr>
        <w:t xml:space="preserve">¶ </w:t>
      </w:r>
      <w:r w:rsidRPr="003D65E4">
        <w:rPr>
          <w:rFonts w:asciiTheme="majorHAnsi" w:hAnsiTheme="majorHAnsi" w:cstheme="majorHAnsi"/>
        </w:rPr>
        <w:t xml:space="preserve">made in any instance and the government bonds by which compensation was to be made under some of the Cuban laws have not even </w:t>
      </w:r>
      <w:r w:rsidRPr="003D65E4">
        <w:rPr>
          <w:rFonts w:asciiTheme="majorHAnsi" w:hAnsiTheme="majorHAnsi" w:cstheme="majorHAnsi"/>
          <w:sz w:val="12"/>
        </w:rPr>
        <w:t xml:space="preserve">¶ </w:t>
      </w:r>
      <w:r w:rsidRPr="003D65E4">
        <w:rPr>
          <w:rFonts w:asciiTheme="majorHAnsi" w:hAnsiTheme="majorHAnsi" w:cstheme="majorHAnsi"/>
        </w:rPr>
        <w:t xml:space="preserve">been printed. </w:t>
      </w:r>
      <w:r w:rsidRPr="003D65E4">
        <w:rPr>
          <w:rFonts w:asciiTheme="majorHAnsi" w:hAnsiTheme="majorHAnsi" w:cstheme="majorHAnsi"/>
          <w:sz w:val="12"/>
        </w:rPr>
        <w:t xml:space="preserve">¶ </w:t>
      </w:r>
      <w:r w:rsidRPr="003D65E4">
        <w:rPr>
          <w:rFonts w:asciiTheme="majorHAnsi" w:hAnsiTheme="majorHAnsi" w:cstheme="majorHAnsi"/>
        </w:rPr>
        <w:t xml:space="preserve">Intervention of U.S.-owned firms began with the Cuban Telephone </w:t>
      </w:r>
      <w:r w:rsidRPr="003D65E4">
        <w:rPr>
          <w:rFonts w:asciiTheme="majorHAnsi" w:hAnsiTheme="majorHAnsi" w:cstheme="majorHAnsi"/>
          <w:sz w:val="12"/>
        </w:rPr>
        <w:t xml:space="preserve">¶ </w:t>
      </w:r>
      <w:r w:rsidRPr="003D65E4">
        <w:rPr>
          <w:rFonts w:asciiTheme="majorHAnsi" w:hAnsiTheme="majorHAnsi" w:cstheme="majorHAnsi"/>
        </w:rPr>
        <w:t xml:space="preserve">Co. on March 4,1959, and interference of various kinds with Americanowned property steadily increased. On May 17, 1959, on agrarian </w:t>
      </w:r>
      <w:r w:rsidRPr="003D65E4">
        <w:rPr>
          <w:rFonts w:asciiTheme="majorHAnsi" w:hAnsiTheme="majorHAnsi" w:cstheme="majorHAnsi"/>
          <w:sz w:val="12"/>
        </w:rPr>
        <w:t xml:space="preserve">¶ </w:t>
      </w:r>
      <w:r w:rsidRPr="003D65E4">
        <w:rPr>
          <w:rFonts w:asciiTheme="majorHAnsi" w:hAnsiTheme="majorHAnsi" w:cstheme="majorHAnsi"/>
        </w:rPr>
        <w:t xml:space="preserve">reform law was enacted which provided for the taking of agricultural </w:t>
      </w:r>
      <w:r w:rsidRPr="003D65E4">
        <w:rPr>
          <w:rFonts w:asciiTheme="majorHAnsi" w:hAnsiTheme="majorHAnsi" w:cstheme="majorHAnsi"/>
          <w:sz w:val="12"/>
        </w:rPr>
        <w:t xml:space="preserve">¶ </w:t>
      </w:r>
      <w:r w:rsidRPr="003D65E4">
        <w:rPr>
          <w:rFonts w:asciiTheme="majorHAnsi" w:hAnsiTheme="majorHAnsi" w:cstheme="majorHAnsi"/>
        </w:rPr>
        <w:t xml:space="preserve">properties with payment to be made in 20-year bonds at 4}£ percent </w:t>
      </w:r>
      <w:r w:rsidRPr="003D65E4">
        <w:rPr>
          <w:rFonts w:asciiTheme="majorHAnsi" w:hAnsiTheme="majorHAnsi" w:cstheme="majorHAnsi"/>
          <w:sz w:val="12"/>
        </w:rPr>
        <w:t xml:space="preserve">¶ </w:t>
      </w:r>
      <w:r w:rsidRPr="003D65E4">
        <w:rPr>
          <w:rFonts w:asciiTheme="majorHAnsi" w:hAnsiTheme="majorHAnsi" w:cstheme="majorHAnsi"/>
        </w:rPr>
        <w:t xml:space="preserve">interest. Soon after the passage of the agrarian reform law, the </w:t>
      </w:r>
      <w:r w:rsidRPr="003D65E4">
        <w:rPr>
          <w:rFonts w:asciiTheme="majorHAnsi" w:hAnsiTheme="majorHAnsi" w:cstheme="majorHAnsi"/>
          <w:sz w:val="12"/>
        </w:rPr>
        <w:t xml:space="preserve">¶ </w:t>
      </w:r>
      <w:r w:rsidRPr="003D65E4">
        <w:rPr>
          <w:rFonts w:asciiTheme="majorHAnsi" w:hAnsiTheme="majorHAnsi" w:cstheme="majorHAnsi"/>
        </w:rPr>
        <w:t xml:space="preserve">United States expressed its concern over the adequacy of the provisions for compensation, although it also stated that it recognized </w:t>
      </w:r>
      <w:r w:rsidRPr="003D65E4">
        <w:rPr>
          <w:rFonts w:asciiTheme="majorHAnsi" w:hAnsiTheme="majorHAnsi" w:cstheme="majorHAnsi"/>
          <w:sz w:val="12"/>
        </w:rPr>
        <w:t xml:space="preserve">¶ </w:t>
      </w:r>
      <w:r w:rsidRPr="003D65E4">
        <w:rPr>
          <w:rFonts w:asciiTheme="majorHAnsi" w:hAnsiTheme="majorHAnsi" w:cstheme="majorHAnsi"/>
        </w:rPr>
        <w:t xml:space="preserve">the right of a state to expropriate property for public purposes,coupled with the obligation to make prompt, adequate, and effective </w:t>
      </w:r>
      <w:r w:rsidRPr="003D65E4">
        <w:rPr>
          <w:rFonts w:asciiTheme="majorHAnsi" w:hAnsiTheme="majorHAnsi" w:cstheme="majorHAnsi"/>
          <w:sz w:val="12"/>
        </w:rPr>
        <w:t xml:space="preserve">¶ </w:t>
      </w:r>
      <w:r w:rsidRPr="003D65E4">
        <w:rPr>
          <w:rFonts w:asciiTheme="majorHAnsi" w:hAnsiTheme="majorHAnsi" w:cstheme="majorHAnsi"/>
        </w:rPr>
        <w:t xml:space="preserve">compensation.41 </w:t>
      </w:r>
      <w:r w:rsidRPr="003D65E4">
        <w:rPr>
          <w:rFonts w:asciiTheme="majorHAnsi" w:hAnsiTheme="majorHAnsi" w:cstheme="majorHAnsi"/>
          <w:sz w:val="12"/>
        </w:rPr>
        <w:t xml:space="preserve">¶ </w:t>
      </w:r>
      <w:r w:rsidRPr="003D65E4">
        <w:rPr>
          <w:rFonts w:asciiTheme="majorHAnsi" w:hAnsiTheme="majorHAnsi" w:cstheme="majorHAnsi"/>
        </w:rPr>
        <w:t xml:space="preserve">On October 26,1959, the Cuban Government passed a law imposing </w:t>
      </w:r>
      <w:r w:rsidRPr="003D65E4">
        <w:rPr>
          <w:rFonts w:asciiTheme="majorHAnsi" w:hAnsiTheme="majorHAnsi" w:cstheme="majorHAnsi"/>
          <w:sz w:val="12"/>
        </w:rPr>
        <w:t xml:space="preserve">¶ </w:t>
      </w:r>
      <w:r w:rsidRPr="003D65E4">
        <w:rPr>
          <w:rFonts w:asciiTheme="majorHAnsi" w:hAnsiTheme="majorHAnsi" w:cstheme="majorHAnsi"/>
        </w:rPr>
        <w:t xml:space="preserve">confiscatory taxes upon the nickel plant owned by the United States, </w:t>
      </w:r>
      <w:r w:rsidRPr="003D65E4">
        <w:rPr>
          <w:rFonts w:asciiTheme="majorHAnsi" w:hAnsiTheme="majorHAnsi" w:cstheme="majorHAnsi"/>
          <w:sz w:val="12"/>
        </w:rPr>
        <w:t xml:space="preserve">¶ </w:t>
      </w:r>
      <w:r w:rsidRPr="003D65E4">
        <w:rPr>
          <w:rFonts w:asciiTheme="majorHAnsi" w:hAnsiTheme="majorHAnsi" w:cstheme="majorHAnsi"/>
        </w:rPr>
        <w:t xml:space="preserve">and other restrictive or harassing measures were applied to U.S. </w:t>
      </w:r>
      <w:r w:rsidRPr="003D65E4">
        <w:rPr>
          <w:rFonts w:asciiTheme="majorHAnsi" w:hAnsiTheme="majorHAnsi" w:cstheme="majorHAnsi"/>
          <w:sz w:val="12"/>
        </w:rPr>
        <w:t xml:space="preserve">¶ </w:t>
      </w:r>
      <w:r w:rsidRPr="003D65E4">
        <w:rPr>
          <w:rFonts w:asciiTheme="majorHAnsi" w:hAnsiTheme="majorHAnsi" w:cstheme="majorHAnsi"/>
        </w:rPr>
        <w:t xml:space="preserve">enterprises, such as requiring the reregistration of all mining concessions. </w:t>
      </w:r>
      <w:r w:rsidRPr="003D65E4">
        <w:rPr>
          <w:rFonts w:asciiTheme="majorHAnsi" w:hAnsiTheme="majorHAnsi" w:cstheme="majorHAnsi"/>
          <w:sz w:val="12"/>
        </w:rPr>
        <w:t xml:space="preserve">¶ </w:t>
      </w:r>
      <w:r w:rsidRPr="003D65E4">
        <w:rPr>
          <w:rFonts w:asciiTheme="majorHAnsi" w:hAnsiTheme="majorHAnsi" w:cstheme="majorHAnsi"/>
        </w:rPr>
        <w:t xml:space="preserve">The pace of interventions quickened and sugar owners began to </w:t>
      </w:r>
      <w:r w:rsidRPr="003D65E4">
        <w:rPr>
          <w:rFonts w:asciiTheme="majorHAnsi" w:hAnsiTheme="majorHAnsi" w:cstheme="majorHAnsi"/>
          <w:sz w:val="12"/>
        </w:rPr>
        <w:t xml:space="preserve">¶ </w:t>
      </w:r>
      <w:r w:rsidRPr="003D65E4">
        <w:rPr>
          <w:rFonts w:asciiTheme="majorHAnsi" w:hAnsiTheme="majorHAnsi" w:cstheme="majorHAnsi"/>
        </w:rPr>
        <w:t xml:space="preserve">lose their properties. On January 11, 1960, the United States protested, against actions of Cuba which it contended were violating the </w:t>
      </w:r>
      <w:r w:rsidRPr="003D65E4">
        <w:rPr>
          <w:rFonts w:asciiTheme="majorHAnsi" w:hAnsiTheme="majorHAnsi" w:cstheme="majorHAnsi"/>
          <w:sz w:val="12"/>
        </w:rPr>
        <w:t xml:space="preserve">¶ </w:t>
      </w:r>
      <w:r w:rsidRPr="003D65E4">
        <w:rPr>
          <w:rFonts w:asciiTheme="majorHAnsi" w:hAnsiTheme="majorHAnsi" w:cstheme="majorHAnsi"/>
        </w:rPr>
        <w:t xml:space="preserve">basic rights of ownership of U.S. citizens. It said </w:t>
      </w:r>
      <w:r w:rsidRPr="003D65E4">
        <w:rPr>
          <w:rStyle w:val="StyleBoldUnderline"/>
          <w:rFonts w:asciiTheme="majorHAnsi" w:hAnsiTheme="majorHAnsi" w:cstheme="majorHAnsi"/>
        </w:rPr>
        <w:t>land and buildings ¶ of U.S. citizens were being seized and occupied without court orders</w:t>
      </w:r>
      <w:r w:rsidRPr="003D65E4">
        <w:rPr>
          <w:rFonts w:asciiTheme="majorHAnsi" w:hAnsiTheme="majorHAnsi" w:cstheme="majorHAnsi"/>
        </w:rPr>
        <w:t xml:space="preserve"> or </w:t>
      </w:r>
      <w:r w:rsidRPr="003D65E4">
        <w:rPr>
          <w:rFonts w:asciiTheme="majorHAnsi" w:hAnsiTheme="majorHAnsi" w:cstheme="majorHAnsi"/>
          <w:sz w:val="12"/>
        </w:rPr>
        <w:t xml:space="preserve">¶ </w:t>
      </w:r>
      <w:r w:rsidRPr="003D65E4">
        <w:rPr>
          <w:rFonts w:asciiTheme="majorHAnsi" w:hAnsiTheme="majorHAnsi" w:cstheme="majorHAnsi"/>
        </w:rPr>
        <w:t xml:space="preserve">written authorizations, that </w:t>
      </w:r>
      <w:r w:rsidRPr="003D65E4">
        <w:rPr>
          <w:rStyle w:val="StyleBoldUnderline"/>
          <w:rFonts w:asciiTheme="majorHAnsi" w:hAnsiTheme="majorHAnsi" w:cstheme="majorHAnsi"/>
        </w:rPr>
        <w:t>equipment and cattle were being seized or ¶ moved</w:t>
      </w:r>
      <w:r w:rsidRPr="003D65E4">
        <w:rPr>
          <w:rFonts w:asciiTheme="majorHAnsi" w:hAnsiTheme="majorHAnsi" w:cstheme="majorHAnsi"/>
        </w:rPr>
        <w:t xml:space="preserve">, </w:t>
      </w:r>
      <w:r w:rsidRPr="003D65E4">
        <w:rPr>
          <w:rStyle w:val="StyleBoldUnderline"/>
          <w:rFonts w:asciiTheme="majorHAnsi" w:hAnsiTheme="majorHAnsi" w:cstheme="majorHAnsi"/>
        </w:rPr>
        <w:t>timber was being cut,</w:t>
      </w:r>
      <w:r w:rsidRPr="003D65E4">
        <w:rPr>
          <w:rFonts w:asciiTheme="majorHAnsi" w:hAnsiTheme="majorHAnsi" w:cstheme="majorHAnsi"/>
        </w:rPr>
        <w:t xml:space="preserve"> and </w:t>
      </w:r>
      <w:r w:rsidRPr="003D65E4">
        <w:rPr>
          <w:rStyle w:val="StyleBoldUnderline"/>
          <w:rFonts w:asciiTheme="majorHAnsi" w:hAnsiTheme="majorHAnsi" w:cstheme="majorHAnsi"/>
        </w:rPr>
        <w:t>pastures plowed under, often without taking inventories or giving receipts or any indication that payment of compensation would be offered</w:t>
      </w:r>
      <w:r w:rsidRPr="003D65E4">
        <w:rPr>
          <w:rFonts w:asciiTheme="majorHAnsi" w:hAnsiTheme="majorHAnsi" w:cstheme="majorHAnsi"/>
        </w:rPr>
        <w:t xml:space="preserve">.42 Cuba replied on February </w:t>
      </w:r>
      <w:r w:rsidRPr="003D65E4">
        <w:rPr>
          <w:rFonts w:asciiTheme="majorHAnsi" w:hAnsiTheme="majorHAnsi" w:cstheme="majorHAnsi"/>
          <w:sz w:val="12"/>
        </w:rPr>
        <w:t xml:space="preserve">¶ </w:t>
      </w:r>
      <w:r w:rsidRPr="003D65E4">
        <w:rPr>
          <w:rFonts w:asciiTheme="majorHAnsi" w:hAnsiTheme="majorHAnsi" w:cstheme="majorHAnsi"/>
        </w:rPr>
        <w:t xml:space="preserve">14,1960, that where property had been occupied steps were being taken </w:t>
      </w:r>
      <w:r w:rsidRPr="003D65E4">
        <w:rPr>
          <w:rFonts w:asciiTheme="majorHAnsi" w:hAnsiTheme="majorHAnsi" w:cstheme="majorHAnsi"/>
          <w:sz w:val="12"/>
        </w:rPr>
        <w:t xml:space="preserve">¶ </w:t>
      </w:r>
      <w:r w:rsidRPr="003D65E4">
        <w:rPr>
          <w:rFonts w:asciiTheme="majorHAnsi" w:hAnsiTheme="majorHAnsi" w:cstheme="majorHAnsi"/>
        </w:rPr>
        <w:t xml:space="preserve">for its appraisal, and that if the United States considered that Cuban </w:t>
      </w:r>
      <w:r w:rsidRPr="003D65E4">
        <w:rPr>
          <w:rFonts w:asciiTheme="majorHAnsi" w:hAnsiTheme="majorHAnsi" w:cstheme="majorHAnsi"/>
          <w:sz w:val="12"/>
        </w:rPr>
        <w:t xml:space="preserve">¶ </w:t>
      </w:r>
      <w:r w:rsidRPr="003D65E4">
        <w:rPr>
          <w:rFonts w:asciiTheme="majorHAnsi" w:hAnsiTheme="majorHAnsi" w:cstheme="majorHAnsi"/>
        </w:rPr>
        <w:t xml:space="preserve">laws had been violated, U.S. nationals had the right to appeal through </w:t>
      </w:r>
      <w:r w:rsidRPr="003D65E4">
        <w:rPr>
          <w:rFonts w:asciiTheme="majorHAnsi" w:hAnsiTheme="majorHAnsi" w:cstheme="majorHAnsi"/>
          <w:sz w:val="12"/>
        </w:rPr>
        <w:t xml:space="preserve">¶ </w:t>
      </w:r>
      <w:r w:rsidRPr="003D65E4">
        <w:rPr>
          <w:rFonts w:asciiTheme="majorHAnsi" w:hAnsiTheme="majorHAnsi" w:cstheme="majorHAnsi"/>
        </w:rPr>
        <w:t xml:space="preserve">appropriate channels. </w:t>
      </w:r>
      <w:r w:rsidRPr="003D65E4">
        <w:rPr>
          <w:rFonts w:asciiTheme="majorHAnsi" w:hAnsiTheme="majorHAnsi" w:cstheme="majorHAnsi"/>
          <w:sz w:val="12"/>
        </w:rPr>
        <w:t xml:space="preserve">¶ </w:t>
      </w:r>
      <w:r w:rsidRPr="003D65E4">
        <w:rPr>
          <w:rFonts w:asciiTheme="majorHAnsi" w:hAnsiTheme="majorHAnsi" w:cstheme="majorHAnsi"/>
        </w:rPr>
        <w:t xml:space="preserve">Next </w:t>
      </w:r>
      <w:r w:rsidRPr="003D65E4">
        <w:rPr>
          <w:rStyle w:val="StyleBoldUnderline"/>
          <w:rFonts w:asciiTheme="majorHAnsi" w:hAnsiTheme="majorHAnsi" w:cstheme="majorHAnsi"/>
        </w:rPr>
        <w:t>the oil companies were hit</w:t>
      </w:r>
      <w:r w:rsidRPr="003D65E4">
        <w:rPr>
          <w:rFonts w:asciiTheme="majorHAnsi" w:hAnsiTheme="majorHAnsi" w:cstheme="majorHAnsi"/>
        </w:rPr>
        <w:t xml:space="preserve">. On May 17, 1960, the National </w:t>
      </w:r>
      <w:r w:rsidRPr="003D65E4">
        <w:rPr>
          <w:rFonts w:asciiTheme="majorHAnsi" w:hAnsiTheme="majorHAnsi" w:cstheme="majorHAnsi"/>
          <w:sz w:val="12"/>
        </w:rPr>
        <w:t xml:space="preserve">¶ </w:t>
      </w:r>
      <w:r w:rsidRPr="003D65E4">
        <w:rPr>
          <w:rFonts w:asciiTheme="majorHAnsi" w:hAnsiTheme="majorHAnsi" w:cstheme="majorHAnsi"/>
        </w:rPr>
        <w:t xml:space="preserve">Bank of Cuba informed the U.S. oil companies in Cuba that each of </w:t>
      </w:r>
      <w:r w:rsidRPr="003D65E4">
        <w:rPr>
          <w:rFonts w:asciiTheme="majorHAnsi" w:hAnsiTheme="majorHAnsi" w:cstheme="majorHAnsi"/>
          <w:sz w:val="12"/>
        </w:rPr>
        <w:t xml:space="preserve">¶ </w:t>
      </w:r>
      <w:r w:rsidRPr="003D65E4">
        <w:rPr>
          <w:rFonts w:asciiTheme="majorHAnsi" w:hAnsiTheme="majorHAnsi" w:cstheme="majorHAnsi"/>
        </w:rPr>
        <w:t xml:space="preserve">them would be required to purchase 300,000 tons of Russian petroleum </w:t>
      </w:r>
      <w:r w:rsidRPr="003D65E4">
        <w:rPr>
          <w:rFonts w:asciiTheme="majorHAnsi" w:hAnsiTheme="majorHAnsi" w:cstheme="majorHAnsi"/>
          <w:sz w:val="12"/>
        </w:rPr>
        <w:t xml:space="preserve">¶ </w:t>
      </w:r>
      <w:r w:rsidRPr="003D65E4">
        <w:rPr>
          <w:rFonts w:asciiTheme="majorHAnsi" w:hAnsiTheme="majorHAnsi" w:cstheme="majorHAnsi"/>
        </w:rPr>
        <w:t xml:space="preserve">during the balance of 1960. Later the </w:t>
      </w:r>
      <w:r w:rsidRPr="003D65E4">
        <w:rPr>
          <w:rStyle w:val="StyleBoldUnderline"/>
          <w:rFonts w:asciiTheme="majorHAnsi" w:hAnsiTheme="majorHAnsi" w:cstheme="majorHAnsi"/>
        </w:rPr>
        <w:t>oil refineries were seized</w:t>
      </w:r>
      <w:r w:rsidRPr="003D65E4">
        <w:rPr>
          <w:rFonts w:asciiTheme="majorHAnsi" w:hAnsiTheme="majorHAnsi" w:cstheme="majorHAnsi"/>
        </w:rPr>
        <w:t xml:space="preserve"> on the </w:t>
      </w:r>
      <w:r w:rsidRPr="003D65E4">
        <w:rPr>
          <w:rFonts w:asciiTheme="majorHAnsi" w:hAnsiTheme="majorHAnsi" w:cstheme="majorHAnsi"/>
          <w:sz w:val="12"/>
        </w:rPr>
        <w:t xml:space="preserve">¶ </w:t>
      </w:r>
      <w:r w:rsidRPr="003D65E4">
        <w:rPr>
          <w:rFonts w:asciiTheme="majorHAnsi" w:hAnsiTheme="majorHAnsi" w:cstheme="majorHAnsi"/>
        </w:rPr>
        <w:t xml:space="preserve">grounds that they had violated the law in refusing to </w:t>
      </w:r>
      <w:r w:rsidRPr="003D65E4">
        <w:rPr>
          <w:rFonts w:asciiTheme="majorHAnsi" w:hAnsiTheme="majorHAnsi" w:cstheme="majorHAnsi"/>
        </w:rPr>
        <w:lastRenderedPageBreak/>
        <w:t xml:space="preserve">refine Soviet </w:t>
      </w:r>
      <w:r w:rsidRPr="003D65E4">
        <w:rPr>
          <w:rFonts w:asciiTheme="majorHAnsi" w:hAnsiTheme="majorHAnsi" w:cstheme="majorHAnsi"/>
          <w:sz w:val="12"/>
        </w:rPr>
        <w:t xml:space="preserve">¶ </w:t>
      </w:r>
      <w:r w:rsidRPr="003D65E4">
        <w:rPr>
          <w:rFonts w:asciiTheme="majorHAnsi" w:hAnsiTheme="majorHAnsi" w:cstheme="majorHAnsi"/>
        </w:rPr>
        <w:t xml:space="preserve">petroleum. </w:t>
      </w:r>
      <w:r w:rsidRPr="003D65E4">
        <w:rPr>
          <w:rStyle w:val="StyleBoldUnderline"/>
          <w:rFonts w:asciiTheme="majorHAnsi" w:hAnsiTheme="majorHAnsi" w:cstheme="majorHAnsi"/>
        </w:rPr>
        <w:t>This action was protested by the United States</w:t>
      </w:r>
      <w:r w:rsidRPr="003D65E4">
        <w:rPr>
          <w:rFonts w:asciiTheme="majorHAnsi" w:hAnsiTheme="majorHAnsi" w:cstheme="majorHAnsi"/>
        </w:rPr>
        <w:t xml:space="preserve"> on July 5. </w:t>
      </w:r>
      <w:r w:rsidRPr="003D65E4">
        <w:rPr>
          <w:rFonts w:asciiTheme="majorHAnsi" w:hAnsiTheme="majorHAnsi" w:cstheme="majorHAnsi"/>
          <w:sz w:val="12"/>
        </w:rPr>
        <w:t xml:space="preserve">¶ </w:t>
      </w:r>
      <w:r w:rsidRPr="003D65E4">
        <w:rPr>
          <w:rFonts w:asciiTheme="majorHAnsi" w:hAnsiTheme="majorHAnsi" w:cstheme="majorHAnsi"/>
        </w:rPr>
        <w:t xml:space="preserve">1960, in a note which stated that the actions were "arbitrary and </w:t>
      </w:r>
      <w:r w:rsidRPr="003D65E4">
        <w:rPr>
          <w:rFonts w:asciiTheme="majorHAnsi" w:hAnsiTheme="majorHAnsi" w:cstheme="majorHAnsi"/>
          <w:sz w:val="12"/>
        </w:rPr>
        <w:t xml:space="preserve">¶ </w:t>
      </w:r>
      <w:r w:rsidRPr="003D65E4">
        <w:rPr>
          <w:rFonts w:asciiTheme="majorHAnsi" w:hAnsiTheme="majorHAnsi" w:cstheme="majorHAnsi"/>
        </w:rPr>
        <w:t xml:space="preserve">inequitable, without authority under Cuban law, and contrary to </w:t>
      </w:r>
      <w:r w:rsidRPr="003D65E4">
        <w:rPr>
          <w:rFonts w:asciiTheme="majorHAnsi" w:hAnsiTheme="majorHAnsi" w:cstheme="majorHAnsi"/>
          <w:sz w:val="12"/>
        </w:rPr>
        <w:t xml:space="preserve">¶ </w:t>
      </w:r>
      <w:r w:rsidRPr="003D65E4">
        <w:rPr>
          <w:rFonts w:asciiTheme="majorHAnsi" w:hAnsiTheme="majorHAnsi" w:cstheme="majorHAnsi"/>
        </w:rPr>
        <w:t xml:space="preserve">commitments made to these companies."43 </w:t>
      </w:r>
      <w:r w:rsidRPr="003D65E4">
        <w:rPr>
          <w:rFonts w:asciiTheme="majorHAnsi" w:hAnsiTheme="majorHAnsi" w:cstheme="majorHAnsi"/>
          <w:sz w:val="12"/>
        </w:rPr>
        <w:t xml:space="preserve">¶ </w:t>
      </w:r>
      <w:r w:rsidRPr="003D65E4">
        <w:rPr>
          <w:rFonts w:asciiTheme="majorHAnsi" w:hAnsiTheme="majorHAnsi" w:cstheme="majorHAnsi"/>
        </w:rPr>
        <w:t>On July 6, 1960t</w:t>
      </w:r>
      <w:r w:rsidRPr="003D65E4">
        <w:rPr>
          <w:rFonts w:asciiTheme="majorHAnsi" w:hAnsiTheme="majorHAnsi" w:cstheme="majorHAnsi"/>
          <w:sz w:val="12"/>
        </w:rPr>
        <w:t xml:space="preserve">¶ </w:t>
      </w:r>
      <w:r w:rsidRPr="003D65E4">
        <w:rPr>
          <w:rFonts w:asciiTheme="majorHAnsi" w:hAnsiTheme="majorHAnsi" w:cstheme="majorHAnsi"/>
        </w:rPr>
        <w:t xml:space="preserve">the Cuban Government passed a law which </w:t>
      </w:r>
      <w:r w:rsidRPr="003D65E4">
        <w:rPr>
          <w:rFonts w:asciiTheme="majorHAnsi" w:hAnsiTheme="majorHAnsi" w:cstheme="majorHAnsi"/>
          <w:sz w:val="12"/>
        </w:rPr>
        <w:t xml:space="preserve">¶ </w:t>
      </w:r>
      <w:r w:rsidRPr="003D65E4">
        <w:rPr>
          <w:rFonts w:asciiTheme="majorHAnsi" w:hAnsiTheme="majorHAnsi" w:cstheme="majorHAnsi"/>
        </w:rPr>
        <w:t xml:space="preserve">authorized the nationalization of U.S.-owned property generally. </w:t>
      </w:r>
      <w:r w:rsidRPr="003D65E4">
        <w:rPr>
          <w:rFonts w:asciiTheme="majorHAnsi" w:hAnsiTheme="majorHAnsi" w:cstheme="majorHAnsi"/>
          <w:sz w:val="12"/>
        </w:rPr>
        <w:t xml:space="preserve">¶ </w:t>
      </w:r>
      <w:r w:rsidRPr="003D65E4">
        <w:rPr>
          <w:rFonts w:asciiTheme="majorHAnsi" w:hAnsiTheme="majorHAnsi" w:cstheme="majorHAnsi"/>
        </w:rPr>
        <w:t xml:space="preserve">The law authorized payment to be made from a fund to be derived </w:t>
      </w:r>
      <w:r w:rsidRPr="003D65E4">
        <w:rPr>
          <w:rFonts w:asciiTheme="majorHAnsi" w:hAnsiTheme="majorHAnsi" w:cstheme="majorHAnsi"/>
          <w:sz w:val="12"/>
        </w:rPr>
        <w:t xml:space="preserve">¶ </w:t>
      </w:r>
      <w:r w:rsidRPr="003D65E4">
        <w:rPr>
          <w:rFonts w:asciiTheme="majorHAnsi" w:hAnsiTheme="majorHAnsi" w:cstheme="majorHAnsi"/>
        </w:rPr>
        <w:t xml:space="preserve">from the receipts from annual purchases of Cuban sugar by the </w:t>
      </w:r>
      <w:r w:rsidRPr="003D65E4">
        <w:rPr>
          <w:rFonts w:asciiTheme="majorHAnsi" w:hAnsiTheme="majorHAnsi" w:cstheme="majorHAnsi"/>
          <w:sz w:val="12"/>
        </w:rPr>
        <w:t xml:space="preserve">¶ </w:t>
      </w:r>
      <w:r w:rsidRPr="003D65E4">
        <w:rPr>
          <w:rFonts w:asciiTheme="majorHAnsi" w:hAnsiTheme="majorHAnsi" w:cstheme="majorHAnsi"/>
        </w:rPr>
        <w:t xml:space="preserve">United States over 3 million tons, at the price of at least 5.75 cents a </w:t>
      </w:r>
      <w:r w:rsidRPr="003D65E4">
        <w:rPr>
          <w:rFonts w:asciiTheme="majorHAnsi" w:hAnsiTheme="majorHAnsi" w:cstheme="majorHAnsi"/>
          <w:sz w:val="12"/>
        </w:rPr>
        <w:t xml:space="preserve">¶ </w:t>
      </w:r>
      <w:r w:rsidRPr="003D65E4">
        <w:rPr>
          <w:rFonts w:asciiTheme="majorHAnsi" w:hAnsiTheme="majorHAnsi" w:cstheme="majorHAnsi"/>
        </w:rPr>
        <w:t xml:space="preserve">pound, payment to be in 30-year bonds at 2 percent interest. On </w:t>
      </w:r>
      <w:r w:rsidRPr="003D65E4">
        <w:rPr>
          <w:rFonts w:asciiTheme="majorHAnsi" w:hAnsiTheme="majorHAnsi" w:cstheme="majorHAnsi"/>
          <w:sz w:val="12"/>
        </w:rPr>
        <w:t xml:space="preserve">¶ </w:t>
      </w:r>
      <w:r w:rsidRPr="003D65E4">
        <w:rPr>
          <w:rFonts w:asciiTheme="majorHAnsi" w:hAnsiTheme="majorHAnsi" w:cstheme="majorHAnsi"/>
        </w:rPr>
        <w:t xml:space="preserve">the same day, the United States reduced the Cuban sugar quota by </w:t>
      </w:r>
      <w:r w:rsidRPr="003D65E4">
        <w:rPr>
          <w:rFonts w:asciiTheme="majorHAnsi" w:hAnsiTheme="majorHAnsi" w:cstheme="majorHAnsi"/>
          <w:sz w:val="12"/>
        </w:rPr>
        <w:t xml:space="preserve">¶ </w:t>
      </w:r>
      <w:r w:rsidRPr="003D65E4">
        <w:rPr>
          <w:rFonts w:asciiTheme="majorHAnsi" w:hAnsiTheme="majorHAnsi" w:cstheme="majorHAnsi"/>
        </w:rPr>
        <w:t xml:space="preserve">700,000 tons, President Eisenhower stating that the United States </w:t>
      </w:r>
      <w:r w:rsidRPr="003D65E4">
        <w:rPr>
          <w:rFonts w:asciiTheme="majorHAnsi" w:hAnsiTheme="majorHAnsi" w:cstheme="majorHAnsi"/>
          <w:sz w:val="12"/>
        </w:rPr>
        <w:t xml:space="preserve">¶ </w:t>
      </w:r>
      <w:r w:rsidRPr="003D65E4">
        <w:rPr>
          <w:rFonts w:asciiTheme="majorHAnsi" w:hAnsiTheme="majorHAnsi" w:cstheme="majorHAnsi"/>
        </w:rPr>
        <w:t xml:space="preserve">would fail in its obligations to its own people if it did not take steps </w:t>
      </w:r>
      <w:r w:rsidRPr="003D65E4">
        <w:rPr>
          <w:rFonts w:asciiTheme="majorHAnsi" w:hAnsiTheme="majorHAnsi" w:cstheme="majorHAnsi"/>
          <w:sz w:val="12"/>
        </w:rPr>
        <w:t xml:space="preserve">¶ </w:t>
      </w:r>
      <w:r w:rsidRPr="003D65E4">
        <w:rPr>
          <w:rFonts w:asciiTheme="majorHAnsi" w:hAnsiTheme="majorHAnsi" w:cstheme="majorHAnsi"/>
        </w:rPr>
        <w:t xml:space="preserve">to reduce its "reliance for a major food product upon a nation which </w:t>
      </w:r>
      <w:r w:rsidRPr="003D65E4">
        <w:rPr>
          <w:rFonts w:asciiTheme="majorHAnsi" w:hAnsiTheme="majorHAnsi" w:cstheme="majorHAnsi"/>
          <w:sz w:val="12"/>
        </w:rPr>
        <w:t xml:space="preserve">¶ </w:t>
      </w:r>
      <w:r w:rsidRPr="003D65E4">
        <w:rPr>
          <w:rFonts w:asciiTheme="majorHAnsi" w:hAnsiTheme="majorHAnsi" w:cstheme="majorHAnsi"/>
        </w:rPr>
        <w:t xml:space="preserve">has embarked upon a deliberate policy of hostility toward the United </w:t>
      </w:r>
      <w:r w:rsidRPr="003D65E4">
        <w:rPr>
          <w:rFonts w:asciiTheme="majorHAnsi" w:hAnsiTheme="majorHAnsi" w:cstheme="majorHAnsi"/>
          <w:sz w:val="12"/>
        </w:rPr>
        <w:t xml:space="preserve">¶ </w:t>
      </w:r>
      <w:r w:rsidRPr="003D65E4">
        <w:rPr>
          <w:rFonts w:asciiTheme="majorHAnsi" w:hAnsiTheme="majorHAnsi" w:cstheme="majorHAnsi"/>
        </w:rPr>
        <w:t xml:space="preserve">States." « </w:t>
      </w:r>
      <w:r w:rsidRPr="003D65E4">
        <w:rPr>
          <w:rFonts w:asciiTheme="majorHAnsi" w:hAnsiTheme="majorHAnsi" w:cstheme="majorHAnsi"/>
          <w:sz w:val="12"/>
        </w:rPr>
        <w:t xml:space="preserve">¶ </w:t>
      </w:r>
      <w:r w:rsidRPr="003D65E4">
        <w:rPr>
          <w:rFonts w:asciiTheme="majorHAnsi" w:hAnsiTheme="majorHAnsi" w:cstheme="majorHAnsi"/>
        </w:rPr>
        <w:t xml:space="preserve">The nationalization law was protested by the United States on </w:t>
      </w:r>
      <w:r w:rsidRPr="003D65E4">
        <w:rPr>
          <w:rFonts w:asciiTheme="majorHAnsi" w:hAnsiTheme="majorHAnsi" w:cstheme="majorHAnsi"/>
          <w:sz w:val="12"/>
        </w:rPr>
        <w:t xml:space="preserve">¶ </w:t>
      </w:r>
      <w:r w:rsidRPr="003D65E4">
        <w:rPr>
          <w:rFonts w:asciiTheme="majorHAnsi" w:hAnsiTheme="majorHAnsi" w:cstheme="majorHAnsi"/>
        </w:rPr>
        <w:t xml:space="preserve">July 16, 1960, as discriminatory (because it was specifically limited </w:t>
      </w:r>
      <w:r w:rsidRPr="003D65E4">
        <w:rPr>
          <w:rFonts w:asciiTheme="majorHAnsi" w:hAnsiTheme="majorHAnsi" w:cstheme="majorHAnsi"/>
          <w:sz w:val="12"/>
        </w:rPr>
        <w:t xml:space="preserve">¶ </w:t>
      </w:r>
      <w:r w:rsidRPr="003D65E4">
        <w:rPr>
          <w:rFonts w:asciiTheme="majorHAnsi" w:hAnsiTheme="majorHAnsi" w:cstheme="majorHAnsi"/>
        </w:rPr>
        <w:t xml:space="preserve">to property owned by U.S. nationals), arbitrary (because it was </w:t>
      </w:r>
      <w:r w:rsidRPr="003D65E4">
        <w:rPr>
          <w:rFonts w:asciiTheme="majorHAnsi" w:hAnsiTheme="majorHAnsi" w:cstheme="majorHAnsi"/>
          <w:sz w:val="12"/>
        </w:rPr>
        <w:t xml:space="preserve">¶ </w:t>
      </w:r>
      <w:r w:rsidRPr="003D65E4">
        <w:rPr>
          <w:rFonts w:asciiTheme="majorHAnsi" w:hAnsiTheme="majorHAnsi" w:cstheme="majorHAnsi"/>
        </w:rPr>
        <w:t xml:space="preserve">admittedly enacted in retaliation to actions taken by the United </w:t>
      </w:r>
      <w:r w:rsidRPr="003D65E4">
        <w:rPr>
          <w:rFonts w:asciiTheme="majorHAnsi" w:hAnsiTheme="majorHAnsi" w:cstheme="majorHAnsi"/>
          <w:sz w:val="12"/>
        </w:rPr>
        <w:t xml:space="preserve">¶ </w:t>
      </w:r>
      <w:r w:rsidRPr="003D65E4">
        <w:rPr>
          <w:rFonts w:asciiTheme="majorHAnsi" w:hAnsiTheme="majorHAnsi" w:cstheme="majorHAnsi"/>
        </w:rPr>
        <w:t xml:space="preserve">States to assure its sugar supply), and confiscatory (because it failed </w:t>
      </w:r>
      <w:r w:rsidRPr="003D65E4">
        <w:rPr>
          <w:rFonts w:asciiTheme="majorHAnsi" w:hAnsiTheme="majorHAnsi" w:cstheme="majorHAnsi"/>
          <w:sz w:val="12"/>
        </w:rPr>
        <w:t xml:space="preserve">¶ </w:t>
      </w:r>
      <w:r w:rsidRPr="003D65E4">
        <w:rPr>
          <w:rFonts w:asciiTheme="majorHAnsi" w:hAnsiTheme="majorHAnsi" w:cstheme="majorHAnsi"/>
        </w:rPr>
        <w:t xml:space="preserve">to meet minimum criteria necessary to assure prompt, adequate, and </w:t>
      </w:r>
      <w:r w:rsidRPr="003D65E4">
        <w:rPr>
          <w:rFonts w:asciiTheme="majorHAnsi" w:hAnsiTheme="majorHAnsi" w:cstheme="majorHAnsi"/>
          <w:sz w:val="12"/>
        </w:rPr>
        <w:t xml:space="preserve">¶ </w:t>
      </w:r>
      <w:r w:rsidRPr="003D65E4">
        <w:rPr>
          <w:rFonts w:asciiTheme="majorHAnsi" w:hAnsiTheme="majorHAnsi" w:cstheme="majorHAnsi"/>
        </w:rPr>
        <w:t xml:space="preserve">effective compensation, and prohibited any form of judicial or administrative appeal from the decisions of the expropriating authorities).45 When the Castro government sought to justify its actions on the </w:t>
      </w:r>
      <w:r w:rsidRPr="003D65E4">
        <w:rPr>
          <w:rFonts w:asciiTheme="majorHAnsi" w:hAnsiTheme="majorHAnsi" w:cstheme="majorHAnsi"/>
          <w:sz w:val="12"/>
        </w:rPr>
        <w:t xml:space="preserve">¶ </w:t>
      </w:r>
      <w:r w:rsidRPr="003D65E4">
        <w:rPr>
          <w:rFonts w:asciiTheme="majorHAnsi" w:hAnsiTheme="majorHAnsi" w:cstheme="majorHAnsi"/>
        </w:rPr>
        <w:t xml:space="preserve">grounds that the United States had committed economic aggression in </w:t>
      </w:r>
      <w:r w:rsidRPr="003D65E4">
        <w:rPr>
          <w:rFonts w:asciiTheme="majorHAnsi" w:hAnsiTheme="majorHAnsi" w:cstheme="majorHAnsi"/>
          <w:sz w:val="12"/>
        </w:rPr>
        <w:t xml:space="preserve">¶ </w:t>
      </w:r>
      <w:r w:rsidRPr="003D65E4">
        <w:rPr>
          <w:rFonts w:asciiTheme="majorHAnsi" w:hAnsiTheme="majorHAnsi" w:cstheme="majorHAnsi"/>
        </w:rPr>
        <w:t xml:space="preserve">reducing Cuba's sugar quota, the United States said that about onehalf of the investments had been seized before any change in the </w:t>
      </w:r>
      <w:r w:rsidRPr="003D65E4">
        <w:rPr>
          <w:rFonts w:asciiTheme="majorHAnsi" w:hAnsiTheme="majorHAnsi" w:cstheme="majorHAnsi"/>
          <w:sz w:val="12"/>
        </w:rPr>
        <w:t xml:space="preserve">¶ </w:t>
      </w:r>
      <w:r w:rsidRPr="003D65E4">
        <w:rPr>
          <w:rFonts w:asciiTheme="majorHAnsi" w:hAnsiTheme="majorHAnsi" w:cstheme="majorHAnsi"/>
        </w:rPr>
        <w:t xml:space="preserve">quota was made. </w:t>
      </w:r>
      <w:r w:rsidRPr="003D65E4">
        <w:rPr>
          <w:rFonts w:asciiTheme="majorHAnsi" w:hAnsiTheme="majorHAnsi" w:cstheme="majorHAnsi"/>
          <w:sz w:val="12"/>
        </w:rPr>
        <w:t xml:space="preserve">¶ </w:t>
      </w:r>
      <w:r w:rsidRPr="003D65E4">
        <w:rPr>
          <w:rFonts w:asciiTheme="majorHAnsi" w:hAnsiTheme="majorHAnsi" w:cstheme="majorHAnsi"/>
        </w:rPr>
        <w:t xml:space="preserve">On September 17,1960, three American-owned banks were nationalized, against which the United States protested on September 29, </w:t>
      </w:r>
      <w:r w:rsidRPr="003D65E4">
        <w:rPr>
          <w:rFonts w:asciiTheme="majorHAnsi" w:hAnsiTheme="majorHAnsi" w:cstheme="majorHAnsi"/>
          <w:sz w:val="12"/>
        </w:rPr>
        <w:t xml:space="preserve">¶ </w:t>
      </w:r>
      <w:r w:rsidRPr="003D65E4">
        <w:rPr>
          <w:rFonts w:asciiTheme="majorHAnsi" w:hAnsiTheme="majorHAnsi" w:cstheme="majorHAnsi"/>
        </w:rPr>
        <w:t xml:space="preserve">I960.48 Next the nickel plant owned by the U.S. Government was </w:t>
      </w:r>
      <w:r w:rsidRPr="003D65E4">
        <w:rPr>
          <w:rFonts w:asciiTheme="majorHAnsi" w:hAnsiTheme="majorHAnsi" w:cstheme="majorHAnsi"/>
          <w:sz w:val="12"/>
        </w:rPr>
        <w:t xml:space="preserve">¶ </w:t>
      </w:r>
      <w:r w:rsidRPr="003D65E4">
        <w:rPr>
          <w:rFonts w:asciiTheme="majorHAnsi" w:hAnsiTheme="majorHAnsi" w:cstheme="majorHAnsi"/>
        </w:rPr>
        <w:t xml:space="preserve">intervened, and on October 24, 1960, it was among 166 properties </w:t>
      </w:r>
      <w:r w:rsidRPr="003D65E4">
        <w:rPr>
          <w:rFonts w:asciiTheme="majorHAnsi" w:hAnsiTheme="majorHAnsi" w:cstheme="majorHAnsi"/>
          <w:sz w:val="12"/>
        </w:rPr>
        <w:t xml:space="preserve">¶ </w:t>
      </w:r>
      <w:r w:rsidRPr="003D65E4">
        <w:rPr>
          <w:rFonts w:asciiTheme="majorHAnsi" w:hAnsiTheme="majorHAnsi" w:cstheme="majorHAnsi"/>
        </w:rPr>
        <w:t xml:space="preserve">which were nationalized. This was protested by the United States on </w:t>
      </w:r>
      <w:r w:rsidRPr="003D65E4">
        <w:rPr>
          <w:rFonts w:asciiTheme="majorHAnsi" w:hAnsiTheme="majorHAnsi" w:cstheme="majorHAnsi"/>
          <w:sz w:val="12"/>
        </w:rPr>
        <w:t xml:space="preserve">¶ </w:t>
      </w:r>
      <w:r w:rsidRPr="003D65E4">
        <w:rPr>
          <w:rFonts w:asciiTheme="majorHAnsi" w:hAnsiTheme="majorHAnsi" w:cstheme="majorHAnsi"/>
        </w:rPr>
        <w:t xml:space="preserve">November 19, 1960. Meanwhile, Cuba was taking additional </w:t>
      </w:r>
      <w:r w:rsidRPr="003D65E4">
        <w:rPr>
          <w:rFonts w:asciiTheme="majorHAnsi" w:hAnsiTheme="majorHAnsi" w:cstheme="majorHAnsi"/>
          <w:sz w:val="12"/>
        </w:rPr>
        <w:t xml:space="preserve">¶ </w:t>
      </w:r>
      <w:r w:rsidRPr="003D65E4">
        <w:rPr>
          <w:rFonts w:asciiTheme="majorHAnsi" w:hAnsiTheme="majorHAnsi" w:cstheme="majorHAnsi"/>
        </w:rPr>
        <w:t xml:space="preserve">hostile actions toward the United States while establishing closer </w:t>
      </w:r>
      <w:r w:rsidRPr="003D65E4">
        <w:rPr>
          <w:rFonts w:asciiTheme="majorHAnsi" w:hAnsiTheme="majorHAnsi" w:cstheme="majorHAnsi"/>
          <w:sz w:val="12"/>
        </w:rPr>
        <w:t xml:space="preserve">¶ </w:t>
      </w:r>
      <w:r w:rsidRPr="003D65E4">
        <w:rPr>
          <w:rFonts w:asciiTheme="majorHAnsi" w:hAnsiTheme="majorHAnsi" w:cstheme="majorHAnsi"/>
        </w:rPr>
        <w:t xml:space="preserve">relations with the Communist bloc and on January 3, 1961, after a </w:t>
      </w:r>
      <w:r w:rsidRPr="003D65E4">
        <w:rPr>
          <w:rFonts w:asciiTheme="majorHAnsi" w:hAnsiTheme="majorHAnsi" w:cstheme="majorHAnsi"/>
          <w:sz w:val="12"/>
        </w:rPr>
        <w:t xml:space="preserve">¶ </w:t>
      </w:r>
      <w:r w:rsidRPr="003D65E4">
        <w:rPr>
          <w:rFonts w:asciiTheme="majorHAnsi" w:hAnsiTheme="majorHAnsi" w:cstheme="majorHAnsi"/>
        </w:rPr>
        <w:t xml:space="preserve">demand that the U.S. Embassy be reduced to 11 officials, the United </w:t>
      </w:r>
      <w:r w:rsidRPr="003D65E4">
        <w:rPr>
          <w:rFonts w:asciiTheme="majorHAnsi" w:hAnsiTheme="majorHAnsi" w:cstheme="majorHAnsi"/>
          <w:sz w:val="12"/>
        </w:rPr>
        <w:t xml:space="preserve">¶ </w:t>
      </w:r>
      <w:r w:rsidRPr="003D65E4">
        <w:rPr>
          <w:rFonts w:asciiTheme="majorHAnsi" w:hAnsiTheme="majorHAnsi" w:cstheme="majorHAnsi"/>
        </w:rPr>
        <w:t xml:space="preserve">States terminated diplomatic and consular relations with Cuba. </w:t>
      </w:r>
      <w:r w:rsidRPr="003D65E4">
        <w:rPr>
          <w:rFonts w:asciiTheme="majorHAnsi" w:hAnsiTheme="majorHAnsi" w:cstheme="majorHAnsi"/>
          <w:sz w:val="12"/>
        </w:rPr>
        <w:t xml:space="preserve">¶ </w:t>
      </w:r>
      <w:r w:rsidRPr="003D65E4">
        <w:rPr>
          <w:rFonts w:asciiTheme="majorHAnsi" w:hAnsiTheme="majorHAnsi" w:cstheme="majorHAnsi"/>
        </w:rPr>
        <w:t xml:space="preserve">Thus far some 90 documented statements of claims have been filed </w:t>
      </w:r>
      <w:r w:rsidRPr="003D65E4">
        <w:rPr>
          <w:rFonts w:asciiTheme="majorHAnsi" w:hAnsiTheme="majorHAnsi" w:cstheme="majorHAnsi"/>
          <w:sz w:val="12"/>
        </w:rPr>
        <w:t xml:space="preserve">¶ </w:t>
      </w:r>
      <w:r w:rsidRPr="003D65E4">
        <w:rPr>
          <w:rFonts w:asciiTheme="majorHAnsi" w:hAnsiTheme="majorHAnsi" w:cstheme="majorHAnsi"/>
        </w:rPr>
        <w:t xml:space="preserve">•jrith the State Department, which are being retained until an opportune tune to submit them. </w:t>
      </w:r>
      <w:r w:rsidRPr="003D65E4">
        <w:rPr>
          <w:rFonts w:asciiTheme="majorHAnsi" w:hAnsiTheme="majorHAnsi" w:cstheme="majorHAnsi"/>
          <w:sz w:val="12"/>
        </w:rPr>
        <w:t xml:space="preserve">¶ </w:t>
      </w:r>
      <w:r w:rsidRPr="003D65E4">
        <w:rPr>
          <w:rFonts w:asciiTheme="majorHAnsi" w:hAnsiTheme="majorHAnsi" w:cstheme="majorHAnsi"/>
        </w:rPr>
        <w:t xml:space="preserve">On July 8, 1963, the United States froze all Cuban assets in the </w:t>
      </w:r>
      <w:r w:rsidRPr="003D65E4">
        <w:rPr>
          <w:rFonts w:asciiTheme="majorHAnsi" w:hAnsiTheme="majorHAnsi" w:cstheme="majorHAnsi"/>
          <w:sz w:val="12"/>
        </w:rPr>
        <w:t xml:space="preserve">¶ </w:t>
      </w:r>
      <w:r w:rsidRPr="003D65E4">
        <w:rPr>
          <w:rFonts w:asciiTheme="majorHAnsi" w:hAnsiTheme="majorHAnsi" w:cstheme="majorHAnsi"/>
        </w:rPr>
        <w:t xml:space="preserve">United States, estimated to total some $30 million. This includes </w:t>
      </w:r>
      <w:r w:rsidRPr="003D65E4">
        <w:rPr>
          <w:rFonts w:asciiTheme="majorHAnsi" w:hAnsiTheme="majorHAnsi" w:cstheme="majorHAnsi"/>
          <w:sz w:val="12"/>
        </w:rPr>
        <w:t xml:space="preserve">¶ </w:t>
      </w:r>
      <w:r w:rsidRPr="003D65E4">
        <w:rPr>
          <w:rFonts w:asciiTheme="majorHAnsi" w:hAnsiTheme="majorHAnsi" w:cstheme="majorHAnsi"/>
        </w:rPr>
        <w:t xml:space="preserve">assets owned by the Cuban Government and individual Cubans </w:t>
      </w:r>
      <w:r w:rsidRPr="003D65E4">
        <w:rPr>
          <w:rFonts w:asciiTheme="majorHAnsi" w:hAnsiTheme="majorHAnsi" w:cstheme="majorHAnsi"/>
          <w:sz w:val="12"/>
        </w:rPr>
        <w:t xml:space="preserve">¶ </w:t>
      </w:r>
      <w:r w:rsidRPr="003D65E4">
        <w:rPr>
          <w:rFonts w:asciiTheme="majorHAnsi" w:hAnsiTheme="majorHAnsi" w:cstheme="majorHAnsi"/>
        </w:rPr>
        <w:t xml:space="preserve">residing on the island but not the property of Cuban exiles residing </w:t>
      </w:r>
      <w:r w:rsidRPr="003D65E4">
        <w:rPr>
          <w:rFonts w:asciiTheme="majorHAnsi" w:hAnsiTheme="majorHAnsi" w:cstheme="majorHAnsi"/>
          <w:sz w:val="12"/>
        </w:rPr>
        <w:t xml:space="preserve">¶ </w:t>
      </w:r>
      <w:r w:rsidRPr="003D65E4">
        <w:rPr>
          <w:rFonts w:asciiTheme="majorHAnsi" w:hAnsiTheme="majorHAnsi" w:cstheme="majorHAnsi"/>
        </w:rPr>
        <w:t xml:space="preserve">abroad. Part of these assets are already under litigation, being </w:t>
      </w:r>
      <w:r w:rsidRPr="003D65E4">
        <w:rPr>
          <w:rFonts w:asciiTheme="majorHAnsi" w:hAnsiTheme="majorHAnsi" w:cstheme="majorHAnsi"/>
          <w:sz w:val="12"/>
        </w:rPr>
        <w:t xml:space="preserve">¶ </w:t>
      </w:r>
      <w:r w:rsidRPr="003D65E4">
        <w:rPr>
          <w:rFonts w:asciiTheme="majorHAnsi" w:hAnsiTheme="majorHAnsi" w:cstheme="majorHAnsi"/>
        </w:rPr>
        <w:t xml:space="preserve">claimed as compensation by some of the Americans who had property </w:t>
      </w:r>
      <w:r w:rsidRPr="003D65E4">
        <w:rPr>
          <w:rFonts w:asciiTheme="majorHAnsi" w:hAnsiTheme="majorHAnsi" w:cstheme="majorHAnsi"/>
          <w:sz w:val="12"/>
        </w:rPr>
        <w:t xml:space="preserve">¶ </w:t>
      </w:r>
      <w:r w:rsidRPr="003D65E4">
        <w:rPr>
          <w:rFonts w:asciiTheme="majorHAnsi" w:hAnsiTheme="majorHAnsi" w:cstheme="majorHAnsi"/>
        </w:rPr>
        <w:t>taken by the Castro government.</w:t>
      </w:r>
    </w:p>
    <w:p w:rsidR="003D65E4" w:rsidRPr="003D65E4" w:rsidRDefault="003D65E4" w:rsidP="003D65E4">
      <w:pPr>
        <w:rPr>
          <w:rFonts w:asciiTheme="majorHAnsi" w:hAnsiTheme="majorHAnsi" w:cstheme="majorHAnsi"/>
          <w:sz w:val="16"/>
          <w:szCs w:val="16"/>
        </w:rPr>
      </w:pPr>
    </w:p>
    <w:p w:rsidR="003D65E4" w:rsidRPr="003D65E4" w:rsidRDefault="003D65E4" w:rsidP="003D65E4">
      <w:pPr>
        <w:rPr>
          <w:rFonts w:asciiTheme="majorHAnsi" w:hAnsiTheme="majorHAnsi" w:cstheme="majorHAnsi"/>
          <w:sz w:val="16"/>
          <w:szCs w:val="16"/>
        </w:rPr>
      </w:pPr>
    </w:p>
    <w:p w:rsidR="00662A84" w:rsidRPr="003D65E4" w:rsidRDefault="00662A84" w:rsidP="00662A84">
      <w:pPr>
        <w:pStyle w:val="Heading3"/>
        <w:rPr>
          <w:rFonts w:asciiTheme="majorHAnsi" w:hAnsiTheme="majorHAnsi" w:cstheme="majorHAnsi"/>
        </w:rPr>
      </w:pPr>
      <w:r w:rsidRPr="003D65E4">
        <w:rPr>
          <w:rFonts w:asciiTheme="majorHAnsi" w:hAnsiTheme="majorHAnsi" w:cstheme="majorHAnsi"/>
        </w:rPr>
        <w:lastRenderedPageBreak/>
        <w:t>AT: Overlimits</w:t>
      </w: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We don’t overlimit – Crocker evidence says that the direct talks must be a first step – affs can still take additional actions – this still limits to topic to the 2 governments acting and preserves negative ground by tying affirmatives to defending the action of the target government</w:t>
      </w:r>
    </w:p>
    <w:p w:rsidR="00662A84" w:rsidRPr="003D65E4" w:rsidRDefault="00662A84" w:rsidP="00662A84">
      <w:pPr>
        <w:rPr>
          <w:rFonts w:asciiTheme="majorHAnsi" w:hAnsiTheme="majorHAnsi" w:cstheme="majorHAnsi"/>
          <w:lang w:eastAsia="ko-KR"/>
        </w:rPr>
      </w:pPr>
    </w:p>
    <w:p w:rsidR="00662A84" w:rsidRPr="003D65E4" w:rsidRDefault="00662A84" w:rsidP="00662A84">
      <w:pPr>
        <w:pStyle w:val="Heading3"/>
        <w:rPr>
          <w:rFonts w:asciiTheme="majorHAnsi" w:hAnsiTheme="majorHAnsi" w:cstheme="majorHAnsi"/>
        </w:rPr>
      </w:pPr>
      <w:r w:rsidRPr="003D65E4">
        <w:rPr>
          <w:rFonts w:asciiTheme="majorHAnsi" w:hAnsiTheme="majorHAnsi" w:cstheme="majorHAnsi"/>
        </w:rPr>
        <w:lastRenderedPageBreak/>
        <w:t>AT: Reasonability</w:t>
      </w:r>
    </w:p>
    <w:p w:rsidR="007F6D59" w:rsidRPr="003D65E4" w:rsidRDefault="007F6D59" w:rsidP="00662A84">
      <w:pPr>
        <w:rPr>
          <w:rFonts w:asciiTheme="majorHAnsi" w:hAnsiTheme="majorHAnsi" w:cstheme="majorHAnsi"/>
          <w:sz w:val="24"/>
        </w:rPr>
      </w:pP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1. You’re interp’s not reasonable – the limits debate proves you make it impossible to be neg, especially because this topic is SO big already</w:t>
      </w: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2. If your reasonability topical then you are reasonably untopical – vote neg on jurisdiction</w:t>
      </w:r>
    </w:p>
    <w:p w:rsidR="00662A84" w:rsidRPr="003D65E4" w:rsidRDefault="00662A84" w:rsidP="00662A84">
      <w:pPr>
        <w:rPr>
          <w:rFonts w:asciiTheme="majorHAnsi" w:hAnsiTheme="majorHAnsi" w:cstheme="majorHAnsi"/>
          <w:b/>
          <w:sz w:val="24"/>
        </w:rPr>
      </w:pPr>
      <w:r w:rsidRPr="003D65E4">
        <w:rPr>
          <w:rFonts w:asciiTheme="majorHAnsi" w:hAnsiTheme="majorHAnsi" w:cstheme="majorHAnsi"/>
          <w:b/>
          <w:sz w:val="24"/>
        </w:rPr>
        <w:t>3. Reasonability is arbitrary, varies from judge to judge – competing interpretations is the only objective way because we compare evidence</w:t>
      </w:r>
    </w:p>
    <w:p w:rsidR="00662A84" w:rsidRPr="003D65E4" w:rsidRDefault="00662A84" w:rsidP="00662A84">
      <w:pPr>
        <w:rPr>
          <w:rFonts w:asciiTheme="majorHAnsi" w:hAnsiTheme="majorHAnsi" w:cstheme="majorHAnsi"/>
          <w:lang w:eastAsia="ko-KR"/>
        </w:rPr>
      </w:pPr>
    </w:p>
    <w:p w:rsidR="00662A84" w:rsidRPr="003D65E4" w:rsidRDefault="00662A84" w:rsidP="00662A84">
      <w:pPr>
        <w:pStyle w:val="Heading3"/>
        <w:rPr>
          <w:rStyle w:val="StyleStyleBold12pt"/>
          <w:rFonts w:asciiTheme="majorHAnsi" w:hAnsiTheme="majorHAnsi" w:cstheme="majorHAnsi"/>
          <w:b/>
        </w:rPr>
      </w:pPr>
    </w:p>
    <w:p w:rsidR="00662A84" w:rsidRPr="003D65E4" w:rsidRDefault="003D65E4" w:rsidP="003D65E4">
      <w:pPr>
        <w:pStyle w:val="Heading1"/>
        <w:rPr>
          <w:rStyle w:val="StyleStyleBold12pt"/>
          <w:rFonts w:asciiTheme="majorHAnsi" w:hAnsiTheme="majorHAnsi" w:cstheme="majorHAnsi"/>
          <w:b/>
        </w:rPr>
      </w:pPr>
      <w:r>
        <w:rPr>
          <w:rStyle w:val="StyleStyleBold12pt"/>
          <w:rFonts w:asciiTheme="majorHAnsi" w:hAnsiTheme="majorHAnsi" w:cstheme="majorHAnsi"/>
          <w:b/>
        </w:rPr>
        <w:lastRenderedPageBreak/>
        <w:t>Case defense</w:t>
      </w:r>
    </w:p>
    <w:p w:rsidR="00662A84" w:rsidRPr="003D65E4" w:rsidRDefault="00662A84" w:rsidP="004B5C11">
      <w:pPr>
        <w:rPr>
          <w:rStyle w:val="StyleStyleBold12pt"/>
          <w:rFonts w:asciiTheme="majorHAnsi" w:hAnsiTheme="majorHAnsi" w:cstheme="majorHAnsi"/>
        </w:rPr>
      </w:pPr>
    </w:p>
    <w:p w:rsidR="004B5C11" w:rsidRPr="003D65E4" w:rsidRDefault="004B5C11" w:rsidP="004B5C11">
      <w:pPr>
        <w:rPr>
          <w:rStyle w:val="StyleStyleBold12pt"/>
          <w:rFonts w:asciiTheme="majorHAnsi" w:hAnsiTheme="majorHAnsi" w:cstheme="majorHAnsi"/>
        </w:rPr>
      </w:pPr>
      <w:r w:rsidRPr="003D65E4">
        <w:rPr>
          <w:rStyle w:val="StyleStyleBold12pt"/>
          <w:rFonts w:asciiTheme="majorHAnsi" w:hAnsiTheme="majorHAnsi" w:cstheme="majorHAnsi"/>
        </w:rPr>
        <w:t>Cuba doesn’t recognize claims—they won</w:t>
      </w:r>
      <w:r w:rsidR="00E333FC" w:rsidRPr="003D65E4">
        <w:rPr>
          <w:rStyle w:val="StyleStyleBold12pt"/>
          <w:rFonts w:asciiTheme="majorHAnsi" w:hAnsiTheme="majorHAnsi" w:cstheme="majorHAnsi"/>
        </w:rPr>
        <w:t>’</w:t>
      </w:r>
      <w:r w:rsidRPr="003D65E4">
        <w:rPr>
          <w:rStyle w:val="StyleStyleBold12pt"/>
          <w:rFonts w:asciiTheme="majorHAnsi" w:hAnsiTheme="majorHAnsi" w:cstheme="majorHAnsi"/>
        </w:rPr>
        <w:t>t pay</w:t>
      </w:r>
    </w:p>
    <w:p w:rsidR="004B5C11" w:rsidRPr="003D65E4" w:rsidRDefault="004B5C11" w:rsidP="004B5C11">
      <w:pPr>
        <w:rPr>
          <w:rFonts w:asciiTheme="majorHAnsi" w:hAnsiTheme="majorHAnsi" w:cstheme="majorHAnsi"/>
          <w:sz w:val="16"/>
          <w:szCs w:val="16"/>
        </w:rPr>
      </w:pPr>
      <w:r w:rsidRPr="003D65E4">
        <w:rPr>
          <w:rStyle w:val="StyleStyleBold12pt"/>
          <w:rFonts w:asciiTheme="majorHAnsi" w:hAnsiTheme="majorHAnsi" w:cstheme="majorHAnsi"/>
        </w:rPr>
        <w:t>Ashby</w:t>
      </w:r>
      <w:r w:rsidR="00436FAB" w:rsidRPr="003D65E4">
        <w:rPr>
          <w:rStyle w:val="StyleStyleBold12pt"/>
          <w:rFonts w:asciiTheme="majorHAnsi" w:hAnsiTheme="majorHAnsi" w:cstheme="majorHAnsi"/>
        </w:rPr>
        <w:t xml:space="preserve"> Your author</w:t>
      </w:r>
      <w:r w:rsidRPr="003D65E4">
        <w:rPr>
          <w:rStyle w:val="StyleStyleBold12pt"/>
          <w:rFonts w:asciiTheme="majorHAnsi" w:hAnsiTheme="majorHAnsi" w:cstheme="majorHAnsi"/>
        </w:rPr>
        <w:t xml:space="preserve"> ‘9 </w:t>
      </w:r>
      <w:r w:rsidRPr="003D65E4">
        <w:rPr>
          <w:rFonts w:asciiTheme="majorHAnsi" w:hAnsiTheme="majorHAnsi" w:cstheme="majorHAnsi"/>
        </w:rPr>
        <w:t>[</w:t>
      </w:r>
      <w:r w:rsidRPr="003D65E4">
        <w:rPr>
          <w:rFonts w:asciiTheme="majorHAnsi" w:hAnsiTheme="majorHAnsi" w:cstheme="majorHAnsi"/>
          <w:sz w:val="16"/>
          <w:szCs w:val="16"/>
        </w:rPr>
        <w:t xml:space="preserve">Spring 2009, Timothy, JD from Seattle University Law School and PhD from the University of Southern California and MBA from the University of Edinburgh, “U.S. Certified Claims Against Cuba: Legal Reality and Likely Settlement Mechanisms,” University of Miami Inter-American Law Review, 40 U. Miami Inter-Am. L. Rev. 413, JSTOR] </w:t>
      </w:r>
    </w:p>
    <w:p w:rsidR="004B5C11" w:rsidRPr="003D65E4" w:rsidRDefault="004B5C11" w:rsidP="00B818D9">
      <w:pPr>
        <w:rPr>
          <w:rFonts w:asciiTheme="majorHAnsi" w:hAnsiTheme="majorHAnsi" w:cstheme="majorHAnsi"/>
          <w:sz w:val="16"/>
          <w:szCs w:val="16"/>
        </w:rPr>
      </w:pPr>
    </w:p>
    <w:p w:rsidR="00D41450" w:rsidRPr="003D65E4" w:rsidRDefault="00B818D9" w:rsidP="00B818D9">
      <w:pPr>
        <w:rPr>
          <w:rFonts w:asciiTheme="majorHAnsi" w:hAnsiTheme="majorHAnsi" w:cstheme="majorHAnsi"/>
          <w:sz w:val="16"/>
          <w:szCs w:val="16"/>
        </w:rPr>
      </w:pPr>
      <w:r w:rsidRPr="003D65E4">
        <w:rPr>
          <w:rFonts w:asciiTheme="majorHAnsi" w:hAnsiTheme="majorHAnsi" w:cstheme="majorHAnsi"/>
          <w:sz w:val="16"/>
          <w:szCs w:val="16"/>
        </w:rPr>
        <w:t xml:space="preserve">The Cuban Government has never repudiated the U.S. claims although it has consistently stated that it does not recognize the property claims of Cuban exiles in the United States. </w:t>
      </w:r>
      <w:r w:rsidRPr="003D65E4">
        <w:rPr>
          <w:rStyle w:val="StyleBoldUnderline"/>
          <w:rFonts w:asciiTheme="majorHAnsi" w:hAnsiTheme="majorHAnsi" w:cstheme="majorHAnsi"/>
          <w:b w:val="0"/>
        </w:rPr>
        <w:t>Cuba</w:t>
      </w:r>
      <w:r w:rsidRPr="003D65E4">
        <w:rPr>
          <w:rFonts w:asciiTheme="majorHAnsi" w:hAnsiTheme="majorHAnsi" w:cstheme="majorHAnsi"/>
          <w:sz w:val="16"/>
          <w:szCs w:val="16"/>
        </w:rPr>
        <w:t xml:space="preserve"> recognizes its obligation under international law to provide compensation to U.S. nationals whose assets were taken. However, it </w:t>
      </w:r>
      <w:r w:rsidRPr="003D65E4">
        <w:rPr>
          <w:rStyle w:val="StyleBoldUnderline"/>
          <w:rFonts w:asciiTheme="majorHAnsi" w:hAnsiTheme="majorHAnsi" w:cstheme="majorHAnsi"/>
          <w:b w:val="0"/>
        </w:rPr>
        <w:t>does not recognize the FCSC valuation or the interest allowance. Cuba's policy is that it stands "ready to negotiate, on an equal footing, compensation for approximately 6,000 U.S. businesses and citizens affected by the nationalization legislation and to seek an arrangement that would also take into account the extremely serious economic and human damage inflicted on Cuba by the blockade."</w:t>
      </w:r>
    </w:p>
    <w:p w:rsidR="00D41450" w:rsidRPr="003D65E4" w:rsidRDefault="00D41450" w:rsidP="00D41450">
      <w:pPr>
        <w:rPr>
          <w:rStyle w:val="StyleBoldUnderline"/>
          <w:rFonts w:asciiTheme="majorHAnsi" w:hAnsiTheme="majorHAnsi" w:cstheme="majorHAnsi"/>
          <w:b w:val="0"/>
        </w:rPr>
      </w:pPr>
      <w:r w:rsidRPr="003D65E4">
        <w:rPr>
          <w:rStyle w:val="StyleBoldUnderline"/>
          <w:rFonts w:asciiTheme="majorHAnsi" w:hAnsiTheme="majorHAnsi" w:cstheme="majorHAnsi"/>
          <w:b w:val="0"/>
        </w:rPr>
        <w:t>The Cuban government's position is that the nationalization carried out after the 1959 revolution was not confiscation. Under Cuban law, confiscation is deemed to be an accessory penalty stemming from an offence in which the perpetrator is held accountable through his property, and hence, no compensation is provided. On the contrary, nationalization is considered an act stemming from an economic claim on grounds of public utility, social or national interest o</w:t>
      </w:r>
      <w:r w:rsidR="00926907" w:rsidRPr="003D65E4">
        <w:rPr>
          <w:rStyle w:val="StyleBoldUnderline"/>
          <w:rFonts w:asciiTheme="majorHAnsi" w:hAnsiTheme="majorHAnsi" w:cstheme="majorHAnsi"/>
          <w:b w:val="0"/>
        </w:rPr>
        <w:t>r popular benefit, and is to be</w:t>
      </w:r>
      <w:r w:rsidR="00786FB7" w:rsidRPr="003D65E4">
        <w:rPr>
          <w:rStyle w:val="StyleBoldUnderline"/>
          <w:rFonts w:asciiTheme="majorHAnsi" w:hAnsiTheme="majorHAnsi" w:cstheme="majorHAnsi"/>
          <w:b w:val="0"/>
        </w:rPr>
        <w:t xml:space="preserve"> </w:t>
      </w:r>
      <w:r w:rsidRPr="003D65E4">
        <w:rPr>
          <w:rStyle w:val="StyleBoldUnderline"/>
          <w:rFonts w:asciiTheme="majorHAnsi" w:hAnsiTheme="majorHAnsi" w:cstheme="majorHAnsi"/>
          <w:b w:val="0"/>
        </w:rPr>
        <w:t>accompanied by appropriate compensation as provided for in Cuba's Constitution</w:t>
      </w:r>
      <w:r w:rsidRPr="003D65E4">
        <w:rPr>
          <w:rFonts w:asciiTheme="majorHAnsi" w:hAnsiTheme="majorHAnsi" w:cstheme="majorHAnsi"/>
          <w:sz w:val="16"/>
          <w:szCs w:val="16"/>
        </w:rPr>
        <w:t xml:space="preserve">. Accordingly, </w:t>
      </w:r>
      <w:r w:rsidRPr="003D65E4">
        <w:rPr>
          <w:rStyle w:val="StyleBoldUnderline"/>
          <w:rFonts w:asciiTheme="majorHAnsi" w:hAnsiTheme="majorHAnsi" w:cstheme="majorHAnsi"/>
          <w:b w:val="0"/>
        </w:rPr>
        <w:t xml:space="preserve">U.S. property in Cuba was held to be nationalized rather than confiscated and therefore compensable. </w:t>
      </w:r>
    </w:p>
    <w:p w:rsidR="00346C57" w:rsidRPr="003D65E4" w:rsidRDefault="00346C57" w:rsidP="00D41450">
      <w:pPr>
        <w:rPr>
          <w:rFonts w:asciiTheme="majorHAnsi" w:hAnsiTheme="majorHAnsi" w:cstheme="majorHAnsi"/>
          <w:sz w:val="16"/>
          <w:szCs w:val="16"/>
        </w:rPr>
      </w:pPr>
    </w:p>
    <w:p w:rsidR="00346C57" w:rsidRPr="003D65E4" w:rsidRDefault="004F2889" w:rsidP="003D65E4">
      <w:pPr>
        <w:pStyle w:val="Heading1"/>
        <w:rPr>
          <w:rFonts w:asciiTheme="majorHAnsi" w:hAnsiTheme="majorHAnsi" w:cstheme="majorHAnsi"/>
        </w:rPr>
      </w:pPr>
      <w:r w:rsidRPr="003D65E4">
        <w:rPr>
          <w:rFonts w:asciiTheme="majorHAnsi" w:hAnsiTheme="majorHAnsi" w:cstheme="majorHAnsi"/>
        </w:rPr>
        <w:lastRenderedPageBreak/>
        <w:t>Private cp</w:t>
      </w:r>
    </w:p>
    <w:p w:rsidR="00346C57" w:rsidRPr="003D65E4" w:rsidRDefault="00346C57" w:rsidP="00346C57">
      <w:pPr>
        <w:rPr>
          <w:rFonts w:asciiTheme="majorHAnsi" w:hAnsiTheme="majorHAnsi" w:cstheme="majorHAnsi"/>
        </w:rPr>
      </w:pPr>
    </w:p>
    <w:p w:rsidR="004F2889" w:rsidRPr="003D65E4" w:rsidRDefault="004F2889" w:rsidP="00346C57">
      <w:pPr>
        <w:rPr>
          <w:rStyle w:val="StyleStyleBold12pt"/>
          <w:rFonts w:asciiTheme="majorHAnsi" w:hAnsiTheme="majorHAnsi" w:cstheme="majorHAnsi"/>
        </w:rPr>
      </w:pPr>
      <w:r w:rsidRPr="003D65E4">
        <w:rPr>
          <w:rStyle w:val="StyleStyleBold12pt"/>
          <w:rFonts w:asciiTheme="majorHAnsi" w:hAnsiTheme="majorHAnsi" w:cstheme="majorHAnsi"/>
        </w:rPr>
        <w:t xml:space="preserve">The United States Fruit Company should engage in a private sector settlement via a special situations fund with the Cuban government over it’s debt to the company </w:t>
      </w:r>
    </w:p>
    <w:p w:rsidR="004F2889" w:rsidRPr="003D65E4" w:rsidRDefault="004F2889" w:rsidP="00346C57">
      <w:pPr>
        <w:rPr>
          <w:rStyle w:val="StyleStyleBold12pt"/>
          <w:rFonts w:asciiTheme="majorHAnsi" w:hAnsiTheme="majorHAnsi" w:cstheme="majorHAnsi"/>
        </w:rPr>
      </w:pPr>
    </w:p>
    <w:p w:rsidR="004F2889" w:rsidRPr="003D65E4" w:rsidRDefault="004F2889" w:rsidP="00346C57">
      <w:pPr>
        <w:rPr>
          <w:rStyle w:val="StyleStyleBold12pt"/>
          <w:rFonts w:asciiTheme="majorHAnsi" w:hAnsiTheme="majorHAnsi" w:cstheme="majorHAnsi"/>
        </w:rPr>
      </w:pPr>
      <w:r w:rsidRPr="003D65E4">
        <w:rPr>
          <w:rStyle w:val="StyleStyleBold12pt"/>
          <w:rFonts w:asciiTheme="majorHAnsi" w:hAnsiTheme="majorHAnsi" w:cstheme="majorHAnsi"/>
        </w:rPr>
        <w:t>It’s the optimal solution</w:t>
      </w:r>
    </w:p>
    <w:p w:rsidR="00346C57" w:rsidRPr="003D65E4" w:rsidRDefault="00346C57" w:rsidP="00346C57">
      <w:pPr>
        <w:rPr>
          <w:rFonts w:asciiTheme="majorHAnsi" w:hAnsiTheme="majorHAnsi" w:cstheme="majorHAnsi"/>
          <w:sz w:val="16"/>
          <w:szCs w:val="16"/>
        </w:rPr>
      </w:pPr>
      <w:r w:rsidRPr="003D65E4">
        <w:rPr>
          <w:rStyle w:val="StyleStyleBold12pt"/>
          <w:rFonts w:asciiTheme="majorHAnsi" w:hAnsiTheme="majorHAnsi" w:cstheme="majorHAnsi"/>
        </w:rPr>
        <w:t xml:space="preserve">Ashby </w:t>
      </w:r>
      <w:r w:rsidR="00436FAB" w:rsidRPr="003D65E4">
        <w:rPr>
          <w:rStyle w:val="StyleStyleBold12pt"/>
          <w:rFonts w:asciiTheme="majorHAnsi" w:hAnsiTheme="majorHAnsi" w:cstheme="majorHAnsi"/>
        </w:rPr>
        <w:t xml:space="preserve">your author </w:t>
      </w:r>
      <w:r w:rsidRPr="003D65E4">
        <w:rPr>
          <w:rStyle w:val="StyleStyleBold12pt"/>
          <w:rFonts w:asciiTheme="majorHAnsi" w:hAnsiTheme="majorHAnsi" w:cstheme="majorHAnsi"/>
        </w:rPr>
        <w:t xml:space="preserve">‘9 </w:t>
      </w:r>
      <w:r w:rsidRPr="003D65E4">
        <w:rPr>
          <w:rFonts w:asciiTheme="majorHAnsi" w:hAnsiTheme="majorHAnsi" w:cstheme="majorHAnsi"/>
        </w:rPr>
        <w:t>[</w:t>
      </w:r>
      <w:r w:rsidRPr="003D65E4">
        <w:rPr>
          <w:rFonts w:asciiTheme="majorHAnsi" w:hAnsiTheme="majorHAnsi" w:cstheme="majorHAnsi"/>
          <w:sz w:val="16"/>
          <w:szCs w:val="16"/>
        </w:rPr>
        <w:t xml:space="preserve">Spring 2009, Timothy, JD from Seattle University Law School and PhD from the University of Southern California and MBA from the University of Edinburgh, “U.S. Certified Claims Against Cuba: Legal Reality and Likely Settlement Mechanisms,” University of Miami Inter-American Law Review, 40 U. Miami Inter-Am. L. Rev. 413, JSTOR] </w:t>
      </w:r>
    </w:p>
    <w:p w:rsidR="00346C57" w:rsidRPr="003D65E4" w:rsidRDefault="00346C57" w:rsidP="00346C57">
      <w:pPr>
        <w:rPr>
          <w:rFonts w:asciiTheme="majorHAnsi" w:hAnsiTheme="majorHAnsi" w:cstheme="majorHAnsi"/>
        </w:rPr>
      </w:pPr>
    </w:p>
    <w:p w:rsidR="00346C57" w:rsidRPr="003D65E4" w:rsidRDefault="00346C57" w:rsidP="00346C57">
      <w:pPr>
        <w:rPr>
          <w:rFonts w:asciiTheme="majorHAnsi" w:hAnsiTheme="majorHAnsi" w:cstheme="majorHAnsi"/>
          <w:sz w:val="16"/>
          <w:szCs w:val="16"/>
        </w:rPr>
      </w:pPr>
      <w:r w:rsidRPr="003D65E4">
        <w:rPr>
          <w:rStyle w:val="StyleBoldUnderline"/>
          <w:rFonts w:asciiTheme="majorHAnsi" w:hAnsiTheme="majorHAnsi" w:cstheme="majorHAnsi"/>
          <w:b w:val="0"/>
        </w:rPr>
        <w:t>In the end, owners of U.S. Certified Claims against Cuba</w:t>
      </w:r>
      <w:r w:rsidRPr="003D65E4">
        <w:rPr>
          <w:rFonts w:asciiTheme="majorHAnsi" w:hAnsiTheme="majorHAnsi" w:cstheme="majorHAnsi"/>
          <w:sz w:val="16"/>
          <w:szCs w:val="16"/>
        </w:rPr>
        <w:t xml:space="preserve"> (including corporate successors in interest and grandchildren of the original private claimants) </w:t>
      </w:r>
      <w:r w:rsidRPr="003D65E4">
        <w:rPr>
          <w:rStyle w:val="StyleBoldUnderline"/>
          <w:rFonts w:asciiTheme="majorHAnsi" w:hAnsiTheme="majorHAnsi" w:cstheme="majorHAnsi"/>
          <w:b w:val="0"/>
        </w:rPr>
        <w:t>would probably receive Cuban bonds of minimal value in compensation whether they pursue the time and expense of litigation in a Cuban court, or wait for the U.S. government to settle on their behalf. The optimal solution for all stakeholders may be a private sector settlement via a special situations fund that avoids contentious and pr</w:t>
      </w:r>
      <w:r w:rsidR="002B02A4" w:rsidRPr="003D65E4">
        <w:rPr>
          <w:rStyle w:val="StyleBoldUnderline"/>
          <w:rFonts w:asciiTheme="majorHAnsi" w:hAnsiTheme="majorHAnsi" w:cstheme="majorHAnsi"/>
          <w:b w:val="0"/>
        </w:rPr>
        <w:t>otracted diplomatic negotiation.</w:t>
      </w:r>
      <w:r w:rsidR="002B02A4" w:rsidRPr="003D65E4">
        <w:rPr>
          <w:rFonts w:asciiTheme="majorHAnsi" w:hAnsiTheme="majorHAnsi" w:cstheme="majorHAnsi"/>
          <w:sz w:val="16"/>
          <w:szCs w:val="16"/>
        </w:rPr>
        <w:t xml:space="preserve"> </w:t>
      </w:r>
    </w:p>
    <w:p w:rsidR="00513EEA" w:rsidRPr="003D65E4" w:rsidRDefault="00513EEA" w:rsidP="00346C57">
      <w:pPr>
        <w:rPr>
          <w:rFonts w:asciiTheme="majorHAnsi" w:hAnsiTheme="majorHAnsi" w:cstheme="majorHAnsi"/>
          <w:sz w:val="16"/>
          <w:szCs w:val="16"/>
        </w:rPr>
      </w:pPr>
    </w:p>
    <w:p w:rsidR="00513EEA" w:rsidRPr="003D65E4" w:rsidRDefault="00513EEA" w:rsidP="003D65E4">
      <w:pPr>
        <w:pStyle w:val="Heading1"/>
        <w:rPr>
          <w:rFonts w:asciiTheme="majorHAnsi" w:hAnsiTheme="majorHAnsi" w:cstheme="majorHAnsi"/>
        </w:rPr>
      </w:pPr>
      <w:r w:rsidRPr="003D65E4">
        <w:rPr>
          <w:rFonts w:asciiTheme="majorHAnsi" w:hAnsiTheme="majorHAnsi" w:cstheme="majorHAnsi"/>
        </w:rPr>
        <w:lastRenderedPageBreak/>
        <w:t>Overturn citizens united cp</w:t>
      </w:r>
    </w:p>
    <w:p w:rsidR="00436FAB" w:rsidRPr="003D65E4" w:rsidRDefault="00436FAB" w:rsidP="00F63860">
      <w:pPr>
        <w:rPr>
          <w:rFonts w:asciiTheme="majorHAnsi" w:hAnsiTheme="majorHAnsi" w:cstheme="majorHAnsi"/>
          <w:b/>
          <w:sz w:val="24"/>
        </w:rPr>
      </w:pPr>
    </w:p>
    <w:p w:rsidR="00F63860" w:rsidRPr="003D65E4" w:rsidRDefault="0080531A" w:rsidP="00F63860">
      <w:pPr>
        <w:rPr>
          <w:rFonts w:asciiTheme="majorHAnsi" w:hAnsiTheme="majorHAnsi" w:cstheme="majorHAnsi"/>
          <w:b/>
          <w:sz w:val="24"/>
        </w:rPr>
      </w:pPr>
      <w:r w:rsidRPr="003D65E4">
        <w:rPr>
          <w:rFonts w:asciiTheme="majorHAnsi" w:hAnsiTheme="majorHAnsi" w:cstheme="majorHAnsi"/>
          <w:b/>
          <w:sz w:val="24"/>
        </w:rPr>
        <w:t xml:space="preserve">The United States Supreme Court should over turn Citizens United vs. </w:t>
      </w:r>
      <w:r w:rsidR="001633D6" w:rsidRPr="003D65E4">
        <w:rPr>
          <w:rFonts w:asciiTheme="majorHAnsi" w:hAnsiTheme="majorHAnsi" w:cstheme="majorHAnsi"/>
          <w:b/>
          <w:sz w:val="24"/>
        </w:rPr>
        <w:t xml:space="preserve">the Federal Electoral Commission </w:t>
      </w:r>
      <w:r w:rsidR="00F63860" w:rsidRPr="003D65E4">
        <w:rPr>
          <w:rFonts w:asciiTheme="majorHAnsi" w:hAnsiTheme="majorHAnsi" w:cstheme="majorHAnsi"/>
          <w:b/>
          <w:sz w:val="24"/>
        </w:rPr>
        <w:t>558 </w:t>
      </w:r>
      <w:hyperlink r:id="rId8" w:tooltip="United States Reports" w:history="1">
        <w:r w:rsidR="00F63860" w:rsidRPr="003D65E4">
          <w:rPr>
            <w:rFonts w:asciiTheme="majorHAnsi" w:hAnsiTheme="majorHAnsi" w:cstheme="majorHAnsi"/>
            <w:b/>
            <w:sz w:val="24"/>
          </w:rPr>
          <w:t>U.S.</w:t>
        </w:r>
      </w:hyperlink>
      <w:r w:rsidR="00F63860" w:rsidRPr="003D65E4">
        <w:rPr>
          <w:rFonts w:asciiTheme="majorHAnsi" w:hAnsiTheme="majorHAnsi" w:cstheme="majorHAnsi"/>
          <w:b/>
          <w:sz w:val="24"/>
        </w:rPr>
        <w:t> </w:t>
      </w:r>
      <w:hyperlink r:id="rId9" w:history="1">
        <w:r w:rsidR="00F63860" w:rsidRPr="003D65E4">
          <w:rPr>
            <w:rFonts w:asciiTheme="majorHAnsi" w:hAnsiTheme="majorHAnsi" w:cstheme="majorHAnsi"/>
            <w:b/>
            <w:sz w:val="24"/>
          </w:rPr>
          <w:t>310</w:t>
        </w:r>
      </w:hyperlink>
    </w:p>
    <w:p w:rsidR="0080531A" w:rsidRPr="003D65E4" w:rsidRDefault="0080531A" w:rsidP="00436FAB">
      <w:pPr>
        <w:rPr>
          <w:rFonts w:asciiTheme="majorHAnsi" w:hAnsiTheme="majorHAnsi" w:cstheme="majorHAnsi"/>
          <w:b/>
          <w:sz w:val="24"/>
        </w:rPr>
      </w:pPr>
    </w:p>
    <w:p w:rsidR="00436FAB" w:rsidRPr="003D65E4" w:rsidRDefault="00436FAB" w:rsidP="00436FAB">
      <w:pPr>
        <w:rPr>
          <w:rFonts w:asciiTheme="majorHAnsi" w:hAnsiTheme="majorHAnsi" w:cstheme="majorHAnsi"/>
          <w:b/>
          <w:sz w:val="24"/>
        </w:rPr>
      </w:pPr>
      <w:r w:rsidRPr="003D65E4">
        <w:rPr>
          <w:rFonts w:asciiTheme="majorHAnsi" w:hAnsiTheme="majorHAnsi" w:cstheme="majorHAnsi"/>
          <w:b/>
          <w:sz w:val="24"/>
        </w:rPr>
        <w:t>Its what your evidence ACTUALLY advocates</w:t>
      </w:r>
    </w:p>
    <w:p w:rsidR="00436FAB" w:rsidRPr="003D65E4" w:rsidRDefault="00436FAB" w:rsidP="00436FAB">
      <w:pPr>
        <w:rPr>
          <w:rFonts w:asciiTheme="majorHAnsi" w:hAnsiTheme="majorHAnsi" w:cstheme="majorHAnsi"/>
          <w:sz w:val="16"/>
          <w:szCs w:val="16"/>
        </w:rPr>
      </w:pPr>
      <w:r w:rsidRPr="003D65E4">
        <w:rPr>
          <w:rFonts w:asciiTheme="majorHAnsi" w:hAnsiTheme="majorHAnsi" w:cstheme="majorHAnsi"/>
          <w:b/>
          <w:sz w:val="24"/>
        </w:rPr>
        <w:t>Moyers Your author after you cut it ’12</w:t>
      </w:r>
      <w:r w:rsidRPr="003D65E4">
        <w:rPr>
          <w:rFonts w:asciiTheme="majorHAnsi" w:hAnsiTheme="majorHAnsi" w:cstheme="majorHAnsi"/>
        </w:rPr>
        <w:t xml:space="preserve"> </w:t>
      </w:r>
      <w:r w:rsidRPr="003D65E4">
        <w:rPr>
          <w:rFonts w:asciiTheme="majorHAnsi" w:hAnsiTheme="majorHAnsi" w:cstheme="majorHAnsi"/>
          <w:sz w:val="16"/>
          <w:szCs w:val="16"/>
        </w:rPr>
        <w:t xml:space="preserve">[2012, Bill, PBS journalist and former White House press secretary, “Fighting Back Against Corporate Personhood,” </w:t>
      </w:r>
      <w:hyperlink r:id="rId10" w:history="1">
        <w:r w:rsidRPr="003D65E4">
          <w:rPr>
            <w:rFonts w:asciiTheme="majorHAnsi" w:hAnsiTheme="majorHAnsi" w:cstheme="majorHAnsi"/>
            <w:sz w:val="16"/>
            <w:szCs w:val="16"/>
          </w:rPr>
          <w:t>http://www.truth-out.org/article/item/6319:fighting-back-against-corporate-personhood</w:t>
        </w:r>
      </w:hyperlink>
      <w:r w:rsidRPr="003D65E4">
        <w:rPr>
          <w:rFonts w:asciiTheme="majorHAnsi" w:hAnsiTheme="majorHAnsi" w:cstheme="majorHAnsi"/>
          <w:sz w:val="16"/>
          <w:szCs w:val="16"/>
        </w:rPr>
        <w:t xml:space="preserve">] </w:t>
      </w:r>
    </w:p>
    <w:p w:rsidR="00513EEA" w:rsidRPr="003D65E4" w:rsidRDefault="00513EEA" w:rsidP="00513EEA">
      <w:pPr>
        <w:rPr>
          <w:rFonts w:asciiTheme="majorHAnsi" w:hAnsiTheme="majorHAnsi" w:cstheme="majorHAnsi"/>
          <w:sz w:val="16"/>
          <w:szCs w:val="16"/>
        </w:rPr>
      </w:pPr>
    </w:p>
    <w:p w:rsidR="00513EEA" w:rsidRPr="003D65E4" w:rsidRDefault="00513EEA" w:rsidP="00513EEA">
      <w:pPr>
        <w:rPr>
          <w:rStyle w:val="StyleBoldUnderline"/>
          <w:rFonts w:asciiTheme="majorHAnsi" w:hAnsiTheme="majorHAnsi" w:cstheme="majorHAnsi"/>
          <w:b w:val="0"/>
        </w:rPr>
      </w:pPr>
      <w:r w:rsidRPr="003D65E4">
        <w:rPr>
          <w:rStyle w:val="StyleBoldUnderline"/>
          <w:rFonts w:asciiTheme="majorHAnsi" w:hAnsiTheme="majorHAnsi" w:cstheme="majorHAnsi"/>
          <w:b w:val="0"/>
        </w:rPr>
        <w:t>That’s the doctrine picked up and dusted off by</w:t>
      </w:r>
      <w:r w:rsidRPr="003D65E4">
        <w:rPr>
          <w:rFonts w:asciiTheme="majorHAnsi" w:hAnsiTheme="majorHAnsi" w:cstheme="majorHAnsi"/>
          <w:sz w:val="16"/>
          <w:szCs w:val="16"/>
        </w:rPr>
        <w:t xml:space="preserve"> </w:t>
      </w:r>
      <w:r w:rsidRPr="003D65E4">
        <w:rPr>
          <w:rStyle w:val="StyleBoldUnderline"/>
          <w:rFonts w:asciiTheme="majorHAnsi" w:hAnsiTheme="majorHAnsi" w:cstheme="majorHAnsi"/>
          <w:b w:val="0"/>
        </w:rPr>
        <w:t>the</w:t>
      </w:r>
      <w:r w:rsidRPr="003D65E4">
        <w:rPr>
          <w:rFonts w:asciiTheme="majorHAnsi" w:hAnsiTheme="majorHAnsi" w:cstheme="majorHAnsi"/>
          <w:sz w:val="16"/>
          <w:szCs w:val="16"/>
        </w:rPr>
        <w:t xml:space="preserve"> John </w:t>
      </w:r>
      <w:r w:rsidRPr="003D65E4">
        <w:rPr>
          <w:rStyle w:val="StyleBoldUnderline"/>
          <w:rFonts w:asciiTheme="majorHAnsi" w:hAnsiTheme="majorHAnsi" w:cstheme="majorHAnsi"/>
          <w:b w:val="0"/>
        </w:rPr>
        <w:t>Roberts Court in its ruling on Citizens United. Ignoring a century of modifying precedent, the court gave our corporate sovereigns a “sky’s the limit” right to pour money into political campaigns for the purpose of influencing the outcome. And to do so without public disclosure. We might as well say farewell to the very idea of fair play. Farewell, too, to representative government “of, by, and for the people.”</w:t>
      </w:r>
      <w:r w:rsidRPr="003D65E4">
        <w:rPr>
          <w:rStyle w:val="StyleBoldUnderline"/>
          <w:rFonts w:asciiTheme="majorHAnsi" w:hAnsiTheme="majorHAnsi" w:cstheme="majorHAnsi"/>
          <w:b w:val="0"/>
        </w:rPr>
        <w:br/>
        <w:t>Unless.</w:t>
      </w:r>
    </w:p>
    <w:p w:rsidR="00513EEA" w:rsidRPr="003D65E4" w:rsidRDefault="00513EEA" w:rsidP="00513EEA">
      <w:pPr>
        <w:rPr>
          <w:rFonts w:asciiTheme="majorHAnsi" w:hAnsiTheme="majorHAnsi" w:cstheme="majorHAnsi"/>
          <w:sz w:val="16"/>
          <w:szCs w:val="16"/>
        </w:rPr>
      </w:pPr>
      <w:r w:rsidRPr="003D65E4">
        <w:rPr>
          <w:rStyle w:val="StyleBoldUnderline"/>
          <w:rFonts w:asciiTheme="majorHAnsi" w:hAnsiTheme="majorHAnsi" w:cstheme="majorHAnsi"/>
          <w:b w:val="0"/>
        </w:rPr>
        <w:t>Unless “We, the People”—flesh-and-blood humans, outraged at the selling off of our government—fight back.</w:t>
      </w:r>
      <w:r w:rsidRPr="003D65E4">
        <w:rPr>
          <w:rStyle w:val="StyleBoldUnderline"/>
          <w:rFonts w:asciiTheme="majorHAnsi" w:hAnsiTheme="majorHAnsi" w:cstheme="majorHAnsi"/>
          <w:b w:val="0"/>
        </w:rPr>
        <w:br/>
      </w:r>
      <w:r w:rsidRPr="003D65E4">
        <w:rPr>
          <w:rFonts w:asciiTheme="majorHAnsi" w:hAnsiTheme="majorHAnsi" w:cstheme="majorHAnsi"/>
          <w:sz w:val="16"/>
          <w:szCs w:val="16"/>
        </w:rPr>
        <w:t>It’s been done before. As my friend and longtime colleague, the historian Bernard Weisberger, wrote recently, the Supreme Court remained a procorporate conservative fortress for the next fifty years after the Southern Pacific decision. Decade after decade it struck down laws aimed to share power with the citizenry and to promote “the general welfare.” In 1895, it declared unconstitutional a measure providing for an income tax and gutted the Sherman Antitrust Act by finding a loophole for a sugar trust. In 1905, it killed a New York state law limiting working hours. In 1917, it did likewise to a prohibition against child labor. In 1923, it wiped out another law that set minimum wages for women. In 1935 and 1936, it struck down early New Deal recovery acts.</w:t>
      </w:r>
    </w:p>
    <w:p w:rsidR="00513EEA" w:rsidRPr="003D65E4" w:rsidRDefault="00513EEA" w:rsidP="00513EEA">
      <w:pPr>
        <w:rPr>
          <w:rFonts w:asciiTheme="majorHAnsi" w:hAnsiTheme="majorHAnsi" w:cstheme="majorHAnsi"/>
          <w:sz w:val="16"/>
          <w:szCs w:val="16"/>
        </w:rPr>
      </w:pPr>
      <w:r w:rsidRPr="003D65E4">
        <w:rPr>
          <w:rFonts w:asciiTheme="majorHAnsi" w:hAnsiTheme="majorHAnsi" w:cstheme="majorHAnsi"/>
          <w:sz w:val="16"/>
          <w:szCs w:val="16"/>
        </w:rPr>
        <w:t>But in the face of such discouragement, embattled citizens refused to give up. Into their hearts, wrote the progressive Kansas journalist William Allen White, “had come a sense that their civilization needed recasting, that the government had fallen into the hands of self-seekers, that a new relationship should be established between the haves and the have-nots.” Not content merely to wring their hands and cry “Woe is us,” everyday citizens researched the issues, organized public events to educate their neighbors, held rallies, made speeches, petitioned and canvassed, marched and exhorted. They would elect the twentieth-century governments that restored “the general welfare” as a pillar of American democracy, setting in place legally ordained minimum wages, maximum working hours, child labor laws, workmen’s safety and compensation laws, pure foods and safe drugs, Social Security and Medicare, and rules to promote competitive rather than monopolistic financial and business markets.</w:t>
      </w:r>
    </w:p>
    <w:p w:rsidR="00513EEA" w:rsidRPr="003D65E4" w:rsidRDefault="00513EEA" w:rsidP="00513EEA">
      <w:pPr>
        <w:rPr>
          <w:rFonts w:asciiTheme="majorHAnsi" w:hAnsiTheme="majorHAnsi" w:cstheme="majorHAnsi"/>
          <w:sz w:val="16"/>
          <w:szCs w:val="16"/>
        </w:rPr>
      </w:pPr>
      <w:r w:rsidRPr="003D65E4">
        <w:rPr>
          <w:rFonts w:asciiTheme="majorHAnsi" w:hAnsiTheme="majorHAnsi" w:cstheme="majorHAnsi"/>
          <w:sz w:val="16"/>
          <w:szCs w:val="16"/>
        </w:rPr>
        <w:t>T</w:t>
      </w:r>
      <w:r w:rsidRPr="003D65E4">
        <w:rPr>
          <w:rStyle w:val="StyleBoldUnderline"/>
          <w:rFonts w:asciiTheme="majorHAnsi" w:hAnsiTheme="majorHAnsi" w:cstheme="majorHAnsi"/>
          <w:b w:val="0"/>
        </w:rPr>
        <w:t>he social contract that emerged from these victories is part and parcel of the “general welfare” to which the Founders had dedicated our Constitution. The corporate and political right seeks now to weaken and ultimately destroy it</w:t>
      </w:r>
      <w:r w:rsidRPr="003D65E4">
        <w:rPr>
          <w:rFonts w:asciiTheme="majorHAnsi" w:hAnsiTheme="majorHAnsi" w:cstheme="majorHAnsi"/>
          <w:sz w:val="16"/>
          <w:szCs w:val="16"/>
        </w:rPr>
        <w:t xml:space="preserve">. </w:t>
      </w:r>
      <w:r w:rsidRPr="003D65E4">
        <w:rPr>
          <w:rStyle w:val="StyleBoldUnderline"/>
          <w:rFonts w:asciiTheme="majorHAnsi" w:hAnsiTheme="majorHAnsi" w:cstheme="majorHAnsi"/>
          <w:b w:val="0"/>
        </w:rPr>
        <w:t xml:space="preserve">Thanks to their ideological kin on the Supreme Court, they can attack the social contract using their abundant resources of wealth funneled— clandestinely—into political campaigns. </w:t>
      </w:r>
      <w:r w:rsidRPr="003D65E4">
        <w:rPr>
          <w:rFonts w:asciiTheme="majorHAnsi" w:hAnsiTheme="majorHAnsi" w:cstheme="majorHAnsi"/>
          <w:sz w:val="16"/>
          <w:szCs w:val="16"/>
        </w:rPr>
        <w:t>During the fall elections of 2010, the first after the Citizens United decision, corporate front groups spent $126 million while hiding the identities of the donors, according to the Sunlight Foundation. The United States Chamber of Commerce, which touts itself as a “main street” grass- roots organization, draws most of its funds from about a hundred businesses, including such “main street” sources as BP, Exxon- Mobil, JPMorgan Chase, Massey Coal, Pfizer, Shell, Aetna, and Alcoa. The ink was hardly dry on the Citizens United decision when the Chamber organized a covertly funded front and fired volley after volley of missiles, in the form of political ads, into the 2010 campaigns, eventually spending approximately $75 million. Another corporate cover group—the Americans Action Net- work—spent over $26 million of undisclosed corporate money in six Senate races and 28 House of Representative elections. And “Crossroads GPS” seized on Citizens United to raise and spend at least $17 million that NBC News said came from “a small circle of extremely wealthy Wall Street hedge fund and private equity moguls,” all determined to water down the financial reforms designed to avoid a collapse of the financial system that their own greed and reckless speculation had helped bring on. As I write in the summer of 2011, the New York Times reports that efforts to thwart serious reforms are succeeding. The populist editor Jim Hightower concludes that today’s proponents of corporate plutocracy “have simply elevated money itself above votes, establishing cold, hard cash as the real coin of political power. The more you spend on politics, the bigger your voice is in government, making the vast vaults of billionaires and corporations far superior to the voices of mere voters.”</w:t>
      </w:r>
    </w:p>
    <w:p w:rsidR="00513EEA" w:rsidRPr="003D65E4" w:rsidRDefault="00513EEA" w:rsidP="00513EEA">
      <w:pPr>
        <w:rPr>
          <w:rFonts w:asciiTheme="majorHAnsi" w:hAnsiTheme="majorHAnsi" w:cstheme="majorHAnsi"/>
          <w:sz w:val="16"/>
          <w:szCs w:val="16"/>
        </w:rPr>
      </w:pPr>
      <w:r w:rsidRPr="003D65E4">
        <w:rPr>
          <w:rStyle w:val="StyleBoldUnderline"/>
          <w:rFonts w:asciiTheme="majorHAnsi" w:hAnsiTheme="majorHAnsi" w:cstheme="majorHAnsi"/>
          <w:b w:val="0"/>
        </w:rPr>
        <w:lastRenderedPageBreak/>
        <w:t>Against such odds, discouragement comes easily. But if the generations before us had given up, slaves would be waiting on our tables and picking our crops, women would be turned back at the voting booths, and it would be a crime for workers to organize. Like our forebears, we will not fix the broken promise of America—the promise of “life, liberty, and the pursuit of happiness” for all our citizens, not just the powerful and privileged—if we throw in the proverbial towel. Surrendering to plutocracy is not an option</w:t>
      </w:r>
      <w:r w:rsidRPr="003D65E4">
        <w:rPr>
          <w:rFonts w:asciiTheme="majorHAnsi" w:hAnsiTheme="majorHAnsi" w:cstheme="majorHAnsi"/>
          <w:sz w:val="16"/>
          <w:szCs w:val="16"/>
        </w:rPr>
        <w:t>. Confronting a moment in our history that is much like the one Lincoln faced—when “we can nobly save or meanly lose the last best hope on earth”—we must fight back against the forces that are pouring dirty money into the political system, turning it into a sewer.</w:t>
      </w:r>
    </w:p>
    <w:p w:rsidR="00513EEA" w:rsidRPr="003D65E4" w:rsidRDefault="00513EEA" w:rsidP="00513EEA">
      <w:pPr>
        <w:rPr>
          <w:rStyle w:val="StyleBoldUnderline"/>
          <w:rFonts w:asciiTheme="majorHAnsi" w:hAnsiTheme="majorHAnsi" w:cstheme="majorHAnsi"/>
          <w:b w:val="0"/>
        </w:rPr>
      </w:pPr>
      <w:r w:rsidRPr="003D65E4">
        <w:rPr>
          <w:rFonts w:asciiTheme="majorHAnsi" w:hAnsiTheme="majorHAnsi" w:cstheme="majorHAnsi"/>
          <w:sz w:val="16"/>
          <w:szCs w:val="16"/>
        </w:rPr>
        <w:t xml:space="preserve">How to fight back is the message of this book. Jeffrey Clements saw corporate behavior up close during two stints as assistant attorney general in Massachusetts, litigating against the tobacco industry, enforcing fair trade practices, and leading more than one hundred attorneys and staff responsible for consumer and environmental protection, antitrust practices, and the oversight of health care, insurance, and financial services. He came away from the experience repeating to himself this indelible truth: “Corporations are not people.” Try it yourself: “Corporations are not people.” Again: “Corporations are not people.” </w:t>
      </w:r>
      <w:r w:rsidRPr="003D65E4">
        <w:rPr>
          <w:rStyle w:val="StyleBoldUnderline"/>
          <w:rFonts w:asciiTheme="majorHAnsi" w:hAnsiTheme="majorHAnsi" w:cstheme="majorHAnsi"/>
          <w:b w:val="0"/>
        </w:rPr>
        <w:t>You are now ready to join what Clements believes is the most promising way to counter Citizens United: a campaign for a constitutional amendment affirming that free speech and democracy are for people and that corporations are not people. Impossible? Not at all, says Clements. We have already amended the Constitution twenty-seven times. Amendment campaigns are how we have always made the promise of equality and liberty more real.</w:t>
      </w:r>
      <w:r w:rsidRPr="003D65E4">
        <w:rPr>
          <w:rFonts w:asciiTheme="majorHAnsi" w:hAnsiTheme="majorHAnsi" w:cstheme="majorHAnsi"/>
          <w:sz w:val="16"/>
          <w:szCs w:val="16"/>
        </w:rPr>
        <w:t xml:space="preserve"> Difficult? Of course; as Frederick Douglass taught us, power concedes nothing without a struggle. To contend with power, Clements and his colleague John Bonifaz founded Free Speech for People, a nationwide nonpartisan effort to overturn Citizens United and corporate rights doctrines that unduly leverage corporate economic power into political power. What Clements calls the People’s Rights Amendment could be our </w:t>
      </w:r>
      <w:r w:rsidRPr="003D65E4">
        <w:rPr>
          <w:rStyle w:val="StyleBoldUnderline"/>
          <w:rFonts w:asciiTheme="majorHAnsi" w:hAnsiTheme="majorHAnsi" w:cstheme="majorHAnsi"/>
          <w:b w:val="0"/>
        </w:rPr>
        <w:t>best hope to save the “great American experiment.”</w:t>
      </w:r>
    </w:p>
    <w:p w:rsidR="00513EEA" w:rsidRPr="003D65E4" w:rsidRDefault="00513EEA" w:rsidP="00513EEA">
      <w:pPr>
        <w:rPr>
          <w:rFonts w:asciiTheme="majorHAnsi" w:hAnsiTheme="majorHAnsi" w:cstheme="majorHAnsi"/>
          <w:sz w:val="16"/>
          <w:szCs w:val="16"/>
        </w:rPr>
      </w:pPr>
    </w:p>
    <w:p w:rsidR="00BD662C" w:rsidRPr="003D65E4" w:rsidRDefault="00BD662C" w:rsidP="00D41450">
      <w:pPr>
        <w:rPr>
          <w:rFonts w:asciiTheme="majorHAnsi" w:hAnsiTheme="majorHAnsi" w:cstheme="majorHAnsi"/>
          <w:sz w:val="16"/>
          <w:szCs w:val="16"/>
        </w:rPr>
      </w:pPr>
    </w:p>
    <w:p w:rsidR="003D65E4" w:rsidRPr="003D65E4" w:rsidRDefault="003D65E4" w:rsidP="003D65E4">
      <w:pPr>
        <w:rPr>
          <w:rFonts w:asciiTheme="majorHAnsi" w:hAnsiTheme="majorHAnsi" w:cstheme="majorHAnsi"/>
        </w:rPr>
      </w:pPr>
    </w:p>
    <w:p w:rsidR="003D65E4" w:rsidRPr="003D65E4" w:rsidRDefault="003D65E4" w:rsidP="003D65E4">
      <w:pPr>
        <w:pStyle w:val="Heading1"/>
        <w:rPr>
          <w:rFonts w:asciiTheme="majorHAnsi" w:hAnsiTheme="majorHAnsi" w:cstheme="majorHAnsi"/>
        </w:rPr>
      </w:pPr>
      <w:r w:rsidRPr="003D65E4">
        <w:rPr>
          <w:rFonts w:asciiTheme="majorHAnsi" w:hAnsiTheme="majorHAnsi" w:cstheme="majorHAnsi"/>
        </w:rPr>
        <w:lastRenderedPageBreak/>
        <w:t>Trade Turn</w:t>
      </w:r>
    </w:p>
    <w:p w:rsidR="003D65E4" w:rsidRPr="003D65E4" w:rsidRDefault="003D65E4" w:rsidP="003D65E4">
      <w:pPr>
        <w:pStyle w:val="Heading4"/>
        <w:rPr>
          <w:rFonts w:asciiTheme="majorHAnsi" w:hAnsiTheme="majorHAnsi" w:cstheme="majorHAnsi"/>
        </w:rPr>
      </w:pPr>
      <w:r w:rsidRPr="003D65E4">
        <w:rPr>
          <w:rFonts w:asciiTheme="majorHAnsi" w:hAnsiTheme="majorHAnsi" w:cstheme="majorHAnsi"/>
        </w:rPr>
        <w:t>Turn – A blind eye to Expropriation destroys investor confidence</w:t>
      </w:r>
    </w:p>
    <w:p w:rsidR="003D65E4" w:rsidRPr="003D65E4" w:rsidRDefault="003D65E4" w:rsidP="003D65E4">
      <w:pPr>
        <w:rPr>
          <w:rFonts w:asciiTheme="majorHAnsi" w:hAnsiTheme="majorHAnsi" w:cstheme="majorHAnsi"/>
        </w:rPr>
      </w:pPr>
    </w:p>
    <w:p w:rsidR="003D65E4" w:rsidRPr="003D65E4" w:rsidRDefault="003D65E4" w:rsidP="003D65E4">
      <w:pPr>
        <w:rPr>
          <w:rFonts w:asciiTheme="majorHAnsi" w:hAnsiTheme="majorHAnsi" w:cstheme="majorHAnsi"/>
          <w:b/>
          <w:bCs/>
          <w:sz w:val="26"/>
        </w:rPr>
      </w:pPr>
      <w:r w:rsidRPr="003D65E4">
        <w:rPr>
          <w:rStyle w:val="StyleStyleBold12pt"/>
          <w:rFonts w:asciiTheme="majorHAnsi" w:hAnsiTheme="majorHAnsi" w:cstheme="majorHAnsi"/>
        </w:rPr>
        <w:t>House of Representatives 1963 – (</w:t>
      </w:r>
      <w:r w:rsidRPr="003D65E4">
        <w:rPr>
          <w:rFonts w:asciiTheme="majorHAnsi" w:hAnsiTheme="majorHAnsi" w:cstheme="majorHAnsi"/>
        </w:rPr>
        <w:t xml:space="preserve">Reproduced from a committee print dated July 19, 1963, of the </w:t>
      </w:r>
      <w:r w:rsidRPr="003D65E4">
        <w:rPr>
          <w:rFonts w:asciiTheme="majorHAnsi" w:hAnsiTheme="majorHAnsi" w:cstheme="majorHAnsi"/>
          <w:sz w:val="12"/>
        </w:rPr>
        <w:t xml:space="preserve">¶ </w:t>
      </w:r>
      <w:r w:rsidRPr="003D65E4">
        <w:rPr>
          <w:rFonts w:asciiTheme="majorHAnsi" w:hAnsiTheme="majorHAnsi" w:cstheme="majorHAnsi"/>
        </w:rPr>
        <w:t xml:space="preserve">Committee on Foreign Affairs of the United States House of Representatives, 88th Congress, 1st Session. The report was prepared </w:t>
      </w:r>
      <w:r w:rsidRPr="003D65E4">
        <w:rPr>
          <w:rFonts w:asciiTheme="majorHAnsi" w:hAnsiTheme="majorHAnsi" w:cstheme="majorHAnsi"/>
          <w:sz w:val="12"/>
        </w:rPr>
        <w:t xml:space="preserve">¶ </w:t>
      </w:r>
      <w:r w:rsidRPr="003D65E4">
        <w:rPr>
          <w:rFonts w:asciiTheme="majorHAnsi" w:hAnsiTheme="majorHAnsi" w:cstheme="majorHAnsi"/>
        </w:rPr>
        <w:t xml:space="preserve">by Mrs. Ellen C. Collier, .Foreign Affairs Division, Legislative </w:t>
      </w:r>
      <w:r w:rsidRPr="003D65E4">
        <w:rPr>
          <w:rFonts w:asciiTheme="majorHAnsi" w:hAnsiTheme="majorHAnsi" w:cstheme="majorHAnsi"/>
          <w:sz w:val="12"/>
        </w:rPr>
        <w:t xml:space="preserve">¶ </w:t>
      </w:r>
      <w:r w:rsidRPr="003D65E4">
        <w:rPr>
          <w:rFonts w:asciiTheme="majorHAnsi" w:hAnsiTheme="majorHAnsi" w:cstheme="majorHAnsi"/>
        </w:rPr>
        <w:t xml:space="preserve">Reference Service, Library of Congress, at the request of Thomas E. </w:t>
      </w:r>
      <w:r w:rsidRPr="003D65E4">
        <w:rPr>
          <w:rFonts w:asciiTheme="majorHAnsi" w:hAnsiTheme="majorHAnsi" w:cstheme="majorHAnsi"/>
          <w:sz w:val="12"/>
        </w:rPr>
        <w:t xml:space="preserve">¶ </w:t>
      </w:r>
      <w:r w:rsidRPr="003D65E4">
        <w:rPr>
          <w:rFonts w:asciiTheme="majorHAnsi" w:hAnsiTheme="majorHAnsi" w:cstheme="majorHAnsi"/>
        </w:rPr>
        <w:t xml:space="preserve">Morgan, Chairman, Committee on Foreign Affairs. The report does </w:t>
      </w:r>
      <w:r w:rsidRPr="003D65E4">
        <w:rPr>
          <w:rFonts w:asciiTheme="majorHAnsi" w:hAnsiTheme="majorHAnsi" w:cstheme="majorHAnsi"/>
          <w:sz w:val="12"/>
        </w:rPr>
        <w:t xml:space="preserve">¶ </w:t>
      </w:r>
      <w:r w:rsidRPr="003D65E4">
        <w:rPr>
          <w:rFonts w:asciiTheme="majorHAnsi" w:hAnsiTheme="majorHAnsi" w:cstheme="majorHAnsi"/>
        </w:rPr>
        <w:t>not necessarily represent the views of the Committee on Foreign ¶ Affairs, the Library of Congress, or any agency of the United ¶ States Government, available online @ http://www.devkrishan.com/resources/USExpropriationPolicy/0E-House-of-Rep-Report-on-Expropriation-of-US-business-19-Jul-1963.pdf)</w:t>
      </w:r>
    </w:p>
    <w:p w:rsidR="003D65E4" w:rsidRPr="003D65E4" w:rsidRDefault="003D65E4" w:rsidP="003D65E4">
      <w:pPr>
        <w:rPr>
          <w:rFonts w:asciiTheme="majorHAnsi" w:hAnsiTheme="majorHAnsi" w:cstheme="majorHAnsi"/>
        </w:rPr>
      </w:pPr>
      <w:r w:rsidRPr="003D65E4">
        <w:rPr>
          <w:rFonts w:asciiTheme="majorHAnsi" w:hAnsiTheme="majorHAnsi" w:cstheme="majorHAnsi"/>
        </w:rPr>
        <w:t xml:space="preserve">A cursory examination of U.S. policy on expropriation could give </w:t>
      </w:r>
      <w:r w:rsidRPr="003D65E4">
        <w:rPr>
          <w:rFonts w:asciiTheme="majorHAnsi" w:hAnsiTheme="majorHAnsi" w:cstheme="majorHAnsi"/>
          <w:sz w:val="12"/>
        </w:rPr>
        <w:t xml:space="preserve">¶ </w:t>
      </w:r>
      <w:r w:rsidRPr="003D65E4">
        <w:rPr>
          <w:rFonts w:asciiTheme="majorHAnsi" w:hAnsiTheme="majorHAnsi" w:cstheme="majorHAnsi"/>
        </w:rPr>
        <w:t xml:space="preserve">the misleading impression that the United States is interested only in </w:t>
      </w:r>
      <w:r w:rsidRPr="003D65E4">
        <w:rPr>
          <w:rFonts w:asciiTheme="majorHAnsi" w:hAnsiTheme="majorHAnsi" w:cstheme="majorHAnsi"/>
          <w:sz w:val="12"/>
        </w:rPr>
        <w:t xml:space="preserve">¶ </w:t>
      </w:r>
      <w:r w:rsidRPr="003D65E4">
        <w:rPr>
          <w:rFonts w:asciiTheme="majorHAnsi" w:hAnsiTheme="majorHAnsi" w:cstheme="majorHAnsi"/>
        </w:rPr>
        <w:t xml:space="preserve">compensation for its businessmen, or that it is unsympathetic to the </w:t>
      </w:r>
      <w:r w:rsidRPr="003D65E4">
        <w:rPr>
          <w:rFonts w:asciiTheme="majorHAnsi" w:hAnsiTheme="majorHAnsi" w:cstheme="majorHAnsi"/>
          <w:sz w:val="12"/>
        </w:rPr>
        <w:t xml:space="preserve">¶ </w:t>
      </w:r>
      <w:r w:rsidRPr="003D65E4">
        <w:rPr>
          <w:rFonts w:asciiTheme="majorHAnsi" w:hAnsiTheme="majorHAnsi" w:cstheme="majorHAnsi"/>
        </w:rPr>
        <w:t xml:space="preserve">economic problems and aspirations of underdeveloped countries. At </w:t>
      </w:r>
      <w:r w:rsidRPr="003D65E4">
        <w:rPr>
          <w:rFonts w:asciiTheme="majorHAnsi" w:hAnsiTheme="majorHAnsi" w:cstheme="majorHAnsi"/>
          <w:sz w:val="12"/>
        </w:rPr>
        <w:t xml:space="preserve">¶ </w:t>
      </w:r>
      <w:r w:rsidRPr="003D65E4">
        <w:rPr>
          <w:rFonts w:asciiTheme="majorHAnsi" w:hAnsiTheme="majorHAnsi" w:cstheme="majorHAnsi"/>
        </w:rPr>
        <w:t xml:space="preserve">international conferences on the subject the Soviet Union has sought </w:t>
      </w:r>
      <w:r w:rsidRPr="003D65E4">
        <w:rPr>
          <w:rFonts w:asciiTheme="majorHAnsi" w:hAnsiTheme="majorHAnsi" w:cstheme="majorHAnsi"/>
          <w:sz w:val="12"/>
        </w:rPr>
        <w:t xml:space="preserve">¶ </w:t>
      </w:r>
      <w:r w:rsidRPr="003D65E4">
        <w:rPr>
          <w:rFonts w:asciiTheme="majorHAnsi" w:hAnsiTheme="majorHAnsi" w:cstheme="majorHAnsi"/>
        </w:rPr>
        <w:t xml:space="preserve">to sharpen this impression. ' </w:t>
      </w:r>
      <w:r w:rsidRPr="003D65E4">
        <w:rPr>
          <w:rFonts w:asciiTheme="majorHAnsi" w:hAnsiTheme="majorHAnsi" w:cstheme="majorHAnsi"/>
          <w:sz w:val="12"/>
        </w:rPr>
        <w:t xml:space="preserve">¶ </w:t>
      </w:r>
      <w:r w:rsidRPr="003D65E4">
        <w:rPr>
          <w:rFonts w:asciiTheme="majorHAnsi" w:hAnsiTheme="majorHAnsi" w:cstheme="majorHAnsi"/>
        </w:rPr>
        <w:t>Ironically, however</w:t>
      </w:r>
      <w:r w:rsidRPr="003D65E4">
        <w:rPr>
          <w:rStyle w:val="StyleStyleBold12pt"/>
          <w:rFonts w:asciiTheme="majorHAnsi" w:hAnsiTheme="majorHAnsi" w:cstheme="majorHAnsi"/>
        </w:rPr>
        <w:t xml:space="preserve">, </w:t>
      </w:r>
      <w:r w:rsidRPr="003D65E4">
        <w:rPr>
          <w:rStyle w:val="StyleBoldUnderline"/>
          <w:rFonts w:asciiTheme="majorHAnsi" w:hAnsiTheme="majorHAnsi" w:cstheme="majorHAnsi"/>
          <w:highlight w:val="green"/>
        </w:rPr>
        <w:t>it is</w:t>
      </w:r>
      <w:r w:rsidRPr="003D65E4">
        <w:rPr>
          <w:rFonts w:asciiTheme="majorHAnsi" w:hAnsiTheme="majorHAnsi" w:cstheme="majorHAnsi"/>
        </w:rPr>
        <w:t xml:space="preserve"> largely </w:t>
      </w:r>
      <w:r w:rsidRPr="003D65E4">
        <w:rPr>
          <w:rStyle w:val="StyleBoldUnderline"/>
          <w:rFonts w:asciiTheme="majorHAnsi" w:hAnsiTheme="majorHAnsi" w:cstheme="majorHAnsi"/>
          <w:highlight w:val="green"/>
        </w:rPr>
        <w:t>because</w:t>
      </w:r>
      <w:r w:rsidRPr="003D65E4">
        <w:rPr>
          <w:rFonts w:asciiTheme="majorHAnsi" w:hAnsiTheme="majorHAnsi" w:cstheme="majorHAnsi"/>
        </w:rPr>
        <w:t xml:space="preserve"> </w:t>
      </w:r>
      <w:r w:rsidRPr="003D65E4">
        <w:rPr>
          <w:rStyle w:val="StyleBoldUnderline"/>
          <w:rFonts w:asciiTheme="majorHAnsi" w:hAnsiTheme="majorHAnsi" w:cstheme="majorHAnsi"/>
          <w:highlight w:val="green"/>
        </w:rPr>
        <w:t>the</w:t>
      </w:r>
      <w:r w:rsidRPr="003D65E4">
        <w:rPr>
          <w:rFonts w:asciiTheme="majorHAnsi" w:hAnsiTheme="majorHAnsi" w:cstheme="majorHAnsi"/>
        </w:rPr>
        <w:t xml:space="preserve"> </w:t>
      </w:r>
      <w:r w:rsidRPr="003D65E4">
        <w:rPr>
          <w:rStyle w:val="StyleBoldUnderline"/>
          <w:rFonts w:asciiTheme="majorHAnsi" w:hAnsiTheme="majorHAnsi" w:cstheme="majorHAnsi"/>
          <w:highlight w:val="green"/>
        </w:rPr>
        <w:t>U</w:t>
      </w:r>
      <w:r w:rsidRPr="003D65E4">
        <w:rPr>
          <w:rFonts w:asciiTheme="majorHAnsi" w:hAnsiTheme="majorHAnsi" w:cstheme="majorHAnsi"/>
        </w:rPr>
        <w:t xml:space="preserve">nited </w:t>
      </w:r>
      <w:r w:rsidRPr="003D65E4">
        <w:rPr>
          <w:rStyle w:val="StyleBoldUnderline"/>
          <w:rFonts w:asciiTheme="majorHAnsi" w:hAnsiTheme="majorHAnsi" w:cstheme="majorHAnsi"/>
          <w:highlight w:val="green"/>
        </w:rPr>
        <w:t>S</w:t>
      </w:r>
      <w:r w:rsidRPr="003D65E4">
        <w:rPr>
          <w:rFonts w:asciiTheme="majorHAnsi" w:hAnsiTheme="majorHAnsi" w:cstheme="majorHAnsi"/>
        </w:rPr>
        <w:t xml:space="preserve">tates has </w:t>
      </w:r>
      <w:r w:rsidRPr="003D65E4">
        <w:rPr>
          <w:rFonts w:asciiTheme="majorHAnsi" w:hAnsiTheme="majorHAnsi" w:cstheme="majorHAnsi"/>
          <w:sz w:val="12"/>
        </w:rPr>
        <w:t xml:space="preserve">¶ </w:t>
      </w:r>
      <w:r w:rsidRPr="003D65E4">
        <w:rPr>
          <w:rStyle w:val="StyleBoldUnderline"/>
          <w:rFonts w:asciiTheme="majorHAnsi" w:hAnsiTheme="majorHAnsi" w:cstheme="majorHAnsi"/>
          <w:highlight w:val="green"/>
        </w:rPr>
        <w:t>want</w:t>
      </w:r>
      <w:r w:rsidRPr="003D65E4">
        <w:rPr>
          <w:rFonts w:asciiTheme="majorHAnsi" w:hAnsiTheme="majorHAnsi" w:cstheme="majorHAnsi"/>
        </w:rPr>
        <w:t xml:space="preserve">ed </w:t>
      </w:r>
      <w:r w:rsidRPr="003D65E4">
        <w:rPr>
          <w:rStyle w:val="StyleBoldUnderline"/>
          <w:rFonts w:asciiTheme="majorHAnsi" w:hAnsiTheme="majorHAnsi" w:cstheme="majorHAnsi"/>
          <w:highlight w:val="green"/>
        </w:rPr>
        <w:t>to assist in</w:t>
      </w:r>
      <w:r w:rsidRPr="003D65E4">
        <w:rPr>
          <w:rFonts w:asciiTheme="majorHAnsi" w:hAnsiTheme="majorHAnsi" w:cstheme="majorHAnsi"/>
        </w:rPr>
        <w:t xml:space="preserve"> the </w:t>
      </w:r>
      <w:r w:rsidRPr="003D65E4">
        <w:rPr>
          <w:rStyle w:val="StyleBoldUnderline"/>
          <w:rFonts w:asciiTheme="majorHAnsi" w:hAnsiTheme="majorHAnsi" w:cstheme="majorHAnsi"/>
          <w:highlight w:val="green"/>
        </w:rPr>
        <w:t>economic development of</w:t>
      </w:r>
      <w:r w:rsidRPr="003D65E4">
        <w:rPr>
          <w:rFonts w:asciiTheme="majorHAnsi" w:hAnsiTheme="majorHAnsi" w:cstheme="majorHAnsi"/>
        </w:rPr>
        <w:t xml:space="preserve"> underdeveloped </w:t>
      </w:r>
      <w:r w:rsidRPr="003D65E4">
        <w:rPr>
          <w:rFonts w:asciiTheme="majorHAnsi" w:hAnsiTheme="majorHAnsi" w:cstheme="majorHAnsi"/>
          <w:sz w:val="12"/>
        </w:rPr>
        <w:t xml:space="preserve">¶ </w:t>
      </w:r>
      <w:r w:rsidRPr="003D65E4">
        <w:rPr>
          <w:rStyle w:val="StyleBoldUnderline"/>
          <w:rFonts w:asciiTheme="majorHAnsi" w:hAnsiTheme="majorHAnsi" w:cstheme="majorHAnsi"/>
          <w:highlight w:val="green"/>
        </w:rPr>
        <w:t>countries</w:t>
      </w:r>
      <w:r w:rsidRPr="003D65E4">
        <w:rPr>
          <w:rFonts w:asciiTheme="majorHAnsi" w:hAnsiTheme="majorHAnsi" w:cstheme="majorHAnsi"/>
        </w:rPr>
        <w:t xml:space="preserve"> </w:t>
      </w:r>
      <w:r w:rsidRPr="003D65E4">
        <w:rPr>
          <w:rStyle w:val="StyleBoldUnderline"/>
          <w:rFonts w:asciiTheme="majorHAnsi" w:hAnsiTheme="majorHAnsi" w:cstheme="majorHAnsi"/>
          <w:highlight w:val="green"/>
        </w:rPr>
        <w:t>that</w:t>
      </w:r>
      <w:r w:rsidRPr="003D65E4">
        <w:rPr>
          <w:rStyle w:val="StyleBoldUnderline"/>
          <w:rFonts w:asciiTheme="majorHAnsi" w:hAnsiTheme="majorHAnsi" w:cstheme="majorHAnsi"/>
        </w:rPr>
        <w:t xml:space="preserve"> active </w:t>
      </w:r>
      <w:r w:rsidRPr="003D65E4">
        <w:rPr>
          <w:rStyle w:val="StyleBoldUnderline"/>
          <w:rFonts w:asciiTheme="majorHAnsi" w:hAnsiTheme="majorHAnsi" w:cstheme="majorHAnsi"/>
          <w:highlight w:val="green"/>
        </w:rPr>
        <w:t>measures</w:t>
      </w:r>
      <w:r w:rsidRPr="003D65E4">
        <w:rPr>
          <w:rStyle w:val="StyleBoldUnderline"/>
          <w:rFonts w:asciiTheme="majorHAnsi" w:hAnsiTheme="majorHAnsi" w:cstheme="majorHAnsi"/>
        </w:rPr>
        <w:t xml:space="preserve"> </w:t>
      </w:r>
      <w:r w:rsidRPr="003D65E4">
        <w:rPr>
          <w:rStyle w:val="StyleBoldUnderline"/>
          <w:rFonts w:asciiTheme="majorHAnsi" w:hAnsiTheme="majorHAnsi" w:cstheme="majorHAnsi"/>
          <w:highlight w:val="green"/>
        </w:rPr>
        <w:t>have been taken to discourage expropriation</w:t>
      </w:r>
      <w:r w:rsidRPr="003D65E4">
        <w:rPr>
          <w:rFonts w:asciiTheme="majorHAnsi" w:hAnsiTheme="majorHAnsi" w:cstheme="majorHAnsi"/>
        </w:rPr>
        <w:t xml:space="preserve">. </w:t>
      </w:r>
      <w:r w:rsidRPr="003D65E4">
        <w:rPr>
          <w:rStyle w:val="StyleBoldUnderline"/>
          <w:rFonts w:asciiTheme="majorHAnsi" w:hAnsiTheme="majorHAnsi" w:cstheme="majorHAnsi"/>
        </w:rPr>
        <w:t xml:space="preserve">The </w:t>
      </w:r>
      <w:r w:rsidRPr="003D65E4">
        <w:rPr>
          <w:rStyle w:val="StyleBoldUnderline"/>
          <w:rFonts w:asciiTheme="majorHAnsi" w:hAnsiTheme="majorHAnsi" w:cstheme="majorHAnsi"/>
          <w:highlight w:val="green"/>
        </w:rPr>
        <w:t>protective measures</w:t>
      </w:r>
      <w:r w:rsidRPr="003D65E4">
        <w:rPr>
          <w:rFonts w:asciiTheme="majorHAnsi" w:hAnsiTheme="majorHAnsi" w:cstheme="majorHAnsi"/>
        </w:rPr>
        <w:t xml:space="preserve"> which the United States has </w:t>
      </w:r>
      <w:r w:rsidRPr="003D65E4">
        <w:rPr>
          <w:rFonts w:asciiTheme="majorHAnsi" w:hAnsiTheme="majorHAnsi" w:cstheme="majorHAnsi"/>
          <w:sz w:val="12"/>
        </w:rPr>
        <w:t xml:space="preserve">¶ </w:t>
      </w:r>
      <w:r w:rsidRPr="003D65E4">
        <w:rPr>
          <w:rFonts w:asciiTheme="majorHAnsi" w:hAnsiTheme="majorHAnsi" w:cstheme="majorHAnsi"/>
        </w:rPr>
        <w:t xml:space="preserve">initiated </w:t>
      </w:r>
      <w:r w:rsidRPr="003D65E4">
        <w:rPr>
          <w:rStyle w:val="StyleBoldUnderline"/>
          <w:rFonts w:asciiTheme="majorHAnsi" w:hAnsiTheme="majorHAnsi" w:cstheme="majorHAnsi"/>
          <w:highlight w:val="green"/>
        </w:rPr>
        <w:t>have been designed primarily to encourage private investment which has been</w:t>
      </w:r>
      <w:r w:rsidRPr="003D65E4">
        <w:rPr>
          <w:rStyle w:val="StyleBoldUnderline"/>
          <w:rFonts w:asciiTheme="majorHAnsi" w:hAnsiTheme="majorHAnsi" w:cstheme="majorHAnsi"/>
        </w:rPr>
        <w:t xml:space="preserve"> deemed an </w:t>
      </w:r>
      <w:r w:rsidRPr="003D65E4">
        <w:rPr>
          <w:rStyle w:val="StyleBoldUnderline"/>
          <w:rFonts w:asciiTheme="majorHAnsi" w:hAnsiTheme="majorHAnsi" w:cstheme="majorHAnsi"/>
          <w:highlight w:val="green"/>
        </w:rPr>
        <w:t>important</w:t>
      </w:r>
      <w:r w:rsidRPr="003D65E4">
        <w:rPr>
          <w:rStyle w:val="StyleBoldUnderline"/>
          <w:rFonts w:asciiTheme="majorHAnsi" w:hAnsiTheme="majorHAnsi" w:cstheme="majorHAnsi"/>
        </w:rPr>
        <w:t xml:space="preserve"> method of </w:t>
      </w:r>
      <w:r w:rsidRPr="003D65E4">
        <w:rPr>
          <w:rStyle w:val="StyleBoldUnderline"/>
          <w:rFonts w:asciiTheme="majorHAnsi" w:hAnsiTheme="majorHAnsi" w:cstheme="majorHAnsi"/>
          <w:highlight w:val="green"/>
        </w:rPr>
        <w:t>helpin</w:t>
      </w:r>
      <w:r w:rsidRPr="003D65E4">
        <w:rPr>
          <w:rFonts w:asciiTheme="majorHAnsi" w:hAnsiTheme="majorHAnsi" w:cstheme="majorHAnsi"/>
          <w:highlight w:val="green"/>
        </w:rPr>
        <w:t>g</w:t>
      </w:r>
      <w:r w:rsidRPr="003D65E4">
        <w:rPr>
          <w:rFonts w:asciiTheme="majorHAnsi" w:hAnsiTheme="majorHAnsi" w:cstheme="majorHAnsi"/>
        </w:rPr>
        <w:t xml:space="preserve"> the </w:t>
      </w:r>
      <w:r w:rsidRPr="003D65E4">
        <w:rPr>
          <w:rFonts w:asciiTheme="majorHAnsi" w:hAnsiTheme="majorHAnsi" w:cstheme="majorHAnsi"/>
          <w:sz w:val="12"/>
        </w:rPr>
        <w:t xml:space="preserve">¶ </w:t>
      </w:r>
      <w:r w:rsidRPr="003D65E4">
        <w:rPr>
          <w:rFonts w:asciiTheme="majorHAnsi" w:hAnsiTheme="majorHAnsi" w:cstheme="majorHAnsi"/>
        </w:rPr>
        <w:t xml:space="preserve">less developed </w:t>
      </w:r>
      <w:r w:rsidRPr="003D65E4">
        <w:rPr>
          <w:rStyle w:val="StyleBoldUnderline"/>
          <w:rFonts w:asciiTheme="majorHAnsi" w:hAnsiTheme="majorHAnsi" w:cstheme="majorHAnsi"/>
          <w:highlight w:val="green"/>
        </w:rPr>
        <w:t>countries attain their goals</w:t>
      </w:r>
      <w:r w:rsidRPr="003D65E4">
        <w:rPr>
          <w:rFonts w:asciiTheme="majorHAnsi" w:hAnsiTheme="majorHAnsi" w:cstheme="majorHAnsi"/>
          <w:highlight w:val="green"/>
        </w:rPr>
        <w:t xml:space="preserve">. </w:t>
      </w:r>
      <w:r w:rsidRPr="003D65E4">
        <w:rPr>
          <w:rFonts w:asciiTheme="majorHAnsi" w:hAnsiTheme="majorHAnsi" w:cstheme="majorHAnsi"/>
          <w:sz w:val="12"/>
        </w:rPr>
        <w:t xml:space="preserve">¶ </w:t>
      </w:r>
      <w:r w:rsidRPr="003D65E4">
        <w:rPr>
          <w:rStyle w:val="StyleBoldUnderline"/>
          <w:rFonts w:asciiTheme="majorHAnsi" w:hAnsiTheme="majorHAnsi" w:cstheme="majorHAnsi"/>
          <w:highlight w:val="green"/>
        </w:rPr>
        <w:t>If the</w:t>
      </w:r>
      <w:r w:rsidRPr="003D65E4">
        <w:rPr>
          <w:rStyle w:val="StyleBoldUnderline"/>
          <w:rFonts w:asciiTheme="majorHAnsi" w:hAnsiTheme="majorHAnsi" w:cstheme="majorHAnsi"/>
        </w:rPr>
        <w:t xml:space="preserve"> </w:t>
      </w:r>
      <w:r w:rsidRPr="003D65E4">
        <w:rPr>
          <w:rStyle w:val="StyleBoldUnderline"/>
          <w:rFonts w:asciiTheme="majorHAnsi" w:hAnsiTheme="majorHAnsi" w:cstheme="majorHAnsi"/>
          <w:highlight w:val="green"/>
        </w:rPr>
        <w:t>U</w:t>
      </w:r>
      <w:r w:rsidRPr="003D65E4">
        <w:rPr>
          <w:rStyle w:val="StyleBoldUnderline"/>
          <w:rFonts w:asciiTheme="majorHAnsi" w:hAnsiTheme="majorHAnsi" w:cstheme="majorHAnsi"/>
        </w:rPr>
        <w:t xml:space="preserve">nited </w:t>
      </w:r>
      <w:r w:rsidRPr="003D65E4">
        <w:rPr>
          <w:rStyle w:val="StyleBoldUnderline"/>
          <w:rFonts w:asciiTheme="majorHAnsi" w:hAnsiTheme="majorHAnsi" w:cstheme="majorHAnsi"/>
          <w:highlight w:val="green"/>
        </w:rPr>
        <w:t>S</w:t>
      </w:r>
      <w:r w:rsidRPr="003D65E4">
        <w:rPr>
          <w:rStyle w:val="StyleBoldUnderline"/>
          <w:rFonts w:asciiTheme="majorHAnsi" w:hAnsiTheme="majorHAnsi" w:cstheme="majorHAnsi"/>
        </w:rPr>
        <w:t xml:space="preserve">tates </w:t>
      </w:r>
      <w:r w:rsidRPr="003D65E4">
        <w:rPr>
          <w:rStyle w:val="StyleBoldUnderline"/>
          <w:rFonts w:asciiTheme="majorHAnsi" w:hAnsiTheme="majorHAnsi" w:cstheme="majorHAnsi"/>
          <w:highlight w:val="green"/>
        </w:rPr>
        <w:t>was not seeking</w:t>
      </w:r>
      <w:r w:rsidRPr="003D65E4">
        <w:rPr>
          <w:rStyle w:val="StyleBoldUnderline"/>
          <w:rFonts w:asciiTheme="majorHAnsi" w:hAnsiTheme="majorHAnsi" w:cstheme="majorHAnsi"/>
        </w:rPr>
        <w:t xml:space="preserve"> to encourage </w:t>
      </w:r>
      <w:r w:rsidRPr="003D65E4">
        <w:rPr>
          <w:rStyle w:val="StyleBoldUnderline"/>
          <w:rFonts w:asciiTheme="majorHAnsi" w:hAnsiTheme="majorHAnsi" w:cstheme="majorHAnsi"/>
          <w:highlight w:val="green"/>
        </w:rPr>
        <w:t>private</w:t>
      </w:r>
      <w:r w:rsidRPr="003D65E4">
        <w:rPr>
          <w:rStyle w:val="StyleBoldUnderline"/>
          <w:rFonts w:asciiTheme="majorHAnsi" w:hAnsiTheme="majorHAnsi" w:cstheme="majorHAnsi"/>
        </w:rPr>
        <w:t xml:space="preserve"> </w:t>
      </w:r>
      <w:r w:rsidRPr="003D65E4">
        <w:rPr>
          <w:rStyle w:val="StyleBoldUnderline"/>
          <w:rFonts w:asciiTheme="majorHAnsi" w:hAnsiTheme="majorHAnsi" w:cstheme="majorHAnsi"/>
          <w:highlight w:val="green"/>
        </w:rPr>
        <w:t>investment</w:t>
      </w:r>
      <w:r w:rsidRPr="003D65E4">
        <w:rPr>
          <w:rStyle w:val="StyleBoldUnderline"/>
          <w:rFonts w:asciiTheme="majorHAnsi" w:hAnsiTheme="majorHAnsi" w:cstheme="majorHAnsi"/>
        </w:rPr>
        <w:t xml:space="preserve"> and economic development, </w:t>
      </w:r>
      <w:r w:rsidRPr="003D65E4">
        <w:rPr>
          <w:rStyle w:val="StyleBoldUnderline"/>
          <w:rFonts w:asciiTheme="majorHAnsi" w:hAnsiTheme="majorHAnsi" w:cstheme="majorHAnsi"/>
          <w:highlight w:val="green"/>
        </w:rPr>
        <w:t>it</w:t>
      </w:r>
      <w:r w:rsidRPr="003D65E4">
        <w:rPr>
          <w:rStyle w:val="StyleBoldUnderline"/>
          <w:rFonts w:asciiTheme="majorHAnsi" w:hAnsiTheme="majorHAnsi" w:cstheme="majorHAnsi"/>
        </w:rPr>
        <w:t xml:space="preserve"> </w:t>
      </w:r>
      <w:r w:rsidRPr="003D65E4">
        <w:rPr>
          <w:rStyle w:val="StyleBoldUnderline"/>
          <w:rFonts w:asciiTheme="majorHAnsi" w:hAnsiTheme="majorHAnsi" w:cstheme="majorHAnsi"/>
          <w:highlight w:val="green"/>
        </w:rPr>
        <w:t>could</w:t>
      </w:r>
      <w:r w:rsidRPr="003D65E4">
        <w:rPr>
          <w:rStyle w:val="StyleBoldUnderline"/>
          <w:rFonts w:asciiTheme="majorHAnsi" w:hAnsiTheme="majorHAnsi" w:cstheme="majorHAnsi"/>
        </w:rPr>
        <w:t xml:space="preserve"> be content with </w:t>
      </w:r>
      <w:r w:rsidRPr="003D65E4">
        <w:rPr>
          <w:rStyle w:val="StyleBoldUnderline"/>
          <w:rFonts w:asciiTheme="majorHAnsi" w:hAnsiTheme="majorHAnsi" w:cstheme="majorHAnsi"/>
          <w:highlight w:val="green"/>
        </w:rPr>
        <w:t>tak</w:t>
      </w:r>
      <w:r w:rsidRPr="003D65E4">
        <w:rPr>
          <w:rStyle w:val="StyleBoldUnderline"/>
          <w:rFonts w:asciiTheme="majorHAnsi" w:hAnsiTheme="majorHAnsi" w:cstheme="majorHAnsi"/>
        </w:rPr>
        <w:t xml:space="preserve">ing </w:t>
      </w:r>
      <w:r w:rsidRPr="003D65E4">
        <w:rPr>
          <w:rStyle w:val="StyleBoldUnderline"/>
          <w:rFonts w:asciiTheme="majorHAnsi" w:hAnsiTheme="majorHAnsi" w:cstheme="majorHAnsi"/>
          <w:sz w:val="12"/>
        </w:rPr>
        <w:t xml:space="preserve">¶ </w:t>
      </w:r>
      <w:r w:rsidRPr="003D65E4">
        <w:rPr>
          <w:rStyle w:val="StyleBoldUnderline"/>
          <w:rFonts w:asciiTheme="majorHAnsi" w:hAnsiTheme="majorHAnsi" w:cstheme="majorHAnsi"/>
          <w:highlight w:val="green"/>
        </w:rPr>
        <w:t>legal measures</w:t>
      </w:r>
      <w:r w:rsidRPr="003D65E4">
        <w:rPr>
          <w:rStyle w:val="StyleBoldUnderline"/>
          <w:rFonts w:asciiTheme="majorHAnsi" w:hAnsiTheme="majorHAnsi" w:cstheme="majorHAnsi"/>
        </w:rPr>
        <w:t xml:space="preserve"> to secure compensation for nationals after they had </w:t>
      </w:r>
      <w:r w:rsidRPr="003D65E4">
        <w:rPr>
          <w:rStyle w:val="StyleBoldUnderline"/>
          <w:rFonts w:asciiTheme="majorHAnsi" w:hAnsiTheme="majorHAnsi" w:cstheme="majorHAnsi"/>
          <w:sz w:val="12"/>
        </w:rPr>
        <w:t xml:space="preserve">¶ </w:t>
      </w:r>
      <w:r w:rsidRPr="003D65E4">
        <w:rPr>
          <w:rStyle w:val="StyleBoldUnderline"/>
          <w:rFonts w:asciiTheme="majorHAnsi" w:hAnsiTheme="majorHAnsi" w:cstheme="majorHAnsi"/>
        </w:rPr>
        <w:t>suffered losses through expropriation</w:t>
      </w:r>
      <w:r w:rsidRPr="003D65E4">
        <w:rPr>
          <w:rFonts w:asciiTheme="majorHAnsi" w:hAnsiTheme="majorHAnsi" w:cstheme="majorHAnsi"/>
        </w:rPr>
        <w:t xml:space="preserve">. </w:t>
      </w:r>
      <w:r w:rsidRPr="003D65E4">
        <w:rPr>
          <w:rStyle w:val="StyleBoldUnderline"/>
          <w:rFonts w:asciiTheme="majorHAnsi" w:hAnsiTheme="majorHAnsi" w:cstheme="majorHAnsi"/>
        </w:rPr>
        <w:t xml:space="preserve">The expropriation problem </w:t>
      </w:r>
      <w:r w:rsidRPr="003D65E4">
        <w:rPr>
          <w:rStyle w:val="StyleBoldUnderline"/>
          <w:rFonts w:asciiTheme="majorHAnsi" w:hAnsiTheme="majorHAnsi" w:cstheme="majorHAnsi"/>
          <w:sz w:val="12"/>
        </w:rPr>
        <w:t xml:space="preserve">¶ </w:t>
      </w:r>
      <w:r w:rsidRPr="003D65E4">
        <w:rPr>
          <w:rStyle w:val="StyleBoldUnderline"/>
          <w:rFonts w:asciiTheme="majorHAnsi" w:hAnsiTheme="majorHAnsi" w:cstheme="majorHAnsi"/>
        </w:rPr>
        <w:t xml:space="preserve">would then eventually take care of itself because American nationals </w:t>
      </w:r>
      <w:r w:rsidRPr="003D65E4">
        <w:rPr>
          <w:rStyle w:val="StyleBoldUnderline"/>
          <w:rFonts w:asciiTheme="majorHAnsi" w:hAnsiTheme="majorHAnsi" w:cstheme="majorHAnsi"/>
          <w:sz w:val="12"/>
        </w:rPr>
        <w:t xml:space="preserve">¶ </w:t>
      </w:r>
      <w:r w:rsidRPr="003D65E4">
        <w:rPr>
          <w:rStyle w:val="StyleBoldUnderline"/>
          <w:rFonts w:asciiTheme="majorHAnsi" w:hAnsiTheme="majorHAnsi" w:cstheme="majorHAnsi"/>
          <w:highlight w:val="green"/>
        </w:rPr>
        <w:t xml:space="preserve">would probably cease to make investments in those countries where </w:t>
      </w:r>
      <w:r w:rsidRPr="003D65E4">
        <w:rPr>
          <w:rStyle w:val="StyleBoldUnderline"/>
          <w:rFonts w:asciiTheme="majorHAnsi" w:hAnsiTheme="majorHAnsi" w:cstheme="majorHAnsi"/>
          <w:sz w:val="12"/>
          <w:highlight w:val="green"/>
        </w:rPr>
        <w:t xml:space="preserve">¶ </w:t>
      </w:r>
      <w:r w:rsidRPr="003D65E4">
        <w:rPr>
          <w:rStyle w:val="StyleBoldUnderline"/>
          <w:rFonts w:asciiTheme="majorHAnsi" w:hAnsiTheme="majorHAnsi" w:cstheme="majorHAnsi"/>
          <w:highlight w:val="green"/>
        </w:rPr>
        <w:t>losses had been suffered for this reason</w:t>
      </w:r>
      <w:r w:rsidRPr="003D65E4">
        <w:rPr>
          <w:rFonts w:asciiTheme="majorHAnsi" w:hAnsiTheme="majorHAnsi" w:cstheme="majorHAnsi"/>
        </w:rPr>
        <w:t xml:space="preserve">. Even as late as 1952, many </w:t>
      </w:r>
      <w:r w:rsidRPr="003D65E4">
        <w:rPr>
          <w:rFonts w:asciiTheme="majorHAnsi" w:hAnsiTheme="majorHAnsi" w:cstheme="majorHAnsi"/>
          <w:sz w:val="12"/>
        </w:rPr>
        <w:t xml:space="preserve">¶ </w:t>
      </w:r>
      <w:r w:rsidRPr="003D65E4">
        <w:rPr>
          <w:rFonts w:asciiTheme="majorHAnsi" w:hAnsiTheme="majorHAnsi" w:cstheme="majorHAnsi"/>
        </w:rPr>
        <w:t xml:space="preserve">years after the Mexican expropriation had been settled, </w:t>
      </w:r>
      <w:r w:rsidRPr="003D65E4">
        <w:rPr>
          <w:rStyle w:val="StyleBoldUnderline"/>
          <w:rFonts w:asciiTheme="majorHAnsi" w:hAnsiTheme="majorHAnsi" w:cstheme="majorHAnsi"/>
          <w:highlight w:val="green"/>
        </w:rPr>
        <w:t>a</w:t>
      </w:r>
      <w:r w:rsidRPr="003D65E4">
        <w:rPr>
          <w:rFonts w:asciiTheme="majorHAnsi" w:hAnsiTheme="majorHAnsi" w:cstheme="majorHAnsi"/>
        </w:rPr>
        <w:t xml:space="preserve"> </w:t>
      </w:r>
      <w:r w:rsidRPr="003D65E4">
        <w:rPr>
          <w:rStyle w:val="StyleBoldUnderline"/>
          <w:rFonts w:asciiTheme="majorHAnsi" w:hAnsiTheme="majorHAnsi" w:cstheme="majorHAnsi"/>
        </w:rPr>
        <w:t xml:space="preserve">Department of Commerce </w:t>
      </w:r>
      <w:r w:rsidRPr="003D65E4">
        <w:rPr>
          <w:rStyle w:val="StyleBoldUnderline"/>
          <w:rFonts w:asciiTheme="majorHAnsi" w:hAnsiTheme="majorHAnsi" w:cstheme="majorHAnsi"/>
          <w:highlight w:val="green"/>
        </w:rPr>
        <w:t>survey</w:t>
      </w:r>
      <w:r w:rsidRPr="003D65E4">
        <w:rPr>
          <w:rFonts w:asciiTheme="majorHAnsi" w:hAnsiTheme="majorHAnsi" w:cstheme="majorHAnsi"/>
        </w:rPr>
        <w:t xml:space="preserve"> </w:t>
      </w:r>
      <w:r w:rsidRPr="003D65E4">
        <w:rPr>
          <w:rStyle w:val="StyleBoldUnderline"/>
          <w:rFonts w:asciiTheme="majorHAnsi" w:hAnsiTheme="majorHAnsi" w:cstheme="majorHAnsi"/>
          <w:highlight w:val="green"/>
        </w:rPr>
        <w:t>found</w:t>
      </w:r>
      <w:r w:rsidRPr="003D65E4">
        <w:rPr>
          <w:rFonts w:asciiTheme="majorHAnsi" w:hAnsiTheme="majorHAnsi" w:cstheme="majorHAnsi"/>
        </w:rPr>
        <w:t xml:space="preserve"> that </w:t>
      </w:r>
      <w:r w:rsidRPr="003D65E4">
        <w:rPr>
          <w:rStyle w:val="StyleBoldUnderline"/>
          <w:rFonts w:asciiTheme="majorHAnsi" w:hAnsiTheme="majorHAnsi" w:cstheme="majorHAnsi"/>
          <w:highlight w:val="green"/>
        </w:rPr>
        <w:t xml:space="preserve">many business executives </w:t>
      </w:r>
      <w:r w:rsidRPr="003D65E4">
        <w:rPr>
          <w:rStyle w:val="StyleBoldUnderline"/>
          <w:rFonts w:asciiTheme="majorHAnsi" w:hAnsiTheme="majorHAnsi" w:cstheme="majorHAnsi"/>
          <w:sz w:val="12"/>
          <w:highlight w:val="green"/>
        </w:rPr>
        <w:t xml:space="preserve">¶ </w:t>
      </w:r>
      <w:r w:rsidRPr="003D65E4">
        <w:rPr>
          <w:rStyle w:val="StyleBoldUnderline"/>
          <w:rFonts w:asciiTheme="majorHAnsi" w:hAnsiTheme="majorHAnsi" w:cstheme="majorHAnsi"/>
          <w:highlight w:val="green"/>
        </w:rPr>
        <w:t>express</w:t>
      </w:r>
      <w:r w:rsidRPr="003D65E4">
        <w:rPr>
          <w:rFonts w:asciiTheme="majorHAnsi" w:hAnsiTheme="majorHAnsi" w:cstheme="majorHAnsi"/>
        </w:rPr>
        <w:t xml:space="preserve">ed </w:t>
      </w:r>
      <w:r w:rsidRPr="003D65E4">
        <w:rPr>
          <w:rStyle w:val="StyleBoldUnderline"/>
          <w:rFonts w:asciiTheme="majorHAnsi" w:hAnsiTheme="majorHAnsi" w:cstheme="majorHAnsi"/>
          <w:highlight w:val="green"/>
        </w:rPr>
        <w:t xml:space="preserve">fear about investing </w:t>
      </w:r>
      <w:r w:rsidRPr="003D65E4">
        <w:rPr>
          <w:rStyle w:val="StyleBoldUnderline"/>
          <w:rFonts w:asciiTheme="majorHAnsi" w:hAnsiTheme="majorHAnsi" w:cstheme="majorHAnsi"/>
        </w:rPr>
        <w:t xml:space="preserve">in Mexico </w:t>
      </w:r>
      <w:r w:rsidRPr="003D65E4">
        <w:rPr>
          <w:rStyle w:val="StyleBoldUnderline"/>
          <w:rFonts w:asciiTheme="majorHAnsi" w:hAnsiTheme="majorHAnsi" w:cstheme="majorHAnsi"/>
          <w:highlight w:val="green"/>
        </w:rPr>
        <w:t>because of expropriation</w:t>
      </w:r>
      <w:r w:rsidRPr="003D65E4">
        <w:rPr>
          <w:rFonts w:asciiTheme="majorHAnsi" w:hAnsiTheme="majorHAnsi" w:cstheme="majorHAnsi"/>
        </w:rPr>
        <w:t xml:space="preserve">.119 </w:t>
      </w:r>
      <w:r w:rsidRPr="003D65E4">
        <w:rPr>
          <w:rFonts w:asciiTheme="majorHAnsi" w:hAnsiTheme="majorHAnsi" w:cstheme="majorHAnsi"/>
          <w:sz w:val="12"/>
        </w:rPr>
        <w:t xml:space="preserve">¶ </w:t>
      </w:r>
      <w:r w:rsidRPr="003D65E4">
        <w:rPr>
          <w:rStyle w:val="StyleBoldUnderline"/>
          <w:rFonts w:asciiTheme="majorHAnsi" w:hAnsiTheme="majorHAnsi" w:cstheme="majorHAnsi"/>
        </w:rPr>
        <w:t xml:space="preserve">Because </w:t>
      </w:r>
      <w:r w:rsidRPr="003D65E4">
        <w:rPr>
          <w:rStyle w:val="StyleBoldUnderline"/>
          <w:rFonts w:asciiTheme="majorHAnsi" w:hAnsiTheme="majorHAnsi" w:cstheme="majorHAnsi"/>
          <w:highlight w:val="green"/>
        </w:rPr>
        <w:t>the</w:t>
      </w:r>
      <w:r w:rsidRPr="003D65E4">
        <w:rPr>
          <w:rStyle w:val="StyleBoldUnderline"/>
          <w:rFonts w:asciiTheme="majorHAnsi" w:hAnsiTheme="majorHAnsi" w:cstheme="majorHAnsi"/>
        </w:rPr>
        <w:t xml:space="preserve"> </w:t>
      </w:r>
      <w:r w:rsidRPr="003D65E4">
        <w:rPr>
          <w:rStyle w:val="StyleBoldUnderline"/>
          <w:rFonts w:asciiTheme="majorHAnsi" w:hAnsiTheme="majorHAnsi" w:cstheme="majorHAnsi"/>
          <w:highlight w:val="green"/>
        </w:rPr>
        <w:t>U</w:t>
      </w:r>
      <w:r w:rsidRPr="003D65E4">
        <w:rPr>
          <w:rStyle w:val="StyleBoldUnderline"/>
          <w:rFonts w:asciiTheme="majorHAnsi" w:hAnsiTheme="majorHAnsi" w:cstheme="majorHAnsi"/>
        </w:rPr>
        <w:t xml:space="preserve">nited </w:t>
      </w:r>
      <w:r w:rsidRPr="003D65E4">
        <w:rPr>
          <w:rStyle w:val="StyleBoldUnderline"/>
          <w:rFonts w:asciiTheme="majorHAnsi" w:hAnsiTheme="majorHAnsi" w:cstheme="majorHAnsi"/>
          <w:highlight w:val="green"/>
        </w:rPr>
        <w:t>S</w:t>
      </w:r>
      <w:r w:rsidRPr="003D65E4">
        <w:rPr>
          <w:rStyle w:val="StyleBoldUnderline"/>
          <w:rFonts w:asciiTheme="majorHAnsi" w:hAnsiTheme="majorHAnsi" w:cstheme="majorHAnsi"/>
        </w:rPr>
        <w:t xml:space="preserve">tates </w:t>
      </w:r>
      <w:r w:rsidRPr="003D65E4">
        <w:rPr>
          <w:rStyle w:val="StyleBoldUnderline"/>
          <w:rFonts w:asciiTheme="majorHAnsi" w:hAnsiTheme="majorHAnsi" w:cstheme="majorHAnsi"/>
          <w:highlight w:val="green"/>
        </w:rPr>
        <w:t>does seek to encourage private investment</w:t>
      </w:r>
      <w:r w:rsidRPr="003D65E4">
        <w:rPr>
          <w:rStyle w:val="StyleBoldUnderline"/>
          <w:rFonts w:asciiTheme="majorHAnsi" w:hAnsiTheme="majorHAnsi" w:cstheme="majorHAnsi"/>
        </w:rPr>
        <w:t xml:space="preserve"> </w:t>
      </w:r>
      <w:r w:rsidRPr="003D65E4">
        <w:rPr>
          <w:rStyle w:val="StyleBoldUnderline"/>
          <w:rFonts w:asciiTheme="majorHAnsi" w:hAnsiTheme="majorHAnsi" w:cstheme="majorHAnsi"/>
          <w:sz w:val="12"/>
        </w:rPr>
        <w:t xml:space="preserve">¶ </w:t>
      </w:r>
      <w:r w:rsidRPr="003D65E4">
        <w:rPr>
          <w:rStyle w:val="StyleBoldUnderline"/>
          <w:rFonts w:asciiTheme="majorHAnsi" w:hAnsiTheme="majorHAnsi" w:cstheme="majorHAnsi"/>
        </w:rPr>
        <w:t>in underdeveloped countries</w:t>
      </w:r>
      <w:r w:rsidRPr="003D65E4">
        <w:rPr>
          <w:rFonts w:asciiTheme="majorHAnsi" w:hAnsiTheme="majorHAnsi" w:cstheme="majorHAnsi"/>
        </w:rPr>
        <w:t>, however</w:t>
      </w:r>
      <w:r w:rsidRPr="003D65E4">
        <w:rPr>
          <w:rStyle w:val="StyleBoldUnderline"/>
          <w:rFonts w:asciiTheme="majorHAnsi" w:hAnsiTheme="majorHAnsi" w:cstheme="majorHAnsi"/>
        </w:rPr>
        <w:t xml:space="preserve">, </w:t>
      </w:r>
      <w:r w:rsidRPr="003D65E4">
        <w:rPr>
          <w:rStyle w:val="StyleBoldUnderline"/>
          <w:rFonts w:asciiTheme="majorHAnsi" w:hAnsiTheme="majorHAnsi" w:cstheme="majorHAnsi"/>
          <w:highlight w:val="green"/>
        </w:rPr>
        <w:t>a more active</w:t>
      </w:r>
      <w:r w:rsidRPr="003D65E4">
        <w:rPr>
          <w:rStyle w:val="StyleBoldUnderline"/>
          <w:rFonts w:asciiTheme="majorHAnsi" w:hAnsiTheme="majorHAnsi" w:cstheme="majorHAnsi"/>
        </w:rPr>
        <w:t xml:space="preserve"> policy against </w:t>
      </w:r>
      <w:r w:rsidRPr="003D65E4">
        <w:rPr>
          <w:rStyle w:val="StyleBoldUnderline"/>
          <w:rFonts w:asciiTheme="majorHAnsi" w:hAnsiTheme="majorHAnsi" w:cstheme="majorHAnsi"/>
          <w:sz w:val="12"/>
        </w:rPr>
        <w:t xml:space="preserve">¶ </w:t>
      </w:r>
      <w:r w:rsidRPr="003D65E4">
        <w:rPr>
          <w:rStyle w:val="StyleBoldUnderline"/>
          <w:rFonts w:asciiTheme="majorHAnsi" w:hAnsiTheme="majorHAnsi" w:cstheme="majorHAnsi"/>
        </w:rPr>
        <w:t>expropriation has developed.</w:t>
      </w:r>
      <w:r w:rsidRPr="003D65E4">
        <w:rPr>
          <w:rFonts w:asciiTheme="majorHAnsi" w:hAnsiTheme="majorHAnsi" w:cstheme="majorHAnsi"/>
        </w:rPr>
        <w:t xml:space="preserve"> In the formulation of this policy the </w:t>
      </w:r>
      <w:r w:rsidRPr="003D65E4">
        <w:rPr>
          <w:rFonts w:asciiTheme="majorHAnsi" w:hAnsiTheme="majorHAnsi" w:cstheme="majorHAnsi"/>
          <w:sz w:val="12"/>
        </w:rPr>
        <w:t xml:space="preserve">¶ </w:t>
      </w:r>
      <w:r w:rsidRPr="003D65E4">
        <w:rPr>
          <w:rFonts w:asciiTheme="majorHAnsi" w:hAnsiTheme="majorHAnsi" w:cstheme="majorHAnsi"/>
        </w:rPr>
        <w:t xml:space="preserve">views of American business have necessarily been weighed along with </w:t>
      </w:r>
      <w:r w:rsidRPr="003D65E4">
        <w:rPr>
          <w:rFonts w:asciiTheme="majorHAnsi" w:hAnsiTheme="majorHAnsi" w:cstheme="majorHAnsi"/>
          <w:sz w:val="12"/>
        </w:rPr>
        <w:t xml:space="preserve">¶ </w:t>
      </w:r>
      <w:r w:rsidRPr="003D65E4">
        <w:rPr>
          <w:rFonts w:asciiTheme="majorHAnsi" w:hAnsiTheme="majorHAnsi" w:cstheme="majorHAnsi"/>
        </w:rPr>
        <w:t xml:space="preserve">other factors, since it was their capital and skill which were being </w:t>
      </w:r>
      <w:r w:rsidRPr="003D65E4">
        <w:rPr>
          <w:rFonts w:asciiTheme="majorHAnsi" w:hAnsiTheme="majorHAnsi" w:cstheme="majorHAnsi"/>
          <w:sz w:val="12"/>
        </w:rPr>
        <w:t xml:space="preserve">¶ </w:t>
      </w:r>
      <w:r w:rsidRPr="003D65E4">
        <w:rPr>
          <w:rFonts w:asciiTheme="majorHAnsi" w:hAnsiTheme="majorHAnsi" w:cstheme="majorHAnsi"/>
        </w:rPr>
        <w:t xml:space="preserve">sought. _ One of the prevailing views of </w:t>
      </w:r>
      <w:r w:rsidRPr="003D65E4">
        <w:rPr>
          <w:rStyle w:val="StyleBoldUnderline"/>
          <w:rFonts w:asciiTheme="majorHAnsi" w:hAnsiTheme="majorHAnsi" w:cstheme="majorHAnsi"/>
          <w:highlight w:val="green"/>
        </w:rPr>
        <w:t>American business</w:t>
      </w:r>
      <w:r w:rsidRPr="003D65E4">
        <w:rPr>
          <w:rFonts w:asciiTheme="majorHAnsi" w:hAnsiTheme="majorHAnsi" w:cstheme="majorHAnsi"/>
        </w:rPr>
        <w:t xml:space="preserve"> was expressed in this fashion: </w:t>
      </w:r>
      <w:r w:rsidRPr="003D65E4">
        <w:rPr>
          <w:rFonts w:asciiTheme="majorHAnsi" w:hAnsiTheme="majorHAnsi" w:cstheme="majorHAnsi"/>
          <w:sz w:val="12"/>
        </w:rPr>
        <w:t xml:space="preserve">¶ </w:t>
      </w:r>
      <w:r w:rsidRPr="003D65E4">
        <w:rPr>
          <w:rFonts w:asciiTheme="majorHAnsi" w:hAnsiTheme="majorHAnsi" w:cstheme="majorHAnsi"/>
        </w:rPr>
        <w:t xml:space="preserve">Businessmen from the United States are willing to' take the risks involved in </w:t>
      </w:r>
      <w:r w:rsidRPr="003D65E4">
        <w:rPr>
          <w:rFonts w:asciiTheme="majorHAnsi" w:hAnsiTheme="majorHAnsi" w:cstheme="majorHAnsi"/>
          <w:sz w:val="12"/>
        </w:rPr>
        <w:t xml:space="preserve">¶ </w:t>
      </w:r>
      <w:r w:rsidRPr="003D65E4">
        <w:rPr>
          <w:rFonts w:asciiTheme="majorHAnsi" w:hAnsiTheme="majorHAnsi" w:cstheme="majorHAnsi"/>
        </w:rPr>
        <w:t xml:space="preserve">the transactions of commerce and industry, but they </w:t>
      </w:r>
      <w:r w:rsidRPr="003D65E4">
        <w:rPr>
          <w:rStyle w:val="StyleBoldUnderline"/>
          <w:rFonts w:asciiTheme="majorHAnsi" w:hAnsiTheme="majorHAnsi" w:cstheme="majorHAnsi"/>
          <w:highlight w:val="green"/>
        </w:rPr>
        <w:t>are not willing to run</w:t>
      </w:r>
      <w:r w:rsidRPr="003D65E4">
        <w:rPr>
          <w:rStyle w:val="StyleBoldUnderline"/>
          <w:rFonts w:asciiTheme="majorHAnsi" w:hAnsiTheme="majorHAnsi" w:cstheme="majorHAnsi"/>
        </w:rPr>
        <w:t xml:space="preserve"> undue </w:t>
      </w:r>
      <w:r w:rsidRPr="003D65E4">
        <w:rPr>
          <w:rStyle w:val="StyleBoldUnderline"/>
          <w:rFonts w:asciiTheme="majorHAnsi" w:hAnsiTheme="majorHAnsi" w:cstheme="majorHAnsi"/>
          <w:sz w:val="12"/>
          <w:highlight w:val="green"/>
        </w:rPr>
        <w:t xml:space="preserve">¶ </w:t>
      </w:r>
      <w:r w:rsidRPr="003D65E4">
        <w:rPr>
          <w:rStyle w:val="StyleBoldUnderline"/>
          <w:rFonts w:asciiTheme="majorHAnsi" w:hAnsiTheme="majorHAnsi" w:cstheme="majorHAnsi"/>
          <w:highlight w:val="green"/>
        </w:rPr>
        <w:t>risk or loss through expropriation</w:t>
      </w:r>
      <w:r w:rsidRPr="003D65E4">
        <w:rPr>
          <w:rFonts w:asciiTheme="majorHAnsi" w:hAnsiTheme="majorHAnsi" w:cstheme="majorHAnsi"/>
        </w:rPr>
        <w:t xml:space="preserve">, devaluation, and other nonbusiness hazards.120 </w:t>
      </w:r>
      <w:r w:rsidRPr="003D65E4">
        <w:rPr>
          <w:rFonts w:asciiTheme="majorHAnsi" w:hAnsiTheme="majorHAnsi" w:cstheme="majorHAnsi"/>
          <w:sz w:val="12"/>
        </w:rPr>
        <w:t xml:space="preserve">¶ </w:t>
      </w:r>
      <w:r w:rsidRPr="003D65E4">
        <w:rPr>
          <w:rFonts w:asciiTheme="majorHAnsi" w:hAnsiTheme="majorHAnsi" w:cstheme="majorHAnsi"/>
        </w:rPr>
        <w:t xml:space="preserve">It was in order to minimize the nonbusiness hazards that programs </w:t>
      </w:r>
      <w:r w:rsidRPr="003D65E4">
        <w:rPr>
          <w:rFonts w:asciiTheme="majorHAnsi" w:hAnsiTheme="majorHAnsi" w:cstheme="majorHAnsi"/>
          <w:sz w:val="12"/>
        </w:rPr>
        <w:t xml:space="preserve">¶ </w:t>
      </w:r>
      <w:r w:rsidRPr="003D65E4">
        <w:rPr>
          <w:rFonts w:asciiTheme="majorHAnsi" w:hAnsiTheme="majorHAnsi" w:cstheme="majorHAnsi"/>
        </w:rPr>
        <w:t xml:space="preserve">such as the investment guarantee program and the bilateral treaty </w:t>
      </w:r>
      <w:r w:rsidRPr="003D65E4">
        <w:rPr>
          <w:rFonts w:asciiTheme="majorHAnsi" w:hAnsiTheme="majorHAnsi" w:cstheme="majorHAnsi"/>
          <w:sz w:val="12"/>
        </w:rPr>
        <w:t xml:space="preserve">¶ </w:t>
      </w:r>
      <w:r w:rsidRPr="003D65E4">
        <w:rPr>
          <w:rFonts w:asciiTheme="majorHAnsi" w:hAnsiTheme="majorHAnsi" w:cstheme="majorHAnsi"/>
        </w:rPr>
        <w:t xml:space="preserve">program have been devised. </w:t>
      </w:r>
      <w:r w:rsidRPr="003D65E4">
        <w:rPr>
          <w:rFonts w:asciiTheme="majorHAnsi" w:hAnsiTheme="majorHAnsi" w:cstheme="majorHAnsi"/>
          <w:sz w:val="12"/>
        </w:rPr>
        <w:t xml:space="preserve">¶ </w:t>
      </w:r>
      <w:r w:rsidRPr="003D65E4">
        <w:rPr>
          <w:rFonts w:asciiTheme="majorHAnsi" w:hAnsiTheme="majorHAnsi" w:cstheme="majorHAnsi"/>
        </w:rPr>
        <w:t xml:space="preserve">The foreign aid program has added to the complexity of the problem. On the one hand, it has been, asked why foreign aid should be </w:t>
      </w:r>
      <w:r w:rsidRPr="003D65E4">
        <w:rPr>
          <w:rFonts w:asciiTheme="majorHAnsi" w:hAnsiTheme="majorHAnsi" w:cstheme="majorHAnsi"/>
          <w:sz w:val="12"/>
        </w:rPr>
        <w:t xml:space="preserve">¶ </w:t>
      </w:r>
      <w:r w:rsidRPr="003D65E4">
        <w:rPr>
          <w:rFonts w:asciiTheme="majorHAnsi" w:hAnsiTheme="majorHAnsi" w:cstheme="majorHAnsi"/>
        </w:rPr>
        <w:t xml:space="preserve">continued to countries which appear unwilling to make the efforts </w:t>
      </w:r>
      <w:r w:rsidRPr="003D65E4">
        <w:rPr>
          <w:rFonts w:asciiTheme="majorHAnsi" w:hAnsiTheme="majorHAnsi" w:cstheme="majorHAnsi"/>
          <w:sz w:val="12"/>
        </w:rPr>
        <w:t xml:space="preserve">¶ </w:t>
      </w:r>
      <w:r w:rsidRPr="003D65E4">
        <w:rPr>
          <w:rFonts w:asciiTheme="majorHAnsi" w:hAnsiTheme="majorHAnsi" w:cstheme="majorHAnsi"/>
        </w:rPr>
        <w:t xml:space="preserve">necessary to attract private capital. On the other hand, it has been </w:t>
      </w:r>
      <w:r w:rsidRPr="003D65E4">
        <w:rPr>
          <w:rFonts w:asciiTheme="majorHAnsi" w:hAnsiTheme="majorHAnsi" w:cstheme="majorHAnsi"/>
          <w:sz w:val="12"/>
        </w:rPr>
        <w:t xml:space="preserve">¶ </w:t>
      </w:r>
      <w:r w:rsidRPr="003D65E4">
        <w:rPr>
          <w:rFonts w:asciiTheme="majorHAnsi" w:hAnsiTheme="majorHAnsi" w:cstheme="majorHAnsi"/>
        </w:rPr>
        <w:t xml:space="preserve">asked whether the threat of cutting off aid, if the procedures for making compensation after an expropriation did not satisfy the United </w:t>
      </w:r>
      <w:r w:rsidRPr="003D65E4">
        <w:rPr>
          <w:rFonts w:asciiTheme="majorHAnsi" w:hAnsiTheme="majorHAnsi" w:cstheme="majorHAnsi"/>
          <w:sz w:val="12"/>
        </w:rPr>
        <w:t xml:space="preserve">¶ </w:t>
      </w:r>
      <w:r w:rsidRPr="003D65E4">
        <w:rPr>
          <w:rFonts w:asciiTheme="majorHAnsi" w:hAnsiTheme="majorHAnsi" w:cstheme="majorHAnsi"/>
        </w:rPr>
        <w:t xml:space="preserve">States, was compatible with tine "broad perspectives and far-seeing </w:t>
      </w:r>
      <w:r w:rsidRPr="003D65E4">
        <w:rPr>
          <w:rFonts w:asciiTheme="majorHAnsi" w:hAnsiTheme="majorHAnsi" w:cstheme="majorHAnsi"/>
          <w:sz w:val="12"/>
        </w:rPr>
        <w:t xml:space="preserve">¶ </w:t>
      </w:r>
      <w:r w:rsidRPr="003D65E4">
        <w:rPr>
          <w:rFonts w:asciiTheme="majorHAnsi" w:hAnsiTheme="majorHAnsi" w:cstheme="majorHAnsi"/>
        </w:rPr>
        <w:t xml:space="preserve">objectives which made bilateral </w:t>
      </w:r>
      <w:r w:rsidRPr="003D65E4">
        <w:rPr>
          <w:rFonts w:asciiTheme="majorHAnsi" w:hAnsiTheme="majorHAnsi" w:cstheme="majorHAnsi"/>
        </w:rPr>
        <w:lastRenderedPageBreak/>
        <w:t>cooperation in aid possible."</w:t>
      </w:r>
      <w:r w:rsidRPr="003D65E4">
        <w:rPr>
          <w:rFonts w:asciiTheme="majorHAnsi" w:hAnsiTheme="majorHAnsi" w:cstheme="majorHAnsi"/>
          <w:sz w:val="12"/>
        </w:rPr>
        <w:t xml:space="preserve">¶ </w:t>
      </w:r>
      <w:r w:rsidRPr="003D65E4">
        <w:rPr>
          <w:rFonts w:asciiTheme="majorHAnsi" w:hAnsiTheme="majorHAnsi" w:cstheme="majorHAnsi"/>
        </w:rPr>
        <w:t xml:space="preserve">m Furin Barlow, E. R., and Ira T. Wender, "Foreign Investment and Taxation," Englewood Cliffs, PrenticeHall, 1956, p. 210. </w:t>
      </w:r>
      <w:r w:rsidRPr="003D65E4">
        <w:rPr>
          <w:rFonts w:asciiTheme="majorHAnsi" w:hAnsiTheme="majorHAnsi" w:cstheme="majorHAnsi"/>
          <w:sz w:val="12"/>
        </w:rPr>
        <w:t xml:space="preserve">¶ </w:t>
      </w:r>
      <w:r w:rsidRPr="003D65E4">
        <w:rPr>
          <w:rFonts w:asciiTheme="majorHAnsi" w:hAnsiTheme="majorHAnsi" w:cstheme="majorHAnsi"/>
        </w:rPr>
        <w:t xml:space="preserve">•*&gt; Statement by Richard Wagner, board chairman of tbe U.S. Chamber of Commerce, quoted in "Editorial Research Report," July iL 1962, p. 500. </w:t>
      </w:r>
      <w:r w:rsidRPr="003D65E4">
        <w:rPr>
          <w:rFonts w:asciiTheme="majorHAnsi" w:hAnsiTheme="majorHAnsi" w:cstheme="majorHAnsi"/>
          <w:sz w:val="12"/>
        </w:rPr>
        <w:t xml:space="preserve">¶ </w:t>
      </w:r>
      <w:r w:rsidRPr="003D65E4">
        <w:rPr>
          <w:rFonts w:asciiTheme="majorHAnsi" w:hAnsiTheme="majorHAnsi" w:cstheme="majorHAnsi"/>
        </w:rPr>
        <w:t xml:space="preserve">"i Letter to editor from First Secretary of Ceylon, op. cit. </w:t>
      </w:r>
      <w:r w:rsidRPr="003D65E4">
        <w:rPr>
          <w:rFonts w:asciiTheme="majorHAnsi" w:hAnsiTheme="majorHAnsi" w:cstheme="majorHAnsi"/>
          <w:sz w:val="12"/>
        </w:rPr>
        <w:t xml:space="preserve">¶ </w:t>
      </w:r>
      <w:r w:rsidRPr="003D65E4">
        <w:rPr>
          <w:rFonts w:asciiTheme="majorHAnsi" w:hAnsiTheme="majorHAnsi" w:cstheme="majorHAnsi"/>
        </w:rPr>
        <w:t xml:space="preserve">HeinOnline -- 2 I.L.M. 1109 1963 </w:t>
      </w:r>
    </w:p>
    <w:p w:rsidR="003D65E4" w:rsidRPr="003D65E4" w:rsidRDefault="003D65E4" w:rsidP="003D65E4">
      <w:pPr>
        <w:rPr>
          <w:rFonts w:asciiTheme="majorHAnsi" w:hAnsiTheme="majorHAnsi" w:cstheme="majorHAnsi"/>
        </w:rPr>
      </w:pPr>
    </w:p>
    <w:p w:rsidR="003D65E4" w:rsidRPr="003D65E4" w:rsidRDefault="003D65E4" w:rsidP="003D65E4">
      <w:pPr>
        <w:rPr>
          <w:rFonts w:asciiTheme="majorHAnsi" w:hAnsiTheme="majorHAnsi" w:cstheme="majorHAnsi"/>
        </w:rPr>
      </w:pPr>
    </w:p>
    <w:p w:rsidR="003D65E4" w:rsidRDefault="0025295F" w:rsidP="0025295F">
      <w:pPr>
        <w:pStyle w:val="Heading1"/>
      </w:pPr>
      <w:r>
        <w:lastRenderedPageBreak/>
        <w:t>Ptx link</w:t>
      </w:r>
    </w:p>
    <w:p w:rsidR="0025295F" w:rsidRDefault="0025295F" w:rsidP="0025295F"/>
    <w:p w:rsidR="0025295F" w:rsidRDefault="0025295F" w:rsidP="0025295F">
      <w:pPr>
        <w:rPr>
          <w:rStyle w:val="StyleStyleBold12pt"/>
        </w:rPr>
      </w:pPr>
      <w:r>
        <w:rPr>
          <w:rStyle w:val="StyleStyleBold12pt"/>
        </w:rPr>
        <w:t>Banana Ptx link</w:t>
      </w:r>
    </w:p>
    <w:p w:rsidR="0025295F" w:rsidRPr="00E5678E" w:rsidRDefault="0025295F" w:rsidP="0025295F">
      <w:pPr>
        <w:rPr>
          <w:rStyle w:val="StyleStyleBold12pt"/>
        </w:rPr>
      </w:pPr>
      <w:r w:rsidRPr="00E5678E">
        <w:rPr>
          <w:rStyle w:val="StyleStyleBold12pt"/>
        </w:rPr>
        <w:t xml:space="preserve">Cateora 11 </w:t>
      </w:r>
    </w:p>
    <w:p w:rsidR="0025295F" w:rsidRDefault="0025295F" w:rsidP="0025295F">
      <w:r w:rsidRPr="00E5678E">
        <w:t>(Philip, fellow at the Academy of International Business University of Colorado, "International Marketing", shr.receptidocs.ru/docs/2/1029/conv_1/file1.pdf</w:t>
      </w:r>
      <w:r>
        <w:t>)</w:t>
      </w:r>
    </w:p>
    <w:p w:rsidR="0025295F" w:rsidRPr="00E5678E" w:rsidRDefault="0025295F" w:rsidP="0025295F">
      <w:r w:rsidRPr="00E5678E">
        <w:t xml:space="preserve">How did this </w:t>
      </w:r>
      <w:r w:rsidRPr="00E5678E">
        <w:rPr>
          <w:b/>
          <w:u w:val="single"/>
        </w:rPr>
        <w:t>banana war</w:t>
      </w:r>
      <w:r w:rsidRPr="00E5678E">
        <w:t xml:space="preserve"> start? </w:t>
      </w:r>
      <w:r w:rsidRPr="00E5678E">
        <w:rPr>
          <w:b/>
          <w:u w:val="single"/>
        </w:rPr>
        <w:t>The E</w:t>
      </w:r>
      <w:r w:rsidRPr="00E5678E">
        <w:t xml:space="preserve">uropean </w:t>
      </w:r>
      <w:r w:rsidRPr="00E5678E">
        <w:rPr>
          <w:b/>
          <w:u w:val="single"/>
        </w:rPr>
        <w:t>U</w:t>
      </w:r>
      <w:r w:rsidRPr="00E5678E">
        <w:t xml:space="preserve">nion </w:t>
      </w:r>
      <w:r w:rsidRPr="00E5678E">
        <w:rPr>
          <w:b/>
          <w:u w:val="single"/>
        </w:rPr>
        <w:t>imposed a quota and tariffs that favored imports</w:t>
      </w:r>
      <w:r w:rsidRPr="00E5678E">
        <w:t xml:space="preserve"> from former colonies in the Caribbean and Africa, distributed by European firms, </w:t>
      </w:r>
      <w:r w:rsidRPr="00E5678E">
        <w:rPr>
          <w:b/>
          <w:u w:val="single"/>
        </w:rPr>
        <w:t>over Latin American bananas</w:t>
      </w:r>
      <w:r w:rsidRPr="00E5678E">
        <w:t xml:space="preserve"> distributed by U.S. firms. </w:t>
      </w:r>
      <w:r w:rsidRPr="00E5678E">
        <w:rPr>
          <w:b/>
          <w:u w:val="single"/>
        </w:rPr>
        <w:t>Chiquita</w:t>
      </w:r>
      <w:r w:rsidRPr="00E5678E">
        <w:t xml:space="preserve"> Brands International and Dole Food Company, </w:t>
      </w:r>
      <w:r w:rsidRPr="00E5678E">
        <w:rPr>
          <w:b/>
          <w:u w:val="single"/>
        </w:rPr>
        <w:t>contend</w:t>
      </w:r>
      <w:r w:rsidRPr="00E5678E">
        <w:t xml:space="preserve">ing </w:t>
      </w:r>
      <w:r w:rsidRPr="00E5678E">
        <w:rPr>
          <w:b/>
          <w:u w:val="single"/>
        </w:rPr>
        <w:t>that</w:t>
      </w:r>
      <w:r w:rsidRPr="00E5678E">
        <w:t xml:space="preserve"> the EU’s “illegal </w:t>
      </w:r>
      <w:r w:rsidRPr="00E5678E">
        <w:rPr>
          <w:b/>
          <w:u w:val="single"/>
        </w:rPr>
        <w:t>trade barriers</w:t>
      </w:r>
      <w:r w:rsidRPr="00E5678E">
        <w:t xml:space="preserve">” </w:t>
      </w:r>
      <w:r w:rsidRPr="00E5678E">
        <w:rPr>
          <w:b/>
          <w:u w:val="single"/>
        </w:rPr>
        <w:t>were costing $520 million annually</w:t>
      </w:r>
      <w:r w:rsidRPr="00E5678E">
        <w:t xml:space="preserve"> in lost sales to Europe, asked the U.S. government for help. </w:t>
      </w:r>
      <w:r w:rsidRPr="00E5678E">
        <w:rPr>
          <w:b/>
          <w:u w:val="single"/>
        </w:rPr>
        <w:t>The government agreed that unfair trade barriers were damaging their business, and 100 percent tariffs on selected European imports were levied.</w:t>
      </w:r>
      <w:r w:rsidRPr="00E5678E">
        <w:t xml:space="preserve"> Coincidentally, </w:t>
      </w:r>
      <w:r w:rsidRPr="00E5678E">
        <w:rPr>
          <w:b/>
          <w:u w:val="single"/>
        </w:rPr>
        <w:t>Chiquita Brands’ annual political campaign contributions increased</w:t>
      </w:r>
      <w:r w:rsidRPr="00E5678E">
        <w:t xml:space="preserve"> from barely over $40,000 in 1991 to $1.3 million in 1998.</w:t>
      </w:r>
      <w:r w:rsidRPr="00E5678E">
        <w:rPr>
          <w:sz w:val="12"/>
        </w:rPr>
        <w:t xml:space="preserve">¶ </w:t>
      </w:r>
      <w:r w:rsidRPr="00E5678E">
        <w:t xml:space="preserve">A settlement was finally reached that involved high tariffs on Latin America bananas and quotas (with no tariffs) on bananas from Europe’s former colonies. But </w:t>
      </w:r>
      <w:r w:rsidRPr="00E5678E">
        <w:rPr>
          <w:b/>
          <w:u w:val="single"/>
        </w:rPr>
        <w:t>the bruising over banana</w:t>
      </w:r>
      <w:r w:rsidRPr="00E5678E">
        <w:rPr>
          <w:b/>
          <w:sz w:val="12"/>
          <w:u w:val="single"/>
        </w:rPr>
        <w:t xml:space="preserve">¶ </w:t>
      </w:r>
      <w:r w:rsidRPr="00E5678E">
        <w:rPr>
          <w:b/>
          <w:u w:val="single"/>
        </w:rPr>
        <w:t>s continues</w:t>
      </w:r>
      <w:r w:rsidRPr="00E5678E">
        <w:t xml:space="preserve">. Most recently, the issue has shifted to banana bending. That is, bananas from Latin America tend to be long and straight, while those from the non-tariff countries are short and bent. Because the latter are not preferred by the shippers or retailers (the bendier ones don’t stack as neatly and economically), the bananas from the former colonies are still not preferred. And new regulations have been adopted by the European Commission that mandate that bananas must be free from “abnormal curvature of the fingers.” So </w:t>
      </w:r>
      <w:r w:rsidRPr="00E5678E">
        <w:rPr>
          <w:b/>
          <w:u w:val="single"/>
        </w:rPr>
        <w:t>the bendy banana producers are threatening to renege on the whole agreement</w:t>
      </w:r>
      <w:r w:rsidRPr="00E5678E">
        <w:t xml:space="preserve">. </w:t>
      </w:r>
      <w:r w:rsidRPr="00E5678E">
        <w:rPr>
          <w:b/>
          <w:u w:val="single"/>
        </w:rPr>
        <w:t>Everyone involved finds this prospect very unappealing</w:t>
      </w:r>
      <w:r w:rsidRPr="00E5678E">
        <w:t>.</w:t>
      </w:r>
      <w:r w:rsidRPr="00E5678E">
        <w:rPr>
          <w:sz w:val="12"/>
        </w:rPr>
        <w:t xml:space="preserve">¶ </w:t>
      </w:r>
      <w:r w:rsidRPr="00E5678E">
        <w:rPr>
          <w:b/>
          <w:u w:val="single"/>
        </w:rPr>
        <w:t>No company, domestic or international, large or small, can conduct business without considering the influence of the political environment</w:t>
      </w:r>
      <w:r w:rsidRPr="00E5678E">
        <w:t xml:space="preserve"> within which it will operate. One of the most undeniable and crucial realities of international business is that both host and home governments are integral partners. A government reacts to its environment by initiating and pursuing policies deemed necessary to solve the problems created by its particular circumstances. Reflected in its policies and attitudes toward business are a government’s ideas of how best to promote the national interest, considering its own resources and political philosophy</w:t>
      </w:r>
      <w:r w:rsidRPr="00E5678E">
        <w:rPr>
          <w:b/>
          <w:u w:val="single"/>
        </w:rPr>
        <w:t>. A government controls and restricts a company’s activities by encouraging and offering support or by discouraging and banning or restricting its activities</w:t>
      </w:r>
      <w:r w:rsidRPr="00E5678E">
        <w:t>—depending on the pleasure of the government.</w:t>
      </w:r>
      <w:r w:rsidRPr="00E5678E">
        <w:rPr>
          <w:sz w:val="12"/>
        </w:rPr>
        <w:t xml:space="preserve">¶ </w:t>
      </w:r>
      <w:r w:rsidRPr="00E5678E">
        <w:t xml:space="preserve">International law recognizes the sovereign right of a nation to grant or withhold permission to do business within its political boundaries and to control where its citizens conduct business. Thus </w:t>
      </w:r>
      <w:r w:rsidRPr="00E5678E">
        <w:rPr>
          <w:b/>
          <w:u w:val="single"/>
        </w:rPr>
        <w:t>the political environment of countries is a critical concern for the international marketer</w:t>
      </w:r>
      <w:r w:rsidRPr="00E5678E">
        <w:t>. This chapter examines some of the more salient political considerations in assessing global markets.</w:t>
      </w:r>
    </w:p>
    <w:p w:rsidR="0025295F" w:rsidRPr="00D17C4E" w:rsidRDefault="0025295F" w:rsidP="0025295F"/>
    <w:p w:rsidR="0025295F" w:rsidRPr="0025295F" w:rsidRDefault="0025295F" w:rsidP="0025295F"/>
    <w:p w:rsidR="0025295F" w:rsidRDefault="0025295F" w:rsidP="0025295F"/>
    <w:p w:rsidR="0025295F" w:rsidRDefault="0025295F" w:rsidP="0025295F"/>
    <w:p w:rsidR="0025295F" w:rsidRPr="0025295F" w:rsidRDefault="0025295F" w:rsidP="0025295F"/>
    <w:p w:rsidR="003D65E4" w:rsidRPr="003D65E4" w:rsidRDefault="003D65E4" w:rsidP="003D65E4">
      <w:pPr>
        <w:rPr>
          <w:rFonts w:asciiTheme="majorHAnsi" w:hAnsiTheme="majorHAnsi" w:cstheme="majorHAnsi"/>
        </w:rPr>
      </w:pPr>
    </w:p>
    <w:p w:rsidR="003D65E4" w:rsidRPr="003D65E4" w:rsidRDefault="003D65E4" w:rsidP="003D65E4">
      <w:pPr>
        <w:rPr>
          <w:rFonts w:asciiTheme="majorHAnsi" w:hAnsiTheme="majorHAnsi" w:cstheme="majorHAnsi"/>
        </w:rPr>
      </w:pPr>
    </w:p>
    <w:p w:rsidR="003D65E4" w:rsidRPr="003D65E4" w:rsidRDefault="003D65E4" w:rsidP="003D65E4">
      <w:pPr>
        <w:rPr>
          <w:rFonts w:asciiTheme="majorHAnsi" w:hAnsiTheme="majorHAnsi" w:cstheme="majorHAnsi"/>
        </w:rPr>
      </w:pPr>
    </w:p>
    <w:sectPr w:rsidR="003D65E4" w:rsidRPr="003D65E4"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4C33" w:rsidRDefault="00794C33" w:rsidP="00E46E7E">
      <w:r>
        <w:separator/>
      </w:r>
    </w:p>
  </w:endnote>
  <w:endnote w:type="continuationSeparator" w:id="0">
    <w:p w:rsidR="00794C33" w:rsidRDefault="00794C33" w:rsidP="00E46E7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4C33" w:rsidRDefault="00794C33" w:rsidP="00E46E7E">
      <w:r>
        <w:separator/>
      </w:r>
    </w:p>
  </w:footnote>
  <w:footnote w:type="continuationSeparator" w:id="0">
    <w:p w:rsidR="00794C33" w:rsidRDefault="00794C33"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1"/>
    <w:footnote w:id="0"/>
  </w:footnotePr>
  <w:endnotePr>
    <w:endnote w:id="-1"/>
    <w:endnote w:id="0"/>
  </w:endnotePr>
  <w:compat>
    <w:useFELayout/>
  </w:compat>
  <w:rsids>
    <w:rsidRoot w:val="00B818D9"/>
    <w:rsid w:val="000140EC"/>
    <w:rsid w:val="00016A35"/>
    <w:rsid w:val="00060133"/>
    <w:rsid w:val="000A1FE8"/>
    <w:rsid w:val="000C16B3"/>
    <w:rsid w:val="000E79EC"/>
    <w:rsid w:val="001408C0"/>
    <w:rsid w:val="00141CF9"/>
    <w:rsid w:val="00143FD7"/>
    <w:rsid w:val="001463FB"/>
    <w:rsid w:val="00154771"/>
    <w:rsid w:val="001633D6"/>
    <w:rsid w:val="00186DB7"/>
    <w:rsid w:val="001D7626"/>
    <w:rsid w:val="0025295F"/>
    <w:rsid w:val="00256331"/>
    <w:rsid w:val="002613DA"/>
    <w:rsid w:val="002B02A4"/>
    <w:rsid w:val="002B6353"/>
    <w:rsid w:val="002B68C8"/>
    <w:rsid w:val="002F35F4"/>
    <w:rsid w:val="002F3E28"/>
    <w:rsid w:val="002F40E6"/>
    <w:rsid w:val="00302806"/>
    <w:rsid w:val="00303E5B"/>
    <w:rsid w:val="00313226"/>
    <w:rsid w:val="0031425E"/>
    <w:rsid w:val="00325059"/>
    <w:rsid w:val="003403DE"/>
    <w:rsid w:val="00346C57"/>
    <w:rsid w:val="00357719"/>
    <w:rsid w:val="00362627"/>
    <w:rsid w:val="00374144"/>
    <w:rsid w:val="003B3EC7"/>
    <w:rsid w:val="003B6863"/>
    <w:rsid w:val="003D65E4"/>
    <w:rsid w:val="003E7B28"/>
    <w:rsid w:val="003F42AF"/>
    <w:rsid w:val="00412F6D"/>
    <w:rsid w:val="0042635A"/>
    <w:rsid w:val="00436FAB"/>
    <w:rsid w:val="00466B6F"/>
    <w:rsid w:val="00471C04"/>
    <w:rsid w:val="004A33CF"/>
    <w:rsid w:val="004B3188"/>
    <w:rsid w:val="004B3DB3"/>
    <w:rsid w:val="004B5C11"/>
    <w:rsid w:val="004C63B5"/>
    <w:rsid w:val="004D461E"/>
    <w:rsid w:val="004F2889"/>
    <w:rsid w:val="00513EEA"/>
    <w:rsid w:val="00517479"/>
    <w:rsid w:val="00544F33"/>
    <w:rsid w:val="005A0BE5"/>
    <w:rsid w:val="005C0E1F"/>
    <w:rsid w:val="005D3949"/>
    <w:rsid w:val="005E0D2B"/>
    <w:rsid w:val="005E2C99"/>
    <w:rsid w:val="0062218F"/>
    <w:rsid w:val="00662A84"/>
    <w:rsid w:val="00672258"/>
    <w:rsid w:val="0067575B"/>
    <w:rsid w:val="00692C26"/>
    <w:rsid w:val="00697E46"/>
    <w:rsid w:val="006F2D3D"/>
    <w:rsid w:val="00700835"/>
    <w:rsid w:val="00726F87"/>
    <w:rsid w:val="007333B9"/>
    <w:rsid w:val="00736C57"/>
    <w:rsid w:val="0074107B"/>
    <w:rsid w:val="00785ED3"/>
    <w:rsid w:val="00786FB7"/>
    <w:rsid w:val="00791B7D"/>
    <w:rsid w:val="00794C33"/>
    <w:rsid w:val="007A3515"/>
    <w:rsid w:val="007B3707"/>
    <w:rsid w:val="007D7924"/>
    <w:rsid w:val="007E470C"/>
    <w:rsid w:val="007E5F71"/>
    <w:rsid w:val="007F44E9"/>
    <w:rsid w:val="007F6D59"/>
    <w:rsid w:val="008005CE"/>
    <w:rsid w:val="0080531A"/>
    <w:rsid w:val="00821415"/>
    <w:rsid w:val="0083768F"/>
    <w:rsid w:val="00866B41"/>
    <w:rsid w:val="008E12D8"/>
    <w:rsid w:val="0091595A"/>
    <w:rsid w:val="009165EA"/>
    <w:rsid w:val="00926907"/>
    <w:rsid w:val="00951A4D"/>
    <w:rsid w:val="009829F2"/>
    <w:rsid w:val="00993F61"/>
    <w:rsid w:val="009968B1"/>
    <w:rsid w:val="009B0746"/>
    <w:rsid w:val="009C198B"/>
    <w:rsid w:val="009D207E"/>
    <w:rsid w:val="009D2FE6"/>
    <w:rsid w:val="009D7445"/>
    <w:rsid w:val="009E5822"/>
    <w:rsid w:val="009E691A"/>
    <w:rsid w:val="00A074CB"/>
    <w:rsid w:val="00A369C4"/>
    <w:rsid w:val="00A47986"/>
    <w:rsid w:val="00A91A24"/>
    <w:rsid w:val="00AA3C5D"/>
    <w:rsid w:val="00AC0E99"/>
    <w:rsid w:val="00AF1E67"/>
    <w:rsid w:val="00AF5046"/>
    <w:rsid w:val="00AF70D4"/>
    <w:rsid w:val="00B05281"/>
    <w:rsid w:val="00B169A1"/>
    <w:rsid w:val="00B33E0C"/>
    <w:rsid w:val="00B45FE9"/>
    <w:rsid w:val="00B55D49"/>
    <w:rsid w:val="00B65E97"/>
    <w:rsid w:val="00B818D9"/>
    <w:rsid w:val="00B83507"/>
    <w:rsid w:val="00B84180"/>
    <w:rsid w:val="00BC69FC"/>
    <w:rsid w:val="00BD662C"/>
    <w:rsid w:val="00BE63EA"/>
    <w:rsid w:val="00C22182"/>
    <w:rsid w:val="00C27112"/>
    <w:rsid w:val="00C42A3C"/>
    <w:rsid w:val="00C46376"/>
    <w:rsid w:val="00C807CC"/>
    <w:rsid w:val="00CC2406"/>
    <w:rsid w:val="00CD2C6D"/>
    <w:rsid w:val="00CD6437"/>
    <w:rsid w:val="00CE1FE1"/>
    <w:rsid w:val="00CF1A0F"/>
    <w:rsid w:val="00CF22A2"/>
    <w:rsid w:val="00D36252"/>
    <w:rsid w:val="00D41450"/>
    <w:rsid w:val="00D4330B"/>
    <w:rsid w:val="00D460F1"/>
    <w:rsid w:val="00D51B44"/>
    <w:rsid w:val="00D55F6C"/>
    <w:rsid w:val="00D6085D"/>
    <w:rsid w:val="00D66D57"/>
    <w:rsid w:val="00D753C1"/>
    <w:rsid w:val="00D81480"/>
    <w:rsid w:val="00DA2E40"/>
    <w:rsid w:val="00DA5BF8"/>
    <w:rsid w:val="00DC71AA"/>
    <w:rsid w:val="00DD2FAB"/>
    <w:rsid w:val="00DE627C"/>
    <w:rsid w:val="00DF1850"/>
    <w:rsid w:val="00E333FC"/>
    <w:rsid w:val="00E46E7E"/>
    <w:rsid w:val="00E95631"/>
    <w:rsid w:val="00EA3C88"/>
    <w:rsid w:val="00F1173B"/>
    <w:rsid w:val="00F4093D"/>
    <w:rsid w:val="00F45F2E"/>
    <w:rsid w:val="00F63860"/>
    <w:rsid w:val="00FA538E"/>
    <w:rsid w:val="00FD50BA"/>
    <w:rsid w:val="00FE4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D65E4"/>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3D65E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D65E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D65E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D65E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3D65E4"/>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3D65E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D65E4"/>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3D65E4"/>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3D65E4"/>
    <w:rPr>
      <w:rFonts w:ascii="Calibri" w:eastAsiaTheme="majorEastAsia" w:hAnsi="Calibri" w:cstheme="majorBidi"/>
      <w:b/>
      <w:bCs/>
      <w:iCs/>
      <w:sz w:val="26"/>
      <w:szCs w:val="22"/>
    </w:rPr>
  </w:style>
  <w:style w:type="paragraph" w:styleId="NoSpacing">
    <w:name w:val="No Spacing"/>
    <w:uiPriority w:val="1"/>
    <w:rsid w:val="00CC2406"/>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D65E4"/>
    <w:rPr>
      <w:b/>
      <w:bCs/>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3D65E4"/>
    <w:rPr>
      <w:b/>
      <w:bCs/>
      <w:sz w:val="22"/>
      <w:u w:val="single"/>
    </w:rPr>
  </w:style>
  <w:style w:type="paragraph" w:styleId="DocumentMap">
    <w:name w:val="Document Map"/>
    <w:basedOn w:val="Normal"/>
    <w:link w:val="DocumentMapChar"/>
    <w:uiPriority w:val="99"/>
    <w:semiHidden/>
    <w:unhideWhenUsed/>
    <w:rsid w:val="00CC2406"/>
    <w:rPr>
      <w:rFonts w:ascii="Lucida Grande" w:hAnsi="Lucida Grande" w:cs="Lucida Grande"/>
    </w:rPr>
  </w:style>
  <w:style w:type="character" w:customStyle="1" w:styleId="DocumentMapChar">
    <w:name w:val="Document Map Char"/>
    <w:basedOn w:val="DefaultParagraphFont"/>
    <w:link w:val="DocumentMap"/>
    <w:uiPriority w:val="99"/>
    <w:semiHidden/>
    <w:rsid w:val="00CC2406"/>
    <w:rPr>
      <w:rFonts w:ascii="Lucida Grande" w:hAnsi="Lucida Grande" w:cs="Lucida Grande"/>
      <w:sz w:val="22"/>
    </w:rPr>
  </w:style>
  <w:style w:type="paragraph" w:styleId="ListParagraph">
    <w:name w:val="List Paragraph"/>
    <w:basedOn w:val="Normal"/>
    <w:uiPriority w:val="34"/>
    <w:rsid w:val="00CC2406"/>
    <w:pPr>
      <w:ind w:left="720"/>
      <w:contextualSpacing/>
    </w:pPr>
  </w:style>
  <w:style w:type="paragraph" w:styleId="Header">
    <w:name w:val="header"/>
    <w:basedOn w:val="Normal"/>
    <w:link w:val="HeaderChar"/>
    <w:uiPriority w:val="99"/>
    <w:rsid w:val="003D65E4"/>
    <w:pPr>
      <w:tabs>
        <w:tab w:val="center" w:pos="4680"/>
        <w:tab w:val="right" w:pos="9360"/>
      </w:tabs>
    </w:pPr>
  </w:style>
  <w:style w:type="character" w:customStyle="1" w:styleId="HeaderChar">
    <w:name w:val="Header Char"/>
    <w:basedOn w:val="DefaultParagraphFont"/>
    <w:link w:val="Header"/>
    <w:uiPriority w:val="99"/>
    <w:rsid w:val="003D65E4"/>
    <w:rPr>
      <w:rFonts w:ascii="Calibri" w:eastAsiaTheme="minorHAnsi" w:hAnsi="Calibri" w:cs="Calibri"/>
      <w:sz w:val="22"/>
      <w:szCs w:val="22"/>
    </w:rPr>
  </w:style>
  <w:style w:type="paragraph" w:styleId="Footer">
    <w:name w:val="footer"/>
    <w:basedOn w:val="Normal"/>
    <w:link w:val="FooterChar"/>
    <w:uiPriority w:val="99"/>
    <w:rsid w:val="003D65E4"/>
    <w:pPr>
      <w:tabs>
        <w:tab w:val="center" w:pos="4680"/>
        <w:tab w:val="right" w:pos="9360"/>
      </w:tabs>
    </w:pPr>
  </w:style>
  <w:style w:type="character" w:customStyle="1" w:styleId="FooterChar">
    <w:name w:val="Footer Char"/>
    <w:basedOn w:val="DefaultParagraphFont"/>
    <w:link w:val="Footer"/>
    <w:uiPriority w:val="99"/>
    <w:rsid w:val="003D65E4"/>
    <w:rPr>
      <w:rFonts w:ascii="Calibri" w:eastAsiaTheme="minorHAnsi" w:hAnsi="Calibri" w:cs="Calibri"/>
      <w:sz w:val="22"/>
      <w:szCs w:val="22"/>
    </w:rPr>
  </w:style>
  <w:style w:type="character" w:styleId="PageNumber">
    <w:name w:val="page number"/>
    <w:basedOn w:val="DefaultParagraphFont"/>
    <w:uiPriority w:val="99"/>
    <w:semiHidden/>
    <w:unhideWhenUsed/>
    <w:rsid w:val="00CC2406"/>
  </w:style>
  <w:style w:type="character" w:styleId="Hyperlink">
    <w:name w:val="Hyperlink"/>
    <w:basedOn w:val="DefaultParagraphFont"/>
    <w:uiPriority w:val="99"/>
    <w:rsid w:val="003D65E4"/>
    <w:rPr>
      <w:color w:val="auto"/>
      <w:u w:val="none"/>
    </w:rPr>
  </w:style>
  <w:style w:type="paragraph" w:styleId="NormalWeb">
    <w:name w:val="Normal (Web)"/>
    <w:basedOn w:val="Normal"/>
    <w:uiPriority w:val="99"/>
    <w:unhideWhenUsed/>
    <w:rsid w:val="00060133"/>
    <w:pPr>
      <w:spacing w:before="100" w:beforeAutospacing="1" w:after="100" w:afterAutospacing="1"/>
    </w:pPr>
    <w:rPr>
      <w:rFonts w:ascii="Times" w:hAnsi="Times"/>
      <w:szCs w:val="20"/>
    </w:rPr>
  </w:style>
  <w:style w:type="character" w:customStyle="1" w:styleId="apple-converted-space">
    <w:name w:val="apple-converted-space"/>
    <w:basedOn w:val="DefaultParagraphFont"/>
    <w:rsid w:val="00060133"/>
  </w:style>
  <w:style w:type="character" w:customStyle="1" w:styleId="StyleBold">
    <w:name w:val="Style Bold"/>
    <w:basedOn w:val="DefaultParagraphFont"/>
    <w:uiPriority w:val="9"/>
    <w:semiHidden/>
    <w:rsid w:val="003D65E4"/>
    <w:rPr>
      <w:b/>
      <w:bCs/>
    </w:rPr>
  </w:style>
  <w:style w:type="character" w:styleId="FollowedHyperlink">
    <w:name w:val="FollowedHyperlink"/>
    <w:basedOn w:val="DefaultParagraphFont"/>
    <w:uiPriority w:val="99"/>
    <w:semiHidden/>
    <w:rsid w:val="003D65E4"/>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D65E4"/>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3D65E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D65E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D65E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D65E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3D65E4"/>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3D65E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D65E4"/>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3D65E4"/>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3D65E4"/>
    <w:rPr>
      <w:rFonts w:ascii="Calibri" w:eastAsiaTheme="majorEastAsia" w:hAnsi="Calibri" w:cstheme="majorBidi"/>
      <w:b/>
      <w:bCs/>
      <w:iCs/>
      <w:sz w:val="26"/>
      <w:szCs w:val="22"/>
    </w:rPr>
  </w:style>
  <w:style w:type="paragraph" w:styleId="NoSpacing">
    <w:name w:val="No Spacing"/>
    <w:uiPriority w:val="1"/>
    <w:rsid w:val="00CC2406"/>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D65E4"/>
    <w:rPr>
      <w:b/>
      <w:bCs/>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3D65E4"/>
    <w:rPr>
      <w:b/>
      <w:bCs/>
      <w:sz w:val="22"/>
      <w:u w:val="single"/>
    </w:rPr>
  </w:style>
  <w:style w:type="paragraph" w:styleId="DocumentMap">
    <w:name w:val="Document Map"/>
    <w:basedOn w:val="Normal"/>
    <w:link w:val="DocumentMapChar"/>
    <w:uiPriority w:val="99"/>
    <w:semiHidden/>
    <w:unhideWhenUsed/>
    <w:rsid w:val="00CC2406"/>
    <w:rPr>
      <w:rFonts w:ascii="Lucida Grande" w:hAnsi="Lucida Grande" w:cs="Lucida Grande"/>
    </w:rPr>
  </w:style>
  <w:style w:type="character" w:customStyle="1" w:styleId="DocumentMapChar">
    <w:name w:val="Document Map Char"/>
    <w:basedOn w:val="DefaultParagraphFont"/>
    <w:link w:val="DocumentMap"/>
    <w:uiPriority w:val="99"/>
    <w:semiHidden/>
    <w:rsid w:val="00CC2406"/>
    <w:rPr>
      <w:rFonts w:ascii="Lucida Grande" w:hAnsi="Lucida Grande" w:cs="Lucida Grande"/>
      <w:sz w:val="22"/>
    </w:rPr>
  </w:style>
  <w:style w:type="paragraph" w:styleId="ListParagraph">
    <w:name w:val="List Paragraph"/>
    <w:basedOn w:val="Normal"/>
    <w:uiPriority w:val="34"/>
    <w:rsid w:val="00CC2406"/>
    <w:pPr>
      <w:ind w:left="720"/>
      <w:contextualSpacing/>
    </w:pPr>
  </w:style>
  <w:style w:type="paragraph" w:styleId="Header">
    <w:name w:val="header"/>
    <w:basedOn w:val="Normal"/>
    <w:link w:val="HeaderChar"/>
    <w:uiPriority w:val="99"/>
    <w:rsid w:val="003D65E4"/>
    <w:pPr>
      <w:tabs>
        <w:tab w:val="center" w:pos="4680"/>
        <w:tab w:val="right" w:pos="9360"/>
      </w:tabs>
    </w:pPr>
  </w:style>
  <w:style w:type="character" w:customStyle="1" w:styleId="HeaderChar">
    <w:name w:val="Header Char"/>
    <w:basedOn w:val="DefaultParagraphFont"/>
    <w:link w:val="Header"/>
    <w:uiPriority w:val="99"/>
    <w:rsid w:val="003D65E4"/>
    <w:rPr>
      <w:rFonts w:ascii="Calibri" w:eastAsiaTheme="minorHAnsi" w:hAnsi="Calibri" w:cs="Calibri"/>
      <w:sz w:val="22"/>
      <w:szCs w:val="22"/>
    </w:rPr>
  </w:style>
  <w:style w:type="paragraph" w:styleId="Footer">
    <w:name w:val="footer"/>
    <w:basedOn w:val="Normal"/>
    <w:link w:val="FooterChar"/>
    <w:uiPriority w:val="99"/>
    <w:rsid w:val="003D65E4"/>
    <w:pPr>
      <w:tabs>
        <w:tab w:val="center" w:pos="4680"/>
        <w:tab w:val="right" w:pos="9360"/>
      </w:tabs>
    </w:pPr>
  </w:style>
  <w:style w:type="character" w:customStyle="1" w:styleId="FooterChar">
    <w:name w:val="Footer Char"/>
    <w:basedOn w:val="DefaultParagraphFont"/>
    <w:link w:val="Footer"/>
    <w:uiPriority w:val="99"/>
    <w:rsid w:val="003D65E4"/>
    <w:rPr>
      <w:rFonts w:ascii="Calibri" w:eastAsiaTheme="minorHAnsi" w:hAnsi="Calibri" w:cs="Calibri"/>
      <w:sz w:val="22"/>
      <w:szCs w:val="22"/>
    </w:rPr>
  </w:style>
  <w:style w:type="character" w:styleId="PageNumber">
    <w:name w:val="page number"/>
    <w:basedOn w:val="DefaultParagraphFont"/>
    <w:uiPriority w:val="99"/>
    <w:semiHidden/>
    <w:unhideWhenUsed/>
    <w:rsid w:val="00CC2406"/>
  </w:style>
  <w:style w:type="character" w:styleId="Hyperlink">
    <w:name w:val="Hyperlink"/>
    <w:basedOn w:val="DefaultParagraphFont"/>
    <w:uiPriority w:val="99"/>
    <w:rsid w:val="003D65E4"/>
    <w:rPr>
      <w:color w:val="auto"/>
      <w:u w:val="none"/>
    </w:rPr>
  </w:style>
  <w:style w:type="paragraph" w:styleId="NormalWeb">
    <w:name w:val="Normal (Web)"/>
    <w:basedOn w:val="Normal"/>
    <w:uiPriority w:val="99"/>
    <w:unhideWhenUsed/>
    <w:rsid w:val="00060133"/>
    <w:pPr>
      <w:spacing w:before="100" w:beforeAutospacing="1" w:after="100" w:afterAutospacing="1"/>
    </w:pPr>
    <w:rPr>
      <w:rFonts w:ascii="Times" w:hAnsi="Times"/>
      <w:szCs w:val="20"/>
    </w:rPr>
  </w:style>
  <w:style w:type="character" w:customStyle="1" w:styleId="apple-converted-space">
    <w:name w:val="apple-converted-space"/>
    <w:basedOn w:val="DefaultParagraphFont"/>
    <w:rsid w:val="00060133"/>
  </w:style>
  <w:style w:type="character" w:customStyle="1" w:styleId="StyleBold">
    <w:name w:val="Style Bold"/>
    <w:basedOn w:val="DefaultParagraphFont"/>
    <w:uiPriority w:val="9"/>
    <w:semiHidden/>
    <w:rsid w:val="003D65E4"/>
    <w:rPr>
      <w:b/>
      <w:bCs/>
    </w:rPr>
  </w:style>
  <w:style w:type="character" w:styleId="FollowedHyperlink">
    <w:name w:val="FollowedHyperlink"/>
    <w:basedOn w:val="DefaultParagraphFont"/>
    <w:uiPriority w:val="99"/>
    <w:semiHidden/>
    <w:rsid w:val="003D65E4"/>
    <w:rPr>
      <w:color w:val="auto"/>
      <w:u w:val="none"/>
    </w:rPr>
  </w:style>
</w:styles>
</file>

<file path=word/webSettings.xml><?xml version="1.0" encoding="utf-8"?>
<w:webSettings xmlns:r="http://schemas.openxmlformats.org/officeDocument/2006/relationships" xmlns:w="http://schemas.openxmlformats.org/wordprocessingml/2006/main">
  <w:divs>
    <w:div w:id="194852336">
      <w:bodyDiv w:val="1"/>
      <w:marLeft w:val="0"/>
      <w:marRight w:val="0"/>
      <w:marTop w:val="0"/>
      <w:marBottom w:val="0"/>
      <w:divBdr>
        <w:top w:val="none" w:sz="0" w:space="0" w:color="auto"/>
        <w:left w:val="none" w:sz="0" w:space="0" w:color="auto"/>
        <w:bottom w:val="none" w:sz="0" w:space="0" w:color="auto"/>
        <w:right w:val="none" w:sz="0" w:space="0" w:color="auto"/>
      </w:divBdr>
    </w:div>
    <w:div w:id="232011288">
      <w:bodyDiv w:val="1"/>
      <w:marLeft w:val="0"/>
      <w:marRight w:val="0"/>
      <w:marTop w:val="0"/>
      <w:marBottom w:val="0"/>
      <w:divBdr>
        <w:top w:val="none" w:sz="0" w:space="0" w:color="auto"/>
        <w:left w:val="none" w:sz="0" w:space="0" w:color="auto"/>
        <w:bottom w:val="none" w:sz="0" w:space="0" w:color="auto"/>
        <w:right w:val="none" w:sz="0" w:space="0" w:color="auto"/>
      </w:divBdr>
    </w:div>
    <w:div w:id="955062714">
      <w:bodyDiv w:val="1"/>
      <w:marLeft w:val="0"/>
      <w:marRight w:val="0"/>
      <w:marTop w:val="0"/>
      <w:marBottom w:val="0"/>
      <w:divBdr>
        <w:top w:val="none" w:sz="0" w:space="0" w:color="auto"/>
        <w:left w:val="none" w:sz="0" w:space="0" w:color="auto"/>
        <w:bottom w:val="none" w:sz="0" w:space="0" w:color="auto"/>
        <w:right w:val="none" w:sz="0" w:space="0" w:color="auto"/>
      </w:divBdr>
    </w:div>
    <w:div w:id="11803167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United_States_Reports" TargetMode="External"/><Relationship Id="rId13"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hyperlink" Target="http://www.ncpa.org/pdfs/Message_to_Debaters_6-7-13.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truth-out.org/article/item/6319:fighting-back-against-corporate-personhood" TargetMode="External"/><Relationship Id="rId4" Type="http://schemas.openxmlformats.org/officeDocument/2006/relationships/webSettings" Target="webSettings.xml"/><Relationship Id="rId9" Type="http://schemas.openxmlformats.org/officeDocument/2006/relationships/hyperlink" Target="https://supreme.justia.com/us/558/310/cas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25</Pages>
  <Words>9851</Words>
  <Characters>56151</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65871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Hirsch</dc:creator>
  <cp:lastModifiedBy>Owner, Team 2011</cp:lastModifiedBy>
  <cp:revision>2</cp:revision>
  <dcterms:created xsi:type="dcterms:W3CDTF">2013-08-09T17:04:00Z</dcterms:created>
  <dcterms:modified xsi:type="dcterms:W3CDTF">2013-08-09T17:04:00Z</dcterms:modified>
</cp:coreProperties>
</file>