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bookmarkStart w:id="0" w:name="_GoBack"/>
      <w:bookmarkEnd w:id="0"/>
      <w:r>
        <w:t>Cuba Embargo Neg</w:t>
      </w:r>
    </w:p>
    <w:p>
      <w:pPr>
        <w:pStyle w:val="Heading2"/>
      </w:pPr>
      <w:r>
        <w:lastRenderedPageBreak/>
        <w:t>Oil Frontline</w:t>
      </w:r>
    </w:p>
    <w:p>
      <w:pPr>
        <w:pStyle w:val="Heading3"/>
      </w:pPr>
      <w:r>
        <w:lastRenderedPageBreak/>
        <w:t>1NC Environment</w:t>
      </w:r>
    </w:p>
    <w:p>
      <w:pPr>
        <w:pStyle w:val="Heading4"/>
      </w:pPr>
      <w:r>
        <w:t>Ending the embargo now prevents a transition to a more democractic government – economic pressure is working right now</w:t>
      </w:r>
    </w:p>
    <w:p>
      <w:r>
        <w:t xml:space="preserve">Richard </w:t>
      </w:r>
      <w:r>
        <w:rPr>
          <w:rStyle w:val="StyleStyleBold12pt"/>
        </w:rPr>
        <w:t>Sadowski</w:t>
      </w:r>
      <w:r>
        <w:t>, 2012 J.D. candidate at Hofstra University School of Law, Managing Editor of Production of the Journal of International Business and Law Vol. XI., 20</w:t>
      </w:r>
      <w:r>
        <w:rPr>
          <w:rStyle w:val="StyleStyleBold12pt"/>
        </w:rPr>
        <w:t>11</w:t>
      </w:r>
      <w:r>
        <w:t>, "Cuban Offshore Drilling: Preparation and Prevention within the Framework of the United States’ Embargo."</w:t>
      </w:r>
    </w:p>
    <w:p>
      <w:r>
        <w:t xml:space="preserve">Sustainable Development Law &amp; Policy 12, no. 1: 37-39, 63-6 </w:t>
      </w:r>
    </w:p>
    <w:p>
      <w:r>
        <w:t xml:space="preserve">dealIng WITh cuBa’s oIl Plans WIThouT comPromIsIng The emBargo the emBargo is still Necessary Despite calls for its </w:t>
      </w:r>
      <w:r>
        <w:rPr>
          <w:rStyle w:val="StyleBoldUnderline"/>
        </w:rPr>
        <w:t>revocation, the embargo’s purpose is as important now as when it was enacted. Cuba is still an oppressive country. 59 Cubans may not leave the country without permission and still lack fundamental freedoms of expression</w:t>
      </w:r>
      <w:r>
        <w:t xml:space="preserve">. Miguel Vivanco, the director of Americas division at Human Rights Watch, notes that as “Cuba’s draconian laws and sham trials remain in place, [the country] continue[s] to restock the prison cells with new generations of innocent Cubans who dare to exercise their basic rights.” 61 Moreover, a recent proposal by the Cuban Communist Party makes clear that there will be no change in the country’s oppressive one-party political system. In doing so, the lengthy document declares “[o]nly socialism is capable of overcoming the current difficulties and preserving the victories of the revolution.” 63 </w:t>
      </w:r>
      <w:r>
        <w:rPr>
          <w:rStyle w:val="StyleBoldUnderline"/>
        </w:rPr>
        <w:t>Cuba’s treatment of its own citizens is a situation the United States cannot ignore. The embargo’s twin goals of backing democracy and ending oppressive rule have not been met. Until they are, the embargo must remain in place.</w:t>
      </w:r>
    </w:p>
    <w:p>
      <w:pPr>
        <w:pStyle w:val="Heading4"/>
      </w:pPr>
      <w:r>
        <w:t>Foreign companies fill in for US tech – and Cuba has incentives to ensure safety</w:t>
      </w:r>
    </w:p>
    <w:p>
      <w:r>
        <w:t xml:space="preserve">Richard </w:t>
      </w:r>
      <w:r>
        <w:rPr>
          <w:rStyle w:val="StyleStyleBold12pt"/>
        </w:rPr>
        <w:t>Sadowski</w:t>
      </w:r>
      <w:r>
        <w:t>, 2012 J.D. candidate at Hofstra University School of Law, Managing Editor of Production of the Journal of International Business and Law Vol. XI., 20</w:t>
      </w:r>
      <w:r>
        <w:rPr>
          <w:rStyle w:val="StyleStyleBold12pt"/>
        </w:rPr>
        <w:t>11</w:t>
      </w:r>
      <w:r>
        <w:t>, "Cuban Offshore Drilling: Preparation and Prevention within the Framework of the United States’ Embargo."</w:t>
      </w:r>
    </w:p>
    <w:p>
      <w:r>
        <w:t xml:space="preserve">Sustainable Development Law &amp; Policy 12, no. 1: 37-39, 63-6 </w:t>
      </w:r>
    </w:p>
    <w:p>
      <w:pPr>
        <w:rPr>
          <w:rStyle w:val="Emphasis"/>
        </w:rPr>
      </w:pPr>
      <w:r>
        <w:t xml:space="preserve">calmIng envIronmenTal Fears WITh an oIl sPIll resPonse agreemenT WITh cuBa </w:t>
      </w:r>
      <w:r>
        <w:rPr>
          <w:rStyle w:val="StyleBoldUnderline"/>
        </w:rPr>
        <w:t>Fears that Cuban offshore drilling poses serious environmental threats because of the proximity to the United States and the prohibition on U.S. technology transfer are overblow</w:t>
      </w:r>
      <w:r>
        <w:t xml:space="preserve">n. </w:t>
      </w:r>
      <w:r>
        <w:rPr>
          <w:rStyle w:val="Emphasis"/>
        </w:rPr>
        <w:t>Cuba has at least as much incentive to ensure safe-drilling practices</w:t>
      </w:r>
      <w:r>
        <w:t xml:space="preserve"> as does the United States, and </w:t>
      </w:r>
      <w:r>
        <w:rPr>
          <w:rStyle w:val="StyleBoldUnderline"/>
        </w:rPr>
        <w:t xml:space="preserve">reports indicate that Cuba is taking safety seriously. </w:t>
      </w:r>
      <w:r>
        <w:t xml:space="preserve">64 Lee </w:t>
      </w:r>
      <w:r>
        <w:rPr>
          <w:rStyle w:val="StyleBoldUnderline"/>
        </w:rPr>
        <w:t>Hunt, President of the Houston-based International Association of Drilling Contractors, said, “[t]he Cuban oil industry has put a lot of research, study and thought into what will be required to safely dr</w:t>
      </w:r>
      <w:r>
        <w:t>ill,” and that “</w:t>
      </w:r>
      <w:r>
        <w:rPr>
          <w:rStyle w:val="StyleBoldUnderline"/>
        </w:rPr>
        <w:t>they are very knowledgeable of international industry practices and have incorporated many of these principles into their safety and regulatory planning and requirements</w:t>
      </w:r>
      <w:r>
        <w:t xml:space="preserve">.” 65 Thus, while the economic embargo of Cuba restricts American technology from being utilized, </w:t>
      </w:r>
      <w:r>
        <w:rPr>
          <w:rStyle w:val="Emphasis"/>
        </w:rPr>
        <w:t>foreign sources have provided supplemental alternatives.</w:t>
      </w:r>
    </w:p>
    <w:p>
      <w:pPr>
        <w:pStyle w:val="Heading4"/>
      </w:pPr>
      <w:r>
        <w:t>US resources solve oil dependency – makes Cuban resources unnecessary</w:t>
      </w:r>
    </w:p>
    <w:p>
      <w:r>
        <w:t xml:space="preserve">Richard </w:t>
      </w:r>
      <w:r>
        <w:rPr>
          <w:rStyle w:val="StyleStyleBold12pt"/>
        </w:rPr>
        <w:t>Sadowski</w:t>
      </w:r>
      <w:r>
        <w:t>, 2012 J.D. candidate at Hofstra University School of Law, Managing Editor of Production of the Journal of International Business and Law Vol. XI., 20</w:t>
      </w:r>
      <w:r>
        <w:rPr>
          <w:rStyle w:val="StyleStyleBold12pt"/>
        </w:rPr>
        <w:t>11</w:t>
      </w:r>
      <w:r>
        <w:t>, "Cuban Offshore Drilling: Preparation and Prevention within the Framework of the United States’ Embargo."</w:t>
      </w:r>
    </w:p>
    <w:p>
      <w:r>
        <w:t xml:space="preserve">Sustainable Development Law &amp; Policy 12, no. 1: 37-39, 63-6 </w:t>
      </w:r>
    </w:p>
    <w:p>
      <w:pPr>
        <w:rPr>
          <w:rStyle w:val="StyleBoldUnderline"/>
        </w:rPr>
      </w:pPr>
      <w:r>
        <w:t xml:space="preserve">the uNited states should first utilize u.s. oil resources </w:t>
      </w:r>
      <w:r>
        <w:rPr>
          <w:rStyle w:val="StyleBoldUnderline"/>
        </w:rPr>
        <w:t>The United States’ thirst for oil should first be quenched with local resources</w:t>
      </w:r>
      <w:r>
        <w:t xml:space="preserve"> before resorting to end the embargo. </w:t>
      </w:r>
      <w:r>
        <w:rPr>
          <w:rStyle w:val="StyleBoldUnderline"/>
        </w:rPr>
        <w:t xml:space="preserve">Allowing U.S. companies access to </w:t>
      </w:r>
      <w:r>
        <w:rPr>
          <w:rStyle w:val="StyleBoldUnderline"/>
        </w:rPr>
        <w:lastRenderedPageBreak/>
        <w:t xml:space="preserve">Cuban offshore oil fields would effectively allow those companies to drill for oil in waters </w:t>
      </w:r>
      <w:r>
        <w:rPr>
          <w:rStyle w:val="Emphasis"/>
        </w:rPr>
        <w:t>closer to the U.S. coast</w:t>
      </w:r>
      <w:r>
        <w:rPr>
          <w:rStyle w:val="StyleBoldUnderline"/>
        </w:rPr>
        <w:t xml:space="preserve"> than laws currently allow. </w:t>
      </w:r>
      <w:r>
        <w:t>75 J. Larry Nichols, Chairman of Devon Energy, an independent U.S. oil and natural gas producer, opined that “[</w:t>
      </w:r>
      <w:r>
        <w:rPr>
          <w:rStyle w:val="StyleBoldUnderline"/>
        </w:rPr>
        <w:t>w]hen U.S. companies are not even allowed to drill in the eastern half of the Gulf of Mexico, we have a long way to go before we can think about international waters off the coast of Cuba.</w:t>
      </w:r>
      <w:r>
        <w:t xml:space="preserve">” 76 If access to oil is indeed the main U.S. rationale behind lifting the embargo, </w:t>
      </w:r>
      <w:r>
        <w:rPr>
          <w:rStyle w:val="StyleBoldUnderline"/>
        </w:rPr>
        <w:t xml:space="preserve">this need is best met by first allowing companies to drill more extensively in U.S. waters. </w:t>
      </w:r>
      <w:r>
        <w:t xml:space="preserve">77 Moreover, </w:t>
      </w:r>
      <w:r>
        <w:rPr>
          <w:rStyle w:val="StyleBoldUnderline"/>
        </w:rPr>
        <w:t>dependence on other countries for oil is not a responsible option. 78 Because the United States has the best oil safety standards in the world, it is most environmentally competent to tap America’s own natural resources</w:t>
      </w:r>
      <w:r>
        <w:t xml:space="preserve">. 79 Furthermore, </w:t>
      </w:r>
      <w:r>
        <w:rPr>
          <w:rStyle w:val="StyleBoldUnderline"/>
        </w:rPr>
        <w:t>because drilling has yet to start, there is time yet for Cuban political change to occur.</w:t>
      </w:r>
      <w:r>
        <w:t xml:space="preserve"> 80 Not only is there simply no pressing need for Cuban oil, as portrayed by U.S. oil lobbyists, but </w:t>
      </w:r>
      <w:r>
        <w:rPr>
          <w:rStyle w:val="StyleBoldUnderline"/>
        </w:rPr>
        <w:t>U.S. resources offer a more attractive alternative.</w:t>
      </w:r>
    </w:p>
    <w:p>
      <w:pPr>
        <w:pStyle w:val="Heading4"/>
      </w:pPr>
      <w:r>
        <w:t>Embargo is working – even Castro concedes</w:t>
      </w:r>
    </w:p>
    <w:p>
      <w:r>
        <w:t xml:space="preserve">Richard </w:t>
      </w:r>
      <w:r>
        <w:rPr>
          <w:rStyle w:val="StyleStyleBold12pt"/>
        </w:rPr>
        <w:t>Sadowski</w:t>
      </w:r>
      <w:r>
        <w:t>, 2012 J.D. candidate at Hofstra University School of Law, Managing Editor of Production of the Journal of International Business and Law Vol. XI., 20</w:t>
      </w:r>
      <w:r>
        <w:rPr>
          <w:rStyle w:val="StyleStyleBold12pt"/>
        </w:rPr>
        <w:t>11</w:t>
      </w:r>
      <w:r>
        <w:t>, "Cuban Offshore Drilling: Preparation and Prevention within the Framework of the United States’ Embargo."</w:t>
      </w:r>
    </w:p>
    <w:p>
      <w:r>
        <w:t xml:space="preserve">Sustainable Development Law &amp; Policy 12, no. 1: 37-39, 63-6 </w:t>
      </w:r>
    </w:p>
    <w:p>
      <w:r>
        <w:t xml:space="preserve">81 receNt ecoNomic Policy chaNges iN cuBa sigNal the eNd of oPPressive cuBaN rule </w:t>
      </w:r>
      <w:r>
        <w:rPr>
          <w:rStyle w:val="StyleBoldUnderline"/>
        </w:rPr>
        <w:t xml:space="preserve">Economic pressure has been weighing heavy on the Castro regime, foreshadowing an end to its oppressive rule </w:t>
      </w:r>
      <w:r>
        <w:t xml:space="preserve">over Cuba. </w:t>
      </w:r>
      <w:r>
        <w:rPr>
          <w:rStyle w:val="StyleBoldUnderline"/>
        </w:rPr>
        <w:t>When asked if Cuba’s economic system was still worth exporting, Fidel Castro admitted, “[t]he Cuban model doesn’t even work for us any more</w:t>
      </w:r>
      <w:r>
        <w:t>.” 83 Stephen Wilkinson, a Cuba expert at the London Metropolitan University, notes that Castro’s words 70 82 are not a condemnation of socialism but rather “</w:t>
      </w:r>
      <w:r>
        <w:rPr>
          <w:rStyle w:val="StyleBoldUnderline"/>
        </w:rPr>
        <w:t>an acknowledgement that the way in which the Cuban system is organised has to change . . . [w]e can now expect a lot more changes and perhaps more rapid changes</w:t>
      </w:r>
      <w:r>
        <w:t xml:space="preserve"> as a consequence.” 84 Fidel’s departure as the leader of Cuba and Raul’s subsequent economic reforms are indicative of imminent political changes, and signal the end of communism in Cuba. 85 </w:t>
      </w:r>
      <w:r>
        <w:rPr>
          <w:rStyle w:val="StyleBoldUnderline"/>
        </w:rPr>
        <w:t>These developments may result in an improvement in Cuban human rights and social conditions. For example, Raul has already eased the impact of the world food crisis, released prisoners, and commuted death sentences.</w:t>
      </w:r>
      <w:r>
        <w:t xml:space="preserve"> coNgressmaN BuchaNaN’s Bill to stoP cuBaN o ffshore drilliNg is the ProPer actioN for the u Nited states On January 21, 2011, Florida Congressman Vern Buchanan introduced a bill in the House of Representatives aimed at thwarting Cuba’s drilling efforts. 87 The bill would permit the U.S. Secretary of the Interior to deny drilling leases to foreign companies that deal with countries under U.S. trade sanctions, including Cuba. 88 Following the successful application of U.S. pressure on Repsol to pull out of drilling in Iran, Buchanan’s bill is designed to again put pressure on Repsol to pull out of Cuban drilling plans. 89 Buchanan’s bill could threaten Repsol’s projects elsewhere in U.S. territory where the company operates rigs near Texas and Louisiana. 90 While the success of the bill is not yet certain, foreign firms should seriously weigh the rewards of Cuban oil against the possible risk of being ostracized by America economically. Mr. Buchanan’s bill is the proper approach for U.S. legislation and policy to make a stand against Cuba’s offshore oil exploration. conclusIon Since its inception, the Cuban embargo has ebbed and flowed in severity and support. While the measure seems to be increasingly unpopular, it takes legitimate aim at a Cuban regime characterized by intolerance and oppression. Though the Castros utilize the embargo as a scapegoat upon which to blame Cuba’s failures, 94 </w:t>
      </w:r>
      <w:r>
        <w:rPr>
          <w:rStyle w:val="StyleBoldUnderline"/>
        </w:rPr>
        <w:t>recent changes suggest the embargo is indeed close to accomplishing its goals</w:t>
      </w:r>
      <w:r>
        <w:t xml:space="preserve">. 95 Despite this, critics, including U.S. oil producers, want the embargo dropped. </w:t>
      </w:r>
      <w:r>
        <w:rPr>
          <w:rStyle w:val="StyleBoldUnderline"/>
        </w:rPr>
        <w:t xml:space="preserve">Regardless of criticism, the embargo must remain in place until its goals are met. Environmental fears can be effectively countered through bilateral response and preparation agreements with Cuba. Also, economic and energy needs are more properly addressed through </w:t>
      </w:r>
      <w:r>
        <w:rPr>
          <w:rStyle w:val="StyleBoldUnderline"/>
        </w:rPr>
        <w:lastRenderedPageBreak/>
        <w:t>drilling U.S. resources.</w:t>
      </w:r>
      <w:r>
        <w:t xml:space="preserve"> Ultimately, with the aid of legislation such as Buchanan’s bill, </w:t>
      </w:r>
      <w:r>
        <w:rPr>
          <w:rStyle w:val="StyleBoldUnderline"/>
        </w:rPr>
        <w:t>the United States should exercise its political and economic power to pressure foreign companies to avoid offshore drilling</w:t>
      </w:r>
      <w:r>
        <w:t xml:space="preserve"> in Cuba. The United States can dissuade foreign investment without compromising the embargo. It appears an end to oppressive communist rule in Cuba is nearing. </w:t>
      </w:r>
      <w:r>
        <w:rPr>
          <w:rStyle w:val="StyleBoldUnderline"/>
        </w:rPr>
        <w:t xml:space="preserve">Now is the time for the United States to both reject offshore drilling in Cuba and demonstrate resolve </w:t>
      </w:r>
      <w:r>
        <w:t>in meeting the goals of the economic embargo.</w:t>
      </w:r>
    </w:p>
    <w:p>
      <w:pPr>
        <w:pStyle w:val="Heading2"/>
      </w:pPr>
      <w:r>
        <w:lastRenderedPageBreak/>
        <w:t>Science Diplomacy Frontline</w:t>
      </w:r>
    </w:p>
    <w:p>
      <w:pPr>
        <w:pStyle w:val="Heading3"/>
      </w:pPr>
      <w:r>
        <w:lastRenderedPageBreak/>
        <w:t>1NC</w:t>
      </w:r>
    </w:p>
    <w:p>
      <w:pPr>
        <w:pStyle w:val="Heading4"/>
      </w:pPr>
      <w:r>
        <w:t>Double bind - either science diplomacy gets rejected due to lack of perceived benefits or nationalist rhetoric kills potential for cooperation</w:t>
      </w:r>
    </w:p>
    <w:p>
      <w:r>
        <w:t xml:space="preserve">David </w:t>
      </w:r>
      <w:r>
        <w:rPr>
          <w:rStyle w:val="StyleStyleBold12pt"/>
        </w:rPr>
        <w:t>Dickson</w:t>
      </w:r>
      <w:r>
        <w:t>, Director of the Science and Development Network, 6/24/20</w:t>
      </w:r>
      <w:r>
        <w:rPr>
          <w:rStyle w:val="StyleStyleBold12pt"/>
        </w:rPr>
        <w:t>10</w:t>
      </w:r>
      <w:r>
        <w:t xml:space="preserve">, “Science diplomacy: easier said than done,” http://scidevnet.wordpress.com/2010/06/24/science-diplomacy-easier-said-than-done/ </w:t>
      </w:r>
    </w:p>
    <w:p>
      <w:r>
        <w:t xml:space="preserve">But he also pointed to </w:t>
      </w:r>
      <w:r>
        <w:rPr>
          <w:rStyle w:val="StyleBoldUnderline"/>
        </w:rPr>
        <w:t xml:space="preserve">some of the barriers that prevent science diplomacy from operating effectively, such as asymmetries in scientific capabilities, economic or security concerns over providing access to certain types of key technologies, and a general lack of funding. </w:t>
      </w:r>
      <w:r>
        <w:t xml:space="preserve">In the discussion that followed, </w:t>
      </w:r>
      <w:r>
        <w:rPr>
          <w:rStyle w:val="Emphasis"/>
        </w:rPr>
        <w:t>it became clear that these barriers are likely to become an important focus of attention</w:t>
      </w:r>
      <w:r>
        <w:t xml:space="preserve"> over the next two days. Several participants, for example, </w:t>
      </w:r>
      <w:r>
        <w:rPr>
          <w:rStyle w:val="StyleBoldUnderline"/>
        </w:rPr>
        <w:t xml:space="preserve">pointed to the obstacles to international scientific exchange presented by the </w:t>
      </w:r>
      <w:r>
        <w:rPr>
          <w:rStyle w:val="Emphasis"/>
        </w:rPr>
        <w:t>increasing restrictions</w:t>
      </w:r>
      <w:r>
        <w:rPr>
          <w:rStyle w:val="StyleBoldUnderline"/>
        </w:rPr>
        <w:t xml:space="preserve"> on entrance visas</w:t>
      </w:r>
      <w:r>
        <w:rPr>
          <w:rStyle w:val="Emphasis"/>
        </w:rPr>
        <w:t xml:space="preserve"> being placed by countries such as the United States. </w:t>
      </w:r>
      <w:r>
        <w:t xml:space="preserve">“It becomes so difficult for someone to get into the US that once they are there, they cannot afford to go home, even for a short visit, because they have no idea whether they will be able to get back in,” was one typical comment. </w:t>
      </w:r>
      <w:r>
        <w:rPr>
          <w:rStyle w:val="StyleBoldUnderline"/>
        </w:rPr>
        <w:t xml:space="preserve">Others pointed to the broader issue of an apparent conflict between the supposed goal of science to promote international interests, and the goal of diplomacy, namely to advance the national interests of the country that the diplomat is serving. </w:t>
      </w:r>
      <w:r>
        <w:t xml:space="preserve">There has been much talk of the need to find a way of achieving a balance between these two tendencies. </w:t>
      </w:r>
      <w:r>
        <w:rPr>
          <w:rStyle w:val="StyleBoldUnderline"/>
        </w:rPr>
        <w:t>Reaching agreement on where that balance should lie is a major challenge. Achieving that balance will be even harder</w:t>
      </w:r>
      <w:r>
        <w:t>. Already it is clear from this meeting that science diplomacy is easier said than done.</w:t>
      </w:r>
    </w:p>
    <w:p>
      <w:pPr>
        <w:pStyle w:val="Heading4"/>
      </w:pPr>
      <w:r>
        <w:t>Visa restrictions kill effectiveness of science diplomacy – Cuban scientists will be denied on tech exchanges that actually matter</w:t>
      </w:r>
    </w:p>
    <w:p>
      <w:r>
        <w:t xml:space="preserve">Ali </w:t>
      </w:r>
      <w:r>
        <w:rPr>
          <w:rStyle w:val="StyleStyleBold12pt"/>
        </w:rPr>
        <w:t>Douraghy</w:t>
      </w:r>
      <w:r>
        <w:t>, Science Diplomacy Fellow of AAAS, AAAS Science &amp; Technology Policy Fellow, PhD in Biomedical Physics from the UCLA School of Medicine and holds an MS in Biomedical Engineering, a BS in Bioengineering as well as degrees in Arabic and Middle Eastern Studies, 9/22/</w:t>
      </w:r>
      <w:r>
        <w:rPr>
          <w:rStyle w:val="StyleStyleBold12pt"/>
        </w:rPr>
        <w:t>10</w:t>
      </w:r>
      <w:r>
        <w:t xml:space="preserve">, “Science diplomacy should focus on people,” </w:t>
      </w:r>
      <w:hyperlink r:id="rId5" w:history="1">
        <w:r>
          <w:rPr>
            <w:rStyle w:val="Hyperlink"/>
          </w:rPr>
          <w:t>http://www.scidev.net/global/education/opinion/science-diplomacy-should-focus-on-people.html</w:t>
        </w:r>
      </w:hyperlink>
      <w:r>
        <w:t xml:space="preserve"> </w:t>
      </w:r>
    </w:p>
    <w:p>
      <w:r>
        <w:rPr>
          <w:rStyle w:val="StyleBoldUnderline"/>
        </w:rPr>
        <w:t>The challenge is to put people</w:t>
      </w:r>
      <w:r>
        <w:t xml:space="preserve"> — scientists and researchers </w:t>
      </w:r>
      <w:r>
        <w:rPr>
          <w:rStyle w:val="StyleBoldUnderline"/>
        </w:rPr>
        <w:t>— at the forefront of engagement</w:t>
      </w:r>
      <w:r>
        <w:t xml:space="preserve">. The most urgent issues such as climate change, clean water and renewable energy are blind to political borders. </w:t>
      </w:r>
      <w:r>
        <w:rPr>
          <w:rStyle w:val="StyleBoldUnderline"/>
        </w:rPr>
        <w:t>Intensifying scientist-to-scientist exchange at the international level to address these shared challenges is a necessity</w:t>
      </w:r>
      <w:r>
        <w:t xml:space="preserve"> — not only for US–Islamic world relations, but for all countries. In part, this means building on initiatives that take US experts into developing countries to train local scientists. For example, the East African Regional Training Workshop, jointly sponsored by institutions in the United States and Tanzania, or the Whitaker International Scholars and Fellows Program, which funds biomedical engineers to conduct research projects overseas. Offering more outlets to US faculty and graduate students for teaching or leading research in other countries will harness a new class of 'science diplomats'. </w:t>
      </w:r>
      <w:r>
        <w:rPr>
          <w:rStyle w:val="StyleBoldUnderline"/>
        </w:rPr>
        <w:t xml:space="preserve">But if it is important to open the door for more US scientists to go out, </w:t>
      </w:r>
      <w:r>
        <w:rPr>
          <w:rStyle w:val="Emphasis"/>
        </w:rPr>
        <w:t xml:space="preserve">it is equally important to hold it open for foreign scientists to come in. </w:t>
      </w:r>
      <w:r>
        <w:t xml:space="preserve">For these scientists, ensuring close and continued contact with US colleagues could lend them credibility, not only in their fields of expertise, but on other issues of regional and national importance. </w:t>
      </w:r>
      <w:r>
        <w:rPr>
          <w:rStyle w:val="StyleBoldUnderline"/>
        </w:rPr>
        <w:t>And these scientists can be effective ambassadors in their home countries</w:t>
      </w:r>
      <w:r>
        <w:t xml:space="preserve"> — often interacting with hundreds of students each day. Programmes such as the National Science Foundation's International Research Fellowship — which </w:t>
      </w:r>
      <w:r>
        <w:lastRenderedPageBreak/>
        <w:t xml:space="preserve">brings early career scientists and engineers to the United States for advanced training — provide another valuable strategy for building science capacity abroad. </w:t>
      </w:r>
      <w:r>
        <w:rPr>
          <w:rStyle w:val="StyleBoldUnderline"/>
        </w:rPr>
        <w:t>But restrictive visa requirements are a major obstacle to expanding such initiatives. Researchers are routinely denied permission</w:t>
      </w:r>
      <w:r>
        <w:t xml:space="preserve"> to attend meetings in the United States </w:t>
      </w:r>
      <w:r>
        <w:rPr>
          <w:rStyle w:val="StyleBoldUnderline"/>
        </w:rPr>
        <w:t>and top-performing graduate students faced with starting a doctoral programme on a single-entry visa are increasingly turning to universities in Canada and elsewhere</w:t>
      </w:r>
      <w:r>
        <w:t xml:space="preserve"> for their studies.</w:t>
      </w:r>
    </w:p>
    <w:p>
      <w:pPr>
        <w:pStyle w:val="Heading4"/>
      </w:pPr>
      <w:r>
        <w:t>Prior political commitment is key – science cannot begin the diplomatic process</w:t>
      </w:r>
    </w:p>
    <w:p>
      <w:r>
        <w:t xml:space="preserve">David </w:t>
      </w:r>
      <w:r>
        <w:rPr>
          <w:rStyle w:val="StyleStyleBold12pt"/>
        </w:rPr>
        <w:t>Dickson</w:t>
      </w:r>
      <w:r>
        <w:t>, Director of the Science and Development Network, 6/2/200</w:t>
      </w:r>
      <w:r>
        <w:rPr>
          <w:rStyle w:val="StyleStyleBold12pt"/>
        </w:rPr>
        <w:t>9</w:t>
      </w:r>
      <w:r>
        <w:t xml:space="preserve">, “Science diplomacy: the case for caution,” </w:t>
      </w:r>
      <w:hyperlink r:id="rId6" w:history="1">
        <w:r>
          <w:rPr>
            <w:rStyle w:val="Hyperlink"/>
          </w:rPr>
          <w:t>http://scidevnet.wordpress.com/category/new-frontiers-in-science-diplomacy-2009/</w:t>
        </w:r>
      </w:hyperlink>
      <w:r>
        <w:t xml:space="preserve"> </w:t>
      </w:r>
    </w:p>
    <w:p>
      <w:pPr>
        <w:rPr>
          <w:rStyle w:val="StyleBoldUnderline"/>
        </w:rPr>
      </w:pPr>
      <w:r>
        <w:rPr>
          <w:rStyle w:val="StyleBoldUnderline"/>
        </w:rPr>
        <w:t>One of the frustrations of meetings at which scientists gather to discuss policy-related issues is the speed with which the requirements for evidence-based discussion they would expect in a professional context can go out of the window.</w:t>
      </w:r>
      <w:r>
        <w:rPr>
          <w:b/>
          <w:bCs/>
          <w:u w:val="single"/>
        </w:rPr>
        <w:t xml:space="preserve"> </w:t>
      </w:r>
      <w:r>
        <w:t xml:space="preserve">Such has been the issue over the past two days in the meeting jointly organised in London by the American Association for the Advancement of Science (AAAS) and the Royal Society on the topic “New Frontiers in Science Diplomacy“. There has been much lively discussion on the value of international collaboration in achieving scientific goals, on the need for researchers to work together on the scientific aspects of global challenges such as climate change and food security, and on the importance of science capacity building in developing countries in order to make this possible. But there </w:t>
      </w:r>
      <w:r>
        <w:rPr>
          <w:rStyle w:val="StyleBoldUnderline"/>
        </w:rPr>
        <w:t xml:space="preserve">remained little evidence at the end of the meeting on how useful it was to lump all these activities together under the umbrella term of “science diplomacy”. </w:t>
      </w:r>
      <w:r>
        <w:t xml:space="preserve">More significantly, </w:t>
      </w:r>
      <w:r>
        <w:rPr>
          <w:rStyle w:val="StyleBoldUnderline"/>
        </w:rPr>
        <w:t>although numerous claims were made</w:t>
      </w:r>
      <w:r>
        <w:t xml:space="preserve"> during the conference about the broader social and political value of scientific collaboration – for example, in establishing a framework for collaboration in other areas, and in particular reducing tensions between rival countries – </w:t>
      </w:r>
      <w:r>
        <w:rPr>
          <w:rStyle w:val="StyleBoldUnderline"/>
        </w:rPr>
        <w:t xml:space="preserve">little was produced to demonstrate whether this hypothesis is true. </w:t>
      </w:r>
      <w:r>
        <w:t xml:space="preserve">If it is not, </w:t>
      </w:r>
      <w:r>
        <w:rPr>
          <w:rStyle w:val="StyleBoldUnderline"/>
        </w:rPr>
        <w:t>then some of the arguments made on behalf of “science diplomacy</w:t>
      </w:r>
      <w:r>
        <w:t xml:space="preserve">”, and in particular its value as a mechanism for exercising “soft power” in foreign policy, </w:t>
      </w:r>
      <w:r>
        <w:rPr>
          <w:rStyle w:val="StyleBoldUnderline"/>
        </w:rPr>
        <w:t>do not stand up to close scrutiny.</w:t>
      </w:r>
      <w:r>
        <w:t xml:space="preserve"> Indeed, a case can be made that where scientific projects have successfully involved substantial international collaboration, </w:t>
      </w:r>
      <w:r>
        <w:rPr>
          <w:rStyle w:val="Emphasis"/>
        </w:rPr>
        <w:t>such success is often heavily dependent on a prior political commitment</w:t>
      </w:r>
      <w:r>
        <w:t xml:space="preserve"> to cooperation, rather than a mechanism for securing cooperation where the political will is lacking. Three messages appeared to emerge from the two days of discussion. Firstly, where the political will to collaborate does exist, a joint scientific project can be a useful expression of that will. Furthermore, it can be an enlightening experience for all those directly involved. </w:t>
      </w:r>
      <w:r>
        <w:rPr>
          <w:rStyle w:val="StyleBoldUnderline"/>
        </w:rPr>
        <w:t xml:space="preserve">But it </w:t>
      </w:r>
      <w:r>
        <w:rPr>
          <w:rStyle w:val="Emphasis"/>
        </w:rPr>
        <w:t xml:space="preserve">is seldom a magic wand </w:t>
      </w:r>
      <w:r>
        <w:rPr>
          <w:rStyle w:val="StyleBoldUnderline"/>
        </w:rPr>
        <w:t xml:space="preserve">that can secure broader cooperation where </w:t>
      </w:r>
      <w:r>
        <w:rPr>
          <w:rStyle w:val="Emphasis"/>
        </w:rPr>
        <w:t>none existed before.</w:t>
      </w:r>
      <w:r>
        <w:rPr>
          <w:rStyle w:val="StyleBoldUnderline"/>
        </w:rPr>
        <w:t xml:space="preserve"> </w:t>
      </w:r>
      <w:r>
        <w:t>Secondly, “</w:t>
      </w:r>
      <w:r>
        <w:rPr>
          <w:rStyle w:val="StyleBoldUnderline"/>
        </w:rPr>
        <w:t>science diplomacy” will only become recognised as a useful activity if it is closely defined to cover specific situations</w:t>
      </w:r>
      <w:r>
        <w:t xml:space="preserve"> (such as the negotiation of major international scientific projects or collaborative research enterprises). </w:t>
      </w:r>
      <w:r>
        <w:rPr>
          <w:rStyle w:val="Emphasis"/>
        </w:rPr>
        <w:t>As an umbrella term</w:t>
      </w:r>
      <w:r>
        <w:rPr>
          <w:rStyle w:val="StyleBoldUnderline"/>
        </w:rPr>
        <w:t xml:space="preserve"> embracing the many ways in which science interacts with foreign policy, </w:t>
      </w:r>
      <w:r>
        <w:rPr>
          <w:rStyle w:val="Emphasis"/>
        </w:rPr>
        <w:t>it loses much of its impact</w:t>
      </w:r>
      <w:r>
        <w:rPr>
          <w:rStyle w:val="StyleBoldUnderline"/>
        </w:rPr>
        <w:t>, and thus its value.</w:t>
      </w:r>
      <w:r>
        <w:t xml:space="preserve"> Finally, </w:t>
      </w:r>
      <w:r>
        <w:rPr>
          <w:rStyle w:val="StyleBoldUnderline"/>
        </w:rPr>
        <w:t>when it comes to promoting the use of science in developing countries,</w:t>
      </w:r>
      <w:r>
        <w:rPr>
          <w:rStyle w:val="Emphasis"/>
        </w:rPr>
        <w:t xml:space="preserve"> a terminology based historically on maximising self-interes</w:t>
      </w:r>
      <w:r>
        <w:rPr>
          <w:rStyle w:val="StyleBoldUnderline"/>
        </w:rPr>
        <w:t xml:space="preserve">t – the ultimate goal of the diplomat – and on practices through which the rich have almost invariably ended up exploiting the poor, is likely to be counterproductive. </w:t>
      </w:r>
      <w:r>
        <w:t xml:space="preserve">In other words, the discussion seemed to confirm that “science diplomacy” has a legitimate place in the formulation and implementation of policies for science (just as there is a time and place for exercising “soft power” in international relations). But </w:t>
      </w:r>
      <w:r>
        <w:rPr>
          <w:rStyle w:val="StyleBoldUnderline"/>
        </w:rPr>
        <w:t>the dangers of going beyond this – including the danger of distorting the integrity of science itself, and even alienating potential partners in collaborative projects, particularly in the developing world – were also clearly exposed. The take-home message: handle with care.</w:t>
      </w:r>
    </w:p>
    <w:p>
      <w:pPr>
        <w:pStyle w:val="Heading4"/>
      </w:pPr>
      <w:r>
        <w:lastRenderedPageBreak/>
        <w:t>Security concerns and asymmetric due to relative lack of Cuban science funding causes science diplomacy to fail</w:t>
      </w:r>
    </w:p>
    <w:p>
      <w:r>
        <w:t xml:space="preserve">Karin </w:t>
      </w:r>
      <w:r>
        <w:rPr>
          <w:rStyle w:val="StyleStyleBold12pt"/>
        </w:rPr>
        <w:t>Shmueli</w:t>
      </w:r>
      <w:r>
        <w:t>, Lecturer in Magnetic Resonance Imaging and Undergraduate Admissions Tutor, Ph.D.: Wellcome Trust High Field Magnetic Resonance Research Laboratory, Department of Medical Physics and Bioengineering, University College London, M.Sc. with Distinction: Radiation Physics - Medical Applications, Department of Medical Physics and Bioengineering, University College London, Postgraduate Diploma of the Institute of Physics and Engineering in Medicine (IPEM) with Distinction: National Health Service Trainee Clinical Scientist in Medical Physics: Magnetic Resonance Imaging, Ultrasound and Nuclear Medicine Charing Cross and Hammersmith Hospitals, London, United Kingdom, 2001 First Class M.A. (Hons) and M.Sci. (Hons) - Master of Natural Sciences: University of Cambridge, 12/29/20</w:t>
      </w:r>
      <w:r>
        <w:rPr>
          <w:rStyle w:val="StyleStyleBold12pt"/>
        </w:rPr>
        <w:t>12</w:t>
      </w:r>
      <w:r>
        <w:t xml:space="preserve">, “Science Diplomacy: How Can We Make It Work?” http://sciencepolicyforall.wordpress.com/2010/12/29/science-diplomacy-how-can-we-make-it-work/ </w:t>
      </w:r>
    </w:p>
    <w:p>
      <w:pPr>
        <w:rPr>
          <w:rStyle w:val="Emphasis"/>
        </w:rPr>
      </w:pPr>
      <w:r>
        <w:t xml:space="preserve">When does </w:t>
      </w:r>
      <w:r>
        <w:rPr>
          <w:rStyle w:val="StyleBoldUnderline"/>
        </w:rPr>
        <w:t>science diplomacy fail</w:t>
      </w:r>
      <w:r>
        <w:t xml:space="preserve">? </w:t>
      </w:r>
      <w:r>
        <w:rPr>
          <w:rStyle w:val="StyleBoldUnderline"/>
        </w:rPr>
        <w:t xml:space="preserve">Technology and knowledge transfer can be difficult between competitors, particularly where </w:t>
      </w:r>
      <w:r>
        <w:rPr>
          <w:rStyle w:val="Emphasis"/>
        </w:rPr>
        <w:t>there are security concerns</w:t>
      </w:r>
      <w:r>
        <w:rPr>
          <w:rStyle w:val="StyleBoldUnderline"/>
        </w:rPr>
        <w:t xml:space="preserve"> or with dual-use technologies. </w:t>
      </w:r>
      <w:r>
        <w:rPr>
          <w:rStyle w:val="Emphasis"/>
        </w:rPr>
        <w:t>Asymmetries</w:t>
      </w:r>
      <w:r>
        <w:rPr>
          <w:rStyle w:val="StyleBoldUnderline"/>
        </w:rPr>
        <w:t xml:space="preserve"> in scientific capabilities </w:t>
      </w:r>
      <w:r>
        <w:t xml:space="preserve">(e.g., between the USA and African nations) </w:t>
      </w:r>
      <w:r>
        <w:rPr>
          <w:rStyle w:val="StyleBoldUnderline"/>
        </w:rPr>
        <w:t>and lack of funding for international collaborative activities can also hinder diplomatically productive scientific partnerships. For science diplomacy to work,</w:t>
      </w:r>
      <w:r>
        <w:t xml:space="preserve"> scientific goals must be at the forefront and </w:t>
      </w:r>
      <w:r>
        <w:rPr>
          <w:rStyle w:val="StyleBoldUnderline"/>
        </w:rPr>
        <w:t>diplomatic goals should be clearly defined to avoid science being used for purely political ends</w:t>
      </w:r>
      <w:r>
        <w:t>. Some argue that, i</w:t>
      </w:r>
      <w:r>
        <w:rPr>
          <w:rStyle w:val="StyleBoldUnderline"/>
        </w:rPr>
        <w:t xml:space="preserve">ronically, science diplomacy works best on an individual level when scientists focus on doing good science </w:t>
      </w:r>
      <w:r>
        <w:rPr>
          <w:rStyle w:val="Emphasis"/>
        </w:rPr>
        <w:t>without an overt science diplomacy agenda.</w:t>
      </w:r>
    </w:p>
    <w:p>
      <w:pPr>
        <w:pStyle w:val="Heading4"/>
      </w:pPr>
      <w:r>
        <w:t>Science diplomacy fails – political goal co-op and cause suspicion</w:t>
      </w:r>
    </w:p>
    <w:p>
      <w:r>
        <w:t xml:space="preserve">David </w:t>
      </w:r>
      <w:r>
        <w:rPr>
          <w:rStyle w:val="StyleStyleBold12pt"/>
        </w:rPr>
        <w:t>Dickson</w:t>
      </w:r>
      <w:r>
        <w:t>, Director of the Science and Development Network, 4/6/200</w:t>
      </w:r>
      <w:r>
        <w:rPr>
          <w:rStyle w:val="StyleStyleBold12pt"/>
        </w:rPr>
        <w:t>9</w:t>
      </w:r>
      <w:r>
        <w:t xml:space="preserve">, “The limits of science diplomacy,” </w:t>
      </w:r>
      <w:hyperlink r:id="rId7" w:history="1">
        <w:r>
          <w:rPr>
            <w:rStyle w:val="Hyperlink"/>
          </w:rPr>
          <w:t>http://www.scidev.net/global/capacity-building/editorial-blog/the-limits-of-science-diplomacy.html</w:t>
        </w:r>
      </w:hyperlink>
      <w:r>
        <w:t xml:space="preserve"> </w:t>
      </w:r>
    </w:p>
    <w:p>
      <w:r>
        <w:rPr>
          <w:rStyle w:val="StyleBoldUnderline"/>
        </w:rPr>
        <w:t>Using science for diplomatic purposes has</w:t>
      </w:r>
      <w:r>
        <w:t xml:space="preserve"> obvious attractions and several benefits. But there are </w:t>
      </w:r>
      <w:r>
        <w:rPr>
          <w:rStyle w:val="StyleBoldUnderline"/>
        </w:rPr>
        <w:t xml:space="preserve">limits to what it can achieve. </w:t>
      </w:r>
      <w:r>
        <w:t xml:space="preserve">The scientific community has a deserved reputation for its international perspective — scientists often ignore national boundaries and interests when it comes to exchanging ideas or collaborating on global problems. So it is not surprising that science attracts the interest of politicians keen to open channels of communication with other states. Signing agreements on scientific and technological cooperation is often the first step for countries wanting to forge closer working relationships. More significantly, scientists have formed key links behind-the-scenes when more overt dialogue has been impossible. At the height of the Cold War, for example, scientific organisations provided a conduit for discussing nuclear weapons control. </w:t>
      </w:r>
      <w:r>
        <w:rPr>
          <w:rStyle w:val="StyleBoldUnderline"/>
        </w:rPr>
        <w:t xml:space="preserve">Only so much science can do </w:t>
      </w:r>
      <w:r>
        <w:t xml:space="preserve">Recently, the Obama administration has given this field a new push, in its desire to pursue "soft diplomacy" in regions such as the Middle East. Scientific agreements have been at the forefront of the administration's activities in countries such as Iraq and Pakistan. But — as emerged from a meeting entitled New Frontiers in Science Diplomacy, held in London this week (1–2 June) — using </w:t>
      </w:r>
      <w:r>
        <w:rPr>
          <w:rStyle w:val="StyleBoldUnderline"/>
        </w:rPr>
        <w:t>science for diplomatic purposes is not as straightforward as it seems</w:t>
      </w:r>
      <w:r>
        <w:t xml:space="preserve">. Some scientific collaboration clearly demonstrates what countries can achieve by working together. For example, a new synchrotron under construction in Jordan is rapidly becoming a symbol of the potential for teamwork in the Middle East. But </w:t>
      </w:r>
      <w:r>
        <w:rPr>
          <w:rStyle w:val="StyleBoldUnderline"/>
        </w:rPr>
        <w:t>whether scientific cooperation can become a precursor for political collaboration is less evident</w:t>
      </w:r>
      <w:r>
        <w:t xml:space="preserve">. For example, despite hopes that the Middle East synchrotron would help bring peace to the region, </w:t>
      </w:r>
      <w:r>
        <w:rPr>
          <w:rStyle w:val="StyleBoldUnderline"/>
        </w:rPr>
        <w:t xml:space="preserve">several countries have been reluctant to support it until the Palestine problem is resolved. </w:t>
      </w:r>
      <w:r>
        <w:t xml:space="preserve">Indeed, </w:t>
      </w:r>
      <w:r>
        <w:rPr>
          <w:rStyle w:val="StyleBoldUnderline"/>
        </w:rPr>
        <w:t>one speaker at the London meeting</w:t>
      </w:r>
      <w:r>
        <w:t xml:space="preserve"> (organised by the UK's Royal Society and the American Association for the Advancement of Science) even </w:t>
      </w:r>
      <w:r>
        <w:rPr>
          <w:rStyle w:val="StyleBoldUnderline"/>
        </w:rPr>
        <w:t xml:space="preserve">suggested that the changes scientific innovations bring inevitably lead </w:t>
      </w:r>
      <w:r>
        <w:rPr>
          <w:rStyle w:val="StyleBoldUnderline"/>
        </w:rPr>
        <w:lastRenderedPageBreak/>
        <w:t>to turbulence and upheaval.</w:t>
      </w:r>
      <w:r>
        <w:t xml:space="preserve"> In such a context, </w:t>
      </w:r>
      <w:r>
        <w:rPr>
          <w:rStyle w:val="StyleBoldUnderline"/>
        </w:rPr>
        <w:t xml:space="preserve">viewing science as a driver for peace may be wishful thinking. Conflicting ethos </w:t>
      </w:r>
      <w:r>
        <w:t xml:space="preserve">Perhaps the most contentious area discussed at the meeting was how science diplomacy can frame developed countries' efforts to help build scientific capacity in the developing world. There is little to quarrel with in collaborative efforts that are put forward with a genuine desire for partnership. Indeed, partnership — whether between individuals, institutions or countries — is the new buzzword in the "science for development" community. But </w:t>
      </w:r>
      <w:r>
        <w:rPr>
          <w:rStyle w:val="StyleBoldUnderline"/>
        </w:rPr>
        <w:t xml:space="preserve">true partnership requires transparent relations between partners who are prepared to meet as equals. And that goes against diplomats' implicit role: to promote and defend their own countries' interests. </w:t>
      </w:r>
      <w:r>
        <w:t xml:space="preserve">John Beddington, the British government's chief scientific adviser, may have been a bit harsh when he told the meeting that </w:t>
      </w:r>
      <w:r>
        <w:rPr>
          <w:rStyle w:val="StyleBoldUnderline"/>
        </w:rPr>
        <w:t>a diplomat is someone who is "sent abroad to lie for his country".</w:t>
      </w:r>
      <w:r>
        <w:t xml:space="preserve"> But he touched a raw nerve. Worlds apart yet co-dependent The truth is that </w:t>
      </w:r>
      <w:r>
        <w:rPr>
          <w:rStyle w:val="StyleBoldUnderline"/>
        </w:rPr>
        <w:t>science and politics make an uneasy alliance</w:t>
      </w:r>
      <w:r>
        <w:t xml:space="preserve">. Both need the other. Politicians need science to achieve their goals, whether social, economic or — unfortunately — military; scientists need political support to fund their research. But they also occupy different universes. </w:t>
      </w:r>
      <w:r>
        <w:rPr>
          <w:rStyle w:val="StyleBoldUnderline"/>
        </w:rPr>
        <w:t>Politics is, at root, about exercising power</w:t>
      </w:r>
      <w:r>
        <w:t xml:space="preserve"> by one means or another. </w:t>
      </w:r>
      <w:r>
        <w:rPr>
          <w:rStyle w:val="StyleBoldUnderline"/>
        </w:rPr>
        <w:t>Science</w:t>
      </w:r>
      <w:r>
        <w:t xml:space="preserve"> is — or </w:t>
      </w:r>
      <w:r>
        <w:rPr>
          <w:rStyle w:val="StyleBoldUnderline"/>
        </w:rPr>
        <w:t xml:space="preserve">should be — about pursuing robust knowledge that can be put to useful purposes. </w:t>
      </w:r>
      <w:r>
        <w:t xml:space="preserve">A strategy for promoting science diplomacy that respects these differences deserves support. Particularly so if it focuses on ways to leverage political and financial backing for science's more humanitarian goals, such as tackling climate change or reducing world poverty. But </w:t>
      </w:r>
      <w:r>
        <w:rPr>
          <w:rStyle w:val="StyleBoldUnderline"/>
        </w:rPr>
        <w:t xml:space="preserve">a commitment to science diplomacy that ignores the differences — acting for example as if science can substitute politics (or perhaps more worryingly, vice versa), is dangerous. </w:t>
      </w:r>
      <w:r>
        <w:t xml:space="preserve">The </w:t>
      </w:r>
      <w:r>
        <w:rPr>
          <w:rStyle w:val="StyleBoldUnderline"/>
        </w:rPr>
        <w:t>Obama</w:t>
      </w:r>
      <w:r>
        <w:t xml:space="preserve"> administration</w:t>
      </w:r>
      <w:r>
        <w:rPr>
          <w:rStyle w:val="StyleBoldUnderline"/>
        </w:rPr>
        <w:t>'s commitment to "soft power" is already faltering. It faces challenges ranging from North Korea's nuclear weapons test to domestic opposition</w:t>
      </w:r>
      <w:r>
        <w:t xml:space="preserve"> to limits on oil consumption. A taste of reality may be no bad thing.</w:t>
      </w:r>
    </w:p>
    <w:p>
      <w:pPr>
        <w:pStyle w:val="Heading4"/>
      </w:pPr>
      <w:r>
        <w:t>Science diplomacy fails – empirics</w:t>
      </w:r>
    </w:p>
    <w:p>
      <w:r>
        <w:t xml:space="preserve">David </w:t>
      </w:r>
      <w:r>
        <w:rPr>
          <w:rStyle w:val="StyleStyleBold12pt"/>
        </w:rPr>
        <w:t>Dickson</w:t>
      </w:r>
      <w:r>
        <w:t>, Director of the Science and Development Network, June 28, 20</w:t>
      </w:r>
      <w:r>
        <w:rPr>
          <w:rStyle w:val="StyleStyleBold12pt"/>
        </w:rPr>
        <w:t>10</w:t>
      </w:r>
      <w:r>
        <w:t xml:space="preserve">, “Science in diplomacy: ‘On tap but not on top’” </w:t>
      </w:r>
      <w:hyperlink r:id="rId8" w:history="1">
        <w:r>
          <w:rPr>
            <w:rStyle w:val="Hyperlink"/>
          </w:rPr>
          <w:t>http://scidevnet.wordpress.com/2010/06/28/the-place-of-science-in-diplomacy-%E2%80%9Con-tap-but-not-on-top%E2%80%9D/</w:t>
        </w:r>
      </w:hyperlink>
      <w:r>
        <w:t xml:space="preserve"> </w:t>
      </w:r>
    </w:p>
    <w:p>
      <w:r>
        <w:rPr>
          <w:rStyle w:val="StyleBoldUnderline"/>
        </w:rPr>
        <w:t xml:space="preserve">Less positively, increasing restrictions on entry to certain </w:t>
      </w:r>
      <w:r>
        <w:rPr>
          <w:rStyle w:val="Emphasis"/>
        </w:rPr>
        <w:t>countries, and in particular the United State</w:t>
      </w:r>
      <w:r>
        <w:t>s after the 9/11 attacks in New York and elsewhere</w:t>
      </w:r>
      <w:r>
        <w:rPr>
          <w:rStyle w:val="StyleBoldUnderline"/>
        </w:rPr>
        <w:t>, have significantly impeded scientific exchange programmes</w:t>
      </w:r>
      <w:r>
        <w:t xml:space="preserve">. Here the challenge for diplomats was seen as helping to find ways to ease the burdens of such restrictions. </w:t>
      </w:r>
      <w:r>
        <w:rPr>
          <w:rStyle w:val="StyleBoldUnderline"/>
        </w:rPr>
        <w:t xml:space="preserve">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w:t>
      </w:r>
      <w:r>
        <w:t xml:space="preserve">On the first of these, some pointed to recent climate change negotiations, and in particular the work of the Intergovernmental Panel on Climate Change, as a good example, of the way that the scientific community can provide a strong rationale for joint international action. But </w:t>
      </w:r>
      <w:r>
        <w:rPr>
          <w:rStyle w:val="StyleBoldUnderline"/>
        </w:rPr>
        <w:t>others referred to the failure of the Copenhagen climate summit last December</w:t>
      </w:r>
      <w:r>
        <w:t xml:space="preserve"> to come up with a meaningful agreement on action </w:t>
      </w:r>
      <w:r>
        <w:rPr>
          <w:rStyle w:val="StyleBoldUnderline"/>
        </w:rPr>
        <w:t>as a demonstration of the limitations</w:t>
      </w:r>
      <w:r>
        <w:t xml:space="preserve"> of this way of thinking. It was argued that </w:t>
      </w:r>
      <w:r>
        <w:rPr>
          <w:rStyle w:val="StyleBoldUnderline"/>
        </w:rPr>
        <w:t>this failure had been partly due to a misplaced belief that scientific consensus would be sufficient to generate a commitment to collective action, without taking into account the political impact</w:t>
      </w:r>
      <w:r>
        <w:t xml:space="preserve"> that scientific ideas would have. 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w:t>
      </w:r>
      <w:r>
        <w:lastRenderedPageBreak/>
        <w:t xml:space="preserve">the region. But others cautioned that, </w:t>
      </w:r>
      <w:r>
        <w:rPr>
          <w:rStyle w:val="StyleBoldUnderline"/>
        </w:rPr>
        <w:t>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w:t>
      </w:r>
      <w:r>
        <w:t xml:space="preserve"> coming from other political contexts. Indeed, </w:t>
      </w:r>
      <w:r>
        <w:rPr>
          <w:rStyle w:val="StyleBoldUnderline"/>
        </w:rPr>
        <w:t>there was even a warning that in the developing world, high profile scientific projects, particular those with explicit political backing, could end up doing damage by inadvertently favouring one social group over another</w:t>
      </w:r>
      <w:r>
        <w:t xml:space="preserve">. Scientists should be wary of having their prestige used in this way; </w:t>
      </w:r>
      <w:r>
        <w:rPr>
          <w:rStyle w:val="StyleBoldUnderline"/>
        </w:rPr>
        <w:t>those who did so could come over as patronising, appearing unaware of political realities</w:t>
      </w:r>
      <w:r>
        <w:t xml:space="preserve">. Similarly, those who hold science in esteem as a practice committed to promoting the causes of peace and development were reminded of the need to take into account how </w:t>
      </w:r>
      <w:r>
        <w:rPr>
          <w:rStyle w:val="StyleBoldUnderline"/>
        </w:rPr>
        <w:t xml:space="preserve">advances in science – whether nuclear physics or genetic technology – have also led to new types of weaponry. Nor did science automatically lead to the reduction of global inequalities. </w:t>
      </w:r>
      <w:r>
        <w:t xml:space="preserve">“Science for diplomacy” therefore ended up with a highly mixed review. The consensus seemed to be that </w:t>
      </w:r>
      <w:r>
        <w:rPr>
          <w:rStyle w:val="StyleBoldUnderline"/>
        </w:rPr>
        <w:t>science can prepare the ground for diplomatic initiatives</w:t>
      </w:r>
      <w:r>
        <w:t xml:space="preserve"> – and benefit from diplomatic agreements – but </w:t>
      </w:r>
      <w:r>
        <w:rPr>
          <w:rStyle w:val="StyleBoldUnderline"/>
        </w:rPr>
        <w:t xml:space="preserve">cannot provide the solutions to either. </w:t>
      </w:r>
      <w:r>
        <w:t>“On tap but not on top” seems as relevant in international settings as it does in purely national ones. With all the caution that even this formulation still requires.</w:t>
      </w:r>
    </w:p>
    <w:p>
      <w:pPr>
        <w:pStyle w:val="Heading4"/>
      </w:pPr>
      <w:r>
        <w:t>Science diplomacy can’t deescalate conflict – even advocates concede</w:t>
      </w:r>
    </w:p>
    <w:p>
      <w:r>
        <w:t xml:space="preserve">Geoff </w:t>
      </w:r>
      <w:r>
        <w:rPr>
          <w:rStyle w:val="StyleStyleBold12pt"/>
        </w:rPr>
        <w:t>Dabelko</w:t>
      </w:r>
      <w:r>
        <w:t>, director of the Environmental Change and Security Program at the Woodrow Wilson Center in Washington, DC., 20 Jun 200</w:t>
      </w:r>
      <w:r>
        <w:rPr>
          <w:rStyle w:val="StyleStyleBold12pt"/>
        </w:rPr>
        <w:t>9</w:t>
      </w:r>
      <w:r>
        <w:t xml:space="preserve">, “Science diplomacy: An expectations game,” </w:t>
      </w:r>
      <w:hyperlink r:id="rId9" w:history="1">
        <w:r>
          <w:rPr>
            <w:rStyle w:val="Hyperlink"/>
          </w:rPr>
          <w:t>http://grist.org/article/science-diplomacy-an-expectations-game/</w:t>
        </w:r>
      </w:hyperlink>
      <w:r>
        <w:t xml:space="preserve"> </w:t>
      </w:r>
    </w:p>
    <w:p>
      <w:r>
        <w:t xml:space="preserve">In “The Limits of Science Diplomacy,” SciDev.net Director David Dickson argues that </w:t>
      </w:r>
      <w:r>
        <w:rPr>
          <w:rStyle w:val="StyleBoldUnderline"/>
        </w:rPr>
        <w:t xml:space="preserve">scientific collaboration can achieve only very limited diplomatic victories. A conference hosted by the Royal Society in London earlier </w:t>
      </w:r>
      <w:r>
        <w:t xml:space="preserve">this month, entitled “New Frontiers in Science Diplomacy” (agenda), </w:t>
      </w:r>
      <w:r>
        <w:rPr>
          <w:rStyle w:val="StyleBoldUnderline"/>
        </w:rPr>
        <w:t xml:space="preserve">seems to have arrived at a similar conclusion. </w:t>
      </w:r>
      <w:r>
        <w:t>But this view of science diplomacy is overly pessimistic. It sets unrealistically high expectations such dialogue could never hope to achieve. Sci</w:t>
      </w:r>
      <w:r>
        <w:rPr>
          <w:rStyle w:val="StyleBoldUnderline"/>
        </w:rPr>
        <w:t>ence diplomacy is not meant to solve all aspects of conflicts or distrustful relationships</w:t>
      </w:r>
      <w:r>
        <w:t xml:space="preserve">, so setting such a high bar is a bit of a straw man. Science, as well as dialogue on the management of shared natural resources, remains an under-utilized and under-studied tool for trust-building, so it is premature to declare it a failure before we have sufficient evidence for evaluation. Veterans of Pugwash Conferences on Science and World Affairs and other Cold War-era scientific dialogues might suggest we are neglecting some rich experiences from this era. It bears remembering that Pugwash was awarded the 1995 Nobel Peace Prize (and current U.S. Science Adviser John Holdren delivered the acceptance speech as then executive director of Pugwash). A distinct but related arena for further policy attempts and research inquiries is environmental peacebuilding, where mutual interdependence around natural resources provides pathways for dialogue in the midst of conflict. The establishment of the Cordillera del Condor Transboundary Protected Area between Ecuador and Peru was a result of integrating joint environmental management structures in the 1998 peace agreement that ended a long-festering border conflict. Negotiation over shared resources, such as water, can be a diplomatic lifeline for otherwise-hostile countries, such as Israel and Jordan, which held secret “picnic table” talks to manage the Jordan River while they were officially at war. And the U.S. military has successfully uses environmental cooperation to engage both friends and adversaries. </w:t>
      </w:r>
      <w:r>
        <w:rPr>
          <w:rStyle w:val="StyleBoldUnderline"/>
        </w:rPr>
        <w:t>Collaboration on scientific and environmental issues won’t solve all our problems. And defining and identifying success remains a fundamental challenge when success is the absence of something</w:t>
      </w:r>
      <w:r>
        <w:t xml:space="preserve"> (conflict). But let’s not retreat to the common church-and-state division where scientists fear being “contaminated” by participating in policy-relevant dialogues. And let’s certainly not declare science diplomacy a failure—and stop trying to make it a success—based on unrealistic expectations for the benefits such efforts might produce.</w:t>
      </w:r>
    </w:p>
    <w:p>
      <w:pPr>
        <w:pStyle w:val="Heading2"/>
      </w:pPr>
      <w:r>
        <w:lastRenderedPageBreak/>
        <w:t>1NC Solvency</w:t>
      </w:r>
    </w:p>
    <w:p>
      <w:pPr>
        <w:pStyle w:val="Heading3"/>
      </w:pPr>
      <w:r>
        <w:lastRenderedPageBreak/>
        <w:t>Inevitable</w:t>
      </w:r>
    </w:p>
    <w:p>
      <w:pPr>
        <w:pStyle w:val="Heading4"/>
      </w:pPr>
      <w:r>
        <w:rPr>
          <w:b w:val="0"/>
          <w:bCs w:val="0"/>
        </w:rPr>
        <w:t>Cuban economic engagement inevitable – generational ties and politics</w:t>
      </w:r>
    </w:p>
    <w:p>
      <w:r>
        <w:t xml:space="preserve">Leonardo </w:t>
      </w:r>
      <w:r>
        <w:rPr>
          <w:rStyle w:val="StyleStyleBold12pt"/>
        </w:rPr>
        <w:t>Martinez-Diaz</w:t>
      </w:r>
      <w:r>
        <w:t>, political economy fellow of The Brookings Institution and deputy director for the Partnership for the Americas Commission, Fall 20</w:t>
      </w:r>
      <w:r>
        <w:rPr>
          <w:rStyle w:val="StyleStyleBold12pt"/>
        </w:rPr>
        <w:t>08</w:t>
      </w:r>
      <w:r>
        <w:t>, “</w:t>
      </w:r>
      <w:hyperlink r:id="rId10" w:history="1">
        <w:r>
          <w:rPr>
            <w:rStyle w:val="Hyperlink"/>
          </w:rPr>
          <w:t>Latin America: Coming of Age,” World Policy Journal, http://www.brookings.edu/~/media/research/files/articles/2008/10/fall%20latin%20america%20martinez%20diaz/fall_latin_america_martinez_diaz.pdf</w:t>
        </w:r>
      </w:hyperlink>
      <w:r>
        <w:t xml:space="preserve"> </w:t>
      </w:r>
    </w:p>
    <w:p>
      <w:pPr>
        <w:rPr>
          <w:rStyle w:val="StyleBoldUnderline"/>
        </w:rPr>
      </w:pPr>
      <w:r>
        <w:t xml:space="preserve">Meanwhile, </w:t>
      </w:r>
      <w:r>
        <w:rPr>
          <w:rStyle w:val="StyleBoldUnderline"/>
        </w:rPr>
        <w:t>generational and political change in the United States and Cuba will</w:t>
      </w:r>
      <w:r>
        <w:t xml:space="preserve"> likely le</w:t>
      </w:r>
      <w:r>
        <w:rPr>
          <w:rStyle w:val="StyleBoldUnderline"/>
        </w:rPr>
        <w:t xml:space="preserve">ad to greater economic engagement </w:t>
      </w:r>
      <w:r>
        <w:t xml:space="preserve">between those long-estranged countries. When the U.S. embargo is finally lifted, </w:t>
      </w:r>
      <w:r>
        <w:rPr>
          <w:rStyle w:val="StyleBoldUnderline"/>
        </w:rPr>
        <w:t>trade, investment, and two-way migration will resume.</w:t>
      </w:r>
      <w:r>
        <w:t xml:space="preserve"> Two generations of </w:t>
      </w:r>
      <w:r>
        <w:rPr>
          <w:rStyle w:val="StyleBoldUnderline"/>
        </w:rPr>
        <w:t>Cuban Americans eager to re-engage and do business in their ancestral homeland will pull Cuba</w:t>
      </w:r>
      <w:r>
        <w:t xml:space="preserve"> quickly </w:t>
      </w:r>
      <w:r>
        <w:rPr>
          <w:rStyle w:val="StyleBoldUnderline"/>
        </w:rPr>
        <w:t>into the U.S. economic orbit.</w:t>
      </w:r>
    </w:p>
    <w:p>
      <w:pPr>
        <w:pStyle w:val="Heading4"/>
      </w:pPr>
      <w:r>
        <w:rPr>
          <w:b w:val="0"/>
          <w:bCs w:val="0"/>
        </w:rPr>
        <w:t>Cuban and Mexican economic engagement inevitable – remittances, trade, and proximity</w:t>
      </w:r>
    </w:p>
    <w:p>
      <w:r>
        <w:t xml:space="preserve">Leonardo </w:t>
      </w:r>
      <w:r>
        <w:rPr>
          <w:rStyle w:val="StyleStyleBold12pt"/>
        </w:rPr>
        <w:t>Martinez-Diaz</w:t>
      </w:r>
      <w:r>
        <w:t>, political economy fellow of The Brookings Institution and deputy director for the Partnership for the Americas Commission, Fall 20</w:t>
      </w:r>
      <w:r>
        <w:rPr>
          <w:rStyle w:val="StyleStyleBold12pt"/>
        </w:rPr>
        <w:t>08</w:t>
      </w:r>
      <w:r>
        <w:t>, “</w:t>
      </w:r>
      <w:hyperlink r:id="rId11" w:history="1">
        <w:r>
          <w:rPr>
            <w:rStyle w:val="Hyperlink"/>
          </w:rPr>
          <w:t>Latin America: Coming of Age,” World Policy Journal, http://www.brookings.edu/~/media/research/files/articles/2008/10/fall%20latin%20america%20martinez%20diaz/fall_latin_america_martinez_diaz.pdf</w:t>
        </w:r>
      </w:hyperlink>
      <w:r>
        <w:t xml:space="preserve"> </w:t>
      </w:r>
    </w:p>
    <w:p>
      <w:pPr>
        <w:rPr>
          <w:b/>
          <w:bCs/>
          <w:u w:val="single"/>
        </w:rPr>
      </w:pPr>
      <w:r>
        <w:t>Roughly speaking, there are two kinds of economies in Latin America—</w:t>
      </w:r>
      <w:r>
        <w:rPr>
          <w:rStyle w:val="StyleBoldUnderline"/>
        </w:rPr>
        <w:t>those that will be pulled further toward the U.S. orbit in the coming decade</w:t>
      </w:r>
      <w:r>
        <w:t xml:space="preserve"> sand those that will continue to globalize, doing much of their business with countries other than the United States. </w:t>
      </w:r>
      <w:r>
        <w:rPr>
          <w:rStyle w:val="StyleBoldUnderline"/>
        </w:rPr>
        <w:t>Nations in the first category include</w:t>
      </w:r>
      <w:r>
        <w:t xml:space="preserve"> most in Central America, </w:t>
      </w:r>
      <w:r>
        <w:rPr>
          <w:rStyle w:val="StyleBoldUnderline"/>
        </w:rPr>
        <w:t>the larger economies of the Caribbean ,and Mexico.</w:t>
      </w:r>
      <w:r>
        <w:t xml:space="preserve"> These countries are </w:t>
      </w:r>
      <w:r>
        <w:rPr>
          <w:rStyle w:val="StyleBoldUnderline"/>
        </w:rPr>
        <w:t xml:space="preserve">already tied closely </w:t>
      </w:r>
      <w:r>
        <w:t>to the hemisphere’s largest economy</w:t>
      </w:r>
      <w:r>
        <w:rPr>
          <w:rStyle w:val="StyleBoldUnderline"/>
        </w:rPr>
        <w:t xml:space="preserve"> through trade, investment, tourism, aid, immigration, and remittance flows.</w:t>
      </w:r>
      <w:r>
        <w:t xml:space="preserve"> The gravitational pull of their links to the </w:t>
      </w:r>
      <w:r>
        <w:rPr>
          <w:rStyle w:val="StyleBoldUnderline"/>
        </w:rPr>
        <w:t>U.S. economy will draw them even closer</w:t>
      </w:r>
      <w:r>
        <w:t xml:space="preserve"> to the United States over the next quarter century. </w:t>
      </w:r>
      <w:r>
        <w:rPr>
          <w:rStyle w:val="StyleBoldUnderline"/>
        </w:rPr>
        <w:t>The countries of Central America and the Caribbean are all in a similar position</w:t>
      </w:r>
      <w:r>
        <w:t xml:space="preserve">. They currently </w:t>
      </w:r>
      <w:r>
        <w:rPr>
          <w:rStyle w:val="StyleBoldUnderline"/>
        </w:rPr>
        <w:t>send about half their exports to the United State</w:t>
      </w:r>
      <w:r>
        <w:t xml:space="preserve">s, and for the countries of the Caribbean Community (CARICOM), the </w:t>
      </w:r>
      <w:r>
        <w:rPr>
          <w:rStyle w:val="StyleBoldUnderline"/>
        </w:rPr>
        <w:t xml:space="preserve">U.S. share of their exports climbed </w:t>
      </w:r>
      <w:r>
        <w:t>steadily over the past decade. The</w:t>
      </w:r>
      <w:r>
        <w:rPr>
          <w:rStyle w:val="StyleBoldUnderline"/>
        </w:rPr>
        <w:t xml:space="preserve"> ratification of a 2004 free trade agreement between the United States, Central American countries, and the Dominican Republic(CAFTA-DR) will further orient these economies toward the United States.</w:t>
      </w:r>
    </w:p>
    <w:p>
      <w:pPr>
        <w:pStyle w:val="Heading3"/>
      </w:pPr>
      <w:r>
        <w:lastRenderedPageBreak/>
        <w:t>Unilateral Engagement Fails - Cuba</w:t>
      </w:r>
    </w:p>
    <w:p>
      <w:pPr>
        <w:pStyle w:val="Heading4"/>
      </w:pPr>
      <w:r>
        <w:t>Unilateral engagement policies fail – multilateral cooperation is key</w:t>
      </w:r>
    </w:p>
    <w:p>
      <w:r>
        <w:t xml:space="preserve">Meghan L. </w:t>
      </w:r>
      <w:r>
        <w:rPr>
          <w:rStyle w:val="StyleStyleBold12pt"/>
        </w:rPr>
        <w:t>O'Sullivan</w:t>
      </w:r>
      <w:r>
        <w:t>, Fellow at the Brookings Institute, Winter 200</w:t>
      </w:r>
      <w:r>
        <w:rPr>
          <w:rStyle w:val="StyleStyleBold12pt"/>
        </w:rPr>
        <w:t>1</w:t>
      </w:r>
      <w:r>
        <w:t xml:space="preserve">, “The Politics of Dismantling Containment,” The Washington Quarterly, </w:t>
      </w:r>
      <w:hyperlink r:id="rId12" w:history="1">
        <w:r>
          <w:rPr>
            <w:rStyle w:val="Hyperlink"/>
          </w:rPr>
          <w:t>http://www.brookings.edu/research/articles/2001/12/winter-sanctions-osullivan</w:t>
        </w:r>
      </w:hyperlink>
      <w:r>
        <w:t xml:space="preserve"> </w:t>
      </w:r>
    </w:p>
    <w:p>
      <w:pPr>
        <w:rPr>
          <w:b/>
          <w:bCs/>
          <w:u w:val="single"/>
        </w:rPr>
      </w:pPr>
      <w:r>
        <w:t xml:space="preserve">If prospects to engage North Korea, Cuba, Iran, and Iraq depended only on general trends in Congress and the leadership of the executive branch, we might forecast a strengthening trend toward engagement with some confidence. Yet these domestic U.S. factors are only half of the equation. After all, </w:t>
      </w:r>
      <w:r>
        <w:rPr>
          <w:rStyle w:val="StyleBoldUnderline"/>
        </w:rPr>
        <w:t>inherent in the concept of engagement is some level of cooperation between countries</w:t>
      </w:r>
      <w:r>
        <w:t xml:space="preserve"> and, more often than not, some </w:t>
      </w:r>
      <w:r>
        <w:rPr>
          <w:rStyle w:val="StyleBoldUnderline"/>
        </w:rPr>
        <w:t>collaboration between governments</w:t>
      </w:r>
      <w:r>
        <w:t xml:space="preserve">. The uncomfortable reality is that no matter how good U.S. intentions are, or how seriously the United States may be committed to a process of improving relations, </w:t>
      </w:r>
      <w:r>
        <w:rPr>
          <w:rStyle w:val="StyleBoldUnderline"/>
        </w:rPr>
        <w:t>the country or regime in question is also a key arbiter of success. Not only can it unilaterally decide to jettison engagement with the United States, but its behavior can also make further progress untenable for U.S. politicians.</w:t>
      </w:r>
    </w:p>
    <w:p>
      <w:pPr>
        <w:pStyle w:val="Heading4"/>
      </w:pPr>
      <w:r>
        <w:t>Cuban engagement fails – no cooperation due to lack of domestic support and diffused political power</w:t>
      </w:r>
    </w:p>
    <w:p>
      <w:r>
        <w:t xml:space="preserve">Meghan L. </w:t>
      </w:r>
      <w:r>
        <w:rPr>
          <w:rStyle w:val="StyleStyleBold12pt"/>
        </w:rPr>
        <w:t>O'Sullivan</w:t>
      </w:r>
      <w:r>
        <w:t>, Fellow at the Brookings Institute, Winter 200</w:t>
      </w:r>
      <w:r>
        <w:rPr>
          <w:rStyle w:val="StyleStyleBold12pt"/>
        </w:rPr>
        <w:t>1</w:t>
      </w:r>
      <w:r>
        <w:t xml:space="preserve">, “The Politics of Dismantling Containment,” The Washington Quarterly, </w:t>
      </w:r>
      <w:hyperlink r:id="rId13" w:history="1">
        <w:r>
          <w:rPr>
            <w:rStyle w:val="Hyperlink"/>
          </w:rPr>
          <w:t>http://www.brookings.edu/research/articles/2001/12/winter-sanctions-osullivan</w:t>
        </w:r>
      </w:hyperlink>
      <w:r>
        <w:t xml:space="preserve"> </w:t>
      </w:r>
    </w:p>
    <w:p>
      <w:r>
        <w:t xml:space="preserve">As a result, the different circumstances of each country are critical in determining whether engagement with the United States is feasible. </w:t>
      </w:r>
      <w:r>
        <w:rPr>
          <w:rStyle w:val="StyleBoldUnderline"/>
        </w:rPr>
        <w:t>An anti-Western or anti-U.S. atmosphere in a country may compromise the ability of a regime to engage the United States</w:t>
      </w:r>
      <w:r>
        <w:t xml:space="preserve">. It is equally plausible that </w:t>
      </w:r>
      <w:r>
        <w:rPr>
          <w:rStyle w:val="StyleBoldUnderline"/>
        </w:rPr>
        <w:t>a leader may have the domestic support or the complete control that makes a regime invulnerable to popular opinion to engage the United States</w:t>
      </w:r>
      <w:r>
        <w:t xml:space="preserve">, but not the inclination to do so. For example, </w:t>
      </w:r>
      <w:r>
        <w:rPr>
          <w:rStyle w:val="StyleBoldUnderline"/>
        </w:rPr>
        <w:t>Castro has the domestic support and the political power necessary to ease tensions with the United States, but he clearly lacks the desire to pursue such a course.</w:t>
      </w:r>
      <w:r>
        <w:t xml:space="preserve"> In other cases, </w:t>
      </w:r>
      <w:r>
        <w:rPr>
          <w:rStyle w:val="StyleBoldUnderline"/>
        </w:rPr>
        <w:t>political power may be diffused within a society of multiple viewpoints, restricting a leader's ability to move his or her country away from the status quo</w:t>
      </w:r>
      <w:r>
        <w:t xml:space="preserve"> in its relations with the United States. This has been the case in Iran, where internal power struggles between domestic political factions have constrained the ability of President Mohammad Khatemi to respond to limited U.S. gestures to move toward a more constructive relationship.</w:t>
      </w:r>
    </w:p>
    <w:p>
      <w:pPr>
        <w:pStyle w:val="Heading3"/>
      </w:pPr>
      <w:r>
        <w:lastRenderedPageBreak/>
        <w:t>AT: Economic Interdependence Good</w:t>
      </w:r>
    </w:p>
    <w:p>
      <w:pPr>
        <w:pStyle w:val="Heading4"/>
        <w:rPr>
          <w:b w:val="0"/>
          <w:bCs w:val="0"/>
        </w:rPr>
      </w:pPr>
      <w:r>
        <w:t>Economic interdependence empirically turns the case – engagement works only if disengagement is credible</w:t>
      </w:r>
    </w:p>
    <w:p>
      <w:r>
        <w:t xml:space="preserve">Richard N. </w:t>
      </w:r>
      <w:r>
        <w:rPr>
          <w:rStyle w:val="StyleStyleBold12pt"/>
          <w:highlight w:val="yellow"/>
        </w:rPr>
        <w:t>Haass and</w:t>
      </w:r>
      <w:r>
        <w:rPr>
          <w:rStyle w:val="StyleStyleBold12pt"/>
        </w:rPr>
        <w:t xml:space="preserve"> </w:t>
      </w:r>
      <w:r>
        <w:t xml:space="preserve">Meghan L. </w:t>
      </w:r>
      <w:r>
        <w:rPr>
          <w:rStyle w:val="StyleStyleBold12pt"/>
          <w:highlight w:val="yellow"/>
        </w:rPr>
        <w:t>O’Sullivan</w:t>
      </w:r>
      <w:r>
        <w:t xml:space="preserve">, former senior aide to Bush, Vice President and Director of Foreign Policy Studies at Brookings AND a Fellow with the Foreign Policy Studies Program at Brookings, Summer </w:t>
      </w:r>
      <w:r>
        <w:rPr>
          <w:rStyle w:val="StyleStyleBold12pt"/>
          <w:highlight w:val="yellow"/>
        </w:rPr>
        <w:t>2k</w:t>
      </w:r>
      <w:r>
        <w:t xml:space="preserve">, “Terms of Engagement: Alternatives to Punitive Policies,” Survival, vol. 42, no. 2 </w:t>
      </w:r>
    </w:p>
    <w:p>
      <w:pPr>
        <w:rPr>
          <w:b/>
          <w:bCs/>
          <w:u w:val="single"/>
        </w:rPr>
      </w:pPr>
      <w:r>
        <w:t xml:space="preserve">Similarly, </w:t>
      </w:r>
      <w:r>
        <w:rPr>
          <w:rStyle w:val="StyleBoldUnderline"/>
        </w:rPr>
        <w:t>engagement is only effective when the alternative</w:t>
      </w:r>
      <w:r>
        <w:t xml:space="preserve">, disengaging, </w:t>
      </w:r>
      <w:r>
        <w:rPr>
          <w:rStyle w:val="StyleBoldUnderline"/>
        </w:rPr>
        <w:t>is</w:t>
      </w:r>
      <w:r>
        <w:t xml:space="preserve"> a </w:t>
      </w:r>
      <w:r>
        <w:rPr>
          <w:rStyle w:val="StyleBoldUnderline"/>
        </w:rPr>
        <w:t>credible</w:t>
      </w:r>
      <w:r>
        <w:t xml:space="preserve"> option. For example, </w:t>
      </w:r>
      <w:r>
        <w:rPr>
          <w:rStyle w:val="StyleBoldUnderline"/>
        </w:rPr>
        <w:t>the European ‘critical dialogue’ policy with Iran stumbled because it</w:t>
      </w:r>
      <w:r>
        <w:t xml:space="preserve"> effectively </w:t>
      </w:r>
      <w:r>
        <w:rPr>
          <w:rStyle w:val="StyleBoldUnderline"/>
        </w:rPr>
        <w:t>involved no ‘sticks’</w:t>
      </w:r>
      <w:r>
        <w:t xml:space="preserve">. Rather than bolstering the leverage that could be used in conjunction with incentives to alter Iranian behaviour, </w:t>
      </w:r>
      <w:r>
        <w:rPr>
          <w:rStyle w:val="StyleBoldUnderline"/>
        </w:rPr>
        <w:t>extensive economic ties between Europe and Iran undermined the ‘critical dialogue’ policy. As an important source of energy for European needs, as well as a market for its goods, Iran was confident that, regardless of its behaviour, Europe would not sever its mutual economic bonds.</w:t>
      </w:r>
      <w:r>
        <w:t xml:space="preserve"> As a result, European desires to settle disputes such as that surrounding the fatwa on Salman Rushdie lacked urgency in Iranian eyes. </w:t>
      </w:r>
      <w:r>
        <w:rPr>
          <w:rStyle w:val="StyleBoldUnderline"/>
        </w:rPr>
        <w:t xml:space="preserve">Economic interdependence is not tantamount to leverage; as important as economic influence is the other party’s belief that you are willing to jeopardise it in order to meet </w:t>
      </w:r>
      <w:r>
        <w:t>your</w:t>
      </w:r>
      <w:r>
        <w:rPr>
          <w:rStyle w:val="StyleBoldUnderline"/>
        </w:rPr>
        <w:t xml:space="preserve"> wider objectives.</w:t>
      </w:r>
    </w:p>
    <w:p>
      <w:pPr>
        <w:pStyle w:val="Heading3"/>
      </w:pPr>
      <w:r>
        <w:lastRenderedPageBreak/>
        <w:t>China Advantage</w:t>
      </w:r>
    </w:p>
    <w:p>
      <w:pPr>
        <w:pStyle w:val="Heading4"/>
      </w:pPr>
      <w:r>
        <w:t>Not zero sum – Chinese exploration increases the total petroleum reserve</w:t>
      </w:r>
    </w:p>
    <w:p>
      <w:r>
        <w:t xml:space="preserve">Jonathan </w:t>
      </w:r>
      <w:r>
        <w:rPr>
          <w:rStyle w:val="StyleStyleBold12pt"/>
        </w:rPr>
        <w:t>Benjamin-Alvarado</w:t>
      </w:r>
      <w:r>
        <w:t>, professor at University of Nebraska at Omaha, University of Georgia Ph.D., Director of the Intelligence Community Centers of Academic Excellence Program at UNO, 20</w:t>
      </w:r>
      <w:r>
        <w:rPr>
          <w:rStyle w:val="StyleStyleBold12pt"/>
        </w:rPr>
        <w:t>11</w:t>
      </w:r>
      <w:r>
        <w:t xml:space="preserve">, “Cuba's Energy Future: Strategic Approaches to Cooperation,” Wiley Online Library, pg 12-13 </w:t>
      </w:r>
    </w:p>
    <w:p>
      <w:pPr>
        <w:rPr>
          <w:rStyle w:val="Emphasis"/>
          <w:bCs/>
          <w:iCs w:val="0"/>
          <w:bdr w:val="none" w:sz="0" w:space="0" w:color="auto"/>
        </w:rPr>
      </w:pPr>
      <w:r>
        <w:t xml:space="preserve">But </w:t>
      </w:r>
      <w:r>
        <w:rPr>
          <w:rStyle w:val="StyleBoldUnderline"/>
        </w:rPr>
        <w:t>Leverett and Bader also warn against an overdeterministic view of an inevitable “clash of the titans” over energy resources.</w:t>
      </w:r>
      <w:r>
        <w:t xml:space="preserve"> Instead they argue that the impact of China on U.S. energy-security interests is a largely unexplored arena. Furthermore, one could view </w:t>
      </w:r>
      <w:r>
        <w:rPr>
          <w:rStyle w:val="StyleBoldUnderline"/>
        </w:rPr>
        <w:t>the Chinese search for access to oil, leading it to engage in exploration and production-sharing agreements in remote and difficult locales such as Sudan and the tar sands of Canada, as expanding the global supply of petroleum.</w:t>
      </w:r>
    </w:p>
    <w:p>
      <w:pPr>
        <w:pStyle w:val="Heading2"/>
      </w:pPr>
      <w:r>
        <w:lastRenderedPageBreak/>
        <w:t>MEXUS CP vs Oil Spills</w:t>
      </w:r>
    </w:p>
    <w:p>
      <w:pPr>
        <w:pStyle w:val="Heading3"/>
      </w:pPr>
      <w:r>
        <w:lastRenderedPageBreak/>
        <w:t>1NC</w:t>
      </w:r>
    </w:p>
    <w:p>
      <w:pPr>
        <w:pStyle w:val="Heading4"/>
      </w:pPr>
      <w:r>
        <w:t>Text: The United States federal government should sign a bilateral oil spill response treaty with Cuba modeled on the MEXUS treaty.</w:t>
      </w:r>
    </w:p>
    <w:p>
      <w:pPr>
        <w:pStyle w:val="Heading4"/>
      </w:pPr>
      <w:r>
        <w:t>An agreement with Cuba modeled on MEXUS solves oil spills – sufficiently speeds up response time</w:t>
      </w:r>
    </w:p>
    <w:p>
      <w:r>
        <w:t xml:space="preserve">C. Adam </w:t>
      </w:r>
      <w:r>
        <w:rPr>
          <w:rStyle w:val="StyleStyleBold12pt"/>
        </w:rPr>
        <w:t>Lanier</w:t>
      </w:r>
      <w:r>
        <w:t>, B.A., University of North Carolina at Chapel Hill, 2010; J.D. Candidate, University of North Carolina School of Law, 2013, Winter 20</w:t>
      </w:r>
      <w:r>
        <w:rPr>
          <w:rStyle w:val="StyleStyleBold12pt"/>
        </w:rPr>
        <w:t>13</w:t>
      </w:r>
      <w:r>
        <w:t xml:space="preserve">, “In Deepwater: Cuba, Offshore Drilling, and Political Brinkmanship,” 38 N.C.J. Int'l L. &amp; Com. Reg. 571 </w:t>
      </w:r>
    </w:p>
    <w:p>
      <w:r>
        <w:rPr>
          <w:rStyle w:val="StyleBoldUnderline"/>
        </w:rPr>
        <w:t>It will</w:t>
      </w:r>
      <w:r>
        <w:t xml:space="preserve"> also </w:t>
      </w:r>
      <w:r>
        <w:rPr>
          <w:rStyle w:val="StyleBoldUnderline"/>
        </w:rPr>
        <w:t>be important for the United States to create a bilateral agreement with Cuba regarding oil spill</w:t>
      </w:r>
      <w:r>
        <w:t>s. It has been noted that "</w:t>
      </w:r>
      <w:r>
        <w:rPr>
          <w:rStyle w:val="StyleBoldUnderline"/>
        </w:rPr>
        <w:t>the United States has strong spill-response agreements with</w:t>
      </w:r>
      <w:r>
        <w:t xml:space="preserve"> Canada, </w:t>
      </w:r>
      <w:r>
        <w:rPr>
          <w:rStyle w:val="StyleBoldUnderline"/>
        </w:rPr>
        <w:t>Mexico</w:t>
      </w:r>
      <w:r>
        <w:t xml:space="preserve"> and Russia," causing some in [*598]  the field to suggest that the United States "</w:t>
      </w:r>
      <w:r>
        <w:rPr>
          <w:rStyle w:val="StyleBoldUnderline"/>
        </w:rPr>
        <w:t>make sure Cuba has the same safeguards and rigorous oversight</w:t>
      </w:r>
      <w:r>
        <w:t>. We can't let politics get in the way of common-sense actions." n165 S</w:t>
      </w:r>
      <w:r>
        <w:rPr>
          <w:rStyle w:val="StyleBoldUnderline"/>
        </w:rPr>
        <w:t>everal scholars suggest using the MEXUS Treaty n166 as a model for a bilateral agreement between the United States and Cuba.</w:t>
      </w:r>
      <w:r>
        <w:t xml:space="preserve"> n167 This type of treaty </w:t>
      </w:r>
      <w:r>
        <w:rPr>
          <w:rStyle w:val="StyleBoldUnderline"/>
        </w:rPr>
        <w:t>informs both countries of their respective responsibilities in the event of a transnational oil spill.</w:t>
      </w:r>
      <w:r>
        <w:t xml:space="preserve"> n168 It </w:t>
      </w:r>
      <w:r>
        <w:rPr>
          <w:rStyle w:val="StyleBoldUnderline"/>
        </w:rPr>
        <w:t>is critical to have plans already in place to respond to an oil spill in regions like the Straits of Florida, where hours can make a significant difference in the impact a spill will have on the local marine environment</w:t>
      </w:r>
      <w:r>
        <w:t>. n169</w:t>
      </w:r>
    </w:p>
    <w:p>
      <w:pPr>
        <w:pStyle w:val="Heading3"/>
      </w:pPr>
      <w:r>
        <w:lastRenderedPageBreak/>
        <w:t>2NC Solvency</w:t>
      </w:r>
    </w:p>
    <w:p>
      <w:pPr>
        <w:pStyle w:val="Heading4"/>
      </w:pPr>
      <w:r>
        <w:t>CP is perquisite for solvency – coop is key</w:t>
      </w:r>
    </w:p>
    <w:p>
      <w:pPr>
        <w:rPr>
          <w:rStyle w:val="StyleBoldUnderline"/>
          <w:u w:val="none"/>
        </w:rPr>
      </w:pPr>
      <w:r>
        <w:t xml:space="preserve">C. Adam </w:t>
      </w:r>
      <w:r>
        <w:rPr>
          <w:rStyle w:val="StyleStyleBold12pt"/>
        </w:rPr>
        <w:t>Lanier</w:t>
      </w:r>
      <w:r>
        <w:t>, B.A., University of North Carolina at Chapel Hill, 2010; J.D. Candidate, University of North Carolina School of Law, 2013, Winter 20</w:t>
      </w:r>
      <w:r>
        <w:rPr>
          <w:rStyle w:val="StyleStyleBold12pt"/>
        </w:rPr>
        <w:t>13</w:t>
      </w:r>
      <w:r>
        <w:t xml:space="preserve">, “In Deepwater: Cuba, Offshore Drilling, and Political Brinkmanship,” 38 N.C.J. Int'l L. &amp; Com. Reg. 571 </w:t>
      </w:r>
    </w:p>
    <w:p>
      <w:r>
        <w:t xml:space="preserve">To take advantage of this engagement with the Cuban government, </w:t>
      </w:r>
      <w:r>
        <w:rPr>
          <w:rStyle w:val="StyleBoldUnderline"/>
        </w:rPr>
        <w:t>the United States should develop a framework for information-sharing between the two governments.</w:t>
      </w:r>
      <w:r>
        <w:t xml:space="preserve"> The Center for Democracy in the Americas suggests that </w:t>
      </w:r>
      <w:r>
        <w:rPr>
          <w:rStyle w:val="StyleBoldUnderline"/>
        </w:rPr>
        <w:t>"comprehensive information sharing with the Cuban government [be] standard operating procedure</w:t>
      </w:r>
      <w:r>
        <w:t xml:space="preserve">." n156 This information-sharing </w:t>
      </w:r>
      <w:r>
        <w:rPr>
          <w:rStyle w:val="StyleBoldUnderline"/>
        </w:rPr>
        <w:t>could include conducting joint workshops and conferences on issues of mutual interest, such as offshore drilling, drug trafficking, and immigration</w:t>
      </w:r>
      <w:r>
        <w:t xml:space="preserve">. It has also been suggested that information-sharing </w:t>
      </w:r>
      <w:r>
        <w:rPr>
          <w:rStyle w:val="StyleBoldUnderline"/>
        </w:rPr>
        <w:t>include technology sharing</w:t>
      </w:r>
      <w:r>
        <w:t xml:space="preserve">. n157 </w:t>
      </w:r>
      <w:r>
        <w:rPr>
          <w:rStyle w:val="StyleBoldUnderline"/>
        </w:rPr>
        <w:t>Technology sharing could include sharing oil spill mapping software with Cuba and providing it with subsea oil spill response technology, such as dispersants</w:t>
      </w:r>
      <w:r>
        <w:t>. Finally, U</w:t>
      </w:r>
      <w:r>
        <w:rPr>
          <w:rStyle w:val="StyleBoldUnderline"/>
        </w:rPr>
        <w:t>.S. regulatory agencies should engage their Cuban counterparts on a regular basis rather than attempting to channel all information-sharing through the U.S. Interests Section</w:t>
      </w:r>
      <w:r>
        <w:t xml:space="preserve"> in Havana. n158</w:t>
      </w:r>
    </w:p>
    <w:p>
      <w:pPr>
        <w:pStyle w:val="Heading4"/>
      </w:pPr>
      <w:r>
        <w:t>Info sharing solves – allows faster response</w:t>
      </w:r>
    </w:p>
    <w:p>
      <w:r>
        <w:t xml:space="preserve">C. Adam </w:t>
      </w:r>
      <w:r>
        <w:rPr>
          <w:rStyle w:val="StyleStyleBold12pt"/>
        </w:rPr>
        <w:t>Lanier</w:t>
      </w:r>
      <w:r>
        <w:t>, B.A., University of North Carolina at Chapel Hill, 2010; J.D. Candidate, University of North Carolina School of Law, 2013, Winter 20</w:t>
      </w:r>
      <w:r>
        <w:rPr>
          <w:rStyle w:val="StyleStyleBold12pt"/>
        </w:rPr>
        <w:t>13</w:t>
      </w:r>
      <w:r>
        <w:t xml:space="preserve">, “In Deepwater: Cuba, Offshore Drilling, and Political Brinkmanship,” 38 N.C.J. Int'l L. &amp; Com. Reg. 571 </w:t>
      </w:r>
    </w:p>
    <w:p>
      <w:r>
        <w:t xml:space="preserve">To take advantage of this engagement with the Cuban government, the United States should develop a framework for information-sharing between the two governments. The Center for Democracy in the Americas suggests that "com-prehensive information sharing with the Cuban government [be] standard operating procedure." n156 </w:t>
      </w:r>
      <w:r>
        <w:rPr>
          <w:rStyle w:val="StyleBoldUnderline"/>
        </w:rPr>
        <w:t>This infor-mation-sharing could include conducting joint workshops and conferences on issues of mutual interest, such as offshore drilling, drug trafficking, and immigration. It has also been suggested that information-sharing include technology sharing. n157 Technology sharing could include sharing oil spill mapping software with Cuba and providing it with subsea oil spill response technology, such as dispersants. Finally, U.S. regulatory agencies should engage their Cuban counterparts on a regular basis rather than attempting to channel all information-sharing through the U.S. Interests Section in Havana</w:t>
      </w:r>
      <w:r>
        <w:t>. n158</w:t>
      </w:r>
    </w:p>
    <w:p>
      <w:pPr>
        <w:pStyle w:val="Heading3"/>
      </w:pPr>
      <w:r>
        <w:rPr>
          <w:b w:val="0"/>
          <w:bCs w:val="0"/>
        </w:rPr>
        <w:lastRenderedPageBreak/>
        <w:t>Say Yes/AT: Say No</w:t>
      </w:r>
    </w:p>
    <w:p>
      <w:pPr>
        <w:pStyle w:val="Heading4"/>
      </w:pPr>
      <w:r>
        <w:t>Cuba says yes – mutual interests in preventing environmental damage</w:t>
      </w:r>
    </w:p>
    <w:p>
      <w:r>
        <w:t xml:space="preserve">Richard </w:t>
      </w:r>
      <w:r>
        <w:rPr>
          <w:rStyle w:val="StyleStyleBold12pt"/>
        </w:rPr>
        <w:t>Sadowski</w:t>
      </w:r>
      <w:r>
        <w:t>, 2012 J.D. candidate at Hofstra University School of Law, Managing Editor of Production of the Journal of International Business and Law Vol. XI., 20</w:t>
      </w:r>
      <w:r>
        <w:rPr>
          <w:rStyle w:val="StyleStyleBold12pt"/>
        </w:rPr>
        <w:t>11</w:t>
      </w:r>
      <w:r>
        <w:t>, "Cuban Offshore Drilling: Preparation and Prevention within the Framework of the United States’ Embargo."</w:t>
      </w:r>
    </w:p>
    <w:p>
      <w:r>
        <w:t xml:space="preserve">Sustainable Development Law &amp; Policy 12, no. 1: 37-39, 63-6 </w:t>
      </w:r>
    </w:p>
    <w:p>
      <w:pPr>
        <w:rPr>
          <w:rStyle w:val="StyleBoldUnderline"/>
        </w:rPr>
      </w:pPr>
      <w:r>
        <w:rPr>
          <w:rStyle w:val="StyleBoldUnderline"/>
        </w:rPr>
        <w:t>The United States must initiate the same level of planning with Cuba. Given the proximity of potential Cuban wells to the Florida coast, the need for a contingency plan is clear</w:t>
      </w:r>
      <w:r>
        <w:t xml:space="preserve">. Fortunately, </w:t>
      </w:r>
      <w:r>
        <w:rPr>
          <w:rStyle w:val="StyleBoldUnderline"/>
        </w:rPr>
        <w:t xml:space="preserve">the MEXUS Plan provides a guiding framework upon which the United States and Cuba can draw. </w:t>
      </w:r>
      <w:r>
        <w:t xml:space="preserve">Furthermore, </w:t>
      </w:r>
      <w:r>
        <w:rPr>
          <w:rStyle w:val="StyleBoldUnderline"/>
        </w:rPr>
        <w:t>a recent Congressional report indicates that Cuba is open to certain bilateral agreements with the United States</w:t>
      </w:r>
      <w:r>
        <w:t xml:space="preserve">, noting </w:t>
      </w:r>
      <w:r>
        <w:rPr>
          <w:rStyle w:val="StyleBoldUnderline"/>
        </w:rPr>
        <w:t>Raul Castro’s willingness to engage with the United States where mutual interests exist.74 Since an oil spill agreement is of mutual interest, both countries should work to draft and implement it.</w:t>
      </w:r>
    </w:p>
    <w:p>
      <w:pPr>
        <w:pStyle w:val="Heading2"/>
      </w:pPr>
      <w:r>
        <w:lastRenderedPageBreak/>
        <w:t>Politics Links</w:t>
      </w:r>
    </w:p>
    <w:p>
      <w:pPr>
        <w:pStyle w:val="Heading3"/>
      </w:pPr>
      <w:r>
        <w:lastRenderedPageBreak/>
        <w:t>Links Turns Solvency</w:t>
      </w:r>
    </w:p>
    <w:p>
      <w:pPr>
        <w:pStyle w:val="Heading4"/>
        <w:rPr>
          <w:b w:val="0"/>
          <w:bCs w:val="0"/>
        </w:rPr>
      </w:pPr>
      <w:r>
        <w:t>Domestic support key to successful engagement policies – perceived economic benefits causes key constituency support</w:t>
      </w:r>
    </w:p>
    <w:p>
      <w:r>
        <w:t xml:space="preserve">Richard N. </w:t>
      </w:r>
      <w:r>
        <w:rPr>
          <w:rStyle w:val="StyleStyleBold12pt"/>
          <w:highlight w:val="yellow"/>
        </w:rPr>
        <w:t>Haass and</w:t>
      </w:r>
      <w:r>
        <w:rPr>
          <w:rStyle w:val="StyleStyleBold12pt"/>
        </w:rPr>
        <w:t xml:space="preserve"> </w:t>
      </w:r>
      <w:r>
        <w:t xml:space="preserve">Meghan L. </w:t>
      </w:r>
      <w:r>
        <w:rPr>
          <w:rStyle w:val="StyleStyleBold12pt"/>
          <w:highlight w:val="yellow"/>
        </w:rPr>
        <w:t>O’Sullivan</w:t>
      </w:r>
      <w:r>
        <w:t xml:space="preserve">, former senior aide to Bush, Vice President and Director of Foreign Policy Studies at Brookings AND a Fellow with the Foreign Policy Studies Program at Brookings, Summer </w:t>
      </w:r>
      <w:r>
        <w:rPr>
          <w:rStyle w:val="StyleStyleBold12pt"/>
          <w:highlight w:val="yellow"/>
        </w:rPr>
        <w:t>2k</w:t>
      </w:r>
      <w:r>
        <w:t xml:space="preserve">, “Terms of Engagement: Alternatives to Punitive Policies,” Survival, vol. 42, no. 2 </w:t>
      </w:r>
    </w:p>
    <w:p>
      <w:r>
        <w:rPr>
          <w:rStyle w:val="StyleBoldUnderline"/>
        </w:rPr>
        <w:t>For the United States, an engagement strategy makes the most sense when adequate domestic political support</w:t>
      </w:r>
      <w:r>
        <w:t xml:space="preserve"> – or the potential for creating it – </w:t>
      </w:r>
      <w:r>
        <w:rPr>
          <w:rStyle w:val="StyleBoldUnderline"/>
        </w:rPr>
        <w:t>exists among key constituencies</w:t>
      </w:r>
      <w:r>
        <w:t xml:space="preserve">. As the policy of ‘constructive engagement’ with South Africa in the 1980s demonstrates vividly, </w:t>
      </w:r>
      <w:r>
        <w:rPr>
          <w:rStyle w:val="StyleBoldUnderline"/>
        </w:rPr>
        <w:t>the viability of an engagement strategy is limited if it is inconsistent with the sentiments and interests of politically important groups</w:t>
      </w:r>
      <w:r>
        <w:t xml:space="preserve"> of Americans </w:t>
      </w:r>
      <w:r>
        <w:rPr>
          <w:rStyle w:val="StyleBoldUnderline"/>
        </w:rPr>
        <w:t>at home.</w:t>
      </w:r>
      <w:r>
        <w:t xml:space="preserve"> Throughout the 1980s, the Reagan administration sought to continue its policy of engaging the government of President P.W. Botha. </w:t>
      </w:r>
      <w:r>
        <w:rPr>
          <w:rStyle w:val="StyleBoldUnderline"/>
        </w:rPr>
        <w:t>However, strident objections were voiced by the US Congress and influential civic groups who increasingly viewed this variety of engagement as morally abhorrent. It was ultimately this domestic repulsion</w:t>
      </w:r>
      <w:r>
        <w:t xml:space="preserve"> – reflected in the US Congress’ overwhelming bipartisan vote to override President Reagan’s veto of the Comprehensive Anti-Apartheid Act in 1986 – </w:t>
      </w:r>
      <w:r>
        <w:rPr>
          <w:rStyle w:val="StyleBoldUnderline"/>
        </w:rPr>
        <w:t>that forced a new, more limited type of engagement strategy more consistent with American moral concerns.</w:t>
      </w:r>
      <w:r>
        <w:t xml:space="preserve"> From the policy-maker’s perspective,</w:t>
      </w:r>
      <w:r>
        <w:rPr>
          <w:rStyle w:val="StyleBoldUnderline"/>
        </w:rPr>
        <w:t xml:space="preserve"> it would be ideal if a well-prepared domestic base in favour of engagement existed even before an engagement strategy were considered. However, the architects of engagement can use political or economic means to craft such bases. </w:t>
      </w:r>
      <w:r>
        <w:t xml:space="preserve">In a bitter post-war atmosphere, the efforts of the Carter administration to normalise relations with Vietnam stumbled in part because there was no domestic constituency supporting Carter’s endeavours. In contrast, years later, </w:t>
      </w:r>
      <w:r>
        <w:rPr>
          <w:rStyle w:val="StyleBoldUnderline"/>
        </w:rPr>
        <w:t>the Clinton administration was able to bring this process to fruition with the backing of carefully solicited, influential congressional leaders and the support of American businesses, even in the face of organised opposition from</w:t>
      </w:r>
      <w:r>
        <w:t xml:space="preserve"> various </w:t>
      </w:r>
      <w:r>
        <w:rPr>
          <w:rStyle w:val="StyleBoldUnderline"/>
        </w:rPr>
        <w:t>veteran’s lobbies</w:t>
      </w:r>
      <w:r>
        <w:t xml:space="preserve">. In 1988–90, economic incentives were combined with political penalties to try to induce Iraq to modify its behaviour. While perhaps not the specific intention of the architects of engagement with Saddam Hussein, </w:t>
      </w:r>
      <w:r>
        <w:rPr>
          <w:rStyle w:val="StyleBoldUnderline"/>
        </w:rPr>
        <w:t>the extension of US government agricultural credit guarantees to Iraq appealed to American industrial and agricultural interests which saw Iraq as a large, promising market, and thus created one American constituency in favour of continued engagement.</w:t>
      </w:r>
      <w:r>
        <w:t>6</w:t>
      </w:r>
    </w:p>
    <w:p>
      <w:pPr>
        <w:pStyle w:val="Heading3"/>
        <w:rPr>
          <w:b w:val="0"/>
          <w:bCs w:val="0"/>
        </w:rPr>
      </w:pPr>
      <w:r>
        <w:rPr>
          <w:b w:val="0"/>
          <w:bCs w:val="0"/>
        </w:rPr>
        <w:lastRenderedPageBreak/>
        <w:t>Engagement Unpopular</w:t>
      </w:r>
    </w:p>
    <w:p>
      <w:pPr>
        <w:pStyle w:val="Heading4"/>
        <w:rPr>
          <w:b w:val="0"/>
          <w:bCs w:val="0"/>
        </w:rPr>
      </w:pPr>
      <w:r>
        <w:rPr>
          <w:b w:val="0"/>
          <w:bCs w:val="0"/>
        </w:rPr>
        <w:t>Engagement is unpopular – past Congressional votes prove strong domestic constituency opposition</w:t>
      </w:r>
    </w:p>
    <w:p>
      <w:r>
        <w:t xml:space="preserve">Meghan L. </w:t>
      </w:r>
      <w:r>
        <w:rPr>
          <w:rStyle w:val="StyleStyleBold12pt"/>
        </w:rPr>
        <w:t>O'Sullivan</w:t>
      </w:r>
      <w:r>
        <w:t>, Fellow at the Brookings Institute, Winter 200</w:t>
      </w:r>
      <w:r>
        <w:rPr>
          <w:rStyle w:val="StyleStyleBold12pt"/>
        </w:rPr>
        <w:t>1</w:t>
      </w:r>
      <w:r>
        <w:t xml:space="preserve">, “The Politics of Dismantling Containment,” The Washington Quarterly, </w:t>
      </w:r>
      <w:hyperlink r:id="rId14" w:history="1">
        <w:r>
          <w:rPr>
            <w:rStyle w:val="Hyperlink"/>
          </w:rPr>
          <w:t>http://www.brookings.edu/research/articles/2001/12/winter-sanctions-osullivan</w:t>
        </w:r>
      </w:hyperlink>
      <w:r>
        <w:t xml:space="preserve"> </w:t>
      </w:r>
    </w:p>
    <w:p>
      <w:r>
        <w:t xml:space="preserve">Lobbying for Engagement at Home Other barriers to more effective policies are not as easily overcome as the retirement of an old and awkward phrase. </w:t>
      </w:r>
      <w:r>
        <w:rPr>
          <w:rStyle w:val="StyleBoldUnderline"/>
        </w:rPr>
        <w:t>In the past and today, the president and others interested in engaging difficult regimes have been impeded by the lack of support</w:t>
      </w:r>
      <w:r>
        <w:t xml:space="preserve"> for these moves </w:t>
      </w:r>
      <w:r>
        <w:rPr>
          <w:rStyle w:val="StyleBoldUnderline"/>
        </w:rPr>
        <w:t>among</w:t>
      </w:r>
      <w:r>
        <w:t xml:space="preserve"> U.S. </w:t>
      </w:r>
      <w:r>
        <w:rPr>
          <w:rStyle w:val="StyleBoldUnderline"/>
        </w:rPr>
        <w:t>domestic constituencies, particularly in Congress</w:t>
      </w:r>
      <w:r>
        <w:t xml:space="preserve">. For example, President Richard </w:t>
      </w:r>
      <w:r>
        <w:rPr>
          <w:rStyle w:val="StyleBoldUnderline"/>
        </w:rPr>
        <w:t>Nixon</w:t>
      </w:r>
      <w:r>
        <w:t xml:space="preserve"> and his secretary of state, Henry Kissinger, </w:t>
      </w:r>
      <w:r>
        <w:rPr>
          <w:rStyle w:val="StyleBoldUnderline"/>
        </w:rPr>
        <w:t>were constrained in pursuing détente</w:t>
      </w:r>
      <w:r>
        <w:t xml:space="preserve"> with the Soviet Union </w:t>
      </w:r>
      <w:r>
        <w:rPr>
          <w:rStyle w:val="StyleBoldUnderline"/>
        </w:rPr>
        <w:t>by a Congress unimpressed with their intricate strategy of linking political, economic, and diplomatic incentives to Soviet behavior</w:t>
      </w:r>
      <w:r>
        <w:t xml:space="preserve"> in the developing world and at the arms control negotiating table. </w:t>
      </w:r>
      <w:r>
        <w:rPr>
          <w:rStyle w:val="StyleBoldUnderline"/>
        </w:rPr>
        <w:t>Congressional action tying most-favored-nation trading status for the Soviet Union to the issue of Jewish immigration</w:t>
      </w:r>
      <w:r>
        <w:t xml:space="preserve"> kept Nixon and Kissinger from delivering the incentives they had promised to Moscow, undermining the overall détente policy. Similarly, much </w:t>
      </w:r>
      <w:r>
        <w:rPr>
          <w:rStyle w:val="StyleBoldUnderline"/>
        </w:rPr>
        <w:t>more recent efforts of the Clinton administration to engage North Korea</w:t>
      </w:r>
      <w:r>
        <w:t xml:space="preserve"> over its nuclear program </w:t>
      </w:r>
      <w:r>
        <w:rPr>
          <w:rStyle w:val="StyleBoldUnderline"/>
        </w:rPr>
        <w:t>have been consistently threatened by congressional reluctance to provide adequate funds</w:t>
      </w:r>
      <w:r>
        <w:t xml:space="preserve"> for implementation of an agreement struck between the two countries in 1994. As these examples suggest, </w:t>
      </w:r>
      <w:r>
        <w:rPr>
          <w:rStyle w:val="StyleBoldUnderline"/>
        </w:rPr>
        <w:t>the face of the new Congress is important in determining whether</w:t>
      </w:r>
      <w:r>
        <w:t xml:space="preserve"> more </w:t>
      </w:r>
      <w:r>
        <w:rPr>
          <w:rStyle w:val="StyleBoldUnderline"/>
        </w:rPr>
        <w:t>engagement</w:t>
      </w:r>
      <w:r>
        <w:t xml:space="preserve">-oriented approaches toward Cuba, Iran, and others </w:t>
      </w:r>
      <w:r>
        <w:rPr>
          <w:rStyle w:val="StyleBoldUnderline"/>
        </w:rPr>
        <w:t>will</w:t>
      </w:r>
      <w:r>
        <w:t xml:space="preserve"> be crafted and whether they </w:t>
      </w:r>
      <w:r>
        <w:rPr>
          <w:rStyle w:val="StyleBoldUnderline"/>
        </w:rPr>
        <w:t>succeed</w:t>
      </w:r>
      <w:r>
        <w:t xml:space="preserve">. </w:t>
      </w:r>
      <w:r>
        <w:rPr>
          <w:rStyle w:val="StyleBoldUnderline"/>
        </w:rPr>
        <w:t>The new administration will need the approval of Congress to obtain the resources necessary to implement any engagement strategy</w:t>
      </w:r>
      <w:r>
        <w:t>, particularly when the incentives offered demand dollars for their realization. The need for congressional cooperation is par</w:t>
      </w:r>
      <w:r>
        <w:rPr>
          <w:rStyle w:val="StyleBoldUnderline"/>
        </w:rPr>
        <w:t>ticularly acute if engagement with Cuba</w:t>
      </w:r>
      <w:r>
        <w:t xml:space="preserve">, Iran, or Libya </w:t>
      </w:r>
      <w:r>
        <w:rPr>
          <w:rStyle w:val="StyleBoldUnderline"/>
        </w:rPr>
        <w:t>is to be sought</w:t>
      </w:r>
      <w:r>
        <w:t xml:space="preserve">. Currently, U.S. relations with all three countries are restricted not only by presidential executive orders, but also </w:t>
      </w:r>
      <w:r>
        <w:rPr>
          <w:rStyle w:val="StyleBoldUnderline"/>
        </w:rPr>
        <w:t>by various layers of congressionally mandated economic sanctions</w:t>
      </w:r>
      <w:r>
        <w:t xml:space="preserve">. In these cases, the path to less hostile relations </w:t>
      </w:r>
      <w:r>
        <w:rPr>
          <w:rStyle w:val="StyleBoldUnderline"/>
        </w:rPr>
        <w:t>cannot be cleared without the active support of Congress</w:t>
      </w:r>
      <w:r>
        <w:t>.</w:t>
      </w:r>
    </w:p>
    <w:p>
      <w:pPr>
        <w:pStyle w:val="Heading4"/>
      </w:pPr>
      <w:r>
        <w:rPr>
          <w:b w:val="0"/>
          <w:bCs w:val="0"/>
        </w:rPr>
        <w:t>Slim majorities means Congress will continue with status quo policies</w:t>
      </w:r>
    </w:p>
    <w:p>
      <w:r>
        <w:t xml:space="preserve">Meghan L. </w:t>
      </w:r>
      <w:r>
        <w:rPr>
          <w:rStyle w:val="StyleStyleBold12pt"/>
        </w:rPr>
        <w:t>O'Sullivan</w:t>
      </w:r>
      <w:r>
        <w:t>, Fellow at the Brookings Institute, Winter 200</w:t>
      </w:r>
      <w:r>
        <w:rPr>
          <w:rStyle w:val="StyleStyleBold12pt"/>
        </w:rPr>
        <w:t>1</w:t>
      </w:r>
      <w:r>
        <w:t xml:space="preserve">, “The Politics of Dismantling Containment,” The Washington Quarterly, </w:t>
      </w:r>
      <w:hyperlink r:id="rId15" w:history="1">
        <w:r>
          <w:rPr>
            <w:rStyle w:val="Hyperlink"/>
          </w:rPr>
          <w:t>http://www.brookings.edu/research/articles/2001/12/winter-sanctions-osullivan</w:t>
        </w:r>
      </w:hyperlink>
      <w:r>
        <w:t xml:space="preserve"> </w:t>
      </w:r>
    </w:p>
    <w:p>
      <w:pPr>
        <w:rPr>
          <w:rStyle w:val="StyleBoldUnderline"/>
        </w:rPr>
      </w:pPr>
      <w:r>
        <w:t xml:space="preserve">It is tempting to assert that the partisan breakdown of the new Congress is the most important factor shaping its attitude toward engagement. Yet, perhaps of greater significance are </w:t>
      </w:r>
      <w:r>
        <w:rPr>
          <w:rStyle w:val="StyleBoldUnderline"/>
        </w:rPr>
        <w:t>the slim majorities in the House of Representatives and Senate</w:t>
      </w:r>
      <w:r>
        <w:t xml:space="preserve">. These realities, maybe even more so than which party controls Congress, have repercussions for the conduct of U.S. foreign policy overall and the handling of relations with difficult countries by implication. In these circumstances, </w:t>
      </w:r>
      <w:r>
        <w:rPr>
          <w:rStyle w:val="StyleBoldUnderline"/>
        </w:rPr>
        <w:t>Congress is less likely to seize the initiative on sensitive foreign policy matters, preferring instead to react to crises as they arise</w:t>
      </w:r>
      <w:r>
        <w:t xml:space="preserve">. A recalcitrant regime that stays quiet can expect to be ignored. </w:t>
      </w:r>
      <w:r>
        <w:rPr>
          <w:rStyle w:val="StyleBoldUnderline"/>
        </w:rPr>
        <w:t>The attention it does receive from Congress is more likely to be in response to provocations and therefore negative</w:t>
      </w:r>
      <w:r>
        <w:t xml:space="preserve">. Moreover, where Congress does tackle sensitive foreign policy issues, both parties will have to work together to do more good than harm. In essence, </w:t>
      </w:r>
      <w:r>
        <w:rPr>
          <w:rStyle w:val="StyleBoldUnderline"/>
        </w:rPr>
        <w:t xml:space="preserve">the close partisan balance of the new Congress is a vote for the status quo </w:t>
      </w:r>
      <w:r>
        <w:t xml:space="preserve">toward these countries of concern: </w:t>
      </w:r>
      <w:r>
        <w:rPr>
          <w:rStyle w:val="StyleBoldUnderline"/>
        </w:rPr>
        <w:t>the maintenance of punitive policies, with some softening at the margins to allow for limited commercial contacts.</w:t>
      </w:r>
    </w:p>
    <w:p>
      <w:pPr>
        <w:pStyle w:val="Heading3"/>
      </w:pPr>
      <w:r>
        <w:rPr>
          <w:b w:val="0"/>
          <w:bCs w:val="0"/>
        </w:rPr>
        <w:lastRenderedPageBreak/>
        <w:t>Presidential Push Key</w:t>
      </w:r>
    </w:p>
    <w:p>
      <w:pPr>
        <w:pStyle w:val="Heading4"/>
        <w:rPr>
          <w:b w:val="0"/>
          <w:bCs w:val="0"/>
        </w:rPr>
      </w:pPr>
      <w:r>
        <w:rPr>
          <w:b w:val="0"/>
          <w:bCs w:val="0"/>
        </w:rPr>
        <w:t>Past failures with sanctions means Congress is willing to pursue engagement policies now – but presidential leadership is key to overcome slim majorities</w:t>
      </w:r>
    </w:p>
    <w:p>
      <w:r>
        <w:t xml:space="preserve">Meghan L. </w:t>
      </w:r>
      <w:r>
        <w:rPr>
          <w:rStyle w:val="StyleStyleBold12pt"/>
        </w:rPr>
        <w:t>O'Sullivan</w:t>
      </w:r>
      <w:r>
        <w:t>, Fellow at the Brookings Institute, Winter 200</w:t>
      </w:r>
      <w:r>
        <w:rPr>
          <w:rStyle w:val="StyleStyleBold12pt"/>
        </w:rPr>
        <w:t>1</w:t>
      </w:r>
      <w:r>
        <w:t xml:space="preserve">, “The Politics of Dismantling Containment,” The Washington Quarterly, </w:t>
      </w:r>
      <w:hyperlink r:id="rId16" w:history="1">
        <w:r>
          <w:rPr>
            <w:rStyle w:val="Hyperlink"/>
          </w:rPr>
          <w:t>http://www.brookings.edu/research/articles/2001/12/winter-sanctions-osullivan</w:t>
        </w:r>
      </w:hyperlink>
      <w:r>
        <w:t xml:space="preserve"> </w:t>
      </w:r>
    </w:p>
    <w:p>
      <w:pPr>
        <w:rPr>
          <w:b/>
          <w:bCs/>
          <w:u w:val="single"/>
        </w:rPr>
      </w:pPr>
      <w:r>
        <w:t xml:space="preserve">It would be inaccurate to claim that Congress has shed its impulse to reach for sanctions even when their chances of success are slim, or to allege that a broad congressional consensus exists over the effectiveness of sanctions or the procedures through which they should be imposed. Several developments do warrant optimism, however, when assessing the prospects for the adoption of more engagement-oriented approaches in the new Congress. </w:t>
      </w:r>
      <w:r>
        <w:rPr>
          <w:rStyle w:val="StyleBoldUnderline"/>
        </w:rPr>
        <w:t>The passage of PNTR for China, the movement in favor of greater contact with Cuba, and other similar votes suggest that Congress as a whole is becoming increasingly pro-trade, pro-economic engagement, and generally less interested in fettering trade with political considerations</w:t>
      </w:r>
      <w:r>
        <w:t xml:space="preserve">. Although not a prerequisite for engagement with these "states of concern," </w:t>
      </w:r>
      <w:r>
        <w:rPr>
          <w:rStyle w:val="StyleBoldUnderline"/>
        </w:rPr>
        <w:t>this predisposition would facilitate it</w:t>
      </w:r>
      <w:r>
        <w:t xml:space="preserve">. Moreover, </w:t>
      </w:r>
      <w:r>
        <w:rPr>
          <w:rStyle w:val="StyleBoldUnderline"/>
        </w:rPr>
        <w:t>the prominence of business and agricultural groups highlighting the costs of sanctions to U.S. commercial interests has won the sympathies of many representatives and has been the backbone of steady support for the sanctions reform proposed by</w:t>
      </w:r>
      <w:r>
        <w:t xml:space="preserve"> Senator Richard </w:t>
      </w:r>
      <w:r>
        <w:rPr>
          <w:rStyle w:val="StyleBoldUnderline"/>
        </w:rPr>
        <w:t>Lugar</w:t>
      </w:r>
      <w:r>
        <w:t xml:space="preserve"> (R-Ind.) and others. Finally, </w:t>
      </w:r>
      <w:r>
        <w:rPr>
          <w:rStyle w:val="StyleBoldUnderline"/>
        </w:rPr>
        <w:t>humanitarian concerns, as well as diplomatic tensions caused by secondary sanctions, have diminished congressional enthusiasm for the unbridled use of economic coercion to pursue foreign policy goals. This congressional atmosphere suggests that the commitment of the new president to reevaluate past U.S. policies of punishment will be decisive in shaping U.S. policy toward</w:t>
      </w:r>
      <w:r>
        <w:t xml:space="preserve"> North Korea, </w:t>
      </w:r>
      <w:r>
        <w:rPr>
          <w:rStyle w:val="StyleBoldUnderline"/>
        </w:rPr>
        <w:t>Cuba</w:t>
      </w:r>
      <w:r>
        <w:t xml:space="preserve">, Iran, and Iraq. If the president maintains a preference for the almost exclusive use of punitive tools despite their poor record in dealing with these countries, slim majorities in Congress and the reality that sanctions are a primary vehicle for congressional involvement in foreign policy will reinforce the status quo. </w:t>
      </w:r>
      <w:r>
        <w:rPr>
          <w:rStyle w:val="StyleBoldUnderline"/>
        </w:rPr>
        <w:t>If the new president is committed to exploring new approaches</w:t>
      </w:r>
      <w:r>
        <w:t xml:space="preserve"> that offer at least the possibility of achieving the same goals that have eluded punitive strategies, however, the </w:t>
      </w:r>
      <w:r>
        <w:rPr>
          <w:rStyle w:val="StyleBoldUnderline"/>
        </w:rPr>
        <w:t>recent changes on Capitol Hill in favor of engagement present him with a real opportunity to overhaul a critical component of U.S. foreign policy.</w:t>
      </w:r>
    </w:p>
    <w:p>
      <w:pPr>
        <w:pStyle w:val="Heading4"/>
        <w:rPr>
          <w:b w:val="0"/>
          <w:bCs w:val="0"/>
        </w:rPr>
      </w:pPr>
      <w:r>
        <w:rPr>
          <w:b w:val="0"/>
          <w:bCs w:val="0"/>
        </w:rPr>
        <w:t>Domestic support is key but strong presidential leadership catalyzes that support for engagement over sanctions</w:t>
      </w:r>
    </w:p>
    <w:p>
      <w:r>
        <w:t xml:space="preserve">Meghan L. </w:t>
      </w:r>
      <w:r>
        <w:rPr>
          <w:rStyle w:val="StyleStyleBold12pt"/>
        </w:rPr>
        <w:t>O'Sullivan</w:t>
      </w:r>
      <w:r>
        <w:t>, Fellow at the Brookings Institute, Winter 200</w:t>
      </w:r>
      <w:r>
        <w:rPr>
          <w:rStyle w:val="StyleStyleBold12pt"/>
        </w:rPr>
        <w:t>1</w:t>
      </w:r>
      <w:r>
        <w:t xml:space="preserve">, “The Politics of Dismantling Containment,” The Washington Quarterly, </w:t>
      </w:r>
      <w:hyperlink r:id="rId17" w:history="1">
        <w:r>
          <w:rPr>
            <w:rStyle w:val="Hyperlink"/>
          </w:rPr>
          <w:t>http://www.brookings.edu/research/articles/2001/12/winter-sanctions-osullivan</w:t>
        </w:r>
      </w:hyperlink>
      <w:r>
        <w:t xml:space="preserve"> </w:t>
      </w:r>
    </w:p>
    <w:p>
      <w:pPr>
        <w:rPr>
          <w:rStyle w:val="StyleBoldUnderline"/>
        </w:rPr>
      </w:pPr>
      <w:r>
        <w:t xml:space="preserve">Assessing prospects for engagement with countries such as Libya, North Korea, Cuba, Iran, and Iraq is not easy. </w:t>
      </w:r>
      <w:r>
        <w:rPr>
          <w:rStyle w:val="StyleBoldUnderline"/>
        </w:rPr>
        <w:t>A variety of factors play important roles in determining what policies the new administration pursues, including the support of domestic constituencies, presidential leadership, and the willingness of the country to be engaged</w:t>
      </w:r>
      <w:r>
        <w:t xml:space="preserve">. Moreover, </w:t>
      </w:r>
      <w:r>
        <w:rPr>
          <w:rStyle w:val="StyleBoldUnderline"/>
        </w:rPr>
        <w:t>each of these elements can</w:t>
      </w:r>
      <w:r>
        <w:t xml:space="preserve">, almost </w:t>
      </w:r>
      <w:r>
        <w:rPr>
          <w:rStyle w:val="StyleBoldUnderline"/>
        </w:rPr>
        <w:t>unilaterally, inhibit progress or even terminate an engagement strategy</w:t>
      </w:r>
      <w:r>
        <w:t xml:space="preserve">. Despite this, overall prospects for engaging these countries are arguably greater than they have been at any time in the Clinton administration. Given this reality, and the opportunities presented by a confluence of factors both within these countries and in the U.S. domestic political scene, </w:t>
      </w:r>
      <w:r>
        <w:rPr>
          <w:rStyle w:val="StyleBoldUnderline"/>
        </w:rPr>
        <w:t>a new U.S. president willing to rethink U.S. policy toward this disparate group of countries could begin his time in office by taking a number of steps.</w:t>
      </w:r>
    </w:p>
    <w:p>
      <w:pPr>
        <w:pStyle w:val="Heading4"/>
      </w:pPr>
      <w:r>
        <w:rPr>
          <w:b w:val="0"/>
          <w:bCs w:val="0"/>
        </w:rPr>
        <w:lastRenderedPageBreak/>
        <w:t>Presidential leadership is key to change Congressional and public attitudes</w:t>
      </w:r>
    </w:p>
    <w:p>
      <w:r>
        <w:t xml:space="preserve">Meghan L. </w:t>
      </w:r>
      <w:r>
        <w:rPr>
          <w:rStyle w:val="StyleStyleBold12pt"/>
        </w:rPr>
        <w:t>O'Sullivan</w:t>
      </w:r>
      <w:r>
        <w:t>, Fellow at the Brookings Institute, Winter 200</w:t>
      </w:r>
      <w:r>
        <w:rPr>
          <w:rStyle w:val="StyleStyleBold12pt"/>
        </w:rPr>
        <w:t>1</w:t>
      </w:r>
      <w:r>
        <w:t xml:space="preserve">, “The Politics of Dismantling Containment,” The Washington Quarterly, </w:t>
      </w:r>
      <w:hyperlink r:id="rId18" w:history="1">
        <w:r>
          <w:rPr>
            <w:rStyle w:val="Hyperlink"/>
          </w:rPr>
          <w:t>http://www.brookings.edu/research/articles/2001/12/winter-sanctions-osullivan</w:t>
        </w:r>
      </w:hyperlink>
      <w:r>
        <w:t xml:space="preserve"> </w:t>
      </w:r>
    </w:p>
    <w:p>
      <w:pPr>
        <w:rPr>
          <w:b/>
          <w:bCs/>
          <w:u w:val="single"/>
        </w:rPr>
      </w:pPr>
      <w:r>
        <w:t xml:space="preserve">In addition to these specific efforts, </w:t>
      </w:r>
      <w:r>
        <w:rPr>
          <w:rStyle w:val="StyleBoldUnderline"/>
        </w:rPr>
        <w:t>the new administration could strengthen the general trend toward engagement in a number of ways.</w:t>
      </w:r>
      <w:r>
        <w:t xml:space="preserve"> To begin with, because sanctions and the ability to lift them when appropriate are critical to engagement, </w:t>
      </w:r>
      <w:r>
        <w:rPr>
          <w:rStyle w:val="StyleBoldUnderline"/>
        </w:rPr>
        <w:t>the new president should support some variation of the sanctions reform legislation</w:t>
      </w:r>
      <w:r>
        <w:t xml:space="preserve"> that has been percolating in Congress for the past two years. Geared to </w:t>
      </w:r>
      <w:r>
        <w:rPr>
          <w:rStyle w:val="StyleBoldUnderline"/>
        </w:rPr>
        <w:t xml:space="preserve">make the process of imposing sanctions more deliberative, the president should assist members of Congress in formulating a draft </w:t>
      </w:r>
      <w:r>
        <w:t xml:space="preserve">on which both branches of government can agree. In addition, the </w:t>
      </w:r>
      <w:r>
        <w:rPr>
          <w:rStyle w:val="StyleBoldUnderline"/>
        </w:rPr>
        <w:t xml:space="preserve">new administration must commit to, and invest in, convincing Congress and Americans overall of the importance of foreign aid </w:t>
      </w:r>
      <w:r>
        <w:t xml:space="preserve">in general </w:t>
      </w:r>
      <w:r>
        <w:rPr>
          <w:rStyle w:val="StyleBoldUnderline"/>
        </w:rPr>
        <w:t>and its strategic uses</w:t>
      </w:r>
      <w:r>
        <w:t xml:space="preserve"> in particular. Although the incentives offered in </w:t>
      </w:r>
      <w:r>
        <w:rPr>
          <w:rStyle w:val="StyleBoldUnderline"/>
        </w:rPr>
        <w:t>engagement strategies</w:t>
      </w:r>
      <w:r>
        <w:t xml:space="preserve"> rarely require huge sums of foreign aid, engagement efforts that do require monetary resources such as the recent ones with North Korea </w:t>
      </w:r>
      <w:r>
        <w:rPr>
          <w:rStyle w:val="StyleBoldUnderline"/>
        </w:rPr>
        <w:t>are damaged by the general misperception that the United States already lavishes large amounts of money on problems overseas. Working with Congress to pass a Foreign Assistance Authorization bill, the</w:t>
      </w:r>
      <w:r>
        <w:t xml:space="preserve"> first since 1985, </w:t>
      </w:r>
      <w:r>
        <w:rPr>
          <w:rStyle w:val="StyleBoldUnderline"/>
        </w:rPr>
        <w:t>could provide policymakers with one important opportunity to make the case for the importance of foreign aid.</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Pr>
      <w:rFonts w:ascii="Calibri" w:eastAsiaTheme="majorEastAsia" w:hAnsi="Calibri" w:cstheme="majorBidi"/>
      <w:b/>
      <w:bCs/>
      <w:iCs/>
      <w:sz w:val="26"/>
    </w:rPr>
  </w:style>
  <w:style w:type="character" w:styleId="Emphasis">
    <w:name w:val="Emphasis"/>
    <w:basedOn w:val="DefaultParagraphFont"/>
    <w:uiPriority w:val="7"/>
    <w:qFormat/>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Pr>
      <w:b/>
      <w:bCs/>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Heading 3 Char1 Char Char Char,ci,c"/>
    <w:basedOn w:val="DefaultParagraphFont"/>
    <w:uiPriority w:val="6"/>
    <w:qFormat/>
    <w:rPr>
      <w:b/>
      <w:bCs/>
      <w:sz w:val="22"/>
      <w:u w:val="single"/>
    </w:rPr>
  </w:style>
  <w:style w:type="character" w:customStyle="1" w:styleId="StyleStyleBold12pt">
    <w:name w:val="Style Style Bold + 12 pt"/>
    <w:aliases w:val="Cite,Style Style Bold,Style Style Bold + 12pt"/>
    <w:basedOn w:val="StyleBold"/>
    <w:uiPriority w:val="5"/>
    <w:qFormat/>
    <w:rPr>
      <w:b/>
      <w:bCs/>
      <w:sz w:val="26"/>
      <w:u w:val="none"/>
    </w:rPr>
  </w:style>
  <w:style w:type="paragraph" w:styleId="Header">
    <w:name w:val="header"/>
    <w:basedOn w:val="Normal"/>
    <w:link w:val="HeaderChar"/>
    <w:uiPriority w:val="99"/>
    <w:semiHidden/>
    <w:pPr>
      <w:tabs>
        <w:tab w:val="center" w:pos="4680"/>
        <w:tab w:val="right" w:pos="9360"/>
      </w:tabs>
    </w:pPr>
  </w:style>
  <w:style w:type="character" w:customStyle="1" w:styleId="HeaderChar">
    <w:name w:val="Header Char"/>
    <w:basedOn w:val="DefaultParagraphFont"/>
    <w:link w:val="Header"/>
    <w:uiPriority w:val="99"/>
    <w:semiHidden/>
    <w:rPr>
      <w:rFonts w:ascii="Calibri" w:hAnsi="Calibri" w:cs="Calibri"/>
    </w:rPr>
  </w:style>
  <w:style w:type="paragraph" w:styleId="Footer">
    <w:name w:val="footer"/>
    <w:basedOn w:val="Normal"/>
    <w:link w:val="FooterChar"/>
    <w:uiPriority w:val="99"/>
    <w:semiHidden/>
    <w:pPr>
      <w:tabs>
        <w:tab w:val="center" w:pos="4680"/>
        <w:tab w:val="right" w:pos="9360"/>
      </w:tabs>
    </w:pPr>
  </w:style>
  <w:style w:type="character" w:customStyle="1" w:styleId="FooterChar">
    <w:name w:val="Footer Char"/>
    <w:basedOn w:val="DefaultParagraphFont"/>
    <w:link w:val="Footer"/>
    <w:uiPriority w:val="99"/>
    <w:semiHidden/>
    <w:rPr>
      <w:rFonts w:ascii="Calibri" w:hAnsi="Calibri" w:cs="Calibri"/>
    </w:rPr>
  </w:style>
  <w:style w:type="character" w:styleId="Hyperlink">
    <w:name w:val="Hyperlink"/>
    <w:basedOn w:val="DefaultParagraphFont"/>
    <w:uiPriority w:val="99"/>
    <w:semiHidden/>
    <w:rPr>
      <w:color w:val="auto"/>
      <w:u w:val="none"/>
    </w:rPr>
  </w:style>
  <w:style w:type="character" w:styleId="FollowedHyperlink">
    <w:name w:val="FollowedHyperlink"/>
    <w:basedOn w:val="DefaultParagraphFont"/>
    <w:uiPriority w:val="99"/>
    <w:semiHidden/>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Pr>
      <w:rFonts w:ascii="Calibri" w:eastAsiaTheme="majorEastAsia" w:hAnsi="Calibri" w:cstheme="majorBidi"/>
      <w:b/>
      <w:bCs/>
      <w:iCs/>
      <w:sz w:val="26"/>
    </w:rPr>
  </w:style>
  <w:style w:type="character" w:styleId="Emphasis">
    <w:name w:val="Emphasis"/>
    <w:basedOn w:val="DefaultParagraphFont"/>
    <w:uiPriority w:val="7"/>
    <w:qFormat/>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Pr>
      <w:b/>
      <w:bCs/>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Heading 3 Char1 Char Char Char,ci,c"/>
    <w:basedOn w:val="DefaultParagraphFont"/>
    <w:uiPriority w:val="6"/>
    <w:qFormat/>
    <w:rPr>
      <w:b/>
      <w:bCs/>
      <w:sz w:val="22"/>
      <w:u w:val="single"/>
    </w:rPr>
  </w:style>
  <w:style w:type="character" w:customStyle="1" w:styleId="StyleStyleBold12pt">
    <w:name w:val="Style Style Bold + 12 pt"/>
    <w:aliases w:val="Cite,Style Style Bold,Style Style Bold + 12pt"/>
    <w:basedOn w:val="StyleBold"/>
    <w:uiPriority w:val="5"/>
    <w:qFormat/>
    <w:rPr>
      <w:b/>
      <w:bCs/>
      <w:sz w:val="26"/>
      <w:u w:val="none"/>
    </w:rPr>
  </w:style>
  <w:style w:type="paragraph" w:styleId="Header">
    <w:name w:val="header"/>
    <w:basedOn w:val="Normal"/>
    <w:link w:val="HeaderChar"/>
    <w:uiPriority w:val="99"/>
    <w:semiHidden/>
    <w:pPr>
      <w:tabs>
        <w:tab w:val="center" w:pos="4680"/>
        <w:tab w:val="right" w:pos="9360"/>
      </w:tabs>
    </w:pPr>
  </w:style>
  <w:style w:type="character" w:customStyle="1" w:styleId="HeaderChar">
    <w:name w:val="Header Char"/>
    <w:basedOn w:val="DefaultParagraphFont"/>
    <w:link w:val="Header"/>
    <w:uiPriority w:val="99"/>
    <w:semiHidden/>
    <w:rPr>
      <w:rFonts w:ascii="Calibri" w:hAnsi="Calibri" w:cs="Calibri"/>
    </w:rPr>
  </w:style>
  <w:style w:type="paragraph" w:styleId="Footer">
    <w:name w:val="footer"/>
    <w:basedOn w:val="Normal"/>
    <w:link w:val="FooterChar"/>
    <w:uiPriority w:val="99"/>
    <w:semiHidden/>
    <w:pPr>
      <w:tabs>
        <w:tab w:val="center" w:pos="4680"/>
        <w:tab w:val="right" w:pos="9360"/>
      </w:tabs>
    </w:pPr>
  </w:style>
  <w:style w:type="character" w:customStyle="1" w:styleId="FooterChar">
    <w:name w:val="Footer Char"/>
    <w:basedOn w:val="DefaultParagraphFont"/>
    <w:link w:val="Footer"/>
    <w:uiPriority w:val="99"/>
    <w:semiHidden/>
    <w:rPr>
      <w:rFonts w:ascii="Calibri" w:hAnsi="Calibri" w:cs="Calibri"/>
    </w:rPr>
  </w:style>
  <w:style w:type="character" w:styleId="Hyperlink">
    <w:name w:val="Hyperlink"/>
    <w:basedOn w:val="DefaultParagraphFont"/>
    <w:uiPriority w:val="99"/>
    <w:semiHidden/>
    <w:rPr>
      <w:color w:val="auto"/>
      <w:u w:val="none"/>
    </w:rPr>
  </w:style>
  <w:style w:type="character" w:styleId="FollowedHyperlink">
    <w:name w:val="FollowedHyperlink"/>
    <w:basedOn w:val="DefaultParagraphFont"/>
    <w:uiPriority w:val="99"/>
    <w:semiHidden/>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1309787">
      <w:bodyDiv w:val="1"/>
      <w:marLeft w:val="0"/>
      <w:marRight w:val="0"/>
      <w:marTop w:val="0"/>
      <w:marBottom w:val="0"/>
      <w:divBdr>
        <w:top w:val="none" w:sz="0" w:space="0" w:color="auto"/>
        <w:left w:val="none" w:sz="0" w:space="0" w:color="auto"/>
        <w:bottom w:val="none" w:sz="0" w:space="0" w:color="auto"/>
        <w:right w:val="none" w:sz="0" w:space="0" w:color="auto"/>
      </w:divBdr>
    </w:div>
    <w:div w:id="919557862">
      <w:bodyDiv w:val="1"/>
      <w:marLeft w:val="0"/>
      <w:marRight w:val="0"/>
      <w:marTop w:val="0"/>
      <w:marBottom w:val="0"/>
      <w:divBdr>
        <w:top w:val="none" w:sz="0" w:space="0" w:color="auto"/>
        <w:left w:val="none" w:sz="0" w:space="0" w:color="auto"/>
        <w:bottom w:val="none" w:sz="0" w:space="0" w:color="auto"/>
        <w:right w:val="none" w:sz="0" w:space="0" w:color="auto"/>
      </w:divBdr>
    </w:div>
    <w:div w:id="1011880967">
      <w:bodyDiv w:val="1"/>
      <w:marLeft w:val="0"/>
      <w:marRight w:val="0"/>
      <w:marTop w:val="0"/>
      <w:marBottom w:val="0"/>
      <w:divBdr>
        <w:top w:val="none" w:sz="0" w:space="0" w:color="auto"/>
        <w:left w:val="none" w:sz="0" w:space="0" w:color="auto"/>
        <w:bottom w:val="none" w:sz="0" w:space="0" w:color="auto"/>
        <w:right w:val="none" w:sz="0" w:space="0" w:color="auto"/>
      </w:divBdr>
    </w:div>
    <w:div w:id="1025593132">
      <w:bodyDiv w:val="1"/>
      <w:marLeft w:val="0"/>
      <w:marRight w:val="0"/>
      <w:marTop w:val="0"/>
      <w:marBottom w:val="0"/>
      <w:divBdr>
        <w:top w:val="none" w:sz="0" w:space="0" w:color="auto"/>
        <w:left w:val="none" w:sz="0" w:space="0" w:color="auto"/>
        <w:bottom w:val="none" w:sz="0" w:space="0" w:color="auto"/>
        <w:right w:val="none" w:sz="0" w:space="0" w:color="auto"/>
      </w:divBdr>
    </w:div>
    <w:div w:id="1718161901">
      <w:bodyDiv w:val="1"/>
      <w:marLeft w:val="0"/>
      <w:marRight w:val="0"/>
      <w:marTop w:val="0"/>
      <w:marBottom w:val="0"/>
      <w:divBdr>
        <w:top w:val="none" w:sz="0" w:space="0" w:color="auto"/>
        <w:left w:val="none" w:sz="0" w:space="0" w:color="auto"/>
        <w:bottom w:val="none" w:sz="0" w:space="0" w:color="auto"/>
        <w:right w:val="none" w:sz="0" w:space="0" w:color="auto"/>
      </w:divBdr>
    </w:div>
    <w:div w:id="1769615276">
      <w:bodyDiv w:val="1"/>
      <w:marLeft w:val="0"/>
      <w:marRight w:val="0"/>
      <w:marTop w:val="0"/>
      <w:marBottom w:val="0"/>
      <w:divBdr>
        <w:top w:val="none" w:sz="0" w:space="0" w:color="auto"/>
        <w:left w:val="none" w:sz="0" w:space="0" w:color="auto"/>
        <w:bottom w:val="none" w:sz="0" w:space="0" w:color="auto"/>
        <w:right w:val="none" w:sz="0" w:space="0" w:color="auto"/>
      </w:divBdr>
    </w:div>
    <w:div w:id="2086489514">
      <w:bodyDiv w:val="1"/>
      <w:marLeft w:val="0"/>
      <w:marRight w:val="0"/>
      <w:marTop w:val="0"/>
      <w:marBottom w:val="0"/>
      <w:divBdr>
        <w:top w:val="none" w:sz="0" w:space="0" w:color="auto"/>
        <w:left w:val="none" w:sz="0" w:space="0" w:color="auto"/>
        <w:bottom w:val="none" w:sz="0" w:space="0" w:color="auto"/>
        <w:right w:val="none" w:sz="0" w:space="0" w:color="auto"/>
      </w:divBdr>
    </w:div>
    <w:div w:id="211289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devnet.wordpress.com/2010/06/28/the-place-of-science-in-diplomacy-%E2%80%9Con-tap-but-not-on-top%E2%80%9D/" TargetMode="External"/><Relationship Id="rId13" Type="http://schemas.openxmlformats.org/officeDocument/2006/relationships/hyperlink" Target="http://www.brookings.edu/research/articles/2001/12/winter-sanctions-osullivan" TargetMode="External"/><Relationship Id="rId18" Type="http://schemas.openxmlformats.org/officeDocument/2006/relationships/hyperlink" Target="http://www.brookings.edu/research/articles/2001/12/winter-sanctions-osullivan" TargetMode="External"/><Relationship Id="rId3" Type="http://schemas.openxmlformats.org/officeDocument/2006/relationships/settings" Target="settings.xml"/><Relationship Id="rId7" Type="http://schemas.openxmlformats.org/officeDocument/2006/relationships/hyperlink" Target="http://www.scidev.net/global/capacity-building/editorial-blog/the-limits-of-science-diplomacy.html" TargetMode="External"/><Relationship Id="rId12" Type="http://schemas.openxmlformats.org/officeDocument/2006/relationships/hyperlink" Target="http://www.brookings.edu/research/articles/2001/12/winter-sanctions-osullivan" TargetMode="External"/><Relationship Id="rId17" Type="http://schemas.openxmlformats.org/officeDocument/2006/relationships/hyperlink" Target="http://www.brookings.edu/research/articles/2001/12/winter-sanctions-osullivan" TargetMode="External"/><Relationship Id="rId2" Type="http://schemas.microsoft.com/office/2007/relationships/stylesWithEffects" Target="stylesWithEffects.xml"/><Relationship Id="rId16" Type="http://schemas.openxmlformats.org/officeDocument/2006/relationships/hyperlink" Target="http://www.brookings.edu/research/articles/2001/12/winter-sanctions-osullivan"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idevnet.wordpress.com/category/new-frontiers-in-science-diplomacy-2009/" TargetMode="External"/><Relationship Id="rId11" Type="http://schemas.openxmlformats.org/officeDocument/2006/relationships/hyperlink" Target="file:///C:\Users\Bing\Dropbox\School%20Work\Debate\Latin%20America:%20Coming%20of%20Age," TargetMode="External"/><Relationship Id="rId5" Type="http://schemas.openxmlformats.org/officeDocument/2006/relationships/hyperlink" Target="http://www.scidev.net/global/education/opinion/science-diplomacy-should-focus-on-people.html" TargetMode="External"/><Relationship Id="rId15" Type="http://schemas.openxmlformats.org/officeDocument/2006/relationships/hyperlink" Target="http://www.brookings.edu/research/articles/2001/12/winter-sanctions-osullivan" TargetMode="External"/><Relationship Id="rId10" Type="http://schemas.openxmlformats.org/officeDocument/2006/relationships/hyperlink" Target="file:///C:\Users\Bing\Dropbox\School%20Work\Debate\Latin%20America:%20Coming%20of%20Ag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grist.org/article/science-diplomacy-an-expectations-game/" TargetMode="External"/><Relationship Id="rId14" Type="http://schemas.openxmlformats.org/officeDocument/2006/relationships/hyperlink" Target="http://www.brookings.edu/research/articles/2001/12/winter-sanctions-osulliv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363</TotalTime>
  <Pages>1</Pages>
  <Words>8258</Words>
  <Characters>47073</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Westwood Debate</Company>
  <LinksUpToDate>false</LinksUpToDate>
  <CharactersWithSpaces>55221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Bing</dc:creator>
  <cp:lastModifiedBy>Bing</cp:lastModifiedBy>
  <cp:revision>22</cp:revision>
  <dcterms:created xsi:type="dcterms:W3CDTF">2013-07-19T23:14:00Z</dcterms:created>
  <dcterms:modified xsi:type="dcterms:W3CDTF">2013-08-02T00:23:00Z</dcterms:modified>
</cp:coreProperties>
</file>