
<file path=[Content_Types].xml><?xml version="1.0" encoding="utf-8"?>
<Types xmlns="http://schemas.openxmlformats.org/package/2006/content-types">
  <Default Extension="xml" ContentType="application/xml"/>
  <Default Extension="rels" ContentType="application/vnd.openxmlformats-package.relationships+xml"/>
  <Default Extension="jpeg" ContentType="image/jpeg"/>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14:paraId="2AF5D6F6" w14:textId="3444567D" w:rsidR="00762681" w:rsidRPr="00762681" w:rsidRDefault="00762681" w:rsidP="00762681">
      <w:pPr>
        <w:pStyle w:val="Heading3"/>
      </w:pPr>
      <w:r>
        <w:t>AFF—A2 Framework</w:t>
      </w:r>
    </w:p>
    <w:p w14:paraId="20C6C9DC" w14:textId="77777777" w:rsidR="00B10D3E" w:rsidRDefault="00B10D3E" w:rsidP="00B10D3E">
      <w:pPr>
        <w:pStyle w:val="Heading4"/>
      </w:pPr>
      <w:r>
        <w:t>Their framework argument is conceptually flawed—our AFF challenges traditional democratic assumptions that deny agency. Our AFF is not a retreat from the political—it IS the political. This is a perquisite to their policymaking impacts.</w:t>
      </w:r>
    </w:p>
    <w:p w14:paraId="053AB1C0" w14:textId="77777777" w:rsidR="00B10D3E" w:rsidRPr="00B10D3E" w:rsidRDefault="00B10D3E" w:rsidP="00B10D3E">
      <w:pPr>
        <w:rPr>
          <w:rStyle w:val="StyleStyleBold12pt"/>
        </w:rPr>
      </w:pPr>
      <w:r w:rsidRPr="00B10D3E">
        <w:rPr>
          <w:rStyle w:val="StyleStyleBold12pt"/>
        </w:rPr>
        <w:t>Motta, 2009</w:t>
      </w:r>
    </w:p>
    <w:p w14:paraId="37C1C866" w14:textId="0BAB71F4" w:rsidR="00B10D3E" w:rsidRDefault="00B10D3E" w:rsidP="00B10D3E">
      <w:r>
        <w:t xml:space="preserve">Sara C. Motta, </w:t>
      </w:r>
      <w:r w:rsidRPr="00B10D3E">
        <w:t>Lecturer in Latin American and Comparative Politics at the School of Politics and International Relations, University of Nottingham</w:t>
      </w:r>
      <w:r>
        <w:t>, Latin American Politics and Society, “Old Tools and New Movements in Latin America: Political Science as Gatekeeper or Intellectual Illuminator?” Volume 5</w:t>
      </w:r>
      <w:r w:rsidR="00762681">
        <w:t xml:space="preserve">1, Issue 1, pages 31–56, </w:t>
      </w:r>
      <w:proofErr w:type="gramStart"/>
      <w:r w:rsidR="00762681">
        <w:t>Spring</w:t>
      </w:r>
      <w:proofErr w:type="gramEnd"/>
      <w:r w:rsidR="00762681">
        <w:t xml:space="preserve">, </w:t>
      </w:r>
      <w:proofErr w:type="spellStart"/>
      <w:r w:rsidR="00762681">
        <w:t>EBSCO</w:t>
      </w:r>
      <w:proofErr w:type="spellEnd"/>
      <w:r w:rsidR="00762681">
        <w:t xml:space="preserve"> Host</w:t>
      </w:r>
    </w:p>
    <w:p w14:paraId="3192013E" w14:textId="4B3F5277" w:rsidR="001763CA" w:rsidRDefault="00B10D3E" w:rsidP="00762681">
      <w:pPr>
        <w:pStyle w:val="card"/>
      </w:pPr>
      <w:r w:rsidRPr="00B10D3E">
        <w:rPr>
          <w:rStyle w:val="StyleBoldUnderline"/>
        </w:rPr>
        <w:t xml:space="preserve">In many social movements in Latin America, the procedures and practices of the political process are </w:t>
      </w:r>
      <w:r>
        <w:rPr>
          <w:rStyle w:val="StyleBoldUnderline"/>
        </w:rPr>
        <w:t>being developed by organized poo</w:t>
      </w:r>
      <w:r w:rsidRPr="00B10D3E">
        <w:rPr>
          <w:rStyle w:val="StyleBoldUnderline"/>
        </w:rPr>
        <w:t>r communities in ways that emphasize direct</w:t>
      </w:r>
      <w:r>
        <w:t xml:space="preserve"> as opposed to representative </w:t>
      </w:r>
      <w:r w:rsidRPr="00B10D3E">
        <w:rPr>
          <w:rStyle w:val="StyleBoldUnderline"/>
        </w:rPr>
        <w:t xml:space="preserve">democracy, and territorialized forms of </w:t>
      </w:r>
      <w:proofErr w:type="spellStart"/>
      <w:r w:rsidRPr="00B10D3E">
        <w:rPr>
          <w:rStyle w:val="StyleBoldUnderline"/>
        </w:rPr>
        <w:t>institutionality</w:t>
      </w:r>
      <w:proofErr w:type="spellEnd"/>
      <w:r w:rsidRPr="00B10D3E">
        <w:rPr>
          <w:rStyle w:val="StyleBoldUnderline"/>
        </w:rPr>
        <w:t xml:space="preserve"> in which new</w:t>
      </w:r>
      <w:r>
        <w:t xml:space="preserve"> cultures, logics, and </w:t>
      </w:r>
      <w:r w:rsidRPr="00B10D3E">
        <w:rPr>
          <w:rStyle w:val="StyleBoldUnderline"/>
        </w:rPr>
        <w:t xml:space="preserve">grammars of democratic </w:t>
      </w:r>
      <w:proofErr w:type="spellStart"/>
      <w:r w:rsidRPr="00B10D3E">
        <w:rPr>
          <w:rStyle w:val="StyleBoldUnderline"/>
        </w:rPr>
        <w:t>institutionality</w:t>
      </w:r>
      <w:proofErr w:type="spellEnd"/>
      <w:r w:rsidRPr="00B10D3E">
        <w:rPr>
          <w:rStyle w:val="StyleBoldUnderline"/>
        </w:rPr>
        <w:t xml:space="preserve"> are developed</w:t>
      </w:r>
      <w:r>
        <w:t xml:space="preserve">. The ways that power is being institutionalized and exercised stem from a clear rejection of the idea that representative democracy, a politics of representation, and the taking or reforming of the capitalist state are the only or best ways of organizing politics and democracy. </w:t>
      </w:r>
      <w:r w:rsidRPr="00B10D3E">
        <w:rPr>
          <w:rStyle w:val="StyleBoldUnderline"/>
        </w:rPr>
        <w:t>This view</w:t>
      </w:r>
      <w:r>
        <w:t xml:space="preserve"> involves a rejection of the neutrality and importance of a bureaucratic and political elite to which power is delegated after the mass populace exercises its political right of voting. It also </w:t>
      </w:r>
      <w:r w:rsidRPr="00B10D3E">
        <w:rPr>
          <w:rStyle w:val="StyleBoldUnderline"/>
        </w:rPr>
        <w:t xml:space="preserve">clearly develops praxis beyond the </w:t>
      </w:r>
      <w:proofErr w:type="spellStart"/>
      <w:r w:rsidRPr="00B10D3E">
        <w:rPr>
          <w:rStyle w:val="StyleBoldUnderline"/>
        </w:rPr>
        <w:t>fetishization</w:t>
      </w:r>
      <w:proofErr w:type="spellEnd"/>
      <w:r w:rsidRPr="00B10D3E">
        <w:rPr>
          <w:rStyle w:val="StyleBoldUnderline"/>
        </w:rPr>
        <w:t xml:space="preserve"> of a vanguard that holds "the" truth that enables the people to become political actors</w:t>
      </w:r>
      <w:r>
        <w:t xml:space="preserve">. Instead, populations are demanding their right to determine how democracy is practiced, the </w:t>
      </w:r>
      <w:proofErr w:type="gramStart"/>
      <w:r>
        <w:t>objective's</w:t>
      </w:r>
      <w:proofErr w:type="gramEnd"/>
      <w:r>
        <w:t xml:space="preserve"> of democracy, and the means of reaching those objectives. This belief and practice of governing from, by, and for communities is paralleled by a clear rejection of the historical and dominant practices of progressive politics of the social democratic or orthodox Marxist kind, in which there are those who govern and those who are governed, those who issue laws and those who obey laws, those who have knowledge and those who lack knowledge. This difference makes the political process unpredictable, creative, passionate, and contradictory. It is a "democracy of the streets," in which there is a constant process of rethinking politics, power, society, and self. It involves a process (often contradictory) of forging new values, cultures, subjectivities, and practices of governance. As Roland Denis argues, "it is founded in everyday life in the formation of true communities of life, that are nothing other than communities of dignity, of self-government, of welfare, of equality, of affection, of production and freedom" (2006, 29), The popular reinvention of politics that is occurring in such communities is based on a multitude of experiences of struggle, history, and construction. Embedded in this process, the traditional social division of work between thinkers and doers is challenged by movements' attempts to defend and create a process of collective knowledge production based in the practical struggle of the populace. </w:t>
      </w:r>
      <w:r w:rsidRPr="00B10D3E">
        <w:rPr>
          <w:rStyle w:val="StyleBoldUnderline"/>
        </w:rPr>
        <w:t>If</w:t>
      </w:r>
      <w:r>
        <w:t xml:space="preserve">, however, </w:t>
      </w:r>
      <w:r w:rsidRPr="00B10D3E">
        <w:rPr>
          <w:rStyle w:val="StyleBoldUnderline"/>
        </w:rPr>
        <w:t>we limit the conceptual lens through which we analyze such movements to social democratic</w:t>
      </w:r>
      <w:r>
        <w:t xml:space="preserve"> or orthodox Marxist </w:t>
      </w:r>
      <w:r w:rsidRPr="00B10D3E">
        <w:rPr>
          <w:rStyle w:val="StyleBoldUnderline"/>
        </w:rPr>
        <w:t>assumptions regarding</w:t>
      </w:r>
      <w:r>
        <w:t xml:space="preserve"> the nature of structures, </w:t>
      </w:r>
      <w:r w:rsidRPr="00B10D3E">
        <w:rPr>
          <w:rStyle w:val="StyleBoldUnderline"/>
        </w:rPr>
        <w:t>social and political transformation</w:t>
      </w:r>
      <w:r>
        <w:t xml:space="preserve">, and the agents of such change, </w:t>
      </w:r>
      <w:r w:rsidRPr="00B10D3E">
        <w:rPr>
          <w:rStyle w:val="StyleBoldUnderline"/>
        </w:rPr>
        <w:t>we run the risk of misinterpreting their nature. These assumptions reify current structures as the limit of political possibility, dehumanize social reproduction, and embed a conceptual elitism that disqualifies "the people" as legitimate political actors. If we instead focus on a conceptualization of the political that theorizes the everyday, subjectivities, and social relations as sites of political change, then our analysis of a movement's practice, projects, and imaginaries will reveal a contradictory site of social change, a place of political fullness, as opposed to political marginality. A movement's attempts to develop autonomous, self-governing communities therefore are not a retreat from the political</w:t>
      </w:r>
      <w:r>
        <w:t xml:space="preserve"> in its rejection of the political party form, the state form, and the politics of representation. </w:t>
      </w:r>
      <w:r w:rsidRPr="00B10D3E">
        <w:rPr>
          <w:rStyle w:val="StyleBoldUnderline"/>
        </w:rPr>
        <w:t>Instead, they are attempts to reinvent the meaning of political struggle and social change</w:t>
      </w:r>
      <w:r>
        <w:t xml:space="preserve"> based on popular rationality, struggle, and experience. </w:t>
      </w:r>
      <w:r w:rsidRPr="00B10D3E">
        <w:rPr>
          <w:rStyle w:val="StyleBoldUnderline"/>
        </w:rPr>
        <w:t>The politicization of place, social relations, and subjectivities</w:t>
      </w:r>
      <w:r>
        <w:t xml:space="preserve"> that these attempts involve is not the localization and, therefore, continued impotence of their political struggle. Instead, it </w:t>
      </w:r>
      <w:r w:rsidRPr="00B10D3E">
        <w:rPr>
          <w:rStyle w:val="StyleBoldUnderline"/>
        </w:rPr>
        <w:t xml:space="preserve">constitutes a creative negation of the forms of social life that have been the communities' experience of capitalism and an attempt to build something beyond and against such an organization of social relations. To capture these experiences of subaltern resistance, we need to develop categories of analysis that conceptualize everyday experience, social relations, and subjectivities as sites of the reproduction of domination but also potential sites for the transformation of human praxis into a new organization of social relations. This involves transcending conceptualizations of the subaltern as merely a </w:t>
      </w:r>
      <w:r w:rsidRPr="00B10D3E">
        <w:rPr>
          <w:rStyle w:val="StyleBoldUnderline"/>
        </w:rPr>
        <w:lastRenderedPageBreak/>
        <w:t>passive victim of domination and exclusion and redirecting our theoretical focus toward the subaltern's actual activity. This reorientation should be premised neither on a romantic notion of the everyday as an autonomous place "free" from relations of domination nor on a pessimistic analysis that theorizes territorialized resistance as equivalent to particular, localized marginality</w:t>
      </w:r>
      <w:r>
        <w:t xml:space="preserve">. This prospect has implications for the epistemological assumptions with which we work and the methodologies of engagement we develop in our research with organized subaltern communities. Knowledge production is not the academy's privileged domain; theory can be produced in dialogue between researcher and movement and by movements with or without academics. This theory is movement-relevant. Consequently, the dialogical relationship developed is based on the creation of democratic research methods. </w:t>
      </w:r>
    </w:p>
    <w:p w14:paraId="4946809D" w14:textId="77777777" w:rsidR="001763CA" w:rsidRDefault="00053B5A" w:rsidP="00053B5A">
      <w:pPr>
        <w:pStyle w:val="Heading4"/>
      </w:pPr>
      <w:r>
        <w:t>Their framework argument presupposes an outdated theoretical understanding of the state—engagement with Latin America must embrace a new paradigm that expands what counts as the public and the state.</w:t>
      </w:r>
    </w:p>
    <w:p w14:paraId="0A820576" w14:textId="72BB2E84" w:rsidR="00762681" w:rsidRPr="00762681" w:rsidRDefault="00762681" w:rsidP="00762681">
      <w:pPr>
        <w:rPr>
          <w:rStyle w:val="StyleStyleBold12pt"/>
        </w:rPr>
      </w:pPr>
      <w:r w:rsidRPr="00762681">
        <w:rPr>
          <w:rStyle w:val="StyleStyleBold12pt"/>
        </w:rPr>
        <w:t>Berger, 2006</w:t>
      </w:r>
    </w:p>
    <w:p w14:paraId="3DA0667C" w14:textId="199BD689" w:rsidR="00762681" w:rsidRDefault="00762681" w:rsidP="00762681">
      <w:r>
        <w:t xml:space="preserve">Dan Berger, </w:t>
      </w:r>
      <w:r>
        <w:t>PhD</w:t>
      </w:r>
      <w:r>
        <w:t xml:space="preserve">, </w:t>
      </w:r>
      <w:r w:rsidRPr="00762681">
        <w:t>Assistant Professor at the University of Washington</w:t>
      </w:r>
      <w:r>
        <w:t xml:space="preserve">, </w:t>
      </w:r>
      <w:proofErr w:type="spellStart"/>
      <w:r>
        <w:t>Javnost</w:t>
      </w:r>
      <w:proofErr w:type="spellEnd"/>
      <w:r>
        <w:t xml:space="preserve">-The Public, no. 4, pp. 45-62, “Shaping the Public Sphere with and beyond the State: </w:t>
      </w:r>
      <w:proofErr w:type="spellStart"/>
      <w:r>
        <w:t>Globalisation</w:t>
      </w:r>
      <w:proofErr w:type="spellEnd"/>
      <w:r>
        <w:t xml:space="preserve"> and Latin America Social Movements Remake State-Public Relationship” </w:t>
      </w:r>
      <w:proofErr w:type="spellStart"/>
      <w:r>
        <w:t>EBSCO</w:t>
      </w:r>
      <w:proofErr w:type="spellEnd"/>
      <w:r>
        <w:t xml:space="preserve"> Host</w:t>
      </w:r>
    </w:p>
    <w:p w14:paraId="7254A4FC" w14:textId="77777777" w:rsidR="001763CA" w:rsidRDefault="001763CA" w:rsidP="00762681">
      <w:pPr>
        <w:pStyle w:val="card"/>
      </w:pPr>
      <w:r>
        <w:t xml:space="preserve">This article has charted how </w:t>
      </w:r>
      <w:r w:rsidRPr="00053B5A">
        <w:rPr>
          <w:rStyle w:val="StyleBoldUnderline"/>
        </w:rPr>
        <w:t>recent experiments centering in Latin America are revising traditional notions of public sphere and the state</w:t>
      </w:r>
      <w:r>
        <w:t xml:space="preserve">. By way of summation, this conclusion attempts to outline some of the developments by and challenges facing these nascent models. The challenges include whether this new public sphere runs the risk of totalitarianism, while the contributions include a significant update to both traditional and more recent notions of </w:t>
      </w:r>
      <w:proofErr w:type="spellStart"/>
      <w:r>
        <w:t>publicness</w:t>
      </w:r>
      <w:proofErr w:type="spellEnd"/>
      <w:r>
        <w:t xml:space="preserve"> - a revision which extends beyond and takes shape against elite conceptions or commercial imperatives. The po</w:t>
      </w:r>
      <w:bookmarkStart w:id="0" w:name="_GoBack"/>
      <w:bookmarkEnd w:id="0"/>
      <w:r>
        <w:t xml:space="preserve">pular forms of governance achieving prominence in Latin America - through Brazilian popular assemblies, the Venezuelan state, the World Social Forum and beyond - not only oppose "the new public" of advertising, market research and public relations (Mayhew, 1997), but the structural foundations that gave rise to such a commercial public. These experiments in grassroots democracy can be seen as responding to a bought-off public in the Global North, one that "can no longer critically reflect on public matters" because "it can only consume" (Ehrenberg 1999, 221). Similarly, although these forums and governments overlap some with Thompson's notion of "regulated pluralism" (1995,240-241) - particularly in terms of staunch opposition to neoliberal programs of austerity and corporate control of communication - they are much broader than Thompson's vision. </w:t>
      </w:r>
      <w:r w:rsidRPr="00053B5A">
        <w:rPr>
          <w:rStyle w:val="StyleBoldUnderline"/>
        </w:rPr>
        <w:t>They challenge the normative chasm accepted in much of public opinion theory by arguing for a fundamental transformation of how state power is used and the relationship between the state and the public sphere. Latin American social movements and democratic governments offer an example of public opinion beyond</w:t>
      </w:r>
      <w:r>
        <w:t xml:space="preserve"> what </w:t>
      </w:r>
      <w:proofErr w:type="spellStart"/>
      <w:r>
        <w:t>Hardt</w:t>
      </w:r>
      <w:proofErr w:type="spellEnd"/>
      <w:r>
        <w:t xml:space="preserve"> and </w:t>
      </w:r>
      <w:proofErr w:type="spellStart"/>
      <w:r>
        <w:t>Negri</w:t>
      </w:r>
      <w:proofErr w:type="spellEnd"/>
      <w:r>
        <w:t xml:space="preserve"> call "</w:t>
      </w:r>
      <w:r w:rsidRPr="00053B5A">
        <w:rPr>
          <w:rStyle w:val="StyleBoldUnderline"/>
        </w:rPr>
        <w:t>the old bifurcated view of public opinion</w:t>
      </w:r>
      <w:r>
        <w:t xml:space="preserve"> as either rational individual expression or mass social manipulation" (2004,262). Instead, </w:t>
      </w:r>
      <w:r w:rsidRPr="00053B5A">
        <w:rPr>
          <w:rStyle w:val="StyleBoldUnderline"/>
        </w:rPr>
        <w:t>they afford an opportunity to update</w:t>
      </w:r>
      <w:r>
        <w:t xml:space="preserve"> - not discard - </w:t>
      </w:r>
      <w:r w:rsidRPr="00053B5A">
        <w:rPr>
          <w:rStyle w:val="StyleBoldUnderline"/>
        </w:rPr>
        <w:t xml:space="preserve">both normative and descriptive </w:t>
      </w:r>
      <w:proofErr w:type="spellStart"/>
      <w:r w:rsidRPr="00053B5A">
        <w:rPr>
          <w:rStyle w:val="StyleBoldUnderline"/>
        </w:rPr>
        <w:t>conceptualisations</w:t>
      </w:r>
      <w:proofErr w:type="spellEnd"/>
      <w:r w:rsidRPr="00053B5A">
        <w:rPr>
          <w:rStyle w:val="StyleBoldUnderline"/>
        </w:rPr>
        <w:t xml:space="preserve"> of public opinion</w:t>
      </w:r>
      <w:r>
        <w:t xml:space="preserve"> regarding in-process experiments in popular, rational, democratic public opinion formation and expression as involving the state. They heed Thompson's call to create "a </w:t>
      </w:r>
      <w:proofErr w:type="spellStart"/>
      <w:r>
        <w:t>publicness</w:t>
      </w:r>
      <w:proofErr w:type="spellEnd"/>
      <w:r>
        <w:t xml:space="preserve"> of openness and visibility, of making available and making visible" (1995,236). How successful they will be in this process is to be determined, as these experiments are still new and developing - and, as the differences between Brazil and Venezuela testify, the processes are uneven, differ in application, and suggest that state power is not obsolete. States and civil societies alike are both negotiating how best to oppose neoliberalism, at times in tandem and at times in opposition to each other. What role the media plays in this process remains an open question, as several progressive, populist administrations face a hostile, conservative, and privately owned media system (along with a global media often at the forefront of pushing deregulation and market expansion; Herman and </w:t>
      </w:r>
      <w:proofErr w:type="spellStart"/>
      <w:r>
        <w:t>McChesney</w:t>
      </w:r>
      <w:proofErr w:type="spellEnd"/>
      <w:r>
        <w:t xml:space="preserve"> 1997). Further, populist movements in impoverished countries face an uphill battle in eliminating poverty and instituting the "one big middle class" model they espouse (</w:t>
      </w:r>
      <w:proofErr w:type="spellStart"/>
      <w:r>
        <w:t>Boudin</w:t>
      </w:r>
      <w:proofErr w:type="spellEnd"/>
      <w:r>
        <w:t xml:space="preserve">, Gonzalez, and </w:t>
      </w:r>
      <w:proofErr w:type="spellStart"/>
      <w:r>
        <w:t>Rumbos</w:t>
      </w:r>
      <w:proofErr w:type="spellEnd"/>
      <w:r>
        <w:t xml:space="preserve"> 2006,53-54). Fundamentally, it remains to be seen whether democratic initiatives will be long-standing and whether, in those places where such state-public mutual support exists with functioning participatory democracies, the state will remain accountable to a reformulated and inclusive public sphere. The state-civil society alliance may engender fears of totalitarian regimes, given that dictatorships have often been marked by the absence of an independent civil society. Still, there is also reason to believe that such will not occur in the new Latin America. </w:t>
      </w:r>
      <w:r w:rsidRPr="00053B5A">
        <w:rPr>
          <w:rStyle w:val="StyleBoldUnderline"/>
        </w:rPr>
        <w:t>Central to preventing totalitarianism is ensuring that civil society dictates the terms for its partnership with the state</w:t>
      </w:r>
      <w:r>
        <w:t xml:space="preserve">. In such a dynamic, the state becomes a vehicle for the public sphere's demands - and, therefore, can be opposed or </w:t>
      </w:r>
      <w:proofErr w:type="spellStart"/>
      <w:r>
        <w:t>criticised</w:t>
      </w:r>
      <w:proofErr w:type="spellEnd"/>
      <w:r>
        <w:t xml:space="preserve"> as quickly as praised. Providing these countries are able to develop without outside interference, they stand a chance to maintain a democratic polity where the state and civil society serve as allies. Because each of these relationships is developing, the next five years should prove particularly critical. Though the populist democracies raise enduring questions about state power, they exist in a world where public opinion is formed and expressed globally and not just nationally. </w:t>
      </w:r>
      <w:proofErr w:type="spellStart"/>
      <w:r>
        <w:t>Hardt</w:t>
      </w:r>
      <w:proofErr w:type="spellEnd"/>
      <w:r>
        <w:t xml:space="preserve"> and </w:t>
      </w:r>
      <w:proofErr w:type="spellStart"/>
      <w:r>
        <w:t>Negri</w:t>
      </w:r>
      <w:proofErr w:type="spellEnd"/>
      <w:r>
        <w:t xml:space="preserve"> argue that the changes wrought by </w:t>
      </w:r>
      <w:proofErr w:type="spellStart"/>
      <w:r>
        <w:t>globalisation</w:t>
      </w:r>
      <w:proofErr w:type="spellEnd"/>
      <w:r>
        <w:t xml:space="preserve"> are so dramatic as to necessitate an abandonment of public opinion as a conceptual framework because it "is not the adequate term for these alternative networks of expression </w:t>
      </w:r>
      <w:proofErr w:type="spellStart"/>
      <w:r>
        <w:t>bom</w:t>
      </w:r>
      <w:proofErr w:type="spellEnd"/>
      <w:r>
        <w:t xml:space="preserve"> in resistance </w:t>
      </w:r>
      <w:proofErr w:type="gramStart"/>
      <w:r>
        <w:t>because ,</w:t>
      </w:r>
      <w:proofErr w:type="gramEnd"/>
      <w:r>
        <w:t xml:space="preserve">,, the traditional conceptions public opinion tends to present either neutral space of individual expression or a unified social whole - or a mediated combination of these two poles" (2004, 263). </w:t>
      </w:r>
      <w:r w:rsidRPr="00053B5A">
        <w:rPr>
          <w:rStyle w:val="StyleBoldUnderline"/>
        </w:rPr>
        <w:t>The answer emerging from Latin America</w:t>
      </w:r>
      <w:r>
        <w:t xml:space="preserve">, and elsewhere in the Global South, </w:t>
      </w:r>
      <w:r w:rsidRPr="00053B5A">
        <w:rPr>
          <w:rStyle w:val="StyleBoldUnderline"/>
        </w:rPr>
        <w:t>is not that public opinion need be abandoned, but that its contours are broader, more a fluid, more interconnected, and more contradictory than classical theories, developed in (and for) the West</w:t>
      </w:r>
      <w:r>
        <w:t xml:space="preserve">/Global North, allowed for. In rejecting not only polling but, more significantly and sweepingly, the notion that the value of publicity rests with the elite (as, for instance, Bentham argued) or that the unity of the state takes a precedence over other concerns (as, for instance, Hegel argued), </w:t>
      </w:r>
      <w:r w:rsidRPr="00053B5A">
        <w:rPr>
          <w:rStyle w:val="StyleBoldUnderline"/>
        </w:rPr>
        <w:t>populist movements</w:t>
      </w:r>
      <w:r>
        <w:t xml:space="preserve"> at the level of both the state and civil society are remaking </w:t>
      </w:r>
      <w:proofErr w:type="spellStart"/>
      <w:r>
        <w:t>publicness</w:t>
      </w:r>
      <w:proofErr w:type="spellEnd"/>
      <w:r>
        <w:t xml:space="preserve"> in the twenty-first century. They </w:t>
      </w:r>
      <w:r w:rsidRPr="00053B5A">
        <w:rPr>
          <w:rStyle w:val="StyleBoldUnderline"/>
        </w:rPr>
        <w:t>are charting a path that rejects the modem supremacy of market without relying on antiquated notions of the separation between the public sphere and the state. If successful, these em</w:t>
      </w:r>
      <w:r w:rsidR="00053B5A" w:rsidRPr="00053B5A">
        <w:rPr>
          <w:rStyle w:val="StyleBoldUnderline"/>
        </w:rPr>
        <w:t xml:space="preserve">erging paradigms will provide </w:t>
      </w:r>
      <w:r w:rsidRPr="00053B5A">
        <w:rPr>
          <w:rStyle w:val="StyleBoldUnderline"/>
        </w:rPr>
        <w:t xml:space="preserve">a useful corrective to traditional theories of </w:t>
      </w:r>
      <w:proofErr w:type="spellStart"/>
      <w:r w:rsidRPr="00053B5A">
        <w:rPr>
          <w:rStyle w:val="StyleBoldUnderline"/>
        </w:rPr>
        <w:t>publicnes</w:t>
      </w:r>
      <w:r w:rsidR="00053B5A" w:rsidRPr="00053B5A">
        <w:rPr>
          <w:rStyle w:val="StyleBoldUnderline"/>
        </w:rPr>
        <w:t>s</w:t>
      </w:r>
      <w:proofErr w:type="spellEnd"/>
      <w:r w:rsidR="00053B5A" w:rsidRPr="00053B5A">
        <w:rPr>
          <w:rStyle w:val="StyleBoldUnderline"/>
        </w:rPr>
        <w:t xml:space="preserve">, the state, and the public </w:t>
      </w:r>
      <w:proofErr w:type="spellStart"/>
      <w:r w:rsidRPr="00053B5A">
        <w:rPr>
          <w:rStyle w:val="StyleBoldUnderline"/>
        </w:rPr>
        <w:t>phere</w:t>
      </w:r>
      <w:proofErr w:type="spellEnd"/>
      <w:r w:rsidRPr="00053B5A">
        <w:rPr>
          <w:rStyle w:val="StyleBoldUnderline"/>
        </w:rPr>
        <w:t xml:space="preserve"> at both normative and descriptive levels</w:t>
      </w:r>
      <w:r>
        <w:t>.</w:t>
      </w:r>
    </w:p>
    <w:p w14:paraId="344A4864" w14:textId="77777777" w:rsidR="00053B5A" w:rsidRDefault="00053B5A" w:rsidP="001763CA"/>
    <w:p w14:paraId="20C7ED16" w14:textId="77777777" w:rsidR="00053B5A" w:rsidRPr="00AF5046" w:rsidRDefault="00053B5A" w:rsidP="001763CA"/>
    <w:sectPr w:rsidR="00053B5A" w:rsidRPr="00AF5046" w:rsidSect="00D36252">
      <w:pgSz w:w="12240" w:h="15840"/>
      <w:pgMar w:top="1440" w:right="1800" w:bottom="1440" w:left="1800" w:header="720" w:footer="720" w:gutter="0"/>
      <w:cols w:space="720"/>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14:paraId="46504025" w14:textId="77777777" w:rsidR="001763CA" w:rsidRDefault="001763CA" w:rsidP="00E46E7E">
      <w:r>
        <w:separator/>
      </w:r>
    </w:p>
  </w:endnote>
  <w:endnote w:type="continuationSeparator" w:id="0">
    <w:p w14:paraId="60514977" w14:textId="77777777" w:rsidR="001763CA" w:rsidRDefault="001763CA" w:rsidP="00E46E7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Cambria">
    <w:panose1 w:val="02040503050406030204"/>
    <w:charset w:val="00"/>
    <w:family w:val="auto"/>
    <w:pitch w:val="variable"/>
    <w:sig w:usb0="00000003" w:usb1="00000000" w:usb2="00000000" w:usb3="00000000" w:csb0="00000001" w:csb1="00000000"/>
  </w:font>
  <w:font w:name="ＭＳ 明朝">
    <w:panose1 w:val="00000000000000000000"/>
    <w:charset w:val="80"/>
    <w:family w:val="roman"/>
    <w:notTrueType/>
    <w:pitch w:val="fixed"/>
    <w:sig w:usb0="00000001" w:usb1="08070000" w:usb2="00000010" w:usb3="00000000" w:csb0="00020000" w:csb1="00000000"/>
  </w:font>
  <w:font w:name="Times New Roman">
    <w:panose1 w:val="02020603050405020304"/>
    <w:charset w:val="00"/>
    <w:family w:val="auto"/>
    <w:pitch w:val="variable"/>
    <w:sig w:usb0="E0002AFF" w:usb1="C0007841" w:usb2="00000009" w:usb3="00000000" w:csb0="000001FF" w:csb1="00000000"/>
  </w:font>
  <w:font w:name="ＭＳ ゴシック">
    <w:panose1 w:val="00000000000000000000"/>
    <w:charset w:val="80"/>
    <w:family w:val="modern"/>
    <w:notTrueType/>
    <w:pitch w:val="fixed"/>
    <w:sig w:usb0="00000001" w:usb1="08070000" w:usb2="00000010" w:usb3="00000000" w:csb0="00020000" w:csb1="00000000"/>
  </w:font>
  <w:font w:name="Lucida Grande">
    <w:panose1 w:val="020B0600040502020204"/>
    <w:charset w:val="00"/>
    <w:family w:val="auto"/>
    <w:pitch w:val="variable"/>
    <w:sig w:usb0="E1000AEF" w:usb1="5000A1FF" w:usb2="00000000" w:usb3="00000000" w:csb0="000001BF" w:csb1="00000000"/>
  </w:font>
  <w:font w:name="Calibri">
    <w:panose1 w:val="020F0502020204030204"/>
    <w:charset w:val="00"/>
    <w:family w:val="auto"/>
    <w:pitch w:val="variable"/>
    <w:sig w:usb0="E10002FF" w:usb1="4000ACFF" w:usb2="00000009" w:usb3="00000000" w:csb0="0000019F" w:csb1="00000000"/>
  </w:font>
  <w:font w:name="Arial">
    <w:panose1 w:val="020B0604020202020204"/>
    <w:charset w:val="00"/>
    <w:family w:val="auto"/>
    <w:pitch w:val="variable"/>
    <w:sig w:usb0="E0002AFF" w:usb1="C0007843" w:usb2="00000009" w:usb3="00000000" w:csb0="000001FF" w:csb1="00000000"/>
  </w:font>
</w:fonts>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14:paraId="30DF26C8" w14:textId="77777777" w:rsidR="001763CA" w:rsidRDefault="001763CA" w:rsidP="00E46E7E">
      <w:r>
        <w:separator/>
      </w:r>
    </w:p>
  </w:footnote>
  <w:footnote w:type="continuationSeparator" w:id="0">
    <w:p w14:paraId="4A205C35" w14:textId="77777777" w:rsidR="001763CA" w:rsidRDefault="001763CA" w:rsidP="00E46E7E">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CF32755"/>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
    <w:nsid w:val="425F7909"/>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2">
    <w:nsid w:val="51ED369D"/>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3">
    <w:nsid w:val="623E4025"/>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num w:numId="1">
    <w:abstractNumId w:val="2"/>
  </w:num>
  <w:num w:numId="2">
    <w:abstractNumId w:val="1"/>
  </w:num>
  <w:num w:numId="3">
    <w:abstractNumId w:val="0"/>
  </w:num>
  <w:num w:numId="4">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10"/>
  <w:proofState w:spelling="clean" w:grammar="clean"/>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10D3E"/>
    <w:rsid w:val="00004D37"/>
    <w:rsid w:val="000140EC"/>
    <w:rsid w:val="00016A35"/>
    <w:rsid w:val="0005174E"/>
    <w:rsid w:val="00053B5A"/>
    <w:rsid w:val="000C16B3"/>
    <w:rsid w:val="001408C0"/>
    <w:rsid w:val="00143FD7"/>
    <w:rsid w:val="001463FB"/>
    <w:rsid w:val="00146A86"/>
    <w:rsid w:val="00154934"/>
    <w:rsid w:val="001763CA"/>
    <w:rsid w:val="00186DB7"/>
    <w:rsid w:val="001D7626"/>
    <w:rsid w:val="002613DA"/>
    <w:rsid w:val="002B6353"/>
    <w:rsid w:val="002B68C8"/>
    <w:rsid w:val="002F35F4"/>
    <w:rsid w:val="002F3E28"/>
    <w:rsid w:val="002F40E6"/>
    <w:rsid w:val="00303E5B"/>
    <w:rsid w:val="00313226"/>
    <w:rsid w:val="0031425E"/>
    <w:rsid w:val="00325059"/>
    <w:rsid w:val="00357719"/>
    <w:rsid w:val="00374144"/>
    <w:rsid w:val="0039141F"/>
    <w:rsid w:val="003B3EC7"/>
    <w:rsid w:val="003F42AF"/>
    <w:rsid w:val="00412F6D"/>
    <w:rsid w:val="0042635A"/>
    <w:rsid w:val="00466B6F"/>
    <w:rsid w:val="004B3188"/>
    <w:rsid w:val="004B3DB3"/>
    <w:rsid w:val="004B7738"/>
    <w:rsid w:val="004C63B5"/>
    <w:rsid w:val="004D461E"/>
    <w:rsid w:val="00517479"/>
    <w:rsid w:val="005A0BE5"/>
    <w:rsid w:val="005C0E1F"/>
    <w:rsid w:val="005E0D2B"/>
    <w:rsid w:val="005E2C99"/>
    <w:rsid w:val="00664F85"/>
    <w:rsid w:val="00672258"/>
    <w:rsid w:val="0067575B"/>
    <w:rsid w:val="00692C26"/>
    <w:rsid w:val="006C033B"/>
    <w:rsid w:val="006F2D3D"/>
    <w:rsid w:val="00700835"/>
    <w:rsid w:val="00726F87"/>
    <w:rsid w:val="007333B9"/>
    <w:rsid w:val="00762681"/>
    <w:rsid w:val="00791B7D"/>
    <w:rsid w:val="007A3515"/>
    <w:rsid w:val="007D7924"/>
    <w:rsid w:val="007E470C"/>
    <w:rsid w:val="007E5F71"/>
    <w:rsid w:val="00821415"/>
    <w:rsid w:val="0083768F"/>
    <w:rsid w:val="008E2402"/>
    <w:rsid w:val="0091595A"/>
    <w:rsid w:val="009165EA"/>
    <w:rsid w:val="009829F2"/>
    <w:rsid w:val="00993F61"/>
    <w:rsid w:val="009B0746"/>
    <w:rsid w:val="009C198B"/>
    <w:rsid w:val="009D207E"/>
    <w:rsid w:val="009E5822"/>
    <w:rsid w:val="009E691A"/>
    <w:rsid w:val="00A074CB"/>
    <w:rsid w:val="00A369C4"/>
    <w:rsid w:val="00A47986"/>
    <w:rsid w:val="00A91A24"/>
    <w:rsid w:val="00AC0E99"/>
    <w:rsid w:val="00AF1E67"/>
    <w:rsid w:val="00AF5046"/>
    <w:rsid w:val="00AF70D4"/>
    <w:rsid w:val="00B10D3E"/>
    <w:rsid w:val="00B169A1"/>
    <w:rsid w:val="00B33E0C"/>
    <w:rsid w:val="00B45FE9"/>
    <w:rsid w:val="00B55D49"/>
    <w:rsid w:val="00B65E97"/>
    <w:rsid w:val="00B84180"/>
    <w:rsid w:val="00BE63EA"/>
    <w:rsid w:val="00C42A3C"/>
    <w:rsid w:val="00CD2C6D"/>
    <w:rsid w:val="00CF1A0F"/>
    <w:rsid w:val="00D36252"/>
    <w:rsid w:val="00D4330B"/>
    <w:rsid w:val="00D460F1"/>
    <w:rsid w:val="00D51B44"/>
    <w:rsid w:val="00D6085D"/>
    <w:rsid w:val="00D66D57"/>
    <w:rsid w:val="00D81480"/>
    <w:rsid w:val="00D8365B"/>
    <w:rsid w:val="00DA2E40"/>
    <w:rsid w:val="00DA5BF8"/>
    <w:rsid w:val="00DC71AA"/>
    <w:rsid w:val="00DD2FAB"/>
    <w:rsid w:val="00DE627C"/>
    <w:rsid w:val="00DF1850"/>
    <w:rsid w:val="00E46E7E"/>
    <w:rsid w:val="00E95631"/>
    <w:rsid w:val="00EC56B0"/>
    <w:rsid w:val="00F1173B"/>
    <w:rsid w:val="00F45F2E"/>
    <w:rsid w:val="00FA538E"/>
    <w:rsid w:val="00FD50BA"/>
    <w:rsid w:val="00FE480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3AEDA43B"/>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7"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aliases w:val="Normal/Card"/>
    <w:qFormat/>
    <w:rsid w:val="00D8365B"/>
    <w:rPr>
      <w:rFonts w:ascii="Times New Roman" w:hAnsi="Times New Roman"/>
      <w:sz w:val="16"/>
    </w:rPr>
  </w:style>
  <w:style w:type="paragraph" w:styleId="Heading1">
    <w:name w:val="heading 1"/>
    <w:aliases w:val="Pocket"/>
    <w:basedOn w:val="Normal"/>
    <w:next w:val="Normal"/>
    <w:link w:val="Heading1Char"/>
    <w:uiPriority w:val="9"/>
    <w:qFormat/>
    <w:rsid w:val="00D836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52"/>
    </w:rPr>
  </w:style>
  <w:style w:type="paragraph" w:styleId="Heading2">
    <w:name w:val="heading 2"/>
    <w:aliases w:val="Hat"/>
    <w:basedOn w:val="Normal"/>
    <w:next w:val="Normal"/>
    <w:link w:val="Heading2Char"/>
    <w:uiPriority w:val="9"/>
    <w:unhideWhenUsed/>
    <w:qFormat/>
    <w:rsid w:val="00D8365B"/>
    <w:pPr>
      <w:keepNext/>
      <w:keepLines/>
      <w:pageBreakBefore/>
      <w:spacing w:before="200"/>
      <w:jc w:val="center"/>
      <w:outlineLvl w:val="1"/>
    </w:pPr>
    <w:rPr>
      <w:rFonts w:eastAsiaTheme="majorEastAsia" w:cstheme="majorBidi"/>
      <w:b/>
      <w:bCs/>
      <w:sz w:val="44"/>
      <w:szCs w:val="44"/>
      <w:u w:val="double"/>
    </w:rPr>
  </w:style>
  <w:style w:type="paragraph" w:styleId="Heading3">
    <w:name w:val="heading 3"/>
    <w:aliases w:val="Block"/>
    <w:basedOn w:val="Normal"/>
    <w:next w:val="Normal"/>
    <w:link w:val="Heading3Char"/>
    <w:uiPriority w:val="9"/>
    <w:unhideWhenUsed/>
    <w:qFormat/>
    <w:rsid w:val="00D8365B"/>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9"/>
    <w:unhideWhenUsed/>
    <w:qFormat/>
    <w:rsid w:val="00D8365B"/>
    <w:pPr>
      <w:keepNext/>
      <w:keepLines/>
      <w:spacing w:before="200"/>
      <w:outlineLvl w:val="3"/>
    </w:pPr>
    <w:rPr>
      <w:rFonts w:eastAsiaTheme="majorEastAsia" w:cstheme="majorBidi"/>
      <w:b/>
      <w:bCs/>
      <w:i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8365B"/>
    <w:rPr>
      <w:rFonts w:ascii="Times New Roman" w:hAnsi="Times New Roman"/>
      <w:b/>
      <w:i w:val="0"/>
      <w:iCs/>
      <w:sz w:val="24"/>
      <w:u w:val="single"/>
      <w:bdr w:val="single" w:sz="18" w:space="0" w:color="auto"/>
    </w:rPr>
  </w:style>
  <w:style w:type="character" w:customStyle="1" w:styleId="Heading1Char">
    <w:name w:val="Heading 1 Char"/>
    <w:aliases w:val="Pocket Char"/>
    <w:basedOn w:val="DefaultParagraphFont"/>
    <w:link w:val="Heading1"/>
    <w:uiPriority w:val="9"/>
    <w:rsid w:val="00D8365B"/>
    <w:rPr>
      <w:rFonts w:ascii="Times New Roman" w:eastAsiaTheme="majorEastAsia" w:hAnsi="Times New Roman" w:cstheme="majorBidi"/>
      <w:b/>
      <w:bCs/>
      <w:sz w:val="52"/>
      <w:szCs w:val="52"/>
    </w:rPr>
  </w:style>
  <w:style w:type="character" w:customStyle="1" w:styleId="Heading2Char">
    <w:name w:val="Heading 2 Char"/>
    <w:aliases w:val="Hat Char"/>
    <w:basedOn w:val="DefaultParagraphFont"/>
    <w:link w:val="Heading2"/>
    <w:uiPriority w:val="9"/>
    <w:rsid w:val="00D8365B"/>
    <w:rPr>
      <w:rFonts w:ascii="Times New Roman" w:eastAsiaTheme="majorEastAsia" w:hAnsi="Times New Roman" w:cstheme="majorBidi"/>
      <w:b/>
      <w:bCs/>
      <w:sz w:val="44"/>
      <w:szCs w:val="44"/>
      <w:u w:val="double"/>
    </w:rPr>
  </w:style>
  <w:style w:type="character" w:customStyle="1" w:styleId="Heading3Char">
    <w:name w:val="Heading 3 Char"/>
    <w:aliases w:val="Block Char"/>
    <w:basedOn w:val="DefaultParagraphFont"/>
    <w:link w:val="Heading3"/>
    <w:uiPriority w:val="9"/>
    <w:rsid w:val="00D8365B"/>
    <w:rPr>
      <w:rFonts w:ascii="Times New Roman" w:eastAsiaTheme="majorEastAsia" w:hAnsi="Times New Roman" w:cstheme="majorBidi"/>
      <w:b/>
      <w:bCs/>
      <w:sz w:val="32"/>
      <w:u w:val="single"/>
    </w:rPr>
  </w:style>
  <w:style w:type="character" w:customStyle="1" w:styleId="Heading4Char">
    <w:name w:val="Heading 4 Char"/>
    <w:aliases w:val="Tag Char"/>
    <w:basedOn w:val="DefaultParagraphFont"/>
    <w:link w:val="Heading4"/>
    <w:uiPriority w:val="9"/>
    <w:rsid w:val="00D8365B"/>
    <w:rPr>
      <w:rFonts w:ascii="Times New Roman" w:eastAsiaTheme="majorEastAsia" w:hAnsi="Times New Roman" w:cstheme="majorBidi"/>
      <w:b/>
      <w:bCs/>
      <w:iCs/>
      <w:sz w:val="26"/>
    </w:rPr>
  </w:style>
  <w:style w:type="paragraph" w:styleId="NoSpacing">
    <w:name w:val="No Spacing"/>
    <w:uiPriority w:val="1"/>
    <w:rsid w:val="00DF1850"/>
  </w:style>
  <w:style w:type="character" w:customStyle="1" w:styleId="StyleStyleBold12pt">
    <w:name w:val="Style Style Bold + 12 pt"/>
    <w:aliases w:val="Cite"/>
    <w:basedOn w:val="DefaultParagraphFont"/>
    <w:uiPriority w:val="1"/>
    <w:qFormat/>
    <w:rsid w:val="00D8365B"/>
    <w:rPr>
      <w:rFonts w:ascii="Times New Roman" w:hAnsi="Times New Roman"/>
      <w:b/>
      <w:sz w:val="24"/>
      <w:u w:val="none"/>
    </w:rPr>
  </w:style>
  <w:style w:type="character" w:customStyle="1" w:styleId="StyleBoldUnderline">
    <w:name w:val="Style Bold Underline"/>
    <w:aliases w:val="Underline"/>
    <w:basedOn w:val="DefaultParagraphFont"/>
    <w:uiPriority w:val="1"/>
    <w:qFormat/>
    <w:rsid w:val="00D8365B"/>
    <w:rPr>
      <w:rFonts w:ascii="Times New Roman" w:hAnsi="Times New Roman"/>
      <w:b w:val="0"/>
      <w:sz w:val="22"/>
      <w:u w:val="single"/>
    </w:rPr>
  </w:style>
  <w:style w:type="paragraph" w:styleId="DocumentMap">
    <w:name w:val="Document Map"/>
    <w:basedOn w:val="Normal"/>
    <w:link w:val="DocumentMapChar"/>
    <w:uiPriority w:val="99"/>
    <w:semiHidden/>
    <w:unhideWhenUsed/>
    <w:rsid w:val="00DF1850"/>
    <w:rPr>
      <w:rFonts w:ascii="Lucida Grande" w:hAnsi="Lucida Grande" w:cs="Lucida Grande"/>
    </w:rPr>
  </w:style>
  <w:style w:type="character" w:customStyle="1" w:styleId="DocumentMapChar">
    <w:name w:val="Document Map Char"/>
    <w:basedOn w:val="DefaultParagraphFont"/>
    <w:link w:val="DocumentMap"/>
    <w:uiPriority w:val="99"/>
    <w:semiHidden/>
    <w:rsid w:val="00DF1850"/>
    <w:rPr>
      <w:rFonts w:ascii="Lucida Grande" w:hAnsi="Lucida Grande" w:cs="Lucida Grande"/>
      <w:sz w:val="22"/>
    </w:rPr>
  </w:style>
  <w:style w:type="paragraph" w:styleId="ListParagraph">
    <w:name w:val="List Paragraph"/>
    <w:basedOn w:val="Normal"/>
    <w:uiPriority w:val="34"/>
    <w:rsid w:val="00DF1850"/>
    <w:pPr>
      <w:ind w:left="720"/>
      <w:contextualSpacing/>
    </w:pPr>
  </w:style>
  <w:style w:type="paragraph" w:styleId="Header">
    <w:name w:val="header"/>
    <w:basedOn w:val="Normal"/>
    <w:link w:val="HeaderChar"/>
    <w:uiPriority w:val="99"/>
    <w:unhideWhenUsed/>
    <w:rsid w:val="00DF1850"/>
    <w:pPr>
      <w:tabs>
        <w:tab w:val="center" w:pos="4320"/>
        <w:tab w:val="right" w:pos="8640"/>
      </w:tabs>
    </w:pPr>
  </w:style>
  <w:style w:type="character" w:customStyle="1" w:styleId="HeaderChar">
    <w:name w:val="Header Char"/>
    <w:basedOn w:val="DefaultParagraphFont"/>
    <w:link w:val="Header"/>
    <w:uiPriority w:val="99"/>
    <w:rsid w:val="00DF1850"/>
    <w:rPr>
      <w:rFonts w:ascii="Calibri" w:hAnsi="Calibri"/>
      <w:sz w:val="22"/>
    </w:rPr>
  </w:style>
  <w:style w:type="paragraph" w:styleId="Footer">
    <w:name w:val="footer"/>
    <w:basedOn w:val="Normal"/>
    <w:link w:val="FooterChar"/>
    <w:uiPriority w:val="99"/>
    <w:unhideWhenUsed/>
    <w:rsid w:val="00DF1850"/>
    <w:pPr>
      <w:tabs>
        <w:tab w:val="center" w:pos="4320"/>
        <w:tab w:val="right" w:pos="8640"/>
      </w:tabs>
    </w:pPr>
  </w:style>
  <w:style w:type="character" w:customStyle="1" w:styleId="FooterChar">
    <w:name w:val="Footer Char"/>
    <w:basedOn w:val="DefaultParagraphFont"/>
    <w:link w:val="Footer"/>
    <w:uiPriority w:val="99"/>
    <w:rsid w:val="00DF1850"/>
    <w:rPr>
      <w:rFonts w:ascii="Calibri" w:hAnsi="Calibri"/>
      <w:sz w:val="22"/>
    </w:rPr>
  </w:style>
  <w:style w:type="character" w:styleId="PageNumber">
    <w:name w:val="page number"/>
    <w:basedOn w:val="DefaultParagraphFont"/>
    <w:uiPriority w:val="99"/>
    <w:semiHidden/>
    <w:unhideWhenUsed/>
    <w:rsid w:val="00DF1850"/>
  </w:style>
  <w:style w:type="character" w:styleId="Hyperlink">
    <w:name w:val="Hyperlink"/>
    <w:basedOn w:val="DefaultParagraphFont"/>
    <w:uiPriority w:val="99"/>
    <w:unhideWhenUsed/>
    <w:rsid w:val="00DF1850"/>
    <w:rPr>
      <w:color w:val="0000FF" w:themeColor="hyperlink"/>
      <w:u w:val="single"/>
    </w:rPr>
  </w:style>
  <w:style w:type="paragraph" w:customStyle="1" w:styleId="card">
    <w:name w:val="card"/>
    <w:basedOn w:val="Normal"/>
    <w:next w:val="Normal"/>
    <w:link w:val="cardChar"/>
    <w:qFormat/>
    <w:rsid w:val="004B7738"/>
    <w:pPr>
      <w:ind w:left="288" w:right="288"/>
    </w:pPr>
    <w:rPr>
      <w:rFonts w:eastAsia="Times New Roman" w:cs="Times New Roman"/>
    </w:rPr>
  </w:style>
  <w:style w:type="character" w:customStyle="1" w:styleId="cardChar">
    <w:name w:val="card Char"/>
    <w:link w:val="card"/>
    <w:rsid w:val="004B7738"/>
    <w:rPr>
      <w:rFonts w:ascii="Times New Roman" w:eastAsia="Times New Roman" w:hAnsi="Times New Roman" w:cs="Times New Roman"/>
      <w:sz w:val="16"/>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lsdException w:name="Default Paragraph Font" w:uiPriority="1"/>
    <w:lsdException w:name="Subtitle" w:semiHidden="0" w:uiPriority="11" w:unhideWhenUsed="0"/>
    <w:lsdException w:name="Strong" w:semiHidden="0" w:uiPriority="22" w:unhideWhenUsed="0"/>
    <w:lsdException w:name="Emphasis" w:semiHidden="0" w:uiPriority="7" w:unhideWhenUsed="0" w:qFormat="1"/>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aliases w:val="Normal/Card"/>
    <w:qFormat/>
    <w:rsid w:val="00D8365B"/>
    <w:rPr>
      <w:rFonts w:ascii="Times New Roman" w:hAnsi="Times New Roman"/>
      <w:sz w:val="16"/>
    </w:rPr>
  </w:style>
  <w:style w:type="paragraph" w:styleId="Heading1">
    <w:name w:val="heading 1"/>
    <w:aliases w:val="Pocket"/>
    <w:basedOn w:val="Normal"/>
    <w:next w:val="Normal"/>
    <w:link w:val="Heading1Char"/>
    <w:uiPriority w:val="9"/>
    <w:qFormat/>
    <w:rsid w:val="00D8365B"/>
    <w:pPr>
      <w:keepNext/>
      <w:keepLines/>
      <w:pageBreakBefore/>
      <w:pBdr>
        <w:top w:val="single" w:sz="24" w:space="1" w:color="auto"/>
        <w:left w:val="single" w:sz="24" w:space="4" w:color="auto"/>
        <w:bottom w:val="single" w:sz="24" w:space="1" w:color="auto"/>
        <w:right w:val="single" w:sz="24" w:space="4" w:color="auto"/>
      </w:pBdr>
      <w:spacing w:before="480"/>
      <w:jc w:val="center"/>
      <w:outlineLvl w:val="0"/>
    </w:pPr>
    <w:rPr>
      <w:rFonts w:eastAsiaTheme="majorEastAsia" w:cstheme="majorBidi"/>
      <w:b/>
      <w:bCs/>
      <w:sz w:val="52"/>
      <w:szCs w:val="52"/>
    </w:rPr>
  </w:style>
  <w:style w:type="paragraph" w:styleId="Heading2">
    <w:name w:val="heading 2"/>
    <w:aliases w:val="Hat"/>
    <w:basedOn w:val="Normal"/>
    <w:next w:val="Normal"/>
    <w:link w:val="Heading2Char"/>
    <w:uiPriority w:val="9"/>
    <w:unhideWhenUsed/>
    <w:qFormat/>
    <w:rsid w:val="00D8365B"/>
    <w:pPr>
      <w:keepNext/>
      <w:keepLines/>
      <w:pageBreakBefore/>
      <w:spacing w:before="200"/>
      <w:jc w:val="center"/>
      <w:outlineLvl w:val="1"/>
    </w:pPr>
    <w:rPr>
      <w:rFonts w:eastAsiaTheme="majorEastAsia" w:cstheme="majorBidi"/>
      <w:b/>
      <w:bCs/>
      <w:sz w:val="44"/>
      <w:szCs w:val="44"/>
      <w:u w:val="double"/>
    </w:rPr>
  </w:style>
  <w:style w:type="paragraph" w:styleId="Heading3">
    <w:name w:val="heading 3"/>
    <w:aliases w:val="Block"/>
    <w:basedOn w:val="Normal"/>
    <w:next w:val="Normal"/>
    <w:link w:val="Heading3Char"/>
    <w:uiPriority w:val="9"/>
    <w:unhideWhenUsed/>
    <w:qFormat/>
    <w:rsid w:val="00D8365B"/>
    <w:pPr>
      <w:keepNext/>
      <w:keepLines/>
      <w:pageBreakBefore/>
      <w:spacing w:before="200"/>
      <w:jc w:val="center"/>
      <w:outlineLvl w:val="2"/>
    </w:pPr>
    <w:rPr>
      <w:rFonts w:eastAsiaTheme="majorEastAsia" w:cstheme="majorBidi"/>
      <w:b/>
      <w:bCs/>
      <w:sz w:val="32"/>
      <w:u w:val="single"/>
    </w:rPr>
  </w:style>
  <w:style w:type="paragraph" w:styleId="Heading4">
    <w:name w:val="heading 4"/>
    <w:aliases w:val="Tag"/>
    <w:basedOn w:val="Normal"/>
    <w:next w:val="Normal"/>
    <w:link w:val="Heading4Char"/>
    <w:uiPriority w:val="9"/>
    <w:unhideWhenUsed/>
    <w:qFormat/>
    <w:rsid w:val="00D8365B"/>
    <w:pPr>
      <w:keepNext/>
      <w:keepLines/>
      <w:spacing w:before="200"/>
      <w:outlineLvl w:val="3"/>
    </w:pPr>
    <w:rPr>
      <w:rFonts w:eastAsiaTheme="majorEastAsia" w:cstheme="majorBidi"/>
      <w:b/>
      <w:bCs/>
      <w:iCs/>
      <w:sz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Emphasis">
    <w:name w:val="Emphasis"/>
    <w:basedOn w:val="DefaultParagraphFont"/>
    <w:uiPriority w:val="7"/>
    <w:qFormat/>
    <w:rsid w:val="00D8365B"/>
    <w:rPr>
      <w:rFonts w:ascii="Times New Roman" w:hAnsi="Times New Roman"/>
      <w:b/>
      <w:i w:val="0"/>
      <w:iCs/>
      <w:sz w:val="24"/>
      <w:u w:val="single"/>
      <w:bdr w:val="single" w:sz="18" w:space="0" w:color="auto"/>
    </w:rPr>
  </w:style>
  <w:style w:type="character" w:customStyle="1" w:styleId="Heading1Char">
    <w:name w:val="Heading 1 Char"/>
    <w:aliases w:val="Pocket Char"/>
    <w:basedOn w:val="DefaultParagraphFont"/>
    <w:link w:val="Heading1"/>
    <w:uiPriority w:val="9"/>
    <w:rsid w:val="00D8365B"/>
    <w:rPr>
      <w:rFonts w:ascii="Times New Roman" w:eastAsiaTheme="majorEastAsia" w:hAnsi="Times New Roman" w:cstheme="majorBidi"/>
      <w:b/>
      <w:bCs/>
      <w:sz w:val="52"/>
      <w:szCs w:val="52"/>
    </w:rPr>
  </w:style>
  <w:style w:type="character" w:customStyle="1" w:styleId="Heading2Char">
    <w:name w:val="Heading 2 Char"/>
    <w:aliases w:val="Hat Char"/>
    <w:basedOn w:val="DefaultParagraphFont"/>
    <w:link w:val="Heading2"/>
    <w:uiPriority w:val="9"/>
    <w:rsid w:val="00D8365B"/>
    <w:rPr>
      <w:rFonts w:ascii="Times New Roman" w:eastAsiaTheme="majorEastAsia" w:hAnsi="Times New Roman" w:cstheme="majorBidi"/>
      <w:b/>
      <w:bCs/>
      <w:sz w:val="44"/>
      <w:szCs w:val="44"/>
      <w:u w:val="double"/>
    </w:rPr>
  </w:style>
  <w:style w:type="character" w:customStyle="1" w:styleId="Heading3Char">
    <w:name w:val="Heading 3 Char"/>
    <w:aliases w:val="Block Char"/>
    <w:basedOn w:val="DefaultParagraphFont"/>
    <w:link w:val="Heading3"/>
    <w:uiPriority w:val="9"/>
    <w:rsid w:val="00D8365B"/>
    <w:rPr>
      <w:rFonts w:ascii="Times New Roman" w:eastAsiaTheme="majorEastAsia" w:hAnsi="Times New Roman" w:cstheme="majorBidi"/>
      <w:b/>
      <w:bCs/>
      <w:sz w:val="32"/>
      <w:u w:val="single"/>
    </w:rPr>
  </w:style>
  <w:style w:type="character" w:customStyle="1" w:styleId="Heading4Char">
    <w:name w:val="Heading 4 Char"/>
    <w:aliases w:val="Tag Char"/>
    <w:basedOn w:val="DefaultParagraphFont"/>
    <w:link w:val="Heading4"/>
    <w:uiPriority w:val="9"/>
    <w:rsid w:val="00D8365B"/>
    <w:rPr>
      <w:rFonts w:ascii="Times New Roman" w:eastAsiaTheme="majorEastAsia" w:hAnsi="Times New Roman" w:cstheme="majorBidi"/>
      <w:b/>
      <w:bCs/>
      <w:iCs/>
      <w:sz w:val="26"/>
    </w:rPr>
  </w:style>
  <w:style w:type="paragraph" w:styleId="NoSpacing">
    <w:name w:val="No Spacing"/>
    <w:uiPriority w:val="1"/>
    <w:rsid w:val="00DF1850"/>
  </w:style>
  <w:style w:type="character" w:customStyle="1" w:styleId="StyleStyleBold12pt">
    <w:name w:val="Style Style Bold + 12 pt"/>
    <w:aliases w:val="Cite"/>
    <w:basedOn w:val="DefaultParagraphFont"/>
    <w:uiPriority w:val="1"/>
    <w:qFormat/>
    <w:rsid w:val="00D8365B"/>
    <w:rPr>
      <w:rFonts w:ascii="Times New Roman" w:hAnsi="Times New Roman"/>
      <w:b/>
      <w:sz w:val="24"/>
      <w:u w:val="none"/>
    </w:rPr>
  </w:style>
  <w:style w:type="character" w:customStyle="1" w:styleId="StyleBoldUnderline">
    <w:name w:val="Style Bold Underline"/>
    <w:aliases w:val="Underline"/>
    <w:basedOn w:val="DefaultParagraphFont"/>
    <w:uiPriority w:val="1"/>
    <w:qFormat/>
    <w:rsid w:val="00D8365B"/>
    <w:rPr>
      <w:rFonts w:ascii="Times New Roman" w:hAnsi="Times New Roman"/>
      <w:b w:val="0"/>
      <w:sz w:val="22"/>
      <w:u w:val="single"/>
    </w:rPr>
  </w:style>
  <w:style w:type="paragraph" w:styleId="DocumentMap">
    <w:name w:val="Document Map"/>
    <w:basedOn w:val="Normal"/>
    <w:link w:val="DocumentMapChar"/>
    <w:uiPriority w:val="99"/>
    <w:semiHidden/>
    <w:unhideWhenUsed/>
    <w:rsid w:val="00DF1850"/>
    <w:rPr>
      <w:rFonts w:ascii="Lucida Grande" w:hAnsi="Lucida Grande" w:cs="Lucida Grande"/>
    </w:rPr>
  </w:style>
  <w:style w:type="character" w:customStyle="1" w:styleId="DocumentMapChar">
    <w:name w:val="Document Map Char"/>
    <w:basedOn w:val="DefaultParagraphFont"/>
    <w:link w:val="DocumentMap"/>
    <w:uiPriority w:val="99"/>
    <w:semiHidden/>
    <w:rsid w:val="00DF1850"/>
    <w:rPr>
      <w:rFonts w:ascii="Lucida Grande" w:hAnsi="Lucida Grande" w:cs="Lucida Grande"/>
      <w:sz w:val="22"/>
    </w:rPr>
  </w:style>
  <w:style w:type="paragraph" w:styleId="ListParagraph">
    <w:name w:val="List Paragraph"/>
    <w:basedOn w:val="Normal"/>
    <w:uiPriority w:val="34"/>
    <w:rsid w:val="00DF1850"/>
    <w:pPr>
      <w:ind w:left="720"/>
      <w:contextualSpacing/>
    </w:pPr>
  </w:style>
  <w:style w:type="paragraph" w:styleId="Header">
    <w:name w:val="header"/>
    <w:basedOn w:val="Normal"/>
    <w:link w:val="HeaderChar"/>
    <w:uiPriority w:val="99"/>
    <w:unhideWhenUsed/>
    <w:rsid w:val="00DF1850"/>
    <w:pPr>
      <w:tabs>
        <w:tab w:val="center" w:pos="4320"/>
        <w:tab w:val="right" w:pos="8640"/>
      </w:tabs>
    </w:pPr>
  </w:style>
  <w:style w:type="character" w:customStyle="1" w:styleId="HeaderChar">
    <w:name w:val="Header Char"/>
    <w:basedOn w:val="DefaultParagraphFont"/>
    <w:link w:val="Header"/>
    <w:uiPriority w:val="99"/>
    <w:rsid w:val="00DF1850"/>
    <w:rPr>
      <w:rFonts w:ascii="Calibri" w:hAnsi="Calibri"/>
      <w:sz w:val="22"/>
    </w:rPr>
  </w:style>
  <w:style w:type="paragraph" w:styleId="Footer">
    <w:name w:val="footer"/>
    <w:basedOn w:val="Normal"/>
    <w:link w:val="FooterChar"/>
    <w:uiPriority w:val="99"/>
    <w:unhideWhenUsed/>
    <w:rsid w:val="00DF1850"/>
    <w:pPr>
      <w:tabs>
        <w:tab w:val="center" w:pos="4320"/>
        <w:tab w:val="right" w:pos="8640"/>
      </w:tabs>
    </w:pPr>
  </w:style>
  <w:style w:type="character" w:customStyle="1" w:styleId="FooterChar">
    <w:name w:val="Footer Char"/>
    <w:basedOn w:val="DefaultParagraphFont"/>
    <w:link w:val="Footer"/>
    <w:uiPriority w:val="99"/>
    <w:rsid w:val="00DF1850"/>
    <w:rPr>
      <w:rFonts w:ascii="Calibri" w:hAnsi="Calibri"/>
      <w:sz w:val="22"/>
    </w:rPr>
  </w:style>
  <w:style w:type="character" w:styleId="PageNumber">
    <w:name w:val="page number"/>
    <w:basedOn w:val="DefaultParagraphFont"/>
    <w:uiPriority w:val="99"/>
    <w:semiHidden/>
    <w:unhideWhenUsed/>
    <w:rsid w:val="00DF1850"/>
  </w:style>
  <w:style w:type="character" w:styleId="Hyperlink">
    <w:name w:val="Hyperlink"/>
    <w:basedOn w:val="DefaultParagraphFont"/>
    <w:uiPriority w:val="99"/>
    <w:unhideWhenUsed/>
    <w:rsid w:val="00DF1850"/>
    <w:rPr>
      <w:color w:val="0000FF" w:themeColor="hyperlink"/>
      <w:u w:val="single"/>
    </w:rPr>
  </w:style>
  <w:style w:type="paragraph" w:customStyle="1" w:styleId="card">
    <w:name w:val="card"/>
    <w:basedOn w:val="Normal"/>
    <w:next w:val="Normal"/>
    <w:link w:val="cardChar"/>
    <w:qFormat/>
    <w:rsid w:val="004B7738"/>
    <w:pPr>
      <w:ind w:left="288" w:right="288"/>
    </w:pPr>
    <w:rPr>
      <w:rFonts w:eastAsia="Times New Roman" w:cs="Times New Roman"/>
    </w:rPr>
  </w:style>
  <w:style w:type="character" w:customStyle="1" w:styleId="cardChar">
    <w:name w:val="card Char"/>
    <w:link w:val="card"/>
    <w:rsid w:val="004B7738"/>
    <w:rPr>
      <w:rFonts w:ascii="Times New Roman" w:eastAsia="Times New Roman" w:hAnsi="Times New Roman" w:cs="Times New Roman"/>
      <w:sz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fontTable" Target="fontTable.xml"/><Relationship Id="rId9"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JDI13_Kearney_TopiKalityAFF.dotx</Template>
  <TotalTime>1</TotalTime>
  <Pages>3</Pages>
  <Words>1866</Words>
  <Characters>10642</Characters>
  <Application>Microsoft Macintosh Word</Application>
  <DocSecurity>0</DocSecurity>
  <Lines>88</Lines>
  <Paragraphs>24</Paragraphs>
  <ScaleCrop>false</ScaleCrop>
  <Company>Whitman College</Company>
  <LinksUpToDate>false</LinksUpToDate>
  <CharactersWithSpaces>12484</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Michael Kearney</dc:creator>
  <cp:keywords/>
  <dc:description/>
  <cp:lastModifiedBy>Michael Kearney</cp:lastModifiedBy>
  <cp:revision>2</cp:revision>
  <dcterms:created xsi:type="dcterms:W3CDTF">2013-07-09T15:06:00Z</dcterms:created>
  <dcterms:modified xsi:type="dcterms:W3CDTF">2013-07-09T15:06:00Z</dcterms:modified>
</cp:coreProperties>
</file>