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A6B" w:rsidRDefault="00223A6B" w:rsidP="00223A6B">
      <w:pPr>
        <w:pStyle w:val="Heading2"/>
      </w:pPr>
      <w:proofErr w:type="spellStart"/>
      <w:r>
        <w:t>Uniquene</w:t>
      </w:r>
      <w:proofErr w:type="spellEnd"/>
    </w:p>
    <w:p w:rsidR="00223A6B" w:rsidRDefault="00223A6B" w:rsidP="00223A6B">
      <w:pPr>
        <w:pStyle w:val="Heading4"/>
      </w:pPr>
      <w:r>
        <w:t>US anti-submarine warfare is on the decline</w:t>
      </w:r>
    </w:p>
    <w:p w:rsidR="00223A6B" w:rsidRPr="00223A6B" w:rsidRDefault="00223A6B" w:rsidP="00223A6B">
      <w:pPr>
        <w:rPr>
          <w:sz w:val="16"/>
          <w:szCs w:val="16"/>
        </w:rPr>
      </w:pPr>
      <w:r w:rsidRPr="00223A6B">
        <w:rPr>
          <w:rStyle w:val="Style13ptBold"/>
        </w:rPr>
        <w:t>Keller 12</w:t>
      </w:r>
      <w:r w:rsidRPr="00223A6B">
        <w:rPr>
          <w:sz w:val="16"/>
          <w:szCs w:val="16"/>
        </w:rPr>
        <w:t xml:space="preserve">, (“U.S. anti-submarine capability is eroding, and it may be too late to turn it around” –John - editor-in-chief of Military &amp; Aerospace Electronics magazine, 2012, </w:t>
      </w:r>
      <w:hyperlink r:id="rId6" w:history="1">
        <w:r w:rsidRPr="00223A6B">
          <w:rPr>
            <w:rStyle w:val="Hyperlink"/>
            <w:sz w:val="16"/>
            <w:szCs w:val="16"/>
          </w:rPr>
          <w:t>http://www.militaryaerospace.com/blogs/aerospace-defense-blog/2012/12/u-s-anti-submarine-capability-is-eroding-and-it-may-be-too-late-to-turn-it-around.html</w:t>
        </w:r>
      </w:hyperlink>
      <w:r w:rsidRPr="00223A6B">
        <w:rPr>
          <w:sz w:val="16"/>
          <w:szCs w:val="16"/>
        </w:rPr>
        <w:t>, GV)</w:t>
      </w:r>
    </w:p>
    <w:p w:rsidR="00063AF8" w:rsidRPr="00223A6B" w:rsidRDefault="00063AF8" w:rsidP="00063AF8">
      <w:pPr>
        <w:rPr>
          <w:sz w:val="16"/>
        </w:rPr>
      </w:pPr>
      <w:r w:rsidRPr="00223A6B">
        <w:rPr>
          <w:sz w:val="16"/>
        </w:rPr>
        <w:t xml:space="preserve">Here's a not-so-comforting thought. </w:t>
      </w:r>
      <w:r w:rsidRPr="00063AF8">
        <w:rPr>
          <w:rStyle w:val="StyleUnderline"/>
        </w:rPr>
        <w:t>The U.S. Navy's anti-submarine warfare</w:t>
      </w:r>
      <w:r w:rsidRPr="00223A6B">
        <w:rPr>
          <w:sz w:val="16"/>
        </w:rPr>
        <w:t xml:space="preserve"> (ASW) skills are getting rusty during the same period that quiet submarine technology in China and Iran is improving at a noticeable rate. I wish that were the only bad news on the submarine warfare front, but it isn't. </w:t>
      </w:r>
      <w:r w:rsidRPr="00223A6B">
        <w:rPr>
          <w:rStyle w:val="StyleUnderline"/>
        </w:rPr>
        <w:t>We have U.S. ASW capability going backward</w:t>
      </w:r>
      <w:r w:rsidRPr="00223A6B">
        <w:rPr>
          <w:sz w:val="16"/>
        </w:rPr>
        <w:t xml:space="preserve">, submarine capability of U.S. strategic adversaries going forward, </w:t>
      </w:r>
      <w:r w:rsidRPr="00223A6B">
        <w:rPr>
          <w:rStyle w:val="StyleUnderline"/>
        </w:rPr>
        <w:t>and U.S.</w:t>
      </w:r>
      <w:r w:rsidRPr="00223A6B">
        <w:rPr>
          <w:sz w:val="16"/>
        </w:rPr>
        <w:t xml:space="preserve"> Navy </w:t>
      </w:r>
      <w:r w:rsidRPr="00223A6B">
        <w:rPr>
          <w:rStyle w:val="StyleUnderline"/>
        </w:rPr>
        <w:t>capability as a whole in decline</w:t>
      </w:r>
      <w:r w:rsidRPr="00223A6B">
        <w:rPr>
          <w:sz w:val="16"/>
        </w:rPr>
        <w:t>, according to a top Navy official. "We're long past the point of doing more with less," says Under Secretary of the Navy, Robert Work. "</w:t>
      </w:r>
      <w:r w:rsidRPr="00223A6B">
        <w:rPr>
          <w:rStyle w:val="StyleUnderline"/>
        </w:rPr>
        <w:t>We are going to be doing less with less in the future."</w:t>
      </w:r>
    </w:p>
    <w:p w:rsidR="000B1602" w:rsidRPr="000B1602" w:rsidRDefault="000B1602" w:rsidP="000B1602">
      <w:pPr>
        <w:pStyle w:val="Heading2"/>
      </w:pPr>
      <w:r w:rsidRPr="000B1602">
        <w:t>Links</w:t>
      </w:r>
    </w:p>
    <w:p w:rsidR="000B1602" w:rsidRPr="000B1602" w:rsidRDefault="000B1602" w:rsidP="000B1602">
      <w:pPr>
        <w:pStyle w:val="Heading3"/>
      </w:pPr>
      <w:r>
        <w:t>Satellites</w:t>
      </w:r>
    </w:p>
    <w:p w:rsidR="000B1602" w:rsidRDefault="000B1602" w:rsidP="00555AA3">
      <w:pPr>
        <w:rPr>
          <w:rStyle w:val="Heading4Char"/>
        </w:rPr>
      </w:pPr>
    </w:p>
    <w:p w:rsidR="00555AA3" w:rsidRDefault="00555AA3" w:rsidP="00555AA3">
      <w:pPr>
        <w:rPr>
          <w:rStyle w:val="StyleUnderline"/>
        </w:rPr>
      </w:pPr>
      <w:r w:rsidRPr="00555AA3">
        <w:rPr>
          <w:rStyle w:val="Heading4Char"/>
        </w:rPr>
        <w:t>Satellites increase ocean knowledge which is key to anti-submarine warfare</w:t>
      </w:r>
      <w:r>
        <w:rPr>
          <w:rStyle w:val="StyleUnderline"/>
        </w:rPr>
        <w:t>.</w:t>
      </w:r>
    </w:p>
    <w:p w:rsidR="00555AA3" w:rsidRPr="00FE0573" w:rsidRDefault="00555AA3" w:rsidP="00FE0573">
      <w:pPr>
        <w:rPr>
          <w:sz w:val="16"/>
          <w:szCs w:val="16"/>
        </w:rPr>
      </w:pPr>
      <w:r w:rsidRPr="00FE0573">
        <w:rPr>
          <w:rStyle w:val="Style13ptBold"/>
        </w:rPr>
        <w:t>Chu et al. 6</w:t>
      </w:r>
      <w:r w:rsidRPr="00FE0573">
        <w:t xml:space="preserve">, </w:t>
      </w:r>
      <w:r w:rsidRPr="00FE0573">
        <w:rPr>
          <w:sz w:val="16"/>
          <w:szCs w:val="16"/>
        </w:rPr>
        <w:t xml:space="preserve">(“Impact of GFO Satellite on Naval Antisubmarine Warfare </w:t>
      </w:r>
      <w:proofErr w:type="gramStart"/>
      <w:r w:rsidRPr="00FE0573">
        <w:rPr>
          <w:sz w:val="16"/>
          <w:szCs w:val="16"/>
        </w:rPr>
        <w:t>“ Dr</w:t>
      </w:r>
      <w:proofErr w:type="gramEnd"/>
      <w:r w:rsidRPr="00FE0573">
        <w:rPr>
          <w:sz w:val="16"/>
          <w:szCs w:val="16"/>
        </w:rPr>
        <w:t xml:space="preserve">. Peter C. Chu, LT Guillermo </w:t>
      </w:r>
      <w:proofErr w:type="spellStart"/>
      <w:r w:rsidRPr="00FE0573">
        <w:rPr>
          <w:sz w:val="16"/>
          <w:szCs w:val="16"/>
        </w:rPr>
        <w:t>Amezaga</w:t>
      </w:r>
      <w:proofErr w:type="spellEnd"/>
      <w:r w:rsidR="00FE0573" w:rsidRPr="00FE0573">
        <w:rPr>
          <w:sz w:val="16"/>
          <w:szCs w:val="16"/>
        </w:rPr>
        <w:t xml:space="preserve"> - </w:t>
      </w:r>
      <w:r w:rsidRPr="00FE0573">
        <w:rPr>
          <w:sz w:val="16"/>
          <w:szCs w:val="16"/>
        </w:rPr>
        <w:t>Naval Ocean Analysis and Prediction Laboratory</w:t>
      </w:r>
      <w:r w:rsidR="00FE0573" w:rsidRPr="00FE0573">
        <w:rPr>
          <w:sz w:val="16"/>
          <w:szCs w:val="16"/>
        </w:rPr>
        <w:t xml:space="preserve"> </w:t>
      </w:r>
      <w:r w:rsidRPr="00FE0573">
        <w:rPr>
          <w:sz w:val="16"/>
          <w:szCs w:val="16"/>
        </w:rPr>
        <w:t>Naval Postgraduate School, Monterey, California</w:t>
      </w:r>
      <w:r w:rsidR="00FE0573" w:rsidRPr="00FE0573">
        <w:rPr>
          <w:sz w:val="16"/>
          <w:szCs w:val="16"/>
        </w:rPr>
        <w:t xml:space="preserve">, CDR Eric L. </w:t>
      </w:r>
      <w:proofErr w:type="spellStart"/>
      <w:r w:rsidR="00FE0573" w:rsidRPr="00FE0573">
        <w:rPr>
          <w:sz w:val="16"/>
          <w:szCs w:val="16"/>
        </w:rPr>
        <w:t>Gottshall</w:t>
      </w:r>
      <w:proofErr w:type="spellEnd"/>
      <w:r w:rsidR="00FE0573" w:rsidRPr="00FE0573">
        <w:rPr>
          <w:sz w:val="16"/>
          <w:szCs w:val="16"/>
        </w:rPr>
        <w:t xml:space="preserve"> - Office of Naval Research Global, Mr. David </w:t>
      </w:r>
      <w:proofErr w:type="spellStart"/>
      <w:r w:rsidR="00FE0573" w:rsidRPr="00FE0573">
        <w:rPr>
          <w:sz w:val="16"/>
          <w:szCs w:val="16"/>
        </w:rPr>
        <w:t>Cwalina</w:t>
      </w:r>
      <w:proofErr w:type="spellEnd"/>
      <w:r w:rsidR="00FE0573" w:rsidRPr="00FE0573">
        <w:rPr>
          <w:sz w:val="16"/>
          <w:szCs w:val="16"/>
        </w:rPr>
        <w:t xml:space="preserve"> Naval Undersea Warfare Center, 2006, </w:t>
      </w:r>
      <w:hyperlink r:id="rId7" w:history="1">
        <w:r w:rsidR="00FE0573" w:rsidRPr="00FE0573">
          <w:rPr>
            <w:rStyle w:val="Hyperlink"/>
            <w:sz w:val="16"/>
            <w:szCs w:val="16"/>
          </w:rPr>
          <w:t>http://faculty.nps.edu/pcchu/web_paper/proceedings/nato/nato_06_chu.pdf</w:t>
        </w:r>
      </w:hyperlink>
      <w:r w:rsidR="00FE0573" w:rsidRPr="00FE0573">
        <w:rPr>
          <w:sz w:val="16"/>
          <w:szCs w:val="16"/>
        </w:rPr>
        <w:t>, GV)</w:t>
      </w:r>
    </w:p>
    <w:p w:rsidR="00A95652" w:rsidRDefault="00555AA3" w:rsidP="008C1B2E">
      <w:pPr>
        <w:rPr>
          <w:sz w:val="14"/>
        </w:rPr>
      </w:pPr>
      <w:r w:rsidRPr="00555AA3">
        <w:rPr>
          <w:rStyle w:val="StyleUnderline"/>
        </w:rPr>
        <w:t>The outcome of a battlefield engagement is often determined by the advantages and disadvantages</w:t>
      </w:r>
      <w:r w:rsidRPr="00555AA3">
        <w:rPr>
          <w:sz w:val="14"/>
        </w:rPr>
        <w:t xml:space="preserve"> held by each adversary. On the modern battlefield, the possessor of the best technology often has the upper hand, but only if that advanced technology is used properly and efficiently. </w:t>
      </w:r>
      <w:r w:rsidRPr="00555AA3">
        <w:rPr>
          <w:rStyle w:val="StyleUnderline"/>
        </w:rPr>
        <w:t>In order to exploit this advantage</w:t>
      </w:r>
      <w:r w:rsidRPr="00555AA3">
        <w:rPr>
          <w:sz w:val="14"/>
        </w:rPr>
        <w:t xml:space="preserve"> and optimize the effectiveness </w:t>
      </w:r>
      <w:r w:rsidRPr="00555AA3">
        <w:rPr>
          <w:rStyle w:val="StyleUnderline"/>
        </w:rPr>
        <w:t>of high technology sensor and weapon systems, it is essential to understand the impact on them by the environment (</w:t>
      </w:r>
      <w:r w:rsidRPr="00555AA3">
        <w:rPr>
          <w:sz w:val="14"/>
        </w:rPr>
        <w:t xml:space="preserve">Mancini, 2004). Chu, P.C.; </w:t>
      </w:r>
      <w:proofErr w:type="spellStart"/>
      <w:r w:rsidRPr="00555AA3">
        <w:rPr>
          <w:sz w:val="14"/>
        </w:rPr>
        <w:t>Amezaga</w:t>
      </w:r>
      <w:proofErr w:type="spellEnd"/>
      <w:r w:rsidRPr="00555AA3">
        <w:rPr>
          <w:sz w:val="14"/>
        </w:rPr>
        <w:t xml:space="preserve">, G.; </w:t>
      </w:r>
      <w:proofErr w:type="spellStart"/>
      <w:r w:rsidRPr="00555AA3">
        <w:rPr>
          <w:sz w:val="14"/>
        </w:rPr>
        <w:t>Gottshall</w:t>
      </w:r>
      <w:proofErr w:type="spellEnd"/>
      <w:r w:rsidRPr="00555AA3">
        <w:rPr>
          <w:sz w:val="14"/>
        </w:rPr>
        <w:t xml:space="preserve">, E.L.; </w:t>
      </w:r>
      <w:proofErr w:type="spellStart"/>
      <w:r w:rsidRPr="00555AA3">
        <w:rPr>
          <w:sz w:val="14"/>
        </w:rPr>
        <w:t>Cwalina</w:t>
      </w:r>
      <w:proofErr w:type="spellEnd"/>
      <w:r w:rsidRPr="00555AA3">
        <w:rPr>
          <w:sz w:val="14"/>
        </w:rPr>
        <w:t>, D. (2006</w:t>
      </w:r>
      <w:r w:rsidRPr="00555AA3">
        <w:rPr>
          <w:rStyle w:val="StyleUnderline"/>
        </w:rPr>
        <w:t xml:space="preserve">) </w:t>
      </w:r>
      <w:r w:rsidRPr="00555AA3">
        <w:rPr>
          <w:sz w:val="14"/>
        </w:rPr>
        <w:t>Impact of GFO Satellite on Naval Antisubmarine Warfare. In Emerging and Future Technologies for Space Based Operations Support to NATO Military Operations (pp. 9-1 – 9-26). Meeting Proceedings RTO-MP-RTB-SPSM-001, Paper 9. Neuilly-</w:t>
      </w:r>
      <w:proofErr w:type="spellStart"/>
      <w:r w:rsidRPr="00555AA3">
        <w:rPr>
          <w:sz w:val="14"/>
        </w:rPr>
        <w:t>sur</w:t>
      </w:r>
      <w:proofErr w:type="spellEnd"/>
      <w:r w:rsidRPr="00555AA3">
        <w:rPr>
          <w:sz w:val="14"/>
        </w:rPr>
        <w:t xml:space="preserve">-Seine, France: RTO. Available from: http://www.rto.nato.int/abstracts.asp. Impact of GFO Satellite on Naval Antisubmarine Warfare 9 - 2 RTO-MP-RTB-SPSM-001 UNCLASSIFIED/UNLIMITED UNCLASSIFIED/UNLIMITED </w:t>
      </w:r>
      <w:r w:rsidRPr="00555AA3">
        <w:rPr>
          <w:rStyle w:val="StyleUnderline"/>
        </w:rPr>
        <w:t>Understanding the ocean environment is imperative and directly coupled to the successful performance of ASW sensors and subsequent employment of an ASW weapon system</w:t>
      </w:r>
      <w:r w:rsidRPr="00555AA3">
        <w:rPr>
          <w:sz w:val="14"/>
        </w:rPr>
        <w:t>. In order to optimize the performance of ASW sensors and weapons systems</w:t>
      </w:r>
      <w:r w:rsidRPr="00555AA3">
        <w:rPr>
          <w:rStyle w:val="StyleUnderline"/>
        </w:rPr>
        <w:t>, it is crucial to gain an understanding of the acoustic wave propagation in the ocean. Having an accurate depiction of the ocean environment is therefore directly related to gaining a better understanding of the acoustic wave propagation</w:t>
      </w:r>
      <w:r w:rsidRPr="00555AA3">
        <w:rPr>
          <w:sz w:val="14"/>
        </w:rPr>
        <w:t xml:space="preserve">. How acoustic waves propagate from one location to another under water is determined by many factors, some of which are described by the sound speed profile (SSP). If the environmental properties of temperature and salinity are known over the entire depth range, the SSP can be compiled by using them in an empirical formula to calculate the expected sound speed in a vertical column of water. </w:t>
      </w:r>
      <w:r w:rsidRPr="00555AA3">
        <w:rPr>
          <w:rStyle w:val="StyleUnderline"/>
        </w:rPr>
        <w:t>The satellites use radiometers to measure the thermal radiation emitted by the sea surface</w:t>
      </w:r>
      <w:r w:rsidRPr="00555AA3">
        <w:rPr>
          <w:sz w:val="14"/>
        </w:rPr>
        <w:t xml:space="preserve"> (from which sea surface temperature is derived) </w:t>
      </w:r>
      <w:r w:rsidRPr="00555AA3">
        <w:rPr>
          <w:rStyle w:val="StyleUnderline"/>
        </w:rPr>
        <w:t>and radar altimeters to measure sea surface height</w:t>
      </w:r>
      <w:r w:rsidRPr="00555AA3">
        <w:rPr>
          <w:sz w:val="14"/>
        </w:rPr>
        <w:t xml:space="preserve"> (SSH). </w:t>
      </w:r>
      <w:r w:rsidRPr="00555AA3">
        <w:rPr>
          <w:rStyle w:val="StyleUnderline"/>
        </w:rPr>
        <w:t>The satellite data</w:t>
      </w:r>
      <w:r w:rsidRPr="00555AA3">
        <w:rPr>
          <w:sz w:val="14"/>
        </w:rPr>
        <w:t xml:space="preserve"> assimilation of SSH into MODAS was previously studied by Chu et al. (2004a) and Chu et al. (2006). Chu et al. (2004a) compared the acoustic coverage of the Generalized Digital Environmental Model (GDEM) and MODAS, with SSH data assimilation, and Perry found that MODAS provided more realistic acoustic coverage than GDEM. Mancini compared the acoustic coverage of MODAS, without SSH data assimilation, and MODAS, with SSH data assimilation. Mancini found that MODAS, with SSH assimilation, </w:t>
      </w:r>
      <w:r w:rsidRPr="00555AA3">
        <w:rPr>
          <w:rStyle w:val="StyleUnderline"/>
        </w:rPr>
        <w:t>provided more realistic acoustic coverage</w:t>
      </w:r>
      <w:r w:rsidRPr="00555AA3">
        <w:rPr>
          <w:sz w:val="14"/>
        </w:rPr>
        <w:t xml:space="preserve"> than MODAS, without SSH data assimilation. However, value-added of the Navy’s satellite (GFO) on the Naval ASW has not been studied. MODAS, with SSH data assimilation, gives a better depiction of the ocean environment. Altimeters that have different exact overhead repeat period will have different temporal and spatial resolutions. An altimeter’s capability to resolve </w:t>
      </w:r>
      <w:proofErr w:type="spellStart"/>
      <w:r w:rsidRPr="00555AA3">
        <w:rPr>
          <w:sz w:val="14"/>
        </w:rPr>
        <w:t>mesoscale</w:t>
      </w:r>
      <w:proofErr w:type="spellEnd"/>
      <w:r w:rsidRPr="00555AA3">
        <w:rPr>
          <w:sz w:val="14"/>
        </w:rPr>
        <w:t xml:space="preserve"> features in the ocean is directly relate to the altimeters exact overhead repeat period. MODAS fields derived from an altimeter with an exact overhead repeat pattern designed to detect </w:t>
      </w:r>
      <w:proofErr w:type="spellStart"/>
      <w:r w:rsidRPr="00555AA3">
        <w:rPr>
          <w:sz w:val="14"/>
        </w:rPr>
        <w:t>mesocale</w:t>
      </w:r>
      <w:proofErr w:type="spellEnd"/>
      <w:r w:rsidRPr="00555AA3">
        <w:rPr>
          <w:sz w:val="14"/>
        </w:rPr>
        <w:t xml:space="preserve"> features should be different from MODAS fields derived from an altimeter that is not designed to detect </w:t>
      </w:r>
      <w:proofErr w:type="spellStart"/>
      <w:r w:rsidRPr="00555AA3">
        <w:rPr>
          <w:sz w:val="14"/>
        </w:rPr>
        <w:t>mesocale</w:t>
      </w:r>
      <w:proofErr w:type="spellEnd"/>
      <w:r w:rsidRPr="00555AA3">
        <w:rPr>
          <w:sz w:val="14"/>
        </w:rPr>
        <w:t xml:space="preserve"> features, especially in regions of high </w:t>
      </w:r>
      <w:proofErr w:type="spellStart"/>
      <w:r w:rsidRPr="00555AA3">
        <w:rPr>
          <w:sz w:val="14"/>
        </w:rPr>
        <w:t>mesoscale</w:t>
      </w:r>
      <w:proofErr w:type="spellEnd"/>
      <w:r w:rsidRPr="00555AA3">
        <w:rPr>
          <w:sz w:val="14"/>
        </w:rPr>
        <w:t xml:space="preserve"> variability. Large differences in the MODAS fields are related to different depictions of the undersea environment. The differences in the depiction of undersea environment may then change the outcome of a tactical engagement. This study tries to answer the following question: What is the impact of the Navy’s satellite (GFO) on the Naval ASW? This question is answered through studying the sensitivity of an ASW weapon system of a naval ASW system, specifically the Mk 48 torpedo WAPP, to satellite altimeter orbit. The sensitivity analysis is conducted by examining the relative difference (RD) in the output of WAPP when two different SSP input fields. The only difference is how to establish these SSP fields, one from MODAS using TOPEX/POSEIDON (T/P) altimetry data and the other from MODAS using GFO altimetry data. The parameters in WAPP are held constant; therefore, any differences in the output were attributed to differences in the input. The two areas below (Figure1) are selected for analysis because of the high </w:t>
      </w:r>
      <w:proofErr w:type="spellStart"/>
      <w:r w:rsidRPr="00555AA3">
        <w:rPr>
          <w:sz w:val="14"/>
        </w:rPr>
        <w:t>mesocale</w:t>
      </w:r>
      <w:proofErr w:type="spellEnd"/>
      <w:r w:rsidRPr="00555AA3">
        <w:rPr>
          <w:sz w:val="14"/>
        </w:rPr>
        <w:t xml:space="preserve"> variability (Figure 2) and tactical significance. The northern box is hereby referred to as the East China Sea (ECS) and is bound by 25D N, 30D N, 120D E, and 130D E. The southern box is hereby referred to as the South China Sea (SCS) and is bound by 19D N, 23D N, 118D E, and 123D E. Data analysis was conducted in the ECS and SCS during the winter and summer of 2001. Six days (5, 10, 15, 20 25 and 30) and two months (JAN 2001 and JUL 2001) were selected for analysis in each box. A total of 24 cases (2 areas of interest, 2 months, and 6 days in each month) were analyzed</w:t>
      </w:r>
    </w:p>
    <w:p w:rsidR="000B1602" w:rsidRDefault="000B1602" w:rsidP="008C1B2E">
      <w:pPr>
        <w:rPr>
          <w:sz w:val="14"/>
        </w:rPr>
      </w:pPr>
    </w:p>
    <w:p w:rsidR="000B1602" w:rsidRDefault="000B1602" w:rsidP="008C1B2E">
      <w:pPr>
        <w:rPr>
          <w:sz w:val="14"/>
        </w:rPr>
      </w:pPr>
    </w:p>
    <w:p w:rsidR="000B1602" w:rsidRDefault="000B1602" w:rsidP="000B1602">
      <w:pPr>
        <w:pStyle w:val="Heading3"/>
      </w:pPr>
      <w:r>
        <w:t xml:space="preserve">Ocean </w:t>
      </w:r>
      <w:r w:rsidR="006B61A0">
        <w:t>Knowledge</w:t>
      </w:r>
      <w:r>
        <w:t xml:space="preserve"> – Exploration</w:t>
      </w:r>
    </w:p>
    <w:p w:rsidR="000B1602" w:rsidRDefault="000B1602" w:rsidP="000B1602">
      <w:pPr>
        <w:pStyle w:val="Heading4"/>
      </w:pPr>
      <w:r>
        <w:t>Increase in ocean knowledge is key to ASW.</w:t>
      </w:r>
    </w:p>
    <w:p w:rsidR="000B1602" w:rsidRPr="000B1602" w:rsidRDefault="000B1602" w:rsidP="000B1602">
      <w:r w:rsidRPr="000B1602">
        <w:rPr>
          <w:rStyle w:val="Style13ptBold"/>
        </w:rPr>
        <w:t xml:space="preserve">Harding and </w:t>
      </w:r>
      <w:proofErr w:type="spellStart"/>
      <w:r w:rsidRPr="000B1602">
        <w:rPr>
          <w:rStyle w:val="Style13ptBold"/>
        </w:rPr>
        <w:t>Rigney</w:t>
      </w:r>
      <w:proofErr w:type="spellEnd"/>
      <w:r w:rsidRPr="000B1602">
        <w:rPr>
          <w:rStyle w:val="Style13ptBold"/>
        </w:rPr>
        <w:t xml:space="preserve"> 6</w:t>
      </w:r>
      <w:r>
        <w:t xml:space="preserve">, </w:t>
      </w:r>
      <w:r w:rsidRPr="000B1602">
        <w:rPr>
          <w:sz w:val="16"/>
          <w:szCs w:val="16"/>
        </w:rPr>
        <w:t xml:space="preserve">(“OPERATIONAL OCEANOGRAPHY IN THE U.S. NAVY: A GODAE PERSPECTIVE”, John Harding and James </w:t>
      </w:r>
      <w:proofErr w:type="spellStart"/>
      <w:r w:rsidRPr="000B1602">
        <w:rPr>
          <w:sz w:val="16"/>
          <w:szCs w:val="16"/>
        </w:rPr>
        <w:t>Rigney</w:t>
      </w:r>
      <w:proofErr w:type="spellEnd"/>
      <w:r w:rsidRPr="000B1602">
        <w:rPr>
          <w:sz w:val="16"/>
          <w:szCs w:val="16"/>
        </w:rPr>
        <w:t xml:space="preserve"> - U.S. Naval Oceanographic Office, </w:t>
      </w:r>
      <w:proofErr w:type="spellStart"/>
      <w:r w:rsidRPr="000B1602">
        <w:rPr>
          <w:sz w:val="16"/>
          <w:szCs w:val="16"/>
        </w:rPr>
        <w:t>Stennis</w:t>
      </w:r>
      <w:proofErr w:type="spellEnd"/>
      <w:r w:rsidRPr="000B1602">
        <w:rPr>
          <w:sz w:val="16"/>
          <w:szCs w:val="16"/>
        </w:rPr>
        <w:t xml:space="preserve"> Space Center, 2006, </w:t>
      </w:r>
      <w:hyperlink r:id="rId8" w:history="1">
        <w:r w:rsidRPr="000B1602">
          <w:rPr>
            <w:rStyle w:val="Hyperlink"/>
            <w:sz w:val="16"/>
            <w:szCs w:val="16"/>
          </w:rPr>
          <w:t>http://coaps.fsu.edu/pub/eric/RSMAS/GODAE_School/GODAE_Book/Chap21-Harding.pdf</w:t>
        </w:r>
      </w:hyperlink>
      <w:r w:rsidRPr="000B1602">
        <w:rPr>
          <w:sz w:val="16"/>
          <w:szCs w:val="16"/>
        </w:rPr>
        <w:t>, GV)</w:t>
      </w:r>
    </w:p>
    <w:p w:rsidR="000B1602" w:rsidRDefault="000B1602" w:rsidP="000B1602">
      <w:pPr>
        <w:rPr>
          <w:sz w:val="16"/>
        </w:rPr>
      </w:pPr>
      <w:r w:rsidRPr="000B1602">
        <w:rPr>
          <w:rStyle w:val="StyleUnderline"/>
        </w:rPr>
        <w:t>Transformation</w:t>
      </w:r>
      <w:r w:rsidRPr="000B1602">
        <w:rPr>
          <w:sz w:val="16"/>
        </w:rPr>
        <w:t>, in response to the U.S. naval warfighter’s changing environmental needs</w:t>
      </w:r>
      <w:r w:rsidRPr="000B1602">
        <w:rPr>
          <w:rStyle w:val="StyleUnderline"/>
        </w:rPr>
        <w:t>, captures the essence of the evolution of U.S. Naval operational oceanography</w:t>
      </w:r>
      <w:r w:rsidRPr="000B1602">
        <w:rPr>
          <w:sz w:val="16"/>
        </w:rPr>
        <w:t xml:space="preserve">. From its 19th century genesis under Matthew Fontaine Maury and his immediate predecessors to the 21st century needs of today, operational oceanography has continued to adapt. U.S. naval oceanography first grew from Navy concerns for safety of navigation, more specifically the creation and archiving of navigational charts. By the middle of the 20th century, World War II required </w:t>
      </w:r>
      <w:r w:rsidRPr="000B1602">
        <w:rPr>
          <w:rStyle w:val="StyleUnderline"/>
        </w:rPr>
        <w:t>increasing oceanographic support for</w:t>
      </w:r>
      <w:r w:rsidRPr="000B1602">
        <w:rPr>
          <w:sz w:val="16"/>
        </w:rPr>
        <w:t xml:space="preserve"> mine warfare (MIW), amphibious warfare (AW), and </w:t>
      </w:r>
      <w:r w:rsidRPr="000B1602">
        <w:rPr>
          <w:rStyle w:val="StyleUnderline"/>
        </w:rPr>
        <w:t>antisubmarine warfa</w:t>
      </w:r>
      <w:r w:rsidRPr="000B1602">
        <w:rPr>
          <w:sz w:val="16"/>
        </w:rPr>
        <w:t>re (ASW) (</w:t>
      </w:r>
      <w:proofErr w:type="spellStart"/>
      <w:r w:rsidRPr="000B1602">
        <w:rPr>
          <w:sz w:val="16"/>
        </w:rPr>
        <w:t>Pinsel</w:t>
      </w:r>
      <w:proofErr w:type="spellEnd"/>
      <w:r w:rsidRPr="000B1602">
        <w:rPr>
          <w:sz w:val="16"/>
        </w:rPr>
        <w:t xml:space="preserve">, 1982). </w:t>
      </w:r>
      <w:r w:rsidRPr="000B1602">
        <w:rPr>
          <w:rStyle w:val="StyleUnderline"/>
        </w:rPr>
        <w:t>With the threat of undersea launched nuclear missiles, ASW became the dominant concern of naval operational oceanography</w:t>
      </w:r>
      <w:r w:rsidRPr="000B1602">
        <w:rPr>
          <w:sz w:val="16"/>
        </w:rPr>
        <w:t xml:space="preserve"> in the last half of the 20th century through the end of the Cold War in the late 1980s. 468 JOHN HARDING AND JAMES RIGNEY With the Cold War over, Navy leadership again reemphasized the importance of </w:t>
      </w:r>
      <w:proofErr w:type="spellStart"/>
      <w:r w:rsidRPr="000B1602">
        <w:rPr>
          <w:sz w:val="16"/>
        </w:rPr>
        <w:t>nearshore</w:t>
      </w:r>
      <w:proofErr w:type="spellEnd"/>
      <w:r w:rsidRPr="000B1602">
        <w:rPr>
          <w:sz w:val="16"/>
        </w:rPr>
        <w:t xml:space="preserve"> warfare requirements (Dalton et al., 1994; Kelso et al., 1992) such as MIW and AW and with a growing important role for naval special warfare (NSW). </w:t>
      </w:r>
      <w:r w:rsidRPr="000B1602">
        <w:rPr>
          <w:rStyle w:val="StyleUnderline"/>
        </w:rPr>
        <w:t>ASW</w:t>
      </w:r>
      <w:r w:rsidRPr="000B1602">
        <w:rPr>
          <w:sz w:val="16"/>
        </w:rPr>
        <w:t xml:space="preserve">, no longer the dominant warfare area, </w:t>
      </w:r>
      <w:r w:rsidRPr="000B1602">
        <w:rPr>
          <w:rStyle w:val="StyleUnderline"/>
        </w:rPr>
        <w:t>remained a significant requirement and again has arisen in importance in the 21st century</w:t>
      </w:r>
      <w:r w:rsidRPr="000B1602">
        <w:rPr>
          <w:sz w:val="16"/>
        </w:rPr>
        <w:t xml:space="preserve"> (</w:t>
      </w:r>
      <w:proofErr w:type="spellStart"/>
      <w:r w:rsidRPr="000B1602">
        <w:rPr>
          <w:sz w:val="16"/>
        </w:rPr>
        <w:t>Kreisher</w:t>
      </w:r>
      <w:proofErr w:type="spellEnd"/>
      <w:r w:rsidRPr="000B1602">
        <w:rPr>
          <w:sz w:val="16"/>
        </w:rPr>
        <w:t xml:space="preserve">, 2004). Technological change has greatly influenced the nature of these transformations. The longer time scales of </w:t>
      </w:r>
      <w:r w:rsidRPr="000B1602">
        <w:rPr>
          <w:rStyle w:val="StyleUnderline"/>
        </w:rPr>
        <w:t>navigational charting and ocean data base creation</w:t>
      </w:r>
      <w:r w:rsidRPr="000B1602">
        <w:rPr>
          <w:sz w:val="16"/>
        </w:rPr>
        <w:t xml:space="preserve">, while still important, </w:t>
      </w:r>
      <w:r w:rsidRPr="000B1602">
        <w:rPr>
          <w:rStyle w:val="StyleUnderline"/>
        </w:rPr>
        <w:t xml:space="preserve">are being superseded by more immediate response capabilities where near-real-time oceanographic knowledge can now provide relevant environmental information </w:t>
      </w:r>
      <w:r w:rsidRPr="000B1602">
        <w:rPr>
          <w:sz w:val="16"/>
        </w:rPr>
        <w:t xml:space="preserve">within the warfighter’s tactical decision loop (Burnett et al., 2002). Key to this faster response time is the operational oceanographer’s ability to understand the language and needs of the warfighter. </w:t>
      </w:r>
      <w:r w:rsidRPr="000B1602">
        <w:rPr>
          <w:rStyle w:val="StyleUnderline"/>
        </w:rPr>
        <w:t>This ability allows the translation of oceanographic knowledge into operationally significant information, allowing the warfighter to more efficiently and safely perform his job</w:t>
      </w:r>
      <w:r w:rsidRPr="000B1602">
        <w:rPr>
          <w:sz w:val="16"/>
        </w:rPr>
        <w:t xml:space="preserve">. Participation by the U.S. Navy in the Global Ocean Data Assimilation Experiment (GODAE) is a key element in providing these relevant, real-time products. While the regions within ~200 km of coastal regions are presently major concerns for the U.S. Navy, the GODAE emphasis, namely the creation of assimilative global and regional ocean prediction capability (Smith and Lefebvre, 1997), is also required. </w:t>
      </w:r>
      <w:r w:rsidRPr="000B1602">
        <w:rPr>
          <w:rStyle w:val="StyleUnderline"/>
        </w:rPr>
        <w:t>These larger domain prediction systems can supply important information to open-ocean ASW needs</w:t>
      </w:r>
      <w:r w:rsidRPr="000B1602">
        <w:rPr>
          <w:sz w:val="16"/>
        </w:rPr>
        <w:t xml:space="preserve">, provide boundary conditions to high resolution coastal models, and eventually supply global capability of sufficiently high horizontal resolution to be directly applicable to the warfighter in </w:t>
      </w:r>
      <w:proofErr w:type="spellStart"/>
      <w:r w:rsidRPr="000B1602">
        <w:rPr>
          <w:sz w:val="16"/>
        </w:rPr>
        <w:t>nearshore</w:t>
      </w:r>
      <w:proofErr w:type="spellEnd"/>
      <w:r w:rsidRPr="000B1602">
        <w:rPr>
          <w:sz w:val="16"/>
        </w:rPr>
        <w:t xml:space="preserve"> areas. </w:t>
      </w:r>
    </w:p>
    <w:p w:rsidR="006B61A0" w:rsidRDefault="006B61A0" w:rsidP="000B1602">
      <w:pPr>
        <w:rPr>
          <w:sz w:val="16"/>
        </w:rPr>
      </w:pPr>
    </w:p>
    <w:p w:rsidR="006B61A0" w:rsidRDefault="006B61A0" w:rsidP="006B61A0">
      <w:pPr>
        <w:pStyle w:val="Heading2"/>
      </w:pPr>
      <w:r>
        <w:t>Impact</w:t>
      </w:r>
    </w:p>
    <w:p w:rsidR="006B61A0" w:rsidRDefault="0010584F" w:rsidP="006B61A0">
      <w:pPr>
        <w:pStyle w:val="Heading4"/>
      </w:pPr>
      <w:r>
        <w:t>Anti-</w:t>
      </w:r>
      <w:r w:rsidR="006B61A0">
        <w:t>submarine warfare decreases stability.</w:t>
      </w:r>
    </w:p>
    <w:p w:rsidR="006B61A0" w:rsidRPr="006B61A0" w:rsidRDefault="006B61A0" w:rsidP="006B61A0">
      <w:pPr>
        <w:rPr>
          <w:sz w:val="16"/>
          <w:szCs w:val="16"/>
        </w:rPr>
      </w:pPr>
      <w:proofErr w:type="spellStart"/>
      <w:r w:rsidRPr="006B61A0">
        <w:rPr>
          <w:rStyle w:val="Style13ptBold"/>
        </w:rPr>
        <w:t>Kokoshin</w:t>
      </w:r>
      <w:proofErr w:type="spellEnd"/>
      <w:r w:rsidRPr="006B61A0">
        <w:rPr>
          <w:rStyle w:val="Style13ptBold"/>
        </w:rPr>
        <w:t xml:space="preserve"> 11,</w:t>
      </w:r>
      <w:r>
        <w:t xml:space="preserve"> </w:t>
      </w:r>
      <w:r w:rsidRPr="006B61A0">
        <w:rPr>
          <w:sz w:val="16"/>
          <w:szCs w:val="16"/>
        </w:rPr>
        <w:t xml:space="preserve">(“Ensuring Strategic Stability in the Past and Present: Theoretical and Applied Questions”, Andrei- </w:t>
      </w:r>
      <w:proofErr w:type="spellStart"/>
      <w:r w:rsidRPr="006B61A0">
        <w:rPr>
          <w:sz w:val="16"/>
          <w:szCs w:val="16"/>
        </w:rPr>
        <w:t>Belfer</w:t>
      </w:r>
      <w:proofErr w:type="spellEnd"/>
      <w:r w:rsidRPr="006B61A0">
        <w:rPr>
          <w:sz w:val="16"/>
          <w:szCs w:val="16"/>
        </w:rPr>
        <w:t xml:space="preserve"> Center for Science and International Affairs</w:t>
      </w:r>
      <w:r>
        <w:rPr>
          <w:sz w:val="16"/>
          <w:szCs w:val="16"/>
        </w:rPr>
        <w:t xml:space="preserve"> </w:t>
      </w:r>
      <w:r w:rsidRPr="006B61A0">
        <w:rPr>
          <w:sz w:val="16"/>
          <w:szCs w:val="16"/>
        </w:rPr>
        <w:t xml:space="preserve">Harvard Kennedy School, June 2011, </w:t>
      </w:r>
      <w:hyperlink r:id="rId9" w:history="1">
        <w:r w:rsidRPr="006B61A0">
          <w:rPr>
            <w:rStyle w:val="Hyperlink"/>
            <w:sz w:val="16"/>
            <w:szCs w:val="16"/>
          </w:rPr>
          <w:t>http://belfercenter.ksg.harvard.edu/files/Ensuring%20Strategic%20Stability%20by%20A.%20Kokoshin.pdf</w:t>
        </w:r>
      </w:hyperlink>
      <w:r w:rsidRPr="006B61A0">
        <w:rPr>
          <w:sz w:val="16"/>
          <w:szCs w:val="16"/>
        </w:rPr>
        <w:t>, GV)</w:t>
      </w:r>
      <w:r>
        <w:rPr>
          <w:sz w:val="16"/>
          <w:szCs w:val="16"/>
        </w:rPr>
        <w:t xml:space="preserve"> </w:t>
      </w:r>
    </w:p>
    <w:p w:rsidR="006B61A0" w:rsidRDefault="006B61A0" w:rsidP="006B61A0">
      <w:pPr>
        <w:rPr>
          <w:sz w:val="16"/>
        </w:rPr>
      </w:pPr>
      <w:r w:rsidRPr="006B61A0">
        <w:rPr>
          <w:rStyle w:val="StyleUnderline"/>
        </w:rPr>
        <w:t>Strategic stability has one more problem component</w:t>
      </w:r>
      <w:r w:rsidRPr="006B61A0">
        <w:rPr>
          <w:sz w:val="16"/>
        </w:rPr>
        <w:t xml:space="preserve">, </w:t>
      </w:r>
      <w:r w:rsidRPr="006B61A0">
        <w:rPr>
          <w:rStyle w:val="StyleUnderline"/>
        </w:rPr>
        <w:t>which</w:t>
      </w:r>
      <w:r w:rsidRPr="006B61A0">
        <w:rPr>
          <w:sz w:val="16"/>
        </w:rPr>
        <w:t xml:space="preserve"> definitely </w:t>
      </w:r>
      <w:r w:rsidRPr="006B61A0">
        <w:rPr>
          <w:rStyle w:val="StyleUnderline"/>
        </w:rPr>
        <w:t>requires more attention</w:t>
      </w:r>
      <w:r w:rsidRPr="006B61A0">
        <w:rPr>
          <w:sz w:val="16"/>
        </w:rPr>
        <w:t xml:space="preserve"> in most instances. </w:t>
      </w:r>
      <w:r w:rsidRPr="006B61A0">
        <w:rPr>
          <w:rStyle w:val="StyleUnderline"/>
        </w:rPr>
        <w:t>This is the activity of anti-submarine force</w:t>
      </w:r>
      <w:r w:rsidRPr="006B61A0">
        <w:rPr>
          <w:sz w:val="16"/>
        </w:rPr>
        <w:t xml:space="preserve">s of the sides, </w:t>
      </w:r>
      <w:r w:rsidRPr="006B61A0">
        <w:rPr>
          <w:rStyle w:val="StyleUnderline"/>
        </w:rPr>
        <w:t>which</w:t>
      </w:r>
      <w:r w:rsidRPr="006B61A0">
        <w:rPr>
          <w:sz w:val="16"/>
        </w:rPr>
        <w:t xml:space="preserve"> in fact </w:t>
      </w:r>
      <w:r w:rsidRPr="006B61A0">
        <w:rPr>
          <w:rStyle w:val="StyleUnderline"/>
        </w:rPr>
        <w:t>can seriously destabilize the situation</w:t>
      </w:r>
      <w:r w:rsidRPr="006B61A0">
        <w:rPr>
          <w:sz w:val="16"/>
        </w:rPr>
        <w:t xml:space="preserve">. And, needless to say, </w:t>
      </w:r>
      <w:r w:rsidRPr="006B61A0">
        <w:rPr>
          <w:rStyle w:val="StyleUnderline"/>
        </w:rPr>
        <w:t>there is always a risk of a collision of submarines</w:t>
      </w:r>
      <w:r w:rsidRPr="006B61A0">
        <w:rPr>
          <w:sz w:val="16"/>
        </w:rPr>
        <w:t xml:space="preserve">, both attack and strategic submarines. It was </w:t>
      </w:r>
      <w:r w:rsidRPr="006B61A0">
        <w:rPr>
          <w:rStyle w:val="StyleUnderline"/>
        </w:rPr>
        <w:t xml:space="preserve">once </w:t>
      </w:r>
      <w:r w:rsidRPr="006B61A0">
        <w:rPr>
          <w:sz w:val="16"/>
        </w:rPr>
        <w:t xml:space="preserve">again proven when </w:t>
      </w:r>
      <w:r w:rsidRPr="006B61A0">
        <w:rPr>
          <w:rStyle w:val="StyleUnderline"/>
        </w:rPr>
        <w:t>two missile-carrying nuclear submarines</w:t>
      </w:r>
      <w:r w:rsidRPr="006B61A0">
        <w:rPr>
          <w:sz w:val="16"/>
        </w:rPr>
        <w:t>—French (</w:t>
      </w:r>
      <w:proofErr w:type="spellStart"/>
      <w:r w:rsidRPr="006B61A0">
        <w:rPr>
          <w:sz w:val="16"/>
        </w:rPr>
        <w:t>Triomphant</w:t>
      </w:r>
      <w:proofErr w:type="spellEnd"/>
      <w:r w:rsidRPr="006B61A0">
        <w:rPr>
          <w:sz w:val="16"/>
        </w:rPr>
        <w:t>-class) and British (Vanguard-class)—</w:t>
      </w:r>
      <w:r w:rsidRPr="006B61A0">
        <w:rPr>
          <w:rStyle w:val="StyleUnderline"/>
        </w:rPr>
        <w:t>collided</w:t>
      </w:r>
      <w:r w:rsidRPr="006B61A0">
        <w:rPr>
          <w:sz w:val="16"/>
        </w:rPr>
        <w:t xml:space="preserve"> in the Atlantic on 3 February 2009.111 </w:t>
      </w:r>
      <w:r w:rsidRPr="006B61A0">
        <w:rPr>
          <w:rStyle w:val="StyleUnderline"/>
        </w:rPr>
        <w:t>Repeated attempts by the Russian side to raise the question of antisubmarine activities in strategic submarine patrol areas were rejected by the U.S</w:t>
      </w:r>
      <w:r w:rsidRPr="006B61A0">
        <w:rPr>
          <w:sz w:val="16"/>
        </w:rPr>
        <w:t xml:space="preserve">. side </w:t>
      </w:r>
      <w:r w:rsidRPr="006B61A0">
        <w:rPr>
          <w:rStyle w:val="StyleUnderline"/>
        </w:rPr>
        <w:t>without any rational arguments with relation to common interests concerning securing of strategic stability</w:t>
      </w:r>
      <w:r w:rsidRPr="006B61A0">
        <w:rPr>
          <w:sz w:val="16"/>
        </w:rPr>
        <w:t xml:space="preserve">. In particular, the Soviet side suggested that the Soviet Union and the United States should reach </w:t>
      </w:r>
      <w:r w:rsidRPr="006B61A0">
        <w:rPr>
          <w:rStyle w:val="StyleUnderline"/>
        </w:rPr>
        <w:t>an agreement</w:t>
      </w:r>
      <w:r w:rsidRPr="006B61A0">
        <w:rPr>
          <w:sz w:val="16"/>
        </w:rPr>
        <w:t xml:space="preserve"> on establishment of special zones (for strategic missile-carrying submarines on combat patrol missions), </w:t>
      </w:r>
      <w:r w:rsidRPr="006B61A0">
        <w:rPr>
          <w:rStyle w:val="StyleUnderline"/>
        </w:rPr>
        <w:t>where any antisubmarine activities of the other side would be prohibited.</w:t>
      </w:r>
      <w:r w:rsidRPr="006B61A0">
        <w:rPr>
          <w:sz w:val="16"/>
        </w:rPr>
        <w:t xml:space="preserve"> T</w:t>
      </w:r>
      <w:r w:rsidRPr="006B61A0">
        <w:rPr>
          <w:rStyle w:val="StyleUnderline"/>
        </w:rPr>
        <w:t>he major challenge related to accomplishment of this task is development of proper verification procedures and measures to control the abidance by such agreement.</w:t>
      </w:r>
      <w:r w:rsidRPr="006B61A0">
        <w:rPr>
          <w:sz w:val="16"/>
        </w:rPr>
        <w:t xml:space="preserve"> However, discussion of this issue while preparing for the U.S.-Russia talks seems expedient. Due to the reduction of the number of Russia’s strategic missile-carrying submarines, this issue is even more topical for us. On 25 May 1972, the U.S. and Soviet Governments signed the U.S.-Soviet Incidents at Sea Agreement (which was modified and amended in 1979 and 1986 by mutual agreement of the parties). This agreement played an important role in securing strategic stability and resulted in a drastic reduction of the number of incidents involving ship and aircraft collisions. </w:t>
      </w:r>
    </w:p>
    <w:p w:rsidR="0010584F" w:rsidRDefault="0010584F" w:rsidP="006B61A0">
      <w:pPr>
        <w:rPr>
          <w:sz w:val="16"/>
        </w:rPr>
      </w:pPr>
    </w:p>
    <w:p w:rsidR="0010584F" w:rsidRDefault="0010584F" w:rsidP="0010584F">
      <w:pPr>
        <w:pStyle w:val="Heading4"/>
      </w:pPr>
      <w:r>
        <w:t>Collapse of strategic stability leads to nuclear war</w:t>
      </w:r>
    </w:p>
    <w:p w:rsidR="0010584F" w:rsidRPr="0010584F" w:rsidRDefault="0010584F" w:rsidP="0010584F">
      <w:pPr>
        <w:rPr>
          <w:sz w:val="16"/>
          <w:szCs w:val="16"/>
        </w:rPr>
      </w:pPr>
      <w:proofErr w:type="spellStart"/>
      <w:r w:rsidRPr="006B61A0">
        <w:rPr>
          <w:rStyle w:val="Style13ptBold"/>
        </w:rPr>
        <w:t>Kokoshin</w:t>
      </w:r>
      <w:proofErr w:type="spellEnd"/>
      <w:r w:rsidRPr="006B61A0">
        <w:rPr>
          <w:rStyle w:val="Style13ptBold"/>
        </w:rPr>
        <w:t xml:space="preserve"> 11,</w:t>
      </w:r>
      <w:r>
        <w:t xml:space="preserve"> </w:t>
      </w:r>
      <w:r w:rsidRPr="006B61A0">
        <w:rPr>
          <w:sz w:val="16"/>
          <w:szCs w:val="16"/>
        </w:rPr>
        <w:t xml:space="preserve">(“Ensuring Strategic Stability in the Past and Present: Theoretical and Applied Questions”, Andrei- </w:t>
      </w:r>
      <w:proofErr w:type="spellStart"/>
      <w:r w:rsidRPr="006B61A0">
        <w:rPr>
          <w:sz w:val="16"/>
          <w:szCs w:val="16"/>
        </w:rPr>
        <w:t>Belfer</w:t>
      </w:r>
      <w:proofErr w:type="spellEnd"/>
      <w:r w:rsidRPr="006B61A0">
        <w:rPr>
          <w:sz w:val="16"/>
          <w:szCs w:val="16"/>
        </w:rPr>
        <w:t xml:space="preserve"> Center for Science and International Affairs</w:t>
      </w:r>
      <w:r>
        <w:rPr>
          <w:sz w:val="16"/>
          <w:szCs w:val="16"/>
        </w:rPr>
        <w:t xml:space="preserve"> </w:t>
      </w:r>
      <w:r w:rsidRPr="006B61A0">
        <w:rPr>
          <w:sz w:val="16"/>
          <w:szCs w:val="16"/>
        </w:rPr>
        <w:t xml:space="preserve">Harvard Kennedy School, June 2011, </w:t>
      </w:r>
      <w:hyperlink r:id="rId10" w:history="1">
        <w:r w:rsidRPr="006B61A0">
          <w:rPr>
            <w:rStyle w:val="Hyperlink"/>
            <w:sz w:val="16"/>
            <w:szCs w:val="16"/>
          </w:rPr>
          <w:t>http://belfercenter.ksg.harvard.edu/files/Ensuring%20Strategic%20Stability%20by%20A.%20Kokoshin.pdf</w:t>
        </w:r>
      </w:hyperlink>
      <w:r w:rsidRPr="006B61A0">
        <w:rPr>
          <w:sz w:val="16"/>
          <w:szCs w:val="16"/>
        </w:rPr>
        <w:t>, GV)</w:t>
      </w:r>
      <w:r>
        <w:rPr>
          <w:sz w:val="16"/>
          <w:szCs w:val="16"/>
        </w:rPr>
        <w:t xml:space="preserve"> </w:t>
      </w:r>
    </w:p>
    <w:p w:rsidR="0010584F" w:rsidRDefault="0010584F" w:rsidP="0010584F">
      <w:pPr>
        <w:rPr>
          <w:rStyle w:val="StyleUnderline"/>
        </w:rPr>
      </w:pPr>
      <w:r w:rsidRPr="0010584F">
        <w:rPr>
          <w:rStyle w:val="StyleUnderline"/>
        </w:rPr>
        <w:t>The core of the modern military and strategic balance is its most</w:t>
      </w:r>
      <w:r w:rsidRPr="0010584F">
        <w:rPr>
          <w:sz w:val="14"/>
        </w:rPr>
        <w:t xml:space="preserve"> dangerous and destructive component: nuclear forces and means, starting with strategic assets. In this context, there are very close connections among the two sides’ separate offensive and defensive forces and within each of their military forces. At the same time, </w:t>
      </w:r>
      <w:r w:rsidRPr="0010584F">
        <w:rPr>
          <w:rStyle w:val="StyleUnderline"/>
        </w:rPr>
        <w:t>the stability of the balance</w:t>
      </w:r>
      <w:r w:rsidRPr="0010584F">
        <w:rPr>
          <w:sz w:val="14"/>
        </w:rPr>
        <w:t xml:space="preserve">, especially in the event of nuclear stalemate, </w:t>
      </w:r>
      <w:r w:rsidRPr="0010584F">
        <w:rPr>
          <w:rStyle w:val="StyleUnderline"/>
        </w:rPr>
        <w:t>is essentially influenced by their general-purpose forces and conventional arms. The concept of stability is implied to estimate how easy it is to startle and destabilize a system</w:t>
      </w:r>
      <w:r w:rsidRPr="0010584F">
        <w:rPr>
          <w:sz w:val="14"/>
        </w:rPr>
        <w:t xml:space="preserve">—in this instance, the super-system of strategic nuclear interaction—out of its current state.27 </w:t>
      </w:r>
      <w:r w:rsidRPr="0010584F">
        <w:rPr>
          <w:rStyle w:val="StyleUnderline"/>
        </w:rPr>
        <w:t>This concept</w:t>
      </w:r>
      <w:r w:rsidRPr="0010584F">
        <w:rPr>
          <w:sz w:val="14"/>
        </w:rPr>
        <w:t xml:space="preserve"> logically </w:t>
      </w:r>
      <w:r w:rsidRPr="0010584F">
        <w:rPr>
          <w:rStyle w:val="StyleUnderline"/>
        </w:rPr>
        <w:t>implies an estimate of the risk of an outbreak of nuclear war</w:t>
      </w:r>
      <w:r w:rsidRPr="0010584F">
        <w:rPr>
          <w:sz w:val="14"/>
        </w:rPr>
        <w:t xml:space="preserve">, </w:t>
      </w:r>
      <w:r w:rsidRPr="0010584F">
        <w:rPr>
          <w:rStyle w:val="StyleUnderline"/>
        </w:rPr>
        <w:t>in view of the given correlation and structure</w:t>
      </w:r>
      <w:r w:rsidRPr="0010584F">
        <w:rPr>
          <w:sz w:val="14"/>
        </w:rPr>
        <w:t xml:space="preserve"> of the parties’ military forces and, first and foremost, the strategic potential of those forces. </w:t>
      </w:r>
      <w:r w:rsidRPr="0010584F">
        <w:rPr>
          <w:rStyle w:val="StyleUnderline"/>
        </w:rPr>
        <w:t>The main aspect of stability is the existence of a certain potential barrier that, if cleared as a result of some external disturbance, would cause the transition of the strategic military super-system into a qualitatively new state</w:t>
      </w:r>
      <w:r w:rsidRPr="0010584F">
        <w:rPr>
          <w:sz w:val="14"/>
        </w:rPr>
        <w:t xml:space="preserve">—from the typical interactions of peacetime to the interactions that are characteristic of the fundamentally different logic of military conflict, a </w:t>
      </w:r>
      <w:r w:rsidRPr="0010584F">
        <w:rPr>
          <w:rStyle w:val="StyleUnderline"/>
        </w:rPr>
        <w:t>logic that leads to a nuclear</w:t>
      </w:r>
      <w:r w:rsidRPr="0010584F">
        <w:rPr>
          <w:sz w:val="14"/>
        </w:rPr>
        <w:t xml:space="preserve">, strategic </w:t>
      </w:r>
      <w:r w:rsidRPr="0010584F">
        <w:rPr>
          <w:rStyle w:val="StyleUnderline"/>
        </w:rPr>
        <w:t>war.</w:t>
      </w:r>
    </w:p>
    <w:p w:rsidR="00E41BA5" w:rsidRDefault="00E41BA5" w:rsidP="0010584F">
      <w:pPr>
        <w:rPr>
          <w:rStyle w:val="StyleUnderline"/>
        </w:rPr>
      </w:pPr>
    </w:p>
    <w:p w:rsidR="00E41BA5" w:rsidRDefault="00E41BA5" w:rsidP="00E41BA5">
      <w:pPr>
        <w:pStyle w:val="Heading4"/>
      </w:pPr>
      <w:r w:rsidRPr="00E41BA5">
        <w:t>ASW capabilities put countries on hair trigger alert and make a first strike inevitable.</w:t>
      </w:r>
    </w:p>
    <w:p w:rsidR="00E41BA5" w:rsidRPr="00E41BA5" w:rsidRDefault="00E41BA5" w:rsidP="00E41BA5">
      <w:pPr>
        <w:rPr>
          <w:sz w:val="16"/>
          <w:szCs w:val="16"/>
        </w:rPr>
      </w:pPr>
      <w:proofErr w:type="spellStart"/>
      <w:r w:rsidRPr="00E41BA5">
        <w:rPr>
          <w:rStyle w:val="Style13ptBold"/>
        </w:rPr>
        <w:t>Uhlig</w:t>
      </w:r>
      <w:proofErr w:type="spellEnd"/>
      <w:r w:rsidRPr="00E41BA5">
        <w:rPr>
          <w:rStyle w:val="Style13ptBold"/>
        </w:rPr>
        <w:t xml:space="preserve"> 83</w:t>
      </w:r>
      <w:r>
        <w:t xml:space="preserve">, </w:t>
      </w:r>
      <w:r w:rsidRPr="00E41BA5">
        <w:rPr>
          <w:sz w:val="16"/>
          <w:szCs w:val="16"/>
        </w:rPr>
        <w:t xml:space="preserve">(“BEFORE HIGH NOON”, Mark - associate editor of Foreign Affairs, The New York Times, December 6, 1983, </w:t>
      </w:r>
      <w:hyperlink r:id="rId11" w:history="1">
        <w:r w:rsidRPr="00E41BA5">
          <w:rPr>
            <w:rStyle w:val="Hyperlink"/>
            <w:sz w:val="16"/>
            <w:szCs w:val="16"/>
          </w:rPr>
          <w:t>http://www.nytimes.com/1983/12/06/opinion/before-high-noon.html</w:t>
        </w:r>
      </w:hyperlink>
      <w:r w:rsidRPr="00E41BA5">
        <w:rPr>
          <w:sz w:val="16"/>
          <w:szCs w:val="16"/>
        </w:rPr>
        <w:t xml:space="preserve"> GV)</w:t>
      </w:r>
    </w:p>
    <w:p w:rsidR="00E41BA5" w:rsidRPr="00E41BA5" w:rsidRDefault="00E41BA5" w:rsidP="00E41BA5">
      <w:pPr>
        <w:rPr>
          <w:sz w:val="14"/>
        </w:rPr>
      </w:pPr>
      <w:r w:rsidRPr="00E41BA5">
        <w:rPr>
          <w:sz w:val="14"/>
        </w:rPr>
        <w:t xml:space="preserve">A second crucial arms-control tool spurned by the Administration is negotiation toward the banning or restriction of missile flight tests. Such tests are essential for further development of the highly accurate ''silo- busting'' missiles that can reliably destroy an adversary's weapons sites. A flight-test ban would thus greatly inhibit the acquisition of first- strike capabilities. It would also help block testing of ''depressed-trajectory'' flight paths, which would shorten the flight time of submarine-launched missiles in order to help achieve surprise in a first strike. In other areas, </w:t>
      </w:r>
      <w:r w:rsidRPr="00E41BA5">
        <w:rPr>
          <w:rStyle w:val="StyleUnderline"/>
        </w:rPr>
        <w:t>we can still contain</w:t>
      </w:r>
      <w:r w:rsidRPr="00E41BA5">
        <w:rPr>
          <w:sz w:val="14"/>
        </w:rPr>
        <w:t xml:space="preserve"> - if not prevent - qualitative </w:t>
      </w:r>
      <w:r w:rsidRPr="00E41BA5">
        <w:rPr>
          <w:rStyle w:val="StyleUnderline"/>
        </w:rPr>
        <w:t>improvements. One is</w:t>
      </w:r>
      <w:r w:rsidRPr="00E41BA5">
        <w:rPr>
          <w:sz w:val="14"/>
        </w:rPr>
        <w:t xml:space="preserve"> submarine detection and </w:t>
      </w:r>
      <w:r w:rsidRPr="00E41BA5">
        <w:rPr>
          <w:rStyle w:val="StyleUnderline"/>
        </w:rPr>
        <w:t>anti-submarine warfare</w:t>
      </w:r>
      <w:r w:rsidRPr="00E41BA5">
        <w:rPr>
          <w:sz w:val="14"/>
        </w:rPr>
        <w:t xml:space="preserve"> - </w:t>
      </w:r>
      <w:r w:rsidRPr="00E41BA5">
        <w:rPr>
          <w:rStyle w:val="StyleUnderline"/>
        </w:rPr>
        <w:t>a field in which a major technological breakthrough could overturn the nuclear balance virtually overnight</w:t>
      </w:r>
      <w:r w:rsidRPr="00E41BA5">
        <w:rPr>
          <w:sz w:val="14"/>
        </w:rPr>
        <w:t>. This risk could be hedged considerably by negotiation of so-called submarine sanctuaries, which would protect submarine-based deterrent forces by p</w:t>
      </w:r>
      <w:bookmarkStart w:id="0" w:name="_GoBack"/>
      <w:bookmarkEnd w:id="0"/>
      <w:r w:rsidRPr="00E41BA5">
        <w:rPr>
          <w:sz w:val="14"/>
        </w:rPr>
        <w:t xml:space="preserve">lacing them in large, specified ocean areas where enemy access is restricted. Finally, on a much broader level, </w:t>
      </w:r>
      <w:r w:rsidRPr="00E41BA5">
        <w:rPr>
          <w:rStyle w:val="StyleUnderline"/>
        </w:rPr>
        <w:t xml:space="preserve">sustained efforts must be made to ne </w:t>
      </w:r>
      <w:proofErr w:type="spellStart"/>
      <w:r w:rsidRPr="00E41BA5">
        <w:rPr>
          <w:rStyle w:val="StyleUnderline"/>
        </w:rPr>
        <w:t>gotiate</w:t>
      </w:r>
      <w:proofErr w:type="spellEnd"/>
      <w:r w:rsidRPr="00E41BA5">
        <w:rPr>
          <w:rStyle w:val="StyleUnderline"/>
        </w:rPr>
        <w:t xml:space="preserve"> new ways of monitoring and verifying all categories of nuclear weapons activity. </w:t>
      </w:r>
      <w:r w:rsidRPr="00E41BA5">
        <w:rPr>
          <w:sz w:val="14"/>
        </w:rPr>
        <w:t xml:space="preserve">The verification question governs virtually all aspects of arms control, because it defines the boundaries of confident negotiation. Yet, the major obstacles to progress in this field - on-site inspection of weapons facilities, for example - arise from political, rather than technical, considerations. Even modest progress on such issues could thus make possible a wide variety of new and effective arms restrictions. In the absence of these kinds of initiatives, we are headed for a very different strategic world - one in which few of the current restraints against nuclear war will apply. The initial steps toward a first-strike capability already have been made on both sides, in the advanced Soviet SS-18 and American MX missile programs. The </w:t>
      </w:r>
      <w:r w:rsidRPr="00E41BA5">
        <w:rPr>
          <w:rStyle w:val="StyleUnderline"/>
        </w:rPr>
        <w:t>real dangers</w:t>
      </w:r>
      <w:r w:rsidRPr="00E41BA5">
        <w:rPr>
          <w:sz w:val="14"/>
        </w:rPr>
        <w:t xml:space="preserve">, however, </w:t>
      </w:r>
      <w:r w:rsidRPr="00E41BA5">
        <w:rPr>
          <w:rStyle w:val="StyleUnderline"/>
        </w:rPr>
        <w:t>lie ahead</w:t>
      </w:r>
      <w:r w:rsidRPr="00E41BA5">
        <w:rPr>
          <w:sz w:val="14"/>
        </w:rPr>
        <w:t xml:space="preserve">, </w:t>
      </w:r>
      <w:r w:rsidRPr="00E41BA5">
        <w:rPr>
          <w:rStyle w:val="StyleUnderline"/>
        </w:rPr>
        <w:t>when development of</w:t>
      </w:r>
      <w:r w:rsidRPr="00E41BA5">
        <w:rPr>
          <w:sz w:val="14"/>
        </w:rPr>
        <w:t xml:space="preserve"> terminally guided warheads, advanced </w:t>
      </w:r>
      <w:r w:rsidRPr="00E41BA5">
        <w:rPr>
          <w:rStyle w:val="StyleUnderline"/>
        </w:rPr>
        <w:t>anti-submarine warfare</w:t>
      </w:r>
      <w:r w:rsidRPr="00E41BA5">
        <w:rPr>
          <w:sz w:val="14"/>
        </w:rPr>
        <w:t xml:space="preserve"> and other attack technologies </w:t>
      </w:r>
      <w:r w:rsidRPr="00E41BA5">
        <w:rPr>
          <w:rStyle w:val="StyleUnderline"/>
        </w:rPr>
        <w:t>will make</w:t>
      </w:r>
      <w:r w:rsidRPr="00E41BA5">
        <w:rPr>
          <w:sz w:val="14"/>
        </w:rPr>
        <w:t xml:space="preserve"> such </w:t>
      </w:r>
      <w:r w:rsidRPr="00E41BA5">
        <w:rPr>
          <w:rStyle w:val="StyleUnderline"/>
        </w:rPr>
        <w:t>first-strike potential inescapable. We</w:t>
      </w:r>
      <w:r w:rsidRPr="00E41BA5">
        <w:rPr>
          <w:sz w:val="14"/>
        </w:rPr>
        <w:t xml:space="preserve"> can and </w:t>
      </w:r>
      <w:r w:rsidRPr="00E41BA5">
        <w:rPr>
          <w:rStyle w:val="StyleUnderline"/>
        </w:rPr>
        <w:t xml:space="preserve">must avoid such a hair- trigger world. </w:t>
      </w:r>
      <w:r w:rsidRPr="00E41BA5">
        <w:rPr>
          <w:sz w:val="14"/>
        </w:rPr>
        <w:t>This - far more than endless arguments over arbitrary ceilings on weapons - will be the necessary focus of meaningful arms control in the years ahead.</w:t>
      </w:r>
    </w:p>
    <w:p w:rsidR="000B1602" w:rsidRPr="000B1602" w:rsidRDefault="000B1602" w:rsidP="000B1602"/>
    <w:sectPr w:rsidR="000B1602" w:rsidRPr="000B160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6646540"/>
    <w:docVar w:name="VerbatimVersion" w:val="5.0"/>
  </w:docVars>
  <w:rsids>
    <w:rsidRoot w:val="00555AA3"/>
    <w:rsid w:val="000139A3"/>
    <w:rsid w:val="00063AF8"/>
    <w:rsid w:val="000B1602"/>
    <w:rsid w:val="00100833"/>
    <w:rsid w:val="00104529"/>
    <w:rsid w:val="0010584F"/>
    <w:rsid w:val="00177B7D"/>
    <w:rsid w:val="0018322D"/>
    <w:rsid w:val="001B5776"/>
    <w:rsid w:val="00223A6B"/>
    <w:rsid w:val="00251FC7"/>
    <w:rsid w:val="002855A7"/>
    <w:rsid w:val="00315690"/>
    <w:rsid w:val="00325646"/>
    <w:rsid w:val="00343392"/>
    <w:rsid w:val="003902BA"/>
    <w:rsid w:val="003A09E2"/>
    <w:rsid w:val="00407037"/>
    <w:rsid w:val="004605D6"/>
    <w:rsid w:val="004C60E8"/>
    <w:rsid w:val="004D50A2"/>
    <w:rsid w:val="004E3579"/>
    <w:rsid w:val="004F39E0"/>
    <w:rsid w:val="00537BD5"/>
    <w:rsid w:val="00555AA3"/>
    <w:rsid w:val="006065BD"/>
    <w:rsid w:val="00665003"/>
    <w:rsid w:val="006B61A0"/>
    <w:rsid w:val="006B75AC"/>
    <w:rsid w:val="007F5B66"/>
    <w:rsid w:val="00823A1C"/>
    <w:rsid w:val="00845B9D"/>
    <w:rsid w:val="00860984"/>
    <w:rsid w:val="008B3ECB"/>
    <w:rsid w:val="008C1B2E"/>
    <w:rsid w:val="0091627E"/>
    <w:rsid w:val="00930BEC"/>
    <w:rsid w:val="009E1922"/>
    <w:rsid w:val="00A93661"/>
    <w:rsid w:val="00A95652"/>
    <w:rsid w:val="00B33C6D"/>
    <w:rsid w:val="00B4508F"/>
    <w:rsid w:val="00B8057C"/>
    <w:rsid w:val="00BF593B"/>
    <w:rsid w:val="00C55EED"/>
    <w:rsid w:val="00C83417"/>
    <w:rsid w:val="00CD736E"/>
    <w:rsid w:val="00CE161E"/>
    <w:rsid w:val="00CF59A8"/>
    <w:rsid w:val="00D325A9"/>
    <w:rsid w:val="00D36A8A"/>
    <w:rsid w:val="00D71170"/>
    <w:rsid w:val="00DA6538"/>
    <w:rsid w:val="00E41BA5"/>
    <w:rsid w:val="00ED30CF"/>
    <w:rsid w:val="00F176EF"/>
    <w:rsid w:val="00FC4AEE"/>
    <w:rsid w:val="00FE057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80E32A-E5D7-478A-8D7A-AE2A5AE3B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41BA5"/>
    <w:rPr>
      <w:rFonts w:ascii="Calibri" w:hAnsi="Calibri"/>
    </w:rPr>
  </w:style>
  <w:style w:type="paragraph" w:styleId="Heading1">
    <w:name w:val="heading 1"/>
    <w:aliases w:val="Pocket"/>
    <w:basedOn w:val="Normal"/>
    <w:next w:val="Normal"/>
    <w:link w:val="Heading1Char"/>
    <w:autoRedefine/>
    <w:qFormat/>
    <w:rsid w:val="00E41B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41B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41B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41B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41B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1BA5"/>
  </w:style>
  <w:style w:type="character" w:customStyle="1" w:styleId="Heading1Char">
    <w:name w:val="Heading 1 Char"/>
    <w:aliases w:val="Pocket Char"/>
    <w:basedOn w:val="DefaultParagraphFont"/>
    <w:link w:val="Heading1"/>
    <w:rsid w:val="00E41B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1B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1BA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41BA5"/>
    <w:rPr>
      <w:rFonts w:ascii="Calibri" w:eastAsiaTheme="majorEastAsia" w:hAnsi="Calibri" w:cstheme="majorBidi"/>
      <w:b/>
      <w:iCs/>
      <w:sz w:val="26"/>
    </w:rPr>
  </w:style>
  <w:style w:type="character" w:styleId="Emphasis">
    <w:name w:val="Emphasis"/>
    <w:basedOn w:val="DefaultParagraphFont"/>
    <w:uiPriority w:val="7"/>
    <w:qFormat/>
    <w:rsid w:val="00E41BA5"/>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41BA5"/>
    <w:rPr>
      <w:b/>
      <w:bCs/>
      <w:sz w:val="26"/>
      <w:u w:val="none"/>
    </w:rPr>
  </w:style>
  <w:style w:type="character" w:customStyle="1" w:styleId="StyleUnderline">
    <w:name w:val="Style Underline"/>
    <w:aliases w:val="Underline"/>
    <w:basedOn w:val="DefaultParagraphFont"/>
    <w:uiPriority w:val="6"/>
    <w:qFormat/>
    <w:rsid w:val="00E41BA5"/>
    <w:rPr>
      <w:b w:val="0"/>
      <w:sz w:val="22"/>
      <w:u w:val="single"/>
    </w:rPr>
  </w:style>
  <w:style w:type="character" w:styleId="Hyperlink">
    <w:name w:val="Hyperlink"/>
    <w:basedOn w:val="DefaultParagraphFont"/>
    <w:uiPriority w:val="99"/>
    <w:unhideWhenUsed/>
    <w:rsid w:val="00E41BA5"/>
    <w:rPr>
      <w:color w:val="auto"/>
      <w:u w:val="none"/>
    </w:rPr>
  </w:style>
  <w:style w:type="character" w:styleId="FollowedHyperlink">
    <w:name w:val="FollowedHyperlink"/>
    <w:basedOn w:val="DefaultParagraphFont"/>
    <w:uiPriority w:val="99"/>
    <w:semiHidden/>
    <w:unhideWhenUsed/>
    <w:rsid w:val="00E41BA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coaps.fsu.edu/pub/eric/RSMAS/GODAE_School/GODAE_Book/Chap21-Harding.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faculty.nps.edu/pcchu/web_paper/proceedings/nato/nato_06_chu.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www.militaryaerospace.com/blogs/aerospace-defense-blog/2012/12/u-s-anti-submarine-capability-is-eroding-and-it-may-be-too-late-to-turn-it-around.html" TargetMode="External"/><Relationship Id="rId11" Type="http://schemas.openxmlformats.org/officeDocument/2006/relationships/hyperlink" Target="http://www.nytimes.com/1983/12/06/opinion/before-high-noon.html" TargetMode="External"/><Relationship Id="rId5" Type="http://schemas.openxmlformats.org/officeDocument/2006/relationships/webSettings" Target="webSettings.xml"/><Relationship Id="rId10" Type="http://schemas.openxmlformats.org/officeDocument/2006/relationships/hyperlink" Target="http://belfercenter.ksg.harvard.edu/files/Ensuring%20Strategic%20Stability%20by%20A.%20Kokoshin.pdf" TargetMode="External"/><Relationship Id="rId4" Type="http://schemas.openxmlformats.org/officeDocument/2006/relationships/settings" Target="settings.xml"/><Relationship Id="rId9" Type="http://schemas.openxmlformats.org/officeDocument/2006/relationships/hyperlink" Target="http://belfercenter.ksg.harvard.edu/files/Ensuring%20Strategic%20Stability%20by%20A.%20Kokoshi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934</TotalTime>
  <Pages>1</Pages>
  <Words>2495</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dc:creator>
  <cp:keywords>5.0</cp:keywords>
  <dc:description/>
  <cp:lastModifiedBy>Gabriel Valladares</cp:lastModifiedBy>
  <cp:revision>7</cp:revision>
  <dcterms:created xsi:type="dcterms:W3CDTF">2014-07-26T23:28:00Z</dcterms:created>
  <dcterms:modified xsi:type="dcterms:W3CDTF">2014-08-04T21:16:00Z</dcterms:modified>
</cp:coreProperties>
</file>