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CCE" w:rsidRDefault="006C7CCE" w:rsidP="006C7CCE">
      <w:pPr>
        <w:pStyle w:val="Heading3"/>
      </w:pPr>
      <w:r>
        <w:t>Tech Theft DA</w:t>
      </w:r>
      <w:bookmarkStart w:id="0" w:name="_GoBack"/>
      <w:bookmarkEnd w:id="0"/>
    </w:p>
    <w:p w:rsidR="00B01022" w:rsidRPr="00B01022" w:rsidRDefault="00B01022" w:rsidP="00B01022">
      <w:pPr>
        <w:pStyle w:val="Heading4"/>
      </w:pPr>
      <w:r>
        <w:t>China will steal dual-use and civilian technology under normal export laws – only classifying it as exclusively military solves</w:t>
      </w:r>
    </w:p>
    <w:p w:rsidR="00B01022" w:rsidRPr="00B01022" w:rsidRDefault="00B01022" w:rsidP="008C1B2E">
      <w:r w:rsidRPr="00B01022">
        <w:rPr>
          <w:rStyle w:val="Style13ptBold"/>
        </w:rPr>
        <w:t>Roper, 2013</w:t>
      </w:r>
      <w:r>
        <w:t xml:space="preserve"> - TUC National </w:t>
      </w:r>
      <w:proofErr w:type="spellStart"/>
      <w:r>
        <w:t>Organiser</w:t>
      </w:r>
      <w:proofErr w:type="spellEnd"/>
      <w:r>
        <w:t xml:space="preserve"> and is responsible for leading the TUC's work on </w:t>
      </w:r>
      <w:proofErr w:type="spellStart"/>
      <w:r>
        <w:t>organising</w:t>
      </w:r>
      <w:proofErr w:type="spellEnd"/>
      <w:r>
        <w:t xml:space="preserve"> and recruitment (Carl, </w:t>
      </w:r>
      <w:r w:rsidRPr="00B01022">
        <w:rPr>
          <w:i/>
        </w:rPr>
        <w:t>Trade Secret Theft, Industrial Espionage, and the China Threat</w:t>
      </w:r>
      <w:r>
        <w:t>, page 54, Google Books) DS</w:t>
      </w:r>
    </w:p>
    <w:p w:rsidR="00B01022" w:rsidRDefault="00B01022" w:rsidP="008C1B2E">
      <w:r w:rsidRPr="00B01022">
        <w:rPr>
          <w:rStyle w:val="StyleUnderline"/>
        </w:rPr>
        <w:t xml:space="preserve">The acquisition of advanced </w:t>
      </w:r>
      <w:r w:rsidRPr="00B01022">
        <w:rPr>
          <w:rStyle w:val="Emphasis"/>
        </w:rPr>
        <w:t>dual-use technology</w:t>
      </w:r>
      <w:r w:rsidRPr="00B01022">
        <w:rPr>
          <w:rStyle w:val="StyleUnderline"/>
        </w:rPr>
        <w:t xml:space="preserve"> represents</w:t>
      </w:r>
      <w:r>
        <w:t xml:space="preserve"> just </w:t>
      </w:r>
      <w:r w:rsidRPr="00B01022">
        <w:rPr>
          <w:rStyle w:val="StyleUnderline"/>
        </w:rPr>
        <w:t>one</w:t>
      </w:r>
      <w:r>
        <w:t xml:space="preserve"> of many other </w:t>
      </w:r>
      <w:r w:rsidRPr="00B01022">
        <w:rPr>
          <w:rStyle w:val="StyleUnderline"/>
        </w:rPr>
        <w:t>method</w:t>
      </w:r>
      <w:r>
        <w:t xml:space="preserve">s </w:t>
      </w:r>
      <w:r w:rsidRPr="00B01022">
        <w:rPr>
          <w:rStyle w:val="StyleUnderline"/>
        </w:rPr>
        <w:t xml:space="preserve">by which the PRC will attempt to gain advanced technologies for its military modernization from American companies. China's continued military modernization drive includes a well-crafted policy for </w:t>
      </w:r>
      <w:proofErr w:type="spellStart"/>
      <w:r w:rsidRPr="00B01022">
        <w:rPr>
          <w:rStyle w:val="StyleUnderline"/>
        </w:rPr>
        <w:t>acquir</w:t>
      </w:r>
      <w:proofErr w:type="spellEnd"/>
      <w:r w:rsidRPr="00B01022">
        <w:rPr>
          <w:rStyle w:val="StyleUnderline"/>
        </w:rPr>
        <w:t xml:space="preserve">- </w:t>
      </w:r>
      <w:proofErr w:type="spellStart"/>
      <w:r w:rsidRPr="00B01022">
        <w:rPr>
          <w:rStyle w:val="StyleUnderline"/>
        </w:rPr>
        <w:t>ing</w:t>
      </w:r>
      <w:proofErr w:type="spellEnd"/>
      <w:r w:rsidRPr="00B01022">
        <w:rPr>
          <w:rStyle w:val="StyleUnderline"/>
        </w:rPr>
        <w:t xml:space="preserve"> dual-use technologies</w:t>
      </w:r>
      <w:r w:rsidRPr="00B01022">
        <w:rPr>
          <w:rStyle w:val="Emphasis"/>
        </w:rPr>
        <w:t>. It seeks civil technology</w:t>
      </w:r>
      <w:r w:rsidRPr="00B01022">
        <w:rPr>
          <w:rStyle w:val="StyleUnderline"/>
        </w:rPr>
        <w:t xml:space="preserve"> in part in the hopes of being able to adapt the technology to military applications</w:t>
      </w:r>
      <w:r>
        <w:t xml:space="preserve">. This has been referred to by some analysts as "spinning on." There is a strategy that was developed in 1995 that called for the acquisition of dual-use tech- </w:t>
      </w:r>
      <w:proofErr w:type="spellStart"/>
      <w:r>
        <w:t>nologies</w:t>
      </w:r>
      <w:proofErr w:type="spellEnd"/>
      <w:r>
        <w:t xml:space="preserve"> with civil and military applications and then the transfer of R&amp;D achievements in civil technology to the research and production of weapons.</w:t>
      </w:r>
    </w:p>
    <w:p w:rsidR="00B01022" w:rsidRDefault="00B01022" w:rsidP="008C1B2E">
      <w:r w:rsidRPr="00B01022">
        <w:rPr>
          <w:rStyle w:val="StyleUnderline"/>
        </w:rPr>
        <w:t>The PRC has collected military-related science and technology information from openly avail- able US and Western sources and military researchers over many years</w:t>
      </w:r>
      <w:r>
        <w:t>. This collection effort was designed to accelerate the PLA's military technology development by permitting it to follow proven development options already undertaken.</w:t>
      </w:r>
    </w:p>
    <w:p w:rsidR="00B01022" w:rsidRPr="00B01022" w:rsidRDefault="00B01022" w:rsidP="008C1B2E">
      <w:pPr>
        <w:rPr>
          <w:u w:val="single"/>
        </w:rPr>
      </w:pPr>
      <w:r w:rsidRPr="00B01022">
        <w:rPr>
          <w:rStyle w:val="StyleUnderline"/>
        </w:rPr>
        <w:t xml:space="preserve">PRC procurement agents would approach US firms to gain an understanding of the uses of avail- able technology and subtly determine if it has </w:t>
      </w:r>
      <w:r w:rsidRPr="00B01022">
        <w:rPr>
          <w:rStyle w:val="Emphasis"/>
        </w:rPr>
        <w:t>dual-use capabilities</w:t>
      </w:r>
      <w:r w:rsidRPr="00B01022">
        <w:rPr>
          <w:rStyle w:val="StyleUnderline"/>
        </w:rPr>
        <w:t>.</w:t>
      </w:r>
      <w:r>
        <w:t xml:space="preserve"> At the same time, </w:t>
      </w:r>
      <w:r w:rsidRPr="00B01022">
        <w:rPr>
          <w:rStyle w:val="StyleUnderline"/>
        </w:rPr>
        <w:t xml:space="preserve">they wanted to evaluate the possibility for China to purchase the dual-use technology under the guise of civil programs while maintaining its sale within the constraints of </w:t>
      </w:r>
      <w:r w:rsidRPr="00B01022">
        <w:rPr>
          <w:rStyle w:val="Emphasis"/>
        </w:rPr>
        <w:t>US export controls</w:t>
      </w:r>
      <w:r>
        <w:t xml:space="preserve">. The PRC has also attempted to acquire information from the United States and other countries about the design and manufacturing of military helicopters. </w:t>
      </w:r>
      <w:r w:rsidRPr="00B01022">
        <w:rPr>
          <w:rStyle w:val="StyleUnderline"/>
        </w:rPr>
        <w:t>The PRC could also use this approach to acquire chemical and biological weapons technology.</w:t>
      </w:r>
    </w:p>
    <w:p w:rsidR="00B01022" w:rsidRDefault="00B01022" w:rsidP="008C1B2E"/>
    <w:p w:rsidR="00B01022" w:rsidRDefault="00B01022" w:rsidP="00B01022">
      <w:pPr>
        <w:pStyle w:val="Heading4"/>
      </w:pPr>
      <w:r>
        <w:t>Dual-use technologies are subject to espionage</w:t>
      </w:r>
    </w:p>
    <w:p w:rsidR="00B01022" w:rsidRDefault="00B01022" w:rsidP="008C1B2E">
      <w:r w:rsidRPr="00B01022">
        <w:rPr>
          <w:rStyle w:val="Style13ptBold"/>
        </w:rPr>
        <w:t>Cooper, 2009</w:t>
      </w:r>
      <w:r>
        <w:t xml:space="preserve"> - Popular Mechanics contributing editor (Simon, “How China Steals U.S. Military Secrets,” 7/10/2009, </w:t>
      </w:r>
      <w:hyperlink r:id="rId7" w:history="1">
        <w:r w:rsidRPr="00E30E2F">
          <w:rPr>
            <w:rStyle w:val="Hyperlink"/>
          </w:rPr>
          <w:t>http://www.popularmechanics.com/technology/military/news/3319656</w:t>
        </w:r>
      </w:hyperlink>
      <w:r>
        <w:t xml:space="preserve"> ) DS</w:t>
      </w:r>
    </w:p>
    <w:p w:rsidR="00B01022" w:rsidRDefault="00B01022" w:rsidP="008C1B2E">
      <w:r>
        <w:t xml:space="preserve">More </w:t>
      </w:r>
      <w:r w:rsidRPr="00B01022">
        <w:t>typical cases are even harder to detect</w:t>
      </w:r>
      <w:r>
        <w:t xml:space="preserve">. </w:t>
      </w:r>
      <w:r w:rsidRPr="00B01022">
        <w:rPr>
          <w:rStyle w:val="StyleUnderline"/>
        </w:rPr>
        <w:t xml:space="preserve">ASTI agents often navigate the </w:t>
      </w:r>
      <w:r w:rsidRPr="00B01022">
        <w:rPr>
          <w:rStyle w:val="Emphasis"/>
        </w:rPr>
        <w:t>murky area of dual-use technologies</w:t>
      </w:r>
      <w:r w:rsidRPr="00B01022">
        <w:rPr>
          <w:rStyle w:val="StyleUnderline"/>
        </w:rPr>
        <w:t xml:space="preserve">, where pressure sensors could be used either for bombs or for washing machines, where computer chips with missile applications might actually be destined for in-car navigation systems. Furthermore, thousands of items prohibited for export can be bought over the Internet, shipped to a U.S. address, </w:t>
      </w:r>
      <w:proofErr w:type="gramStart"/>
      <w:r w:rsidRPr="00B01022">
        <w:rPr>
          <w:rStyle w:val="StyleUnderline"/>
        </w:rPr>
        <w:t>then</w:t>
      </w:r>
      <w:proofErr w:type="gramEnd"/>
      <w:r w:rsidRPr="00B01022">
        <w:rPr>
          <w:rStyle w:val="StyleUnderline"/>
        </w:rPr>
        <w:t xml:space="preserve"> simply mailed to China in a padded envelope.</w:t>
      </w:r>
      <w:r>
        <w:t xml:space="preserve"> Such materials supply the building blocks needed for complex armaments.</w:t>
      </w:r>
    </w:p>
    <w:p w:rsidR="00B01022" w:rsidRDefault="00B01022" w:rsidP="008C1B2E">
      <w:r>
        <w:t xml:space="preserve">In other cases, technology is smuggled out to an approved country using fake end-user certificates. For instance, </w:t>
      </w:r>
      <w:proofErr w:type="spellStart"/>
      <w:r>
        <w:t>Kwonhwan</w:t>
      </w:r>
      <w:proofErr w:type="spellEnd"/>
      <w:r>
        <w:t xml:space="preserve"> Park shipped his Black Hawk engines to Malaysia before sending them on to China. And, advanced technology such as the F-16 fighter has been sold to countries from Bahrain to Venezuela where controls may be less stringent than in the United States.</w:t>
      </w:r>
    </w:p>
    <w:p w:rsidR="00B01022" w:rsidRDefault="00B01022" w:rsidP="008C1B2E">
      <w:r>
        <w:lastRenderedPageBreak/>
        <w:t>The situation outrages U.S. Rep. Frank Wolf (R-Va.), who successfully fought recent plans by the State Department to use Chinese-built computers for classified material. He says too little attention is paid to China's "aggressive spying program against the U.S." The legal deterrents to espionage are weak, says Wolf, who chairs a subcommittee overseeing security and technology. "In the Cold War people went to jail for a long time" for spying, he says, but today's "negligible penalties" are more appropriate to low-level embezzlement than military spying. Park was unusual in receiving a 32-month prison term and a deportation order; in contrast, Ting-</w:t>
      </w:r>
      <w:proofErr w:type="spellStart"/>
      <w:r>
        <w:t>Ih</w:t>
      </w:r>
      <w:proofErr w:type="spellEnd"/>
      <w:r>
        <w:t xml:space="preserve"> Hsu and Hai Lin Nee were each sentenced to three years of probation.</w:t>
      </w:r>
    </w:p>
    <w:p w:rsidR="00B01022" w:rsidRDefault="00B01022" w:rsidP="008C1B2E">
      <w:pPr>
        <w:rPr>
          <w:rStyle w:val="StyleUnderline"/>
        </w:rPr>
      </w:pPr>
      <w:r>
        <w:t>Meanwhile, says the IASC's Richard Fisher, a "</w:t>
      </w:r>
      <w:r w:rsidRPr="00B01022">
        <w:rPr>
          <w:rStyle w:val="Emphasis"/>
        </w:rPr>
        <w:t>battle is being waged</w:t>
      </w:r>
      <w:r>
        <w:t xml:space="preserve">. </w:t>
      </w:r>
      <w:r w:rsidRPr="00B01022">
        <w:rPr>
          <w:rStyle w:val="StyleUnderline"/>
        </w:rPr>
        <w:t xml:space="preserve">The Chinese have established a vast collection system that by the end of the decade will have helped them to become a global military power." While concern grows among policy-makers and wonks, </w:t>
      </w:r>
      <w:proofErr w:type="spellStart"/>
      <w:r w:rsidRPr="00B01022">
        <w:rPr>
          <w:rStyle w:val="StyleUnderline"/>
        </w:rPr>
        <w:t>Mangione</w:t>
      </w:r>
      <w:proofErr w:type="spellEnd"/>
      <w:r w:rsidRPr="00B01022">
        <w:rPr>
          <w:rStyle w:val="StyleUnderline"/>
        </w:rPr>
        <w:t xml:space="preserve"> and his team still labor in the shadows of the worldwide arms bazaar. They hope to prevent the day when U.S. troops could find themselves staring down the barrel of a high-tech weapon marked "Made in America." </w:t>
      </w:r>
    </w:p>
    <w:p w:rsidR="00B92AA3" w:rsidRDefault="00B92AA3" w:rsidP="00B92AA3"/>
    <w:p w:rsidR="00D93B53" w:rsidRPr="00D93B53" w:rsidRDefault="00D93B53" w:rsidP="00D93B53">
      <w:pPr>
        <w:pStyle w:val="Heading4"/>
      </w:pPr>
      <w:r>
        <w:t>Dual-use technology do not need export approval from the government – only defense trade laws solve</w:t>
      </w:r>
    </w:p>
    <w:p w:rsidR="00B92AA3" w:rsidRDefault="00D93B53" w:rsidP="00B92AA3">
      <w:r w:rsidRPr="00D93B53">
        <w:rPr>
          <w:rStyle w:val="Style13ptBold"/>
        </w:rPr>
        <w:t>Export.gov, 2012</w:t>
      </w:r>
      <w:r>
        <w:t xml:space="preserve"> (“Defense and Dual Use Controls,” 10/5/2012, </w:t>
      </w:r>
      <w:hyperlink r:id="rId8" w:history="1">
        <w:r w:rsidRPr="00E30E2F">
          <w:rPr>
            <w:rStyle w:val="Hyperlink"/>
          </w:rPr>
          <w:t>http://www.export.gov/exportbasics/eg_main_018781.asp</w:t>
        </w:r>
      </w:hyperlink>
      <w:r>
        <w:t xml:space="preserve"> ) DS</w:t>
      </w:r>
    </w:p>
    <w:p w:rsidR="00B92AA3" w:rsidRDefault="00B92AA3" w:rsidP="00B92AA3">
      <w:r>
        <w:t>Defense Trade: Export Controls and Licenses</w:t>
      </w:r>
    </w:p>
    <w:p w:rsidR="00B92AA3" w:rsidRPr="00D93B53" w:rsidRDefault="00B92AA3" w:rsidP="00B92AA3">
      <w:pPr>
        <w:rPr>
          <w:rStyle w:val="StyleUnderline"/>
        </w:rPr>
      </w:pPr>
      <w:r>
        <w:t xml:space="preserve">Generally, </w:t>
      </w:r>
      <w:r w:rsidRPr="00D93B53">
        <w:rPr>
          <w:rStyle w:val="StyleUnderline"/>
        </w:rPr>
        <w:t>any person or company who intends to export a defense article must obtain the approval of DDTC prior to the export</w:t>
      </w:r>
      <w:r>
        <w:t xml:space="preserve">. In the case of defense export transactions (defense articles such as munitions), </w:t>
      </w:r>
      <w:r w:rsidRPr="00D93B53">
        <w:rPr>
          <w:rStyle w:val="StyleUnderline"/>
        </w:rPr>
        <w:t>any person or company who intends to export such an article must first obtain approval from the U.S. Department of State Directorate of Defense Trade Controls</w:t>
      </w:r>
      <w:r>
        <w:t xml:space="preserve"> (DDTC) </w:t>
      </w:r>
      <w:r w:rsidRPr="00D93B53">
        <w:rPr>
          <w:rStyle w:val="StyleUnderline"/>
        </w:rPr>
        <w:t>prior to the export. The DDTC, under the Arms Export Control Act</w:t>
      </w:r>
      <w:r>
        <w:t xml:space="preserve"> (AECA) </w:t>
      </w:r>
      <w:r w:rsidRPr="00D93B53">
        <w:rPr>
          <w:rStyle w:val="StyleUnderline"/>
        </w:rPr>
        <w:t>and the International Traffic in Arms Regulations</w:t>
      </w:r>
      <w:r>
        <w:t xml:space="preserve"> (ITAR), </w:t>
      </w:r>
      <w:r w:rsidRPr="00D93B53">
        <w:rPr>
          <w:rStyle w:val="StyleUnderline"/>
        </w:rPr>
        <w:t>is charged with controlling the export and temporary import of defense articles and defense services covered by the United States Munitions List</w:t>
      </w:r>
      <w:r>
        <w:t xml:space="preserve"> (USML). It has among its primary missions (a) taking final action on license applications for defense trade exports and (b) handling matters related to defense trade compliance, enforcement, and reporting. The appropriate license form must be submitted to the DDTC for the purpose of seeking approval. In most cases, </w:t>
      </w:r>
      <w:r w:rsidRPr="00D93B53">
        <w:rPr>
          <w:rStyle w:val="StyleUnderline"/>
        </w:rPr>
        <w:t>in order for a license to be considered, you first must be registered with the DDTC.</w:t>
      </w:r>
    </w:p>
    <w:p w:rsidR="00B92AA3" w:rsidRDefault="00B92AA3" w:rsidP="00B92AA3">
      <w:r>
        <w:t>Section 655 Annual Military Assistance Reports are provided to Congress and show for a fiscal year the aggregate dollar value and quantity of defense articles and defense services authorized as direct commercial sales to each foreign country. Note that these reports do not cover defense articles and services that are provided via the Foreign Military Sales (FMS) program.</w:t>
      </w:r>
    </w:p>
    <w:p w:rsidR="00B92AA3" w:rsidRDefault="00B92AA3" w:rsidP="00B92AA3">
      <w:r>
        <w:t>Dual Use Export Controls</w:t>
      </w:r>
    </w:p>
    <w:p w:rsidR="00B92AA3" w:rsidRPr="00B92AA3" w:rsidRDefault="00B92AA3" w:rsidP="00B92AA3">
      <w:r w:rsidRPr="00D93B53">
        <w:rPr>
          <w:rStyle w:val="Emphasis"/>
        </w:rPr>
        <w:t>Dual use licenses</w:t>
      </w:r>
      <w:r w:rsidRPr="00B92AA3">
        <w:rPr>
          <w:rStyle w:val="StyleUnderline"/>
        </w:rPr>
        <w:t xml:space="preserve"> are required in certain situations involving national security, foreign policy, short-supply, nuclear non-proliferation, missile technology, chemical and biological weapons, regional stability, crime control, or terrorist concerns.</w:t>
      </w:r>
      <w:r>
        <w:t xml:space="preserve"> </w:t>
      </w:r>
      <w:r w:rsidRPr="00D93B53">
        <w:rPr>
          <w:rStyle w:val="StyleUnderline"/>
        </w:rPr>
        <w:t xml:space="preserve">Most export transactions </w:t>
      </w:r>
      <w:r w:rsidRPr="00D93B53">
        <w:rPr>
          <w:rStyle w:val="Emphasis"/>
        </w:rPr>
        <w:t>do not require specific approval from the U.S. Government</w:t>
      </w:r>
      <w:r w:rsidRPr="00D93B53">
        <w:rPr>
          <w:rStyle w:val="StyleUnderline"/>
        </w:rPr>
        <w:t>.</w:t>
      </w:r>
      <w:r>
        <w:t xml:space="preserve"> Licensing is required for "dual use" exports (commercial items which could have military applications). Before shipping your product, make sure you understand the concept of dual use and the basic export control regulations.</w:t>
      </w:r>
    </w:p>
    <w:sectPr w:rsidR="00B92AA3" w:rsidRPr="00B92AA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6582484"/>
    <w:docVar w:name="VerbatimVersion" w:val="5.0"/>
  </w:docVars>
  <w:rsids>
    <w:rsidRoot w:val="00B01022"/>
    <w:rsid w:val="000139A3"/>
    <w:rsid w:val="000A46B3"/>
    <w:rsid w:val="00100833"/>
    <w:rsid w:val="00104529"/>
    <w:rsid w:val="00177B7D"/>
    <w:rsid w:val="0018322D"/>
    <w:rsid w:val="001B5776"/>
    <w:rsid w:val="00210484"/>
    <w:rsid w:val="00240E8E"/>
    <w:rsid w:val="00251FC7"/>
    <w:rsid w:val="002855A7"/>
    <w:rsid w:val="002B2AB7"/>
    <w:rsid w:val="00315690"/>
    <w:rsid w:val="00325646"/>
    <w:rsid w:val="003902BA"/>
    <w:rsid w:val="003A09E2"/>
    <w:rsid w:val="00407037"/>
    <w:rsid w:val="00454535"/>
    <w:rsid w:val="00457561"/>
    <w:rsid w:val="004605D6"/>
    <w:rsid w:val="004A7DA7"/>
    <w:rsid w:val="004C60E8"/>
    <w:rsid w:val="004E3579"/>
    <w:rsid w:val="004F39E0"/>
    <w:rsid w:val="00537BD5"/>
    <w:rsid w:val="00571280"/>
    <w:rsid w:val="006065BD"/>
    <w:rsid w:val="0064257D"/>
    <w:rsid w:val="00665003"/>
    <w:rsid w:val="006727A5"/>
    <w:rsid w:val="006C7CCE"/>
    <w:rsid w:val="006E110A"/>
    <w:rsid w:val="00761036"/>
    <w:rsid w:val="007F5B66"/>
    <w:rsid w:val="00823A1C"/>
    <w:rsid w:val="00845B9D"/>
    <w:rsid w:val="00860984"/>
    <w:rsid w:val="008B3ECB"/>
    <w:rsid w:val="008C1B2E"/>
    <w:rsid w:val="0091627E"/>
    <w:rsid w:val="009E1922"/>
    <w:rsid w:val="00A52E9A"/>
    <w:rsid w:val="00A93661"/>
    <w:rsid w:val="00A95652"/>
    <w:rsid w:val="00AA1B98"/>
    <w:rsid w:val="00AA5E16"/>
    <w:rsid w:val="00B01022"/>
    <w:rsid w:val="00B33C6D"/>
    <w:rsid w:val="00B4508F"/>
    <w:rsid w:val="00B769A9"/>
    <w:rsid w:val="00B8057C"/>
    <w:rsid w:val="00B92AA3"/>
    <w:rsid w:val="00BF593B"/>
    <w:rsid w:val="00C50A0A"/>
    <w:rsid w:val="00C72365"/>
    <w:rsid w:val="00C83417"/>
    <w:rsid w:val="00CD736E"/>
    <w:rsid w:val="00CE161E"/>
    <w:rsid w:val="00CF59A8"/>
    <w:rsid w:val="00D1424A"/>
    <w:rsid w:val="00D325A9"/>
    <w:rsid w:val="00D36A8A"/>
    <w:rsid w:val="00D63AE1"/>
    <w:rsid w:val="00D71170"/>
    <w:rsid w:val="00D93B53"/>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C7CCE"/>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6C7C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7CC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7CC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7CC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C7C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7CCE"/>
  </w:style>
  <w:style w:type="character" w:customStyle="1" w:styleId="Heading1Char">
    <w:name w:val="Heading 1 Char"/>
    <w:aliases w:val="Pocket Char"/>
    <w:basedOn w:val="DefaultParagraphFont"/>
    <w:link w:val="Heading1"/>
    <w:uiPriority w:val="1"/>
    <w:rsid w:val="006C7CC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C7CC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6C7CCE"/>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6C7CCE"/>
    <w:rPr>
      <w:rFonts w:ascii="Georgia" w:eastAsiaTheme="majorEastAsia" w:hAnsi="Georgia" w:cstheme="majorBidi"/>
      <w:b/>
      <w:bCs/>
      <w:iCs/>
      <w:sz w:val="26"/>
    </w:rPr>
  </w:style>
  <w:style w:type="character" w:styleId="Emphasis">
    <w:name w:val="Emphasis"/>
    <w:basedOn w:val="DefaultParagraphFont"/>
    <w:uiPriority w:val="7"/>
    <w:qFormat/>
    <w:rsid w:val="006C7CCE"/>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6C7CCE"/>
    <w:rPr>
      <w:b/>
      <w:bCs/>
      <w:sz w:val="26"/>
      <w:u w:val="none"/>
    </w:rPr>
  </w:style>
  <w:style w:type="character" w:customStyle="1" w:styleId="StyleUnderline">
    <w:name w:val="Style Underline"/>
    <w:aliases w:val="Underline,Style Bold Underline"/>
    <w:basedOn w:val="DefaultParagraphFont"/>
    <w:uiPriority w:val="6"/>
    <w:qFormat/>
    <w:rsid w:val="006C7CCE"/>
    <w:rPr>
      <w:b/>
      <w:bCs/>
      <w:sz w:val="22"/>
      <w:u w:val="single"/>
    </w:rPr>
  </w:style>
  <w:style w:type="character" w:styleId="Hyperlink">
    <w:name w:val="Hyperlink"/>
    <w:basedOn w:val="DefaultParagraphFont"/>
    <w:uiPriority w:val="99"/>
    <w:rsid w:val="006C7CCE"/>
    <w:rPr>
      <w:color w:val="auto"/>
      <w:u w:val="none"/>
    </w:rPr>
  </w:style>
  <w:style w:type="character" w:styleId="FollowedHyperlink">
    <w:name w:val="FollowedHyperlink"/>
    <w:basedOn w:val="DefaultParagraphFont"/>
    <w:uiPriority w:val="99"/>
    <w:semiHidden/>
    <w:rsid w:val="006C7CCE"/>
    <w:rPr>
      <w:color w:val="auto"/>
      <w:u w:val="none"/>
    </w:rPr>
  </w:style>
  <w:style w:type="character" w:customStyle="1" w:styleId="StyleBold">
    <w:name w:val="Style Bold"/>
    <w:basedOn w:val="DefaultParagraphFont"/>
    <w:uiPriority w:val="9"/>
    <w:semiHidden/>
    <w:rsid w:val="006C7CCE"/>
    <w:rPr>
      <w:b/>
      <w:bCs/>
    </w:rPr>
  </w:style>
  <w:style w:type="paragraph" w:styleId="Header">
    <w:name w:val="header"/>
    <w:basedOn w:val="Normal"/>
    <w:link w:val="HeaderChar"/>
    <w:uiPriority w:val="99"/>
    <w:semiHidden/>
    <w:rsid w:val="006C7CCE"/>
    <w:pPr>
      <w:tabs>
        <w:tab w:val="center" w:pos="4680"/>
        <w:tab w:val="right" w:pos="9360"/>
      </w:tabs>
    </w:pPr>
  </w:style>
  <w:style w:type="character" w:customStyle="1" w:styleId="HeaderChar">
    <w:name w:val="Header Char"/>
    <w:basedOn w:val="DefaultParagraphFont"/>
    <w:link w:val="Header"/>
    <w:uiPriority w:val="99"/>
    <w:semiHidden/>
    <w:rsid w:val="006C7CCE"/>
    <w:rPr>
      <w:rFonts w:ascii="Georgia" w:hAnsi="Georgia" w:cs="Calibri"/>
    </w:rPr>
  </w:style>
  <w:style w:type="paragraph" w:styleId="Footer">
    <w:name w:val="footer"/>
    <w:basedOn w:val="Normal"/>
    <w:link w:val="FooterChar"/>
    <w:uiPriority w:val="99"/>
    <w:semiHidden/>
    <w:rsid w:val="006C7CCE"/>
    <w:pPr>
      <w:tabs>
        <w:tab w:val="center" w:pos="4680"/>
        <w:tab w:val="right" w:pos="9360"/>
      </w:tabs>
    </w:pPr>
  </w:style>
  <w:style w:type="character" w:customStyle="1" w:styleId="FooterChar">
    <w:name w:val="Footer Char"/>
    <w:basedOn w:val="DefaultParagraphFont"/>
    <w:link w:val="Footer"/>
    <w:uiPriority w:val="99"/>
    <w:semiHidden/>
    <w:rsid w:val="006C7CCE"/>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C7CCE"/>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6C7C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7CC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7CC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7CC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C7C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7CCE"/>
  </w:style>
  <w:style w:type="character" w:customStyle="1" w:styleId="Heading1Char">
    <w:name w:val="Heading 1 Char"/>
    <w:aliases w:val="Pocket Char"/>
    <w:basedOn w:val="DefaultParagraphFont"/>
    <w:link w:val="Heading1"/>
    <w:uiPriority w:val="1"/>
    <w:rsid w:val="006C7CC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C7CC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6C7CCE"/>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6C7CCE"/>
    <w:rPr>
      <w:rFonts w:ascii="Georgia" w:eastAsiaTheme="majorEastAsia" w:hAnsi="Georgia" w:cstheme="majorBidi"/>
      <w:b/>
      <w:bCs/>
      <w:iCs/>
      <w:sz w:val="26"/>
    </w:rPr>
  </w:style>
  <w:style w:type="character" w:styleId="Emphasis">
    <w:name w:val="Emphasis"/>
    <w:basedOn w:val="DefaultParagraphFont"/>
    <w:uiPriority w:val="7"/>
    <w:qFormat/>
    <w:rsid w:val="006C7CCE"/>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6C7CCE"/>
    <w:rPr>
      <w:b/>
      <w:bCs/>
      <w:sz w:val="26"/>
      <w:u w:val="none"/>
    </w:rPr>
  </w:style>
  <w:style w:type="character" w:customStyle="1" w:styleId="StyleUnderline">
    <w:name w:val="Style Underline"/>
    <w:aliases w:val="Underline,Style Bold Underline"/>
    <w:basedOn w:val="DefaultParagraphFont"/>
    <w:uiPriority w:val="6"/>
    <w:qFormat/>
    <w:rsid w:val="006C7CCE"/>
    <w:rPr>
      <w:b/>
      <w:bCs/>
      <w:sz w:val="22"/>
      <w:u w:val="single"/>
    </w:rPr>
  </w:style>
  <w:style w:type="character" w:styleId="Hyperlink">
    <w:name w:val="Hyperlink"/>
    <w:basedOn w:val="DefaultParagraphFont"/>
    <w:uiPriority w:val="99"/>
    <w:rsid w:val="006C7CCE"/>
    <w:rPr>
      <w:color w:val="auto"/>
      <w:u w:val="none"/>
    </w:rPr>
  </w:style>
  <w:style w:type="character" w:styleId="FollowedHyperlink">
    <w:name w:val="FollowedHyperlink"/>
    <w:basedOn w:val="DefaultParagraphFont"/>
    <w:uiPriority w:val="99"/>
    <w:semiHidden/>
    <w:rsid w:val="006C7CCE"/>
    <w:rPr>
      <w:color w:val="auto"/>
      <w:u w:val="none"/>
    </w:rPr>
  </w:style>
  <w:style w:type="character" w:customStyle="1" w:styleId="StyleBold">
    <w:name w:val="Style Bold"/>
    <w:basedOn w:val="DefaultParagraphFont"/>
    <w:uiPriority w:val="9"/>
    <w:semiHidden/>
    <w:rsid w:val="006C7CCE"/>
    <w:rPr>
      <w:b/>
      <w:bCs/>
    </w:rPr>
  </w:style>
  <w:style w:type="paragraph" w:styleId="Header">
    <w:name w:val="header"/>
    <w:basedOn w:val="Normal"/>
    <w:link w:val="HeaderChar"/>
    <w:uiPriority w:val="99"/>
    <w:semiHidden/>
    <w:rsid w:val="006C7CCE"/>
    <w:pPr>
      <w:tabs>
        <w:tab w:val="center" w:pos="4680"/>
        <w:tab w:val="right" w:pos="9360"/>
      </w:tabs>
    </w:pPr>
  </w:style>
  <w:style w:type="character" w:customStyle="1" w:styleId="HeaderChar">
    <w:name w:val="Header Char"/>
    <w:basedOn w:val="DefaultParagraphFont"/>
    <w:link w:val="Header"/>
    <w:uiPriority w:val="99"/>
    <w:semiHidden/>
    <w:rsid w:val="006C7CCE"/>
    <w:rPr>
      <w:rFonts w:ascii="Georgia" w:hAnsi="Georgia" w:cs="Calibri"/>
    </w:rPr>
  </w:style>
  <w:style w:type="paragraph" w:styleId="Footer">
    <w:name w:val="footer"/>
    <w:basedOn w:val="Normal"/>
    <w:link w:val="FooterChar"/>
    <w:uiPriority w:val="99"/>
    <w:semiHidden/>
    <w:rsid w:val="006C7CCE"/>
    <w:pPr>
      <w:tabs>
        <w:tab w:val="center" w:pos="4680"/>
        <w:tab w:val="right" w:pos="9360"/>
      </w:tabs>
    </w:pPr>
  </w:style>
  <w:style w:type="character" w:customStyle="1" w:styleId="FooterChar">
    <w:name w:val="Footer Char"/>
    <w:basedOn w:val="DefaultParagraphFont"/>
    <w:link w:val="Footer"/>
    <w:uiPriority w:val="99"/>
    <w:semiHidden/>
    <w:rsid w:val="006C7CCE"/>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export.gov/exportbasics/eg_main_018781.asp" TargetMode="External"/><Relationship Id="rId3" Type="http://schemas.openxmlformats.org/officeDocument/2006/relationships/styles" Target="styles.xml"/><Relationship Id="rId7" Type="http://schemas.openxmlformats.org/officeDocument/2006/relationships/hyperlink" Target="http://www.popularmechanics.com/technology/military/news/3319656"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 Stryker</dc:creator>
  <cp:keywords>5.0</cp:keywords>
  <cp:lastModifiedBy>JP</cp:lastModifiedBy>
  <cp:revision>2</cp:revision>
  <dcterms:created xsi:type="dcterms:W3CDTF">2014-08-02T15:15:00Z</dcterms:created>
  <dcterms:modified xsi:type="dcterms:W3CDTF">2014-08-02T15:15:00Z</dcterms:modified>
</cp:coreProperties>
</file>