
<file path=[Content_Types].xml><?xml version="1.0" encoding="utf-8"?>
<Types xmlns="http://schemas.openxmlformats.org/package/2006/content-types">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6821" w:rsidRDefault="00236821" w:rsidP="00236821">
      <w:pPr>
        <w:pStyle w:val="Heading1"/>
      </w:pPr>
      <w:r>
        <w:t>Afrofuturism Neg</w:t>
      </w:r>
    </w:p>
    <w:p w:rsidR="00236821" w:rsidRDefault="00236821" w:rsidP="00236821">
      <w:pPr>
        <w:pStyle w:val="Heading2"/>
      </w:pPr>
      <w:r>
        <w:t>USFG Bad</w:t>
      </w:r>
    </w:p>
    <w:p w:rsidR="002D4992" w:rsidRPr="00372D14" w:rsidRDefault="002D4992" w:rsidP="002D4992">
      <w:pPr>
        <w:pStyle w:val="Heading4"/>
      </w:pPr>
      <w:r w:rsidRPr="00372D14">
        <w:t>The state sustains collective identity through an increasing proces</w:t>
      </w:r>
      <w:r w:rsidR="00EB758A">
        <w:t xml:space="preserve">s of oppressive power struggles </w:t>
      </w:r>
      <w:r w:rsidR="00AD0E33">
        <w:t>–</w:t>
      </w:r>
      <w:r w:rsidRPr="00372D14">
        <w:t xml:space="preserve"> </w:t>
      </w:r>
      <w:r w:rsidR="00AD0E33">
        <w:t>the aff can never solve</w:t>
      </w:r>
    </w:p>
    <w:p w:rsidR="002D4992" w:rsidRPr="00F80D41" w:rsidRDefault="002D4992" w:rsidP="002D4992">
      <w:pPr>
        <w:rPr>
          <w:sz w:val="16"/>
        </w:rPr>
      </w:pPr>
      <w:r w:rsidRPr="00F80D41">
        <w:rPr>
          <w:rStyle w:val="cite"/>
        </w:rPr>
        <w:t>Connoly in 2k2</w:t>
      </w:r>
      <w:r w:rsidRPr="00372D14">
        <w:rPr>
          <w:b/>
        </w:rPr>
        <w:t xml:space="preserve"> </w:t>
      </w:r>
      <w:r w:rsidRPr="00AD0E33">
        <w:t xml:space="preserve">(William, Professor and Chair of the Department of Political Science @ Johns Hopkins </w:t>
      </w:r>
      <w:r w:rsidR="00AD0E33" w:rsidRPr="00AD0E33">
        <w:t>University, Identity/Difference</w:t>
      </w:r>
      <w:r w:rsidRPr="00AD0E33">
        <w:t>)</w:t>
      </w:r>
      <w:r w:rsidRPr="00F80D41">
        <w:rPr>
          <w:sz w:val="16"/>
        </w:rPr>
        <w:t xml:space="preserve"> </w:t>
      </w:r>
    </w:p>
    <w:p w:rsidR="002D4992" w:rsidRDefault="002D4992" w:rsidP="0047788A">
      <w:r w:rsidRPr="00F80D41">
        <w:rPr>
          <w:sz w:val="16"/>
        </w:rPr>
        <w:t xml:space="preserve">In several domains, the state no longer emerges as a consummate agent of efficacy, even though it expands as a pivotal agent of power.4 A crack in the very unity of "power" has opened up. </w:t>
      </w:r>
      <w:r w:rsidRPr="003A6657">
        <w:rPr>
          <w:rStyle w:val="highlight2"/>
        </w:rPr>
        <w:t>We have entered a world in which st</w:t>
      </w:r>
      <w:r w:rsidRPr="002D4992">
        <w:rPr>
          <w:rStyle w:val="underline"/>
          <w:b/>
        </w:rPr>
        <w:t>ate</w:t>
      </w:r>
      <w:r w:rsidRPr="00826BB3">
        <w:rPr>
          <w:rStyle w:val="underline"/>
        </w:rPr>
        <w:t xml:space="preserve"> power is simultaneously magnified and increasingly disconnected from the ends that justify its magni- fication. As obstacles to its efficacy multiply, the state increasingly sustains collective identity through theatrical displays of punish- ment and revenge against those elements that threaten to signify its inefficacy. It launches dramatized crusades against the internal other</w:t>
      </w:r>
      <w:r w:rsidRPr="00372D14">
        <w:t xml:space="preserve"> </w:t>
      </w:r>
      <w:r w:rsidRPr="00F80D41">
        <w:rPr>
          <w:sz w:val="16"/>
        </w:rPr>
        <w:t xml:space="preserve">(low-level criminals, drug users, disloyalists, racial minor- ities, and the underclass), </w:t>
      </w:r>
      <w:r w:rsidRPr="003A6657">
        <w:rPr>
          <w:rStyle w:val="highlight2"/>
        </w:rPr>
        <w:t>the external other</w:t>
      </w:r>
      <w:r w:rsidRPr="00372D14">
        <w:t xml:space="preserve"> </w:t>
      </w:r>
      <w:r w:rsidRPr="00F80D41">
        <w:rPr>
          <w:sz w:val="16"/>
        </w:rPr>
        <w:t xml:space="preserve">(foreign enemies and terrorists), </w:t>
      </w:r>
      <w:r w:rsidRPr="003A6657">
        <w:rPr>
          <w:rStyle w:val="highlight2"/>
        </w:rPr>
        <w:t>and the interior other</w:t>
      </w:r>
      <w:r w:rsidRPr="00372D14">
        <w:t xml:space="preserve"> </w:t>
      </w:r>
      <w:r w:rsidRPr="00F80D41">
        <w:rPr>
          <w:sz w:val="16"/>
        </w:rPr>
        <w:t xml:space="preserve">(those strains of abnormality, subversion, and perversity that may reside within anyone). </w:t>
      </w:r>
      <w:r w:rsidRPr="00372D14">
        <w:t xml:space="preserve"> </w:t>
      </w:r>
      <w:r w:rsidRPr="003A6657">
        <w:rPr>
          <w:rStyle w:val="highlight2"/>
        </w:rPr>
        <w:t>The state becomes, first, the screen upon which much of the resentment against the adverse effects of the civilization of pro</w:t>
      </w:r>
      <w:r w:rsidRPr="00826BB3">
        <w:rPr>
          <w:rStyle w:val="underline"/>
        </w:rPr>
        <w:t>duc- tivity and private affluence is projected; second, the vehicle through which rhetorical reassurances about the glory and durability of that civilization are transmitted back to the populace; and third, the instrument of campaigns against those elements most disturbing to the collective identity.</w:t>
      </w:r>
      <w:r w:rsidRPr="00372D14">
        <w:t xml:space="preserve"> </w:t>
      </w:r>
      <w:r w:rsidRPr="00F80D41">
        <w:rPr>
          <w:sz w:val="16"/>
        </w:rPr>
        <w:t xml:space="preserve">In the first instance, the welfare apparatus of the state is singled out for criticism and reformation. In the second, the presidency is organized into a medium of rhetorical diversion and reassurance. In the third, the state disciplinary-police-punitive apparatus is marshaled to constitute and stigmatize constituencies whose terms of existence might otherwise provide signs of defeat, injury, and sacrifice engendered by the civilization of </w:t>
      </w:r>
    </w:p>
    <w:p w:rsidR="00B13EAC" w:rsidRDefault="00B13EAC" w:rsidP="00B13EAC">
      <w:pPr>
        <w:pStyle w:val="Heading4"/>
      </w:pPr>
      <w:r>
        <w:t>Using the USFG as an actor will only repeat the anti-black structure of society</w:t>
      </w:r>
    </w:p>
    <w:p w:rsidR="00B13EAC" w:rsidRPr="00B13EAC" w:rsidRDefault="00B13EAC" w:rsidP="00B13EAC">
      <w:r>
        <w:t xml:space="preserve">David </w:t>
      </w:r>
      <w:r w:rsidRPr="00B13EAC">
        <w:rPr>
          <w:b/>
        </w:rPr>
        <w:t>Lyons 04</w:t>
      </w:r>
      <w:r>
        <w:t xml:space="preserve"> (Corrective Justice, Equal Opportunity, and the Legacy of Slavery and Jim Crow , 84 Boston University Law Review 1375-1404, 1375- 1378, 1386-1397 (December, 2004) (167 Footnotes Omitted)</w:t>
      </w:r>
    </w:p>
    <w:p w:rsidR="0047788A" w:rsidRDefault="00B13EAC" w:rsidP="00B13EAC">
      <w:r w:rsidRPr="00B13EAC">
        <w:t xml:space="preserve">The foregoing review includes an incomplete but relevant description of the federal government's role relative to African Americans. </w:t>
      </w:r>
      <w:r w:rsidRPr="00B13EAC">
        <w:rPr>
          <w:u w:val="single"/>
        </w:rPr>
        <w:t>The government's policies supported both slavery and Jim Crow</w:t>
      </w:r>
      <w:r w:rsidRPr="00B13EAC">
        <w:t xml:space="preserve">. Since 1865, the government has violated or failed to enforce its own Constitution and legislative enactments for extended periods. </w:t>
      </w:r>
      <w:r w:rsidRPr="00B13EAC">
        <w:rPr>
          <w:u w:val="single"/>
        </w:rPr>
        <w:t>In accepting violations of its own basic law, the federal government allowed the racial caste system to be reconfigured so that it could survive the abolition of slavery. It thereby enabled the entrenchment of inequities for African Americans in a new system</w:t>
      </w:r>
      <w:r w:rsidRPr="00B13EAC">
        <w:t xml:space="preserve"> - Jim Crow. </w:t>
      </w:r>
      <w:r w:rsidRPr="00B13EAC">
        <w:rPr>
          <w:u w:val="single"/>
        </w:rPr>
        <w:t>It tolerated gross misconduct by officials, frequent public lynchings, rape, harassment, terror, and coercion</w:t>
      </w:r>
      <w:r w:rsidRPr="00B13EAC">
        <w:t xml:space="preserve"> - in other words, widespread, grievous violations of African Americans' most fundamental rights. </w:t>
      </w:r>
      <w:r w:rsidRPr="00B13EAC">
        <w:rPr>
          <w:u w:val="single"/>
        </w:rPr>
        <w:t xml:space="preserve">Given the opportunity, </w:t>
      </w:r>
      <w:r w:rsidRPr="00B13EAC">
        <w:rPr>
          <w:rStyle w:val="Emphasis"/>
        </w:rPr>
        <w:t>it has more than once declined to undertake measures necessary to substantially rectify the long-standing inequities</w:t>
      </w:r>
      <w:r w:rsidRPr="00B13EAC">
        <w:t>. Of course, this pattern does not fully describe public policy; but it has dominated public policy since the United States was established.</w:t>
      </w:r>
      <w:r>
        <w:t xml:space="preserve"> </w:t>
      </w:r>
      <w:r w:rsidRPr="00B13EAC">
        <w:rPr>
          <w:u w:val="single"/>
        </w:rPr>
        <w:t>The federal government has thus been party to and partly responsible for the wrongs done to African Americans</w:t>
      </w:r>
      <w:r w:rsidRPr="00B13EAC">
        <w:t>. It is the single most important currently existing party that can truly be held accountable to those who have suffered the wrongs of racial subjugation. The federal government is, furthermore, an appropriate recipient of moral demands for corrective justice because of the nature, scope, and magnitude of the inequities that remain to be addressed.</w:t>
      </w:r>
    </w:p>
    <w:p w:rsidR="00EB758A" w:rsidRDefault="00EB758A" w:rsidP="00EB758A">
      <w:pPr>
        <w:pStyle w:val="Heading4"/>
        <w:rPr>
          <w:rFonts w:eastAsia="Times New Roman"/>
        </w:rPr>
      </w:pPr>
      <w:r>
        <w:rPr>
          <w:rFonts w:eastAsia="Times New Roman"/>
        </w:rPr>
        <w:t>The Affirmative’s attempt to “explore” in t</w:t>
      </w:r>
      <w:r w:rsidR="00AD0E33">
        <w:rPr>
          <w:rFonts w:eastAsia="Times New Roman"/>
        </w:rPr>
        <w:t>he name of the United States re-</w:t>
      </w:r>
      <w:r>
        <w:rPr>
          <w:rFonts w:eastAsia="Times New Roman"/>
        </w:rPr>
        <w:t>entrenches western superiority</w:t>
      </w:r>
    </w:p>
    <w:p w:rsidR="00EB758A" w:rsidRPr="00683079" w:rsidRDefault="00EB758A" w:rsidP="00EB758A">
      <w:pPr>
        <w:rPr>
          <w:rFonts w:eastAsia="Times New Roman"/>
          <w:b/>
          <w:bCs/>
          <w:sz w:val="24"/>
          <w:szCs w:val="24"/>
        </w:rPr>
      </w:pPr>
      <w:r w:rsidRPr="00683079">
        <w:rPr>
          <w:rFonts w:eastAsia="Times New Roman"/>
          <w:b/>
          <w:bCs/>
          <w:sz w:val="24"/>
          <w:szCs w:val="24"/>
        </w:rPr>
        <w:t>Tinker &amp; Freeland 08</w:t>
      </w:r>
      <w:r w:rsidRPr="00683079">
        <w:rPr>
          <w:rFonts w:eastAsia="Times New Roman"/>
          <w:sz w:val="20"/>
          <w:szCs w:val="20"/>
        </w:rPr>
        <w:t>(Thief, Slave Trader, Murderer: Christopher Columbus and Caribbean Population Decline Tink Tinker &amp; Mark Freeland, Wicazo Sa Review 23.1 (2008) 25-50,Tinker is professor of American Indian cultures and religious traditions at Iliff School of Theology in Denver, Colorado. Freeland He is currently a doctoral student in the Joint PhD Program at the Iliff School of Theology and the University of Denver, concentrating in religion and social change. G.L)</w:t>
      </w:r>
    </w:p>
    <w:p w:rsidR="00EB758A" w:rsidRPr="00D2114B" w:rsidRDefault="00EB758A" w:rsidP="00EB758A">
      <w:pPr>
        <w:rPr>
          <w:rFonts w:eastAsia="Times New Roman"/>
          <w:sz w:val="14"/>
          <w:szCs w:val="20"/>
        </w:rPr>
      </w:pPr>
      <w:r w:rsidRPr="00D2114B">
        <w:rPr>
          <w:rFonts w:eastAsia="Times New Roman"/>
          <w:sz w:val="14"/>
          <w:szCs w:val="20"/>
        </w:rPr>
        <w:t xml:space="preserve">To this end, we must examine the evidences for the decline in indigenous population of </w:t>
      </w:r>
      <w:r w:rsidRPr="00EB758A">
        <w:rPr>
          <w:rFonts w:eastAsia="Times New Roman"/>
          <w:bCs/>
          <w:sz w:val="20"/>
          <w:szCs w:val="20"/>
          <w:u w:val="single"/>
        </w:rPr>
        <w:t>the island of Española under the eight-year governorship of Columbus and to demonstrate his immediate responsibility for that precipitous decline.</w:t>
      </w:r>
      <w:r w:rsidRPr="00D2114B">
        <w:rPr>
          <w:rFonts w:eastAsia="Times New Roman"/>
          <w:sz w:val="14"/>
          <w:szCs w:val="20"/>
        </w:rPr>
        <w:t xml:space="preserve"> The essay will then move to argue that much of north american history since</w:t>
      </w:r>
      <w:r w:rsidRPr="00EB758A">
        <w:rPr>
          <w:rFonts w:eastAsia="Times New Roman"/>
          <w:bCs/>
          <w:sz w:val="20"/>
          <w:szCs w:val="20"/>
          <w:u w:val="single"/>
        </w:rPr>
        <w:t xml:space="preserve"> </w:t>
      </w:r>
      <w:r w:rsidRPr="00D2114B">
        <w:rPr>
          <w:rStyle w:val="Emphasis"/>
        </w:rPr>
        <w:t>Columbus consists of events that are firmly based on a narrative created in the public consciousness about Columbus</w:t>
      </w:r>
      <w:r w:rsidRPr="00EB758A">
        <w:rPr>
          <w:rFonts w:eastAsia="Times New Roman"/>
          <w:bCs/>
          <w:sz w:val="20"/>
          <w:szCs w:val="20"/>
          <w:u w:val="single"/>
        </w:rPr>
        <w:t xml:space="preserve"> </w:t>
      </w:r>
      <w:r w:rsidRPr="00D2114B">
        <w:rPr>
          <w:rFonts w:eastAsia="Times New Roman"/>
          <w:sz w:val="14"/>
          <w:szCs w:val="20"/>
        </w:rPr>
        <w:t>(which begins with Columbus's conquest</w:t>
      </w:r>
      <w:r w:rsidRPr="00D2114B">
        <w:rPr>
          <w:rStyle w:val="Emphasis"/>
        </w:rPr>
        <w:t>) and the ensuing narrative</w:t>
      </w:r>
      <w:r w:rsidRPr="00D2114B">
        <w:rPr>
          <w:rFonts w:eastAsia="Times New Roman"/>
          <w:sz w:val="14"/>
          <w:szCs w:val="20"/>
        </w:rPr>
        <w:t xml:space="preserve"> (cultural and legal) </w:t>
      </w:r>
      <w:r w:rsidRPr="00D2114B">
        <w:rPr>
          <w:rStyle w:val="Emphasis"/>
        </w:rPr>
        <w:t>developed by american jurists, historians, politicians, movie makers, and the general public to justify their own conquest and genocide of indigenous populations</w:t>
      </w:r>
      <w:r w:rsidRPr="00EB758A">
        <w:rPr>
          <w:rFonts w:eastAsia="Times New Roman"/>
          <w:bCs/>
          <w:sz w:val="20"/>
          <w:szCs w:val="20"/>
          <w:u w:val="single"/>
        </w:rPr>
        <w:t>.</w:t>
      </w:r>
      <w:r w:rsidRPr="00D2114B">
        <w:rPr>
          <w:rFonts w:eastAsia="Times New Roman"/>
          <w:sz w:val="14"/>
          <w:szCs w:val="20"/>
        </w:rPr>
        <w:t xml:space="preserve"> Part of this american national narrative, of course, is a loosely</w:t>
      </w:r>
      <w:r w:rsidRPr="00EB758A">
        <w:rPr>
          <w:rFonts w:eastAsia="Times New Roman"/>
          <w:bCs/>
          <w:sz w:val="20"/>
          <w:szCs w:val="20"/>
          <w:u w:val="single"/>
        </w:rPr>
        <w:t xml:space="preserve"> conceived denial of its own history of violence,</w:t>
      </w:r>
      <w:r w:rsidRPr="00D2114B">
        <w:rPr>
          <w:rFonts w:eastAsia="Times New Roman"/>
          <w:sz w:val="14"/>
          <w:szCs w:val="20"/>
        </w:rPr>
        <w:t xml:space="preserve"> which is repeated each year</w:t>
      </w:r>
      <w:r w:rsidRPr="00EB758A">
        <w:rPr>
          <w:rFonts w:eastAsia="Times New Roman"/>
          <w:bCs/>
          <w:sz w:val="20"/>
          <w:szCs w:val="20"/>
          <w:u w:val="single"/>
        </w:rPr>
        <w:t xml:space="preserve"> to promote the idea of american exceptionalism at the cost of the truth of the American Indian genocide.</w:t>
      </w:r>
      <w:r w:rsidRPr="00D2114B">
        <w:rPr>
          <w:rFonts w:eastAsia="Times New Roman"/>
          <w:sz w:val="14"/>
          <w:szCs w:val="20"/>
        </w:rPr>
        <w:t xml:space="preserve">  That Columbus, or</w:t>
      </w:r>
      <w:r w:rsidRPr="00EB758A">
        <w:rPr>
          <w:rFonts w:eastAsia="Times New Roman"/>
          <w:bCs/>
          <w:sz w:val="20"/>
          <w:szCs w:val="20"/>
          <w:u w:val="single"/>
        </w:rPr>
        <w:t xml:space="preserve"> Cristóbal Colón </w:t>
      </w:r>
      <w:r w:rsidRPr="00D2114B">
        <w:rPr>
          <w:rFonts w:eastAsia="Times New Roman"/>
          <w:sz w:val="14"/>
          <w:szCs w:val="20"/>
        </w:rPr>
        <w:t xml:space="preserve">(to give him his proper spanish name), </w:t>
      </w:r>
      <w:r w:rsidRPr="00EB758A">
        <w:rPr>
          <w:rFonts w:eastAsia="Times New Roman"/>
          <w:bCs/>
          <w:sz w:val="20"/>
          <w:szCs w:val="20"/>
          <w:u w:val="single"/>
        </w:rPr>
        <w:t>was a slave trader is a matter of historical fact. He cut his nautical teeth sailing under a portugese flag engaged in the african slave trade</w:t>
      </w:r>
      <w:r w:rsidRPr="00D2114B">
        <w:rPr>
          <w:rFonts w:eastAsia="Times New Roman"/>
          <w:sz w:val="14"/>
          <w:szCs w:val="20"/>
        </w:rPr>
        <w:t xml:space="preserve"> a dozen years before 1492. </w:t>
      </w:r>
      <w:r w:rsidRPr="00EB758A">
        <w:rPr>
          <w:rFonts w:eastAsia="Times New Roman"/>
          <w:bCs/>
          <w:sz w:val="20"/>
          <w:szCs w:val="20"/>
          <w:u w:val="single"/>
        </w:rPr>
        <w:t>When easy wealth in the form of gold proved not readily available in the Caribbean, Colón resumed his slave-trading occupation by loading the holds of his ships with Indian human cargo headed for the slave market in Seville.</w:t>
      </w:r>
      <w:r w:rsidRPr="00D2114B">
        <w:rPr>
          <w:rFonts w:eastAsia="Times New Roman"/>
          <w:sz w:val="14"/>
          <w:szCs w:val="20"/>
        </w:rPr>
        <w:t xml:space="preserve"> That he was a thief is equally self-evident, however a high-level thief he may have been. The law of tribute that he instituted in the island he called Española sometime in 1495</w:t>
      </w:r>
      <w:r w:rsidRPr="00EB758A">
        <w:rPr>
          <w:rFonts w:eastAsia="Times New Roman"/>
          <w:bCs/>
          <w:sz w:val="20"/>
          <w:szCs w:val="20"/>
          <w:u w:val="single"/>
        </w:rPr>
        <w:t xml:space="preserve"> forced Indian people on the island to surrender goods, including gold ore, can only be classed as armed robbery. And we will argue in this essay that Colón was indeed a murderer, culpable for those crimes against humanity as the head of an authoritarian regime just as readily as Adolph Hitler is held accountable for the murder of some six million </w:t>
      </w:r>
      <w:r w:rsidRPr="00D2114B">
        <w:rPr>
          <w:rFonts w:eastAsia="Times New Roman"/>
          <w:sz w:val="14"/>
          <w:szCs w:val="20"/>
        </w:rPr>
        <w:t xml:space="preserve">Romas (the so-called </w:t>
      </w:r>
      <w:r w:rsidRPr="00EB758A">
        <w:rPr>
          <w:rFonts w:eastAsia="Times New Roman"/>
          <w:bCs/>
          <w:sz w:val="20"/>
          <w:szCs w:val="20"/>
          <w:u w:val="single"/>
        </w:rPr>
        <w:t>Gypsies</w:t>
      </w:r>
      <w:r w:rsidRPr="00D2114B">
        <w:rPr>
          <w:rFonts w:eastAsia="Times New Roman"/>
          <w:sz w:val="14"/>
          <w:szCs w:val="20"/>
        </w:rPr>
        <w:t>)</w:t>
      </w:r>
      <w:r w:rsidRPr="00EB758A">
        <w:rPr>
          <w:rFonts w:eastAsia="Times New Roman"/>
          <w:bCs/>
          <w:sz w:val="20"/>
          <w:szCs w:val="20"/>
          <w:u w:val="single"/>
        </w:rPr>
        <w:t>, Jews, and gays in Nazi Germany.</w:t>
      </w:r>
      <w:r w:rsidRPr="00D2114B">
        <w:rPr>
          <w:rFonts w:eastAsia="Times New Roman"/>
          <w:sz w:val="14"/>
          <w:szCs w:val="20"/>
        </w:rPr>
        <w:t xml:space="preserve"> </w:t>
      </w:r>
      <w:r w:rsidRPr="00EB758A">
        <w:rPr>
          <w:rFonts w:eastAsia="Times New Roman"/>
          <w:bCs/>
          <w:sz w:val="20"/>
          <w:szCs w:val="20"/>
          <w:u w:val="single"/>
        </w:rPr>
        <w:t>We know that Colón's law of tribute effectively resulted in the murder of Taino persons who failed to procure sufficient gold for the admiral and his monarchs.</w:t>
      </w:r>
      <w:r w:rsidRPr="00D2114B">
        <w:rPr>
          <w:rFonts w:eastAsia="Times New Roman"/>
          <w:sz w:val="14"/>
          <w:szCs w:val="20"/>
        </w:rPr>
        <w:t xml:space="preserve"> Actually, the mandated punishment was the severing of the hands of the person who so failed, a punishment that must have, given the state of medical technology, resulted in death from excessive bleeding. But what exactly was the full extent of Colón's crimes against humanity? That is the subject we address here.  </w:t>
      </w:r>
    </w:p>
    <w:p w:rsidR="00F36A53" w:rsidRDefault="00F36A53" w:rsidP="004A4145">
      <w:pPr>
        <w:rPr>
          <w:rFonts w:eastAsia="Times New Roman"/>
          <w:sz w:val="20"/>
          <w:szCs w:val="20"/>
        </w:rPr>
      </w:pPr>
    </w:p>
    <w:p w:rsidR="004A4145" w:rsidRDefault="004A4145" w:rsidP="004A4145">
      <w:pPr>
        <w:rPr>
          <w:rFonts w:eastAsia="Times New Roman"/>
          <w:sz w:val="20"/>
          <w:szCs w:val="20"/>
        </w:rPr>
      </w:pPr>
      <w:r>
        <w:rPr>
          <w:rFonts w:eastAsia="Times New Roman"/>
          <w:sz w:val="20"/>
          <w:szCs w:val="20"/>
        </w:rPr>
        <w:t>John Roberts sailed through his confirmation hearings as the new Chief Justice of the Supreme Court, with enthusiastic Republican support, and a few weak mutterings of opposition by the Democrats. Then, after the far right deemed Harriet Miers insufficiently doctrinaire, Bush nominated arch conservative Samuel Alito to replace Sandra Day O'Connor. This has caused a certain consternation among people we affectionately term "the left." I can understand that sinking feeling. Even listening to pieces of Roberts's confirmation hearings was enough to induce despair: the joking with the candidate, the obvious signs that, whether Democrats or Republicans, these are all members of the same exclusive club. Roberts's proper "credentials," his "nice guy" demeanor, his insistence to the Judiciary Committee that he is not an "ideologue" (can you imagine anyone, even Robert Bork or Dick Cheney, admitting that he is an "ideologue"?) were clearly more important than his views on equality, justice, the rights of defendants, the war powers of the President. At one point in the hearings, The New York Times reported, Roberts "summed up his philosophy." He had been asked, "Are you going to be on the side of the little guy?" (Would any candidate admit that he was on the side of "the big guy"? Presumably serious "hearings" bring out idiot questions.) Roberts replied: "If the Constitution says that the little guy should win, the little guy's going to win in court before me. But if the Constitution says that the big guy should win, well, then the big guy's going to win, because my obligation is to the Constitution." If the Constitution is the holy test, then a justice should abide by its provision in Article VI that not only the Constitution itself but "all Treaties made, or which shall be made, under the Authority of the United States, shall be the Supreme Law of the Land." This includes the Geneva Convention of 1949, which the United States signed, and which insists that prisoners of war must be granted the rights of due process. A district court judge in 2004 ruled that the detainees held in Guantanamo for years without trial were protected by the Geneva Convention and deserved due process. Roberts and two colleagues on the Court of Appeals overruled this. There is enormous hypocrisy surrounding the pious veneration of the Constitution and "the rule of law." The Constitution, like the Bible, is infinitely flexible and is used to serve the political needs of the moment. When the country was in economic crisis and turmoil in the Thirties and capitalism needed to be saved from the anger of the poor and hungry and unemployed, the Supreme Court was willing to stretch to infinity the constitutional right of Congress to regulate interstate commerce. It decided that the national government, desperate to regulate farm production, could tell a family farmer what to grow on his tiny piece of land. When the Constitution gets in the way of a war, it is ignored. When the Supreme Court was faced, during Vietnam, with a suit by soldiers refusing to go, claiming that there had been no declaration of war by Congress, as the Constitution required, the soldiers could not get four Supreme Court justices to agree to even hear the case. When, during World War I, Congress ignored the First Amendment's right to free speech by passing legislation to prohibit criticism of the war, the imprisonment of dissenters under this law was upheld unanimously by the Supreme Court, which included two presumably liberal and learned justices: Oliver Wendell Holmes and Louis Brandeis. It would be naive to depend on the Supreme Court to defend the rights of poor people, women, people of color, dissenters of all kinds. Those rights only come alive when citizens organize, protest, demonstrate, strike, boycott, rebel, and violate the law in order to uphold justice. The distinction between law and justice is ignored by all those Senators--Democrats and Republicans--who solemnly invoke as their highest concern "the rule of law." The law can be just; it can be unjust. It does not deserve to inherit the ultimate authority of the divine right of the king. The Constitution gave no rights to working people: no right to work less than twelve hours a day, no right to a living wage, no right to safe working conditions. Workers had to organize, go on strike, defy the law, the courts, the police, create a great movement which won the eight-hour day, and caused such commotion that Congress was forced to pass a minimum wage law, and Social Security, and unemployment insurance. The Brown decision on school desegregation did not come from a sudden realization of the Supreme Court that this is what the Fourteenth Amendment called for. After all, it was the same Fourteenth Amendment that had been cited in the Plessy case upholding racial segregation. It was the initiative of brave families in the South--along with the fear by the government, obsessed with the Cold War, that it was losing the hearts and minds of colored people all over the world--that brought a sudden enlightenment to the Court. The Supreme Court in 1883 had interpreted the Fourteenth Amendment so that nongovernmental institutions hotels, restaurants, etc.-could bar black people. But after the sit-ins and arrests of thousands of black people in the South in the early Sixties, the right to public accommodations was quietly given constitutional sanction in 1964 by the Court. It now interpreted the interstate commerce clause, whose wording had not changed since 1787, to mean that places of public accommodation could be regulated by Congressional action and be prohibited from discriminating. Soon this would include barbershops, and I suggest it takes an ingenious interpretation to include barbershops in interstate commerce. The right of a woman to an abortion did not depend on the Supreme Court decision in Roe v. Wade. It was won before that decision, all over the country, by grassroots agitation that forced states to recognize the right. If the American people, who by a great majority favor that right, insist on it, act on it, no Supreme Court decision can take it away. The rights of working people, of women, of black people have not depended on decisions of the courts. Like the other branches of the political system, the courts have recognized these rights only after citizens have engaged in direct action powerful enough to win these rights for themselves. This is not to say that we should ignore the courts or the electoral campaigns. It can be useful to get one person rather than another on the Supreme Court, or in the Presidency, or in Congress. The courts, win or lose, can be used to dramatize issues. On St. Patrick's Day, 2003, on the eve of the invasion of Iraq, four anti-war activists poured their own blood around the vestibule of a military recruiting center near Ithaca, New York, and were arrested. Charged in state court with criminal mischief and trespassing (charges well suited to the American invaders of a certain Mideastern country), the St. Patrick's Four spoke their hearts to the jury. Peter DeMott, a Vietnam veteran, described the brutality of war. Danny Burns explained why invading Iraq would violate the U.N. Charter, a treaty signed by the United States. Clare Grady spoke of her moral obligations as a Christian. Teresa Grady spoke to the jury as a mother, telling them that women and children were the chief victims of war, and that she cared about the children of Iraq. Nine of the twelve jurors voted to acquit them, and the judge declared a hung jury. (When the federal government retried them on felony conspiracy charges, a jury in September acquitted them of those and convicted them on lesser charges.) Still, knowing the nature of the political and judicial system of this country, its inherent bias against the poor, against people of color, against dissidents, we cannot become dependent on the courts, or on our political leadership. Our culture--the media, the educational system--tries to crowd out of our political consciousness everything except who will be elected President and who will be on the Supreme Court, as if these are the most important decisions we make. They are not. They deflect us from the most important job citizens have, which is to bring democracy alive by organizing, protesting, engaging in acts of civil disobedience that shake up the system. That is why Cindy Sheehan's dramatic stand in Crawford, Texas, leading to 1,600 anti-war vigils around the country, involving 100,000 people, is more crucial to the future of American democracy than the mock hearings on Justice Roberts or the ones to come on Judge Alito. That is why the St. Patrick's Four need to be supported and emulated. That is why the GIs refusing to return to Iraq, the families of soldiers calling for withdrawal from the war, are so important. That is why the huge peace march in Washington on September 24 bodes well. Let us not be disconsolate over the increasing control of the court system by the right wing. The courts have never been on the side of justice, only moving a few degrees one way or the other, unless pushed by the people. Those words engraved in the marble of the Supreme Court, "Equal Justice Before the Law," have always been a sham. No Supreme Court, liberal or conservative, will stop the war in Iraq, or redistribute the wealth of this country, or establish free medical care for every human being. Such fundamental change will depend, the experience of the past suggests, on the actions of an aroused citizenry, demanding that the promise of the Declaration of Independence--an equal right to life, liberty, and the pursuit of happiness--be fulfilled.</w:t>
      </w:r>
    </w:p>
    <w:p w:rsidR="00EB758A" w:rsidRDefault="00EB758A" w:rsidP="00B13EAC"/>
    <w:p w:rsidR="00916CEC" w:rsidRDefault="00916CEC" w:rsidP="00916CEC">
      <w:pPr>
        <w:pStyle w:val="Heading2"/>
      </w:pPr>
      <w:bookmarkStart w:id="0" w:name="_GoBack"/>
      <w:bookmarkEnd w:id="0"/>
      <w:r>
        <w:t xml:space="preserve">AT: </w:t>
      </w:r>
      <w:r w:rsidR="00F36A53">
        <w:t>Drex</w:t>
      </w:r>
      <w:r w:rsidR="005E2FC7">
        <w:t>c</w:t>
      </w:r>
      <w:r w:rsidR="00F36A53">
        <w:t>i</w:t>
      </w:r>
      <w:r w:rsidR="005E2FC7">
        <w:t>y</w:t>
      </w:r>
      <w:r w:rsidR="00F36A53">
        <w:t>an</w:t>
      </w:r>
      <w:r w:rsidR="005E2FC7">
        <w:t>s</w:t>
      </w:r>
    </w:p>
    <w:p w:rsidR="005E2FC7" w:rsidRPr="005E2FC7" w:rsidRDefault="005E2FC7" w:rsidP="005E2FC7"/>
    <w:p w:rsidR="00F36A53" w:rsidRDefault="00F36A53" w:rsidP="00F36A53">
      <w:pPr>
        <w:pStyle w:val="Heading2"/>
      </w:pPr>
      <w:r>
        <w:t>Music Should be Starting Point</w:t>
      </w:r>
    </w:p>
    <w:p w:rsidR="005E2FC7" w:rsidRPr="005E2FC7" w:rsidRDefault="005E2FC7" w:rsidP="005E2FC7"/>
    <w:p w:rsidR="00F36A53" w:rsidRPr="00F36A53" w:rsidRDefault="00F36A53" w:rsidP="00F36A53">
      <w:pPr>
        <w:pStyle w:val="Heading2"/>
      </w:pPr>
      <w:r>
        <w:t>AT: Afrofuturism</w:t>
      </w:r>
    </w:p>
    <w:p w:rsidR="00C60EC3" w:rsidRPr="00C60EC3" w:rsidRDefault="00C60EC3" w:rsidP="00C60EC3">
      <w:pPr>
        <w:pStyle w:val="Heading4"/>
      </w:pPr>
    </w:p>
    <w:p w:rsidR="00236821" w:rsidRDefault="00236821" w:rsidP="00236821">
      <w:pPr>
        <w:pStyle w:val="Heading2"/>
      </w:pPr>
      <w:r>
        <w:t>PIC</w:t>
      </w:r>
    </w:p>
    <w:p w:rsidR="00236821" w:rsidRDefault="00CB4CF6" w:rsidP="00CB4CF6">
      <w:pPr>
        <w:pStyle w:val="Heading4"/>
      </w:pPr>
      <w:r>
        <w:t xml:space="preserve">Advocacy: </w:t>
      </w:r>
      <w:r w:rsidR="00F36A53">
        <w:t>Ocean Exploration should be increased via an encounter with Drexians</w:t>
      </w:r>
    </w:p>
    <w:p w:rsidR="00CB4CF6" w:rsidRPr="00CB4CF6" w:rsidRDefault="00CB4CF6" w:rsidP="00CB4CF6"/>
    <w:p w:rsidR="002D4992" w:rsidRDefault="002D4992" w:rsidP="002D4992">
      <w:pPr>
        <w:pStyle w:val="Heading4"/>
      </w:pPr>
      <w:r>
        <w:t>The Affirmative’s use of the USFG limits the imaginary</w:t>
      </w:r>
    </w:p>
    <w:p w:rsidR="0047788A" w:rsidRPr="00287979" w:rsidRDefault="0047788A" w:rsidP="0047788A">
      <w:r>
        <w:t xml:space="preserve">Lisa </w:t>
      </w:r>
      <w:r w:rsidRPr="0047788A">
        <w:rPr>
          <w:b/>
        </w:rPr>
        <w:t>Yaszek</w:t>
      </w:r>
      <w:r w:rsidR="00287979">
        <w:rPr>
          <w:b/>
        </w:rPr>
        <w:t xml:space="preserve"> 13 </w:t>
      </w:r>
      <w:r w:rsidR="00287979" w:rsidRPr="00074B73">
        <w:t>(“Race in Science Fiction: The Case of Afrofuturism”, Lisa Yaszek is Professor and Director of Undergraduate Studies in the School of Literature, Media, and Communication at Georgia Tech)</w:t>
      </w:r>
    </w:p>
    <w:p w:rsidR="000F5826" w:rsidRDefault="002D4992" w:rsidP="00101080">
      <w:pPr>
        <w:rPr>
          <w:u w:val="single"/>
        </w:rPr>
      </w:pPr>
      <w:r w:rsidRPr="00074B73">
        <w:rPr>
          <w:sz w:val="16"/>
        </w:rPr>
        <w:t xml:space="preserve">Let's think a little bit more about these last two goals. </w:t>
      </w:r>
      <w:r w:rsidRPr="000D05D8">
        <w:rPr>
          <w:u w:val="single"/>
        </w:rPr>
        <w:t>A lot of scholars think about Af</w:t>
      </w:r>
      <w:r w:rsidR="00CB4CF6" w:rsidRPr="000D05D8">
        <w:rPr>
          <w:u w:val="single"/>
        </w:rPr>
        <w:t>r</w:t>
      </w:r>
      <w:r w:rsidRPr="000D05D8">
        <w:rPr>
          <w:u w:val="single"/>
        </w:rPr>
        <w:t>ofuturism as an extension of the historical recovery projects that black Atlantic intellectuals have engaged</w:t>
      </w:r>
      <w:r w:rsidRPr="00074B73">
        <w:rPr>
          <w:sz w:val="16"/>
        </w:rPr>
        <w:t xml:space="preserve"> in for well over two hundred years now. As Tony Morrison has written and spoken about eloquently, </w:t>
      </w:r>
      <w:r w:rsidRPr="000D05D8">
        <w:rPr>
          <w:u w:val="single"/>
        </w:rPr>
        <w:t xml:space="preserve">these kinds of historic recovery projects show how African slaves and their descendants experienced conditions of homelessness, alienation, and dislocation </w:t>
      </w:r>
      <w:r w:rsidRPr="00074B73">
        <w:rPr>
          <w:sz w:val="16"/>
        </w:rPr>
        <w:t xml:space="preserve">that very much anticipate what Nietzsche described as the founding conditions of modernity (cf. Gilroy). </w:t>
      </w:r>
      <w:r w:rsidRPr="000D05D8">
        <w:rPr>
          <w:u w:val="single"/>
        </w:rPr>
        <w:t>And so, you can start to see why it is that science fiction appeals to Afrodiasporic artists. If you want think about black people as the primary subjects of modernity, those who have the most intense engagements with it, science fiction has the grammar that allows us to narrate those engagements.</w:t>
      </w:r>
      <w:r w:rsidRPr="00074B73">
        <w:rPr>
          <w:sz w:val="16"/>
        </w:rPr>
        <w:t xml:space="preserve"> Stories about travel through time and space and stories about encounters with the alien other are ideal ways to bring those historical experiences to life for new audiences. Just to jump ahead of myself here for a moment, if you think about Derrick Bell's story "The Space Traders", you can see how the lead character, </w:t>
      </w:r>
      <w:r w:rsidRPr="000D05D8">
        <w:rPr>
          <w:u w:val="single"/>
        </w:rPr>
        <w:t xml:space="preserve">Professor Golightly, is always engaging African American history in his attempt make sense of an uncertain future, </w:t>
      </w:r>
      <w:r w:rsidRPr="00D2114B">
        <w:rPr>
          <w:rStyle w:val="Emphasis"/>
        </w:rPr>
        <w:t>and that's what</w:t>
      </w:r>
      <w:r w:rsidRPr="000D05D8">
        <w:rPr>
          <w:u w:val="single"/>
        </w:rPr>
        <w:t xml:space="preserve"> </w:t>
      </w:r>
      <w:r w:rsidRPr="000D05D8">
        <w:rPr>
          <w:rStyle w:val="Emphasis"/>
        </w:rPr>
        <w:t>allows him to realize that the United State's deal with the aliens may not end all that well</w:t>
      </w:r>
      <w:r w:rsidRPr="000D05D8">
        <w:rPr>
          <w:u w:val="single"/>
        </w:rPr>
        <w:t>. That attempt to connect the past with the present and the future is central to the Afrofuturist project</w:t>
      </w:r>
    </w:p>
    <w:p w:rsidR="000F5826" w:rsidRDefault="000F5826" w:rsidP="00101080">
      <w:pPr>
        <w:rPr>
          <w:u w:val="single"/>
        </w:rPr>
      </w:pPr>
    </w:p>
    <w:p w:rsidR="000F5826" w:rsidRPr="00F36A53" w:rsidRDefault="000F5826" w:rsidP="000F5826">
      <w:pPr>
        <w:pStyle w:val="Heading2"/>
      </w:pPr>
      <w:r>
        <w:t>Topicality</w:t>
      </w:r>
    </w:p>
    <w:p w:rsidR="000F5826" w:rsidRDefault="000F5826" w:rsidP="000F5826">
      <w:pPr>
        <w:keepNext/>
        <w:keepLines/>
        <w:spacing w:before="40" w:after="0"/>
        <w:outlineLvl w:val="3"/>
        <w:rPr>
          <w:rFonts w:eastAsia="Times New Roman" w:cs="Times New Roman"/>
          <w:b/>
          <w:iCs/>
          <w:sz w:val="26"/>
        </w:rPr>
      </w:pPr>
    </w:p>
    <w:p w:rsidR="000F5826" w:rsidRDefault="000F5826" w:rsidP="000F5826">
      <w:pPr>
        <w:keepNext/>
        <w:keepLines/>
        <w:spacing w:before="40" w:after="0"/>
        <w:outlineLvl w:val="3"/>
        <w:rPr>
          <w:rFonts w:eastAsia="Times New Roman" w:cs="Times New Roman"/>
          <w:b/>
          <w:iCs/>
          <w:sz w:val="26"/>
        </w:rPr>
      </w:pPr>
    </w:p>
    <w:p w:rsidR="000F5826" w:rsidRPr="006F0D4C" w:rsidRDefault="000F5826" w:rsidP="000F5826">
      <w:pPr>
        <w:pStyle w:val="ListParagraph"/>
        <w:keepNext/>
        <w:keepLines/>
        <w:numPr>
          <w:ilvl w:val="0"/>
          <w:numId w:val="11"/>
        </w:numPr>
        <w:spacing w:before="40" w:after="0"/>
        <w:outlineLvl w:val="3"/>
        <w:rPr>
          <w:rFonts w:eastAsia="Times New Roman" w:cs="Times New Roman"/>
          <w:b/>
          <w:iCs/>
          <w:sz w:val="26"/>
        </w:rPr>
      </w:pPr>
      <w:r>
        <w:rPr>
          <w:rFonts w:eastAsia="Times New Roman" w:cs="Times New Roman"/>
          <w:b/>
          <w:iCs/>
          <w:sz w:val="26"/>
        </w:rPr>
        <w:t xml:space="preserve">interpretation - </w:t>
      </w:r>
      <w:r w:rsidRPr="006F0D4C">
        <w:rPr>
          <w:rFonts w:eastAsia="Times New Roman" w:cs="Times New Roman"/>
          <w:b/>
          <w:iCs/>
          <w:sz w:val="26"/>
        </w:rPr>
        <w:t>“Exploration” is discovery through observation and recording</w:t>
      </w:r>
    </w:p>
    <w:p w:rsidR="000F5826" w:rsidRPr="006F0D4C" w:rsidRDefault="000F5826" w:rsidP="000F5826">
      <w:pPr>
        <w:rPr>
          <w:rFonts w:eastAsia="Calibri" w:cs="Times New Roman"/>
        </w:rPr>
      </w:pPr>
      <w:r w:rsidRPr="00D17B2B">
        <w:rPr>
          <w:rStyle w:val="Style13ptBold"/>
        </w:rPr>
        <w:t>NAS 10|</w:t>
      </w:r>
      <w:r>
        <w:rPr>
          <w:rFonts w:eastAsia="Calibri" w:cs="Times New Roman"/>
        </w:rPr>
        <w:t>“</w:t>
      </w:r>
      <w:r w:rsidRPr="00D17B2B">
        <w:rPr>
          <w:rFonts w:eastAsia="Calibri" w:cs="Times New Roman"/>
        </w:rPr>
        <w:t>Ocean</w:t>
      </w:r>
      <w:r>
        <w:rPr>
          <w:rFonts w:eastAsia="Calibri" w:cs="Times New Roman"/>
        </w:rPr>
        <w:t xml:space="preserve"> </w:t>
      </w:r>
      <w:r w:rsidRPr="00D17B2B">
        <w:rPr>
          <w:rFonts w:eastAsia="Calibri" w:cs="Times New Roman"/>
        </w:rPr>
        <w:t>exploration</w:t>
      </w:r>
      <w:r>
        <w:rPr>
          <w:rFonts w:eastAsia="Calibri" w:cs="Times New Roman"/>
        </w:rPr>
        <w:t xml:space="preserve"> </w:t>
      </w:r>
      <w:r w:rsidRPr="00D17B2B">
        <w:rPr>
          <w:rFonts w:eastAsia="Calibri" w:cs="Times New Roman"/>
        </w:rPr>
        <w:t>highlights of National Academies Reports</w:t>
      </w:r>
      <w:r>
        <w:rPr>
          <w:rFonts w:eastAsia="Calibri" w:cs="Times New Roman"/>
        </w:rPr>
        <w:t>” (</w:t>
      </w:r>
      <w:hyperlink r:id="rId6" w:history="1">
        <w:r w:rsidRPr="00FB75A1">
          <w:rPr>
            <w:rStyle w:val="Hyperlink"/>
            <w:rFonts w:eastAsia="Calibri" w:cs="Times New Roman"/>
          </w:rPr>
          <w:t>http://dels.nas.edu/resources/static-assets/osb/miscellaneous/exploration_final.pdf</w:t>
        </w:r>
      </w:hyperlink>
      <w:r>
        <w:rPr>
          <w:rFonts w:eastAsia="Calibri" w:cs="Times New Roman"/>
        </w:rPr>
        <w:t xml:space="preserve">) A.B. </w:t>
      </w:r>
    </w:p>
    <w:p w:rsidR="000F5826" w:rsidRPr="0069336C" w:rsidRDefault="000F5826" w:rsidP="000F5826">
      <w:pPr>
        <w:rPr>
          <w:rStyle w:val="StyleUnderline"/>
        </w:rPr>
      </w:pPr>
      <w:r w:rsidRPr="0069336C">
        <w:t xml:space="preserve">What Is </w:t>
      </w:r>
      <w:r w:rsidRPr="0069336C">
        <w:rPr>
          <w:rStyle w:val="StyleUnderline"/>
        </w:rPr>
        <w:t>Ocean Exploration</w:t>
      </w:r>
      <w:r w:rsidRPr="0069336C">
        <w:t xml:space="preserve">? As </w:t>
      </w:r>
      <w:r w:rsidRPr="0069336C">
        <w:rPr>
          <w:rStyle w:val="StyleUnderline"/>
        </w:rPr>
        <w:t>defined by the President’s Panel on Ocean Exploration</w:t>
      </w:r>
      <w:r w:rsidRPr="0069336C">
        <w:t xml:space="preserve"> (National Oceanic and Atmospheric Administration, 2000), ocean exploration </w:t>
      </w:r>
      <w:r w:rsidRPr="0069336C">
        <w:rPr>
          <w:rStyle w:val="StyleUnderline"/>
        </w:rPr>
        <w:t xml:space="preserve">is discovery through disciplined, diverse observations and recordings of findings. It includes rigorous, systematic observations and documentation of </w:t>
      </w:r>
      <w:r w:rsidRPr="0069336C">
        <w:t xml:space="preserve">biological, chemical, </w:t>
      </w:r>
      <w:r w:rsidRPr="0069336C">
        <w:rPr>
          <w:rStyle w:val="StyleUnderline"/>
        </w:rPr>
        <w:t>physical</w:t>
      </w:r>
      <w:r w:rsidRPr="0069336C">
        <w:t xml:space="preserve">, </w:t>
      </w:r>
      <w:r w:rsidRPr="0069336C">
        <w:rPr>
          <w:rStyle w:val="StyleUnderline"/>
        </w:rPr>
        <w:t>geological, and archeological aspects of the ocean in the three dimensions of space and in time.</w:t>
      </w:r>
    </w:p>
    <w:p w:rsidR="000F5826" w:rsidRPr="006F0D4C" w:rsidRDefault="000F5826" w:rsidP="000F5826">
      <w:pPr>
        <w:pStyle w:val="Heading4"/>
        <w:numPr>
          <w:ilvl w:val="0"/>
          <w:numId w:val="11"/>
        </w:numPr>
        <w:rPr>
          <w:rFonts w:eastAsia="Calibri"/>
        </w:rPr>
      </w:pPr>
      <w:r>
        <w:rPr>
          <w:rFonts w:eastAsia="Calibri"/>
        </w:rPr>
        <w:t>Violation, The plan isn’t Exploration, they say they would explore the Earth’s Ocean’s through an encounter with the Drexciyans, but the definition of Exploration excludes this.</w:t>
      </w:r>
    </w:p>
    <w:p w:rsidR="000F5826" w:rsidRPr="00D17B2B" w:rsidRDefault="000F5826" w:rsidP="000F5826">
      <w:pPr>
        <w:pStyle w:val="Heading4"/>
      </w:pPr>
      <w:r w:rsidRPr="00D17B2B">
        <w:t>Activity after discovery isn’t “exploration”</w:t>
      </w:r>
    </w:p>
    <w:p w:rsidR="000F5826" w:rsidRDefault="000F5826" w:rsidP="000F5826">
      <w:pPr>
        <w:rPr>
          <w:rFonts w:eastAsia="Calibri" w:cs="Times New Roman"/>
        </w:rPr>
      </w:pPr>
      <w:r>
        <w:rPr>
          <w:rFonts w:eastAsia="Calibri" w:cs="Times New Roman"/>
        </w:rPr>
        <w:t xml:space="preserve"> </w:t>
      </w:r>
      <w:r w:rsidRPr="00D17B2B">
        <w:rPr>
          <w:rStyle w:val="Style13ptBold"/>
        </w:rPr>
        <w:t>Ashurst 13|</w:t>
      </w:r>
      <w:r>
        <w:rPr>
          <w:rFonts w:eastAsia="Calibri" w:cs="Times New Roman"/>
        </w:rPr>
        <w:t>“</w:t>
      </w:r>
      <w:r w:rsidRPr="009620B1">
        <w:rPr>
          <w:rFonts w:eastAsia="Calibri" w:cs="Times New Roman"/>
        </w:rPr>
        <w:t>Tax Alert</w:t>
      </w:r>
      <w:r>
        <w:rPr>
          <w:rFonts w:eastAsia="Calibri" w:cs="Times New Roman"/>
        </w:rPr>
        <w:t xml:space="preserve"> </w:t>
      </w:r>
      <w:r w:rsidRPr="009620B1">
        <w:rPr>
          <w:rFonts w:eastAsia="Calibri" w:cs="Times New Roman"/>
        </w:rPr>
        <w:t>Exploration expenditure –</w:t>
      </w:r>
      <w:r>
        <w:rPr>
          <w:rFonts w:eastAsia="Calibri" w:cs="Times New Roman"/>
        </w:rPr>
        <w:t xml:space="preserve"> </w:t>
      </w:r>
      <w:r w:rsidRPr="009620B1">
        <w:rPr>
          <w:rFonts w:eastAsia="Calibri" w:cs="Times New Roman"/>
        </w:rPr>
        <w:t>no bright line test</w:t>
      </w:r>
      <w:r>
        <w:rPr>
          <w:rFonts w:eastAsia="Calibri" w:cs="Times New Roman"/>
        </w:rPr>
        <w:t xml:space="preserve"> </w:t>
      </w:r>
      <w:r w:rsidRPr="009620B1">
        <w:rPr>
          <w:rFonts w:eastAsia="Calibri" w:cs="Times New Roman"/>
        </w:rPr>
        <w:t>ZZGN v Commissioner of Taxation [2013] AATA 351</w:t>
      </w:r>
      <w:r>
        <w:rPr>
          <w:rFonts w:eastAsia="Calibri" w:cs="Times New Roman"/>
        </w:rPr>
        <w:t>” (</w:t>
      </w:r>
      <w:hyperlink r:id="rId7" w:history="1">
        <w:r w:rsidRPr="00FB75A1">
          <w:rPr>
            <w:rStyle w:val="Hyperlink"/>
            <w:rFonts w:eastAsia="Calibri" w:cs="Times New Roman"/>
          </w:rPr>
          <w:t>file:///C:/Users/Alex/Downloads/Tax%20Alert%20-%2029%20May%202013.pdf</w:t>
        </w:r>
      </w:hyperlink>
      <w:r>
        <w:rPr>
          <w:rFonts w:eastAsia="Calibri" w:cs="Times New Roman"/>
        </w:rPr>
        <w:t xml:space="preserve">) A.B. </w:t>
      </w:r>
    </w:p>
    <w:p w:rsidR="000F5826" w:rsidRPr="008C1B2E" w:rsidRDefault="000F5826" w:rsidP="000F5826">
      <w:r>
        <w:t xml:space="preserve">What is "exploration"? One of the key issues in the proceedings concerned the meaning of the word "exploration" as used in section 37 of the Act. While it is clear that </w:t>
      </w:r>
      <w:r w:rsidRPr="009620B1">
        <w:rPr>
          <w:rStyle w:val="StyleUnderline"/>
        </w:rPr>
        <w:t>"exploration" extends to activities involved in searching</w:t>
      </w:r>
      <w:r>
        <w:t xml:space="preserve"> for and drilling exploration wells to discover petroleum reserves, prior to the Tribunal’s decision, </w:t>
      </w:r>
      <w:r w:rsidRPr="009620B1">
        <w:rPr>
          <w:rStyle w:val="StyleUnderline"/>
        </w:rPr>
        <w:t>it was not clear whether the word "exploration" extended beyond the immediate discovery</w:t>
      </w:r>
      <w:r>
        <w:t xml:space="preserve"> of petroleum. For example, if a taxpayer drilled an exploration well and discovered petroleum, does expenditure incurred subsequent to that point in time cease to have the character of exploration expenditure (even though the extent and quality of the reserve may be unknown)? Further, it was unclear whether the term "exploration" extended to circumstances where a taxpayer did not yet know whether an identified reserve was commercially or technically viable to allow for the development and later production of a petroleum project (ie where the reserve is not a proven reserve). </w:t>
      </w:r>
      <w:r w:rsidRPr="009620B1">
        <w:rPr>
          <w:rStyle w:val="StyleUnderline"/>
        </w:rPr>
        <w:t xml:space="preserve">If activities of this nature were in connection with "exploration" then the costs of assessing the commercial or the technical feasibility of exploiting a reserve are likely to be referrable to "exploration" </w:t>
      </w:r>
      <w:r>
        <w:t xml:space="preserve">and therefore within section 37 of the Act. A further step along the continuum is whether "exploration" continues until a final investment decision is made to proceed with a project in relation to a proven reserve. Again, it was not clear whether expenditure incurred on activities prior to a final investment decision being made are referrable to "exploration" and therefore within section 37 of the Act. In its decision the Tribunal concluded, after considering the legislative history of the Act, that there is nothing in the legislative history or in the extensive case law referred to by either party to suggest that </w:t>
      </w:r>
      <w:r w:rsidRPr="009620B1">
        <w:rPr>
          <w:rStyle w:val="StyleUnderline"/>
        </w:rPr>
        <w:t>the term "exploration" should be read as meaning other than its ordinary everyday meaning understood in the context in which it appears.</w:t>
      </w:r>
      <w:r w:rsidRPr="009620B1">
        <w:t xml:space="preserve"> </w:t>
      </w:r>
      <w:r>
        <w:t xml:space="preserve">The Tribunal found it useful to borrow from the language of a research report prepared by the Australian Bureau of Agricultural and Resource Economics in 1996 (ABARE report) in considering the nature of the activities which naturally fall within the meaning of the word "exploration", as the word would be understood by a user of ordinary English familiar with oil and gas mining. The ABARE report refers to: … oil and gas companies using a range of survey techniques to identify prospective fields. These may be geological, gravity, magnetic, seismic (2D and 3D) or geometrical surveys. In prospective areas, new field wildcat wells are drilled to discover the location of accumulations. In the event of a discovery, appraisal wells may also be drilled to provide a more accurate indication of the potential size and quality of the oil and gas resources.Ashurst Tax Alert • 29 May 2013 3 The ABARE report then stated </w:t>
      </w:r>
      <w:r w:rsidRPr="009620B1">
        <w:rPr>
          <w:rStyle w:val="StyleUnderline"/>
        </w:rPr>
        <w:t>"[if] the discovery is significant, a feasibility study of the field for future development and production is undertaken".</w:t>
      </w:r>
      <w:r>
        <w:t xml:space="preserve"> The Tribunal took the view that although activities </w:t>
      </w:r>
      <w:r w:rsidRPr="009620B1">
        <w:rPr>
          <w:rStyle w:val="StyleUnderline"/>
        </w:rPr>
        <w:t>in the nature of feasibility studies</w:t>
      </w:r>
      <w:r>
        <w:t xml:space="preserve"> were included by the ABARE </w:t>
      </w:r>
      <w:r w:rsidRPr="009620B1">
        <w:rPr>
          <w:rStyle w:val="StyleUnderline"/>
        </w:rPr>
        <w:t>report as falling within the "exploration phase" as opposed to the "production phase", activity of that kind is of a distinctly different nature to that included within the ordinary meaning of the term "exploration".</w:t>
      </w:r>
      <w:r>
        <w:t xml:space="preserve"> Accordingly, the Tribunal found at [322]: … as a matter of fact, that in the context of section 37(1) of the PRRTA Act, the ordinary meaning of the word 'exploration' contemplates the use of any range of survey techniques to identify prospective oil or gas fields. Those survey techniques would include, but not be limited to, geological, gravity and magnetic, seismic (2D and 3D) and a geometric surveys together with any scientific or technical analysis necessarily associated with evaluating their results. 'Exploration' also includes the drilling of appraisal wells to provide a more accurate indication of the potential size and quality of the oil and gas reserves. However, </w:t>
      </w:r>
      <w:r w:rsidRPr="009620B1">
        <w:rPr>
          <w:rStyle w:val="StyleUnderline"/>
        </w:rPr>
        <w:t>the ordinary meaning of the word 'exploration' does not</w:t>
      </w:r>
      <w:r>
        <w:t xml:space="preserve">, in the Tribunal's view, </w:t>
      </w:r>
      <w:r w:rsidRPr="009620B1">
        <w:rPr>
          <w:rStyle w:val="StyleUnderline"/>
        </w:rPr>
        <w:t>extend to include feasibility studies of the field for future development and production</w:t>
      </w:r>
      <w:r>
        <w:t>. [emphasis added]</w:t>
      </w:r>
      <w:r>
        <w:cr/>
      </w:r>
    </w:p>
    <w:p w:rsidR="000F5826" w:rsidRPr="006F0D4C" w:rsidRDefault="000F5826" w:rsidP="000F5826">
      <w:pPr>
        <w:rPr>
          <w:rFonts w:eastAsia="Calibri" w:cs="Times New Roman"/>
        </w:rPr>
      </w:pPr>
    </w:p>
    <w:p w:rsidR="000F5826" w:rsidRDefault="000F5826" w:rsidP="000F5826">
      <w:pPr>
        <w:keepNext/>
        <w:keepLines/>
        <w:spacing w:before="40" w:after="0"/>
        <w:outlineLvl w:val="3"/>
        <w:rPr>
          <w:rFonts w:eastAsia="Times New Roman" w:cs="Times New Roman"/>
          <w:b/>
          <w:iCs/>
          <w:sz w:val="26"/>
        </w:rPr>
      </w:pPr>
      <w:r>
        <w:rPr>
          <w:rFonts w:eastAsia="Times New Roman" w:cs="Times New Roman"/>
          <w:b/>
          <w:iCs/>
          <w:sz w:val="26"/>
        </w:rPr>
        <w:t xml:space="preserve">The Aff’s advocacy mandates that they encounter the Drexciyans, and then they explore the ocean, this would mean that in order to find the drexciyans, they would have to have done exploring In the first place , anything after the encounter with the Drexciyans is extra Topical, it is outside of what the resolution calls for. </w:t>
      </w:r>
    </w:p>
    <w:p w:rsidR="000F5826" w:rsidRDefault="000F5826" w:rsidP="000F5826">
      <w:pPr>
        <w:keepNext/>
        <w:keepLines/>
        <w:spacing w:before="40" w:after="0"/>
        <w:outlineLvl w:val="3"/>
        <w:rPr>
          <w:rFonts w:eastAsia="Times New Roman" w:cs="Times New Roman"/>
          <w:b/>
          <w:iCs/>
          <w:sz w:val="26"/>
        </w:rPr>
      </w:pPr>
    </w:p>
    <w:p w:rsidR="000F5826" w:rsidRDefault="000F5826" w:rsidP="000F5826">
      <w:pPr>
        <w:keepNext/>
        <w:keepLines/>
        <w:spacing w:before="40" w:after="0"/>
        <w:outlineLvl w:val="3"/>
        <w:rPr>
          <w:rFonts w:eastAsia="Times New Roman" w:cs="Times New Roman"/>
          <w:b/>
          <w:iCs/>
          <w:sz w:val="26"/>
        </w:rPr>
      </w:pPr>
      <w:r>
        <w:rPr>
          <w:rFonts w:eastAsia="Times New Roman" w:cs="Times New Roman"/>
          <w:b/>
          <w:iCs/>
          <w:sz w:val="26"/>
        </w:rPr>
        <w:t xml:space="preserve">Extra T is a reason to vote Neg- </w:t>
      </w:r>
    </w:p>
    <w:p w:rsidR="000F5826" w:rsidRDefault="000F5826" w:rsidP="000F5826">
      <w:pPr>
        <w:keepNext/>
        <w:keepLines/>
        <w:spacing w:before="40" w:after="0"/>
        <w:outlineLvl w:val="3"/>
        <w:rPr>
          <w:rFonts w:eastAsia="Times New Roman" w:cs="Times New Roman"/>
          <w:b/>
          <w:iCs/>
          <w:sz w:val="26"/>
        </w:rPr>
      </w:pPr>
      <w:r>
        <w:rPr>
          <w:rFonts w:eastAsia="Times New Roman" w:cs="Times New Roman"/>
          <w:b/>
          <w:iCs/>
          <w:sz w:val="26"/>
        </w:rPr>
        <w:t xml:space="preserve">They make the affs the neg has to debate limitless, there is never a limit on the Topic, under their interpretation Affs via Submarines, space ships, Russia and USFG Cooperation and Etc., are justified. </w:t>
      </w:r>
    </w:p>
    <w:p w:rsidR="000F5826" w:rsidRDefault="000F5826" w:rsidP="000F5826">
      <w:pPr>
        <w:keepNext/>
        <w:keepLines/>
        <w:spacing w:before="40" w:after="0"/>
        <w:outlineLvl w:val="3"/>
        <w:rPr>
          <w:rFonts w:eastAsia="Times New Roman" w:cs="Times New Roman"/>
          <w:b/>
          <w:iCs/>
          <w:sz w:val="26"/>
        </w:rPr>
      </w:pPr>
    </w:p>
    <w:p w:rsidR="000F5826" w:rsidRPr="0069336C" w:rsidRDefault="000F5826" w:rsidP="000F5826">
      <w:pPr>
        <w:keepNext/>
        <w:keepLines/>
        <w:spacing w:before="40" w:after="0"/>
        <w:outlineLvl w:val="3"/>
        <w:rPr>
          <w:rFonts w:eastAsia="Times New Roman" w:cs="Times New Roman"/>
          <w:b/>
          <w:iCs/>
          <w:sz w:val="26"/>
        </w:rPr>
      </w:pPr>
      <w:r w:rsidRPr="0069336C">
        <w:rPr>
          <w:rFonts w:eastAsia="Times New Roman" w:cs="Times New Roman"/>
          <w:b/>
          <w:iCs/>
          <w:sz w:val="26"/>
        </w:rPr>
        <w:t>T is a voter because it's necessary for good, well-prepared debating</w:t>
      </w:r>
    </w:p>
    <w:p w:rsidR="000F5826" w:rsidRDefault="000F5826" w:rsidP="000F5826">
      <w:pPr>
        <w:keepNext/>
        <w:keepLines/>
        <w:spacing w:before="40" w:after="0"/>
        <w:outlineLvl w:val="3"/>
        <w:rPr>
          <w:rFonts w:eastAsia="Times New Roman" w:cs="Times New Roman"/>
          <w:b/>
          <w:iCs/>
          <w:sz w:val="26"/>
        </w:rPr>
      </w:pPr>
    </w:p>
    <w:p w:rsidR="000F5826" w:rsidRDefault="000F5826" w:rsidP="000F5826">
      <w:pPr>
        <w:keepNext/>
        <w:keepLines/>
        <w:spacing w:before="40" w:after="0"/>
        <w:outlineLvl w:val="3"/>
        <w:rPr>
          <w:rFonts w:eastAsia="Times New Roman" w:cs="Times New Roman"/>
          <w:b/>
          <w:iCs/>
          <w:sz w:val="26"/>
        </w:rPr>
      </w:pPr>
    </w:p>
    <w:p w:rsidR="002D4992" w:rsidRPr="00236821" w:rsidRDefault="002D4992" w:rsidP="00101080"/>
    <w:sectPr w:rsidR="002D4992" w:rsidRPr="00236821" w:rsidSect="0032694F">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Calibri Light">
    <w:charset w:val="00"/>
    <w:family w:val="swiss"/>
    <w:pitch w:val="variable"/>
    <w:sig w:usb0="A00002EF" w:usb1="4000207B" w:usb2="00000000" w:usb3="00000000" w:csb0="0000019F"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ED2453D"/>
    <w:multiLevelType w:val="hybridMultilevel"/>
    <w:tmpl w:val="7ECCD3F2"/>
    <w:lvl w:ilvl="0" w:tplc="CE7E3A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40"/>
  <w:doNotDisplayPageBoundaries/>
  <w:attachedTemplate r:id="rId1"/>
  <w:doNotTrackMoves/>
  <w:defaultTabStop w:val="720"/>
  <w:characterSpacingControl w:val="doNotCompress"/>
  <w:compat/>
  <w:docVars>
    <w:docVar w:name="RibbonPointer" w:val="197102124"/>
  </w:docVars>
  <w:rsids>
    <w:rsidRoot w:val="00236821"/>
    <w:rsid w:val="00057ADA"/>
    <w:rsid w:val="00074B73"/>
    <w:rsid w:val="000D05D8"/>
    <w:rsid w:val="000F5826"/>
    <w:rsid w:val="00101080"/>
    <w:rsid w:val="001D6163"/>
    <w:rsid w:val="00236821"/>
    <w:rsid w:val="00287979"/>
    <w:rsid w:val="002D4992"/>
    <w:rsid w:val="0032694F"/>
    <w:rsid w:val="00475043"/>
    <w:rsid w:val="0047788A"/>
    <w:rsid w:val="004A4145"/>
    <w:rsid w:val="0057653A"/>
    <w:rsid w:val="005E2FC7"/>
    <w:rsid w:val="007354F2"/>
    <w:rsid w:val="008A67AC"/>
    <w:rsid w:val="00916CEC"/>
    <w:rsid w:val="00A52863"/>
    <w:rsid w:val="00AD0E33"/>
    <w:rsid w:val="00B13EAC"/>
    <w:rsid w:val="00C60EC3"/>
    <w:rsid w:val="00CB4CF6"/>
    <w:rsid w:val="00D2114B"/>
    <w:rsid w:val="00E66B72"/>
    <w:rsid w:val="00EB758A"/>
    <w:rsid w:val="00F35252"/>
    <w:rsid w:val="00F36A53"/>
    <w:rsid w:val="00FC3788"/>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75043"/>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4750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750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750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75043"/>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4750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504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504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75043"/>
    <w:rPr>
      <w:rFonts w:ascii="Calibri" w:eastAsiaTheme="majorEastAsia" w:hAnsi="Calibri" w:cstheme="majorBidi"/>
      <w:b/>
      <w:iCs/>
      <w:sz w:val="26"/>
    </w:rPr>
  </w:style>
  <w:style w:type="character" w:styleId="Emphasis">
    <w:name w:val="Emphasis"/>
    <w:basedOn w:val="DefaultParagraphFont"/>
    <w:uiPriority w:val="7"/>
    <w:qFormat/>
    <w:rsid w:val="00475043"/>
    <w:rPr>
      <w:rFonts w:ascii="Calibri" w:hAnsi="Calibri"/>
      <w:b/>
      <w:i w:val="0"/>
      <w:iCs/>
      <w:sz w:val="22"/>
      <w:u w:val="single"/>
      <w:bdr w:val="single" w:sz="8" w:space="0" w:color="auto"/>
    </w:rPr>
  </w:style>
  <w:style w:type="character" w:customStyle="1" w:styleId="Style13ptBold">
    <w:name w:val="Style 13 pt Bold"/>
    <w:aliases w:val="Cite,Style Style Bold + 12 pt"/>
    <w:basedOn w:val="DefaultParagraphFont"/>
    <w:uiPriority w:val="5"/>
    <w:qFormat/>
    <w:rsid w:val="00475043"/>
    <w:rPr>
      <w:b/>
      <w:bCs/>
      <w:sz w:val="26"/>
      <w:u w:val="none"/>
    </w:rPr>
  </w:style>
  <w:style w:type="character" w:customStyle="1" w:styleId="StyleUnderline">
    <w:name w:val="Style Underline"/>
    <w:aliases w:val="Underline,Style Bold Underline"/>
    <w:basedOn w:val="DefaultParagraphFont"/>
    <w:uiPriority w:val="6"/>
    <w:qFormat/>
    <w:rsid w:val="00475043"/>
    <w:rPr>
      <w:b w:val="0"/>
      <w:sz w:val="22"/>
      <w:u w:val="single"/>
    </w:rPr>
  </w:style>
  <w:style w:type="character" w:styleId="Hyperlink">
    <w:name w:val="Hyperlink"/>
    <w:basedOn w:val="DefaultParagraphFont"/>
    <w:uiPriority w:val="99"/>
    <w:unhideWhenUsed/>
    <w:rsid w:val="00475043"/>
    <w:rPr>
      <w:color w:val="auto"/>
      <w:u w:val="none"/>
    </w:rPr>
  </w:style>
  <w:style w:type="character" w:styleId="FollowedHyperlink">
    <w:name w:val="FollowedHyperlink"/>
    <w:basedOn w:val="DefaultParagraphFont"/>
    <w:uiPriority w:val="99"/>
    <w:semiHidden/>
    <w:unhideWhenUsed/>
    <w:rsid w:val="00475043"/>
    <w:rPr>
      <w:color w:val="auto"/>
      <w:u w:val="none"/>
    </w:rPr>
  </w:style>
  <w:style w:type="character" w:customStyle="1" w:styleId="underline">
    <w:name w:val="underline"/>
    <w:rsid w:val="002D4992"/>
    <w:rPr>
      <w:u w:val="single"/>
    </w:rPr>
  </w:style>
  <w:style w:type="character" w:customStyle="1" w:styleId="highlight2">
    <w:name w:val="highlight2"/>
    <w:uiPriority w:val="99"/>
    <w:rsid w:val="002D4992"/>
    <w:rPr>
      <w:rFonts w:ascii="Arial" w:hAnsi="Arial"/>
      <w:b/>
      <w:sz w:val="19"/>
      <w:u w:val="thick"/>
      <w:bdr w:val="none" w:sz="0" w:space="0" w:color="auto"/>
      <w:shd w:val="clear" w:color="auto" w:fill="auto"/>
    </w:rPr>
  </w:style>
  <w:style w:type="character" w:customStyle="1" w:styleId="cite">
    <w:name w:val="cite"/>
    <w:aliases w:val="Heading 3 Char Char Char,Char Char Char1,Heading 3 Char Char Char1,Char Char2,Underlined Text Char,Block Writing Char,Index Headers Char,Citation Char Char Char1,cites Char Char,Heading 3 Char1,Heading 3 Char1 Char"/>
    <w:rsid w:val="002D4992"/>
    <w:rPr>
      <w:rFonts w:ascii="Times New Roman" w:hAnsi="Times New Roman"/>
      <w:b/>
      <w:sz w:val="24"/>
    </w:rPr>
  </w:style>
  <w:style w:type="paragraph" w:customStyle="1" w:styleId="tag">
    <w:name w:val="tag"/>
    <w:basedOn w:val="Normal"/>
    <w:rsid w:val="002D4992"/>
    <w:pPr>
      <w:widowControl w:val="0"/>
      <w:autoSpaceDE w:val="0"/>
      <w:autoSpaceDN w:val="0"/>
      <w:adjustRightInd w:val="0"/>
      <w:spacing w:after="0" w:line="240" w:lineRule="auto"/>
    </w:pPr>
    <w:rPr>
      <w:rFonts w:ascii="Times New Roman" w:eastAsia="Times New Roman" w:hAnsi="Times New Roman" w:cs="Times New Roman"/>
      <w:b/>
      <w:color w:val="000000"/>
      <w:sz w:val="24"/>
      <w:szCs w:val="20"/>
    </w:rPr>
  </w:style>
  <w:style w:type="paragraph" w:customStyle="1" w:styleId="evidencetext">
    <w:name w:val="evidence text"/>
    <w:basedOn w:val="Normal"/>
    <w:uiPriority w:val="99"/>
    <w:rsid w:val="00CB4CF6"/>
    <w:pPr>
      <w:spacing w:after="0" w:line="240" w:lineRule="auto"/>
      <w:ind w:left="1008" w:right="720"/>
    </w:pPr>
    <w:rPr>
      <w:rFonts w:ascii="Arial" w:eastAsia="Times New Roman" w:hAnsi="Arial" w:cs="Times New Roman"/>
      <w:color w:val="000000"/>
      <w:sz w:val="16"/>
      <w:szCs w:val="24"/>
    </w:rPr>
  </w:style>
  <w:style w:type="character" w:customStyle="1" w:styleId="reduce2">
    <w:name w:val="reduce2"/>
    <w:basedOn w:val="DefaultParagraphFont"/>
    <w:uiPriority w:val="99"/>
    <w:rsid w:val="00CB4CF6"/>
    <w:rPr>
      <w:rFonts w:ascii="Arial" w:hAnsi="Arial" w:cs="Arial"/>
      <w:color w:val="000000"/>
      <w:sz w:val="22"/>
      <w:szCs w:val="22"/>
    </w:rPr>
  </w:style>
  <w:style w:type="character" w:customStyle="1" w:styleId="erasure">
    <w:name w:val="erasure"/>
    <w:basedOn w:val="DefaultParagraphFont"/>
    <w:uiPriority w:val="99"/>
    <w:rsid w:val="00CB4CF6"/>
    <w:rPr>
      <w:rFonts w:ascii="Arial" w:hAnsi="Arial" w:cs="Arial"/>
      <w:strike/>
      <w:color w:val="000000"/>
      <w:sz w:val="22"/>
      <w:szCs w:val="22"/>
      <w:vertAlign w:val="baseline"/>
    </w:rPr>
  </w:style>
  <w:style w:type="character" w:customStyle="1" w:styleId="TagChar1">
    <w:name w:val="Tag Char1"/>
    <w:aliases w:val="Heading 2 Cha Char"/>
    <w:uiPriority w:val="99"/>
    <w:locked/>
    <w:rsid w:val="00CB4CF6"/>
    <w:rPr>
      <w:rFonts w:ascii="Arial" w:hAnsi="Arial"/>
      <w:b/>
      <w:sz w:val="24"/>
    </w:rPr>
  </w:style>
  <w:style w:type="character" w:customStyle="1" w:styleId="apple-converted-space">
    <w:name w:val="apple-converted-space"/>
    <w:basedOn w:val="DefaultParagraphFont"/>
    <w:rsid w:val="00EB758A"/>
  </w:style>
  <w:style w:type="paragraph" w:styleId="DocumentMap">
    <w:name w:val="Document Map"/>
    <w:basedOn w:val="Normal"/>
    <w:link w:val="DocumentMapChar"/>
    <w:uiPriority w:val="99"/>
    <w:semiHidden/>
    <w:unhideWhenUsed/>
    <w:rsid w:val="000F5826"/>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0F5826"/>
    <w:rPr>
      <w:rFonts w:ascii="Lucida Grande" w:hAnsi="Lucida Grande"/>
      <w:sz w:val="24"/>
      <w:szCs w:val="24"/>
    </w:rPr>
  </w:style>
  <w:style w:type="paragraph" w:styleId="ListParagraph">
    <w:name w:val="List Paragraph"/>
    <w:basedOn w:val="Normal"/>
    <w:uiPriority w:val="99"/>
    <w:unhideWhenUsed/>
    <w:qFormat/>
    <w:rsid w:val="000F582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dels.nas.edu/resources/static-assets/osb/miscellaneous/exploration_final.pdf" TargetMode="External"/><Relationship Id="rId7" Type="http://schemas.openxmlformats.org/officeDocument/2006/relationships/hyperlink" Target="file:///C:/Users/Alex/Downloads/Tax%20Alert%20-%2029%20May%202013.pdf"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k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11F6E-5895-5E45-9840-7DB8A4933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\Users\Mikey\AppData\Roaming\Microsoft\Templates\Debate.dotm</Template>
  <TotalTime>906</TotalTime>
  <Pages>11</Pages>
  <Words>3567</Words>
  <Characters>20337</Characters>
  <Application>Microsoft Macintosh Word</Application>
  <DocSecurity>0</DocSecurity>
  <Lines>169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Nawang Singhe</dc:creator>
  <cp:keywords/>
  <dc:description/>
  <cp:lastModifiedBy>NICOLE SERRANO</cp:lastModifiedBy>
  <cp:revision>14</cp:revision>
  <dcterms:created xsi:type="dcterms:W3CDTF">2014-07-24T02:28:00Z</dcterms:created>
  <dcterms:modified xsi:type="dcterms:W3CDTF">2014-08-19T15:39:00Z</dcterms:modified>
</cp:coreProperties>
</file>