
<file path=[Content_Types].xml><?xml version="1.0" encoding="utf-8"?>
<Types xmlns="http://schemas.openxmlformats.org/package/2006/content-types">
  <Default Extension="xml" ContentType="application/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732" w:rsidRDefault="009A7732" w:rsidP="009A7732">
      <w:pPr>
        <w:pStyle w:val="Heading1"/>
      </w:pPr>
      <w:r>
        <w:t>Topicality Violations</w:t>
      </w:r>
    </w:p>
    <w:p w:rsidR="00F02071" w:rsidRDefault="00F02071" w:rsidP="00F02071">
      <w:pPr>
        <w:pStyle w:val="Heading3"/>
      </w:pPr>
      <w:r>
        <w:t>VIOLATION- ENVIRONMENTAL PROTECTION / SUSTAINABLE DEVELOPMENT NOT INCREASE</w:t>
      </w:r>
    </w:p>
    <w:p w:rsidR="00F02071" w:rsidRDefault="00F02071" w:rsidP="00F02071"/>
    <w:p w:rsidR="00F02071" w:rsidRDefault="00F02071" w:rsidP="00F02071"/>
    <w:p w:rsidR="00F02071" w:rsidRPr="009B4D2A" w:rsidRDefault="00F02071" w:rsidP="00F02071">
      <w:pPr>
        <w:pStyle w:val="Heading4"/>
        <w:rPr>
          <w:u w:val="single"/>
        </w:rPr>
      </w:pPr>
      <w:r w:rsidRPr="009B4D2A">
        <w:rPr>
          <w:u w:val="single"/>
        </w:rPr>
        <w:t>T – not an increase</w:t>
      </w:r>
    </w:p>
    <w:p w:rsidR="00F02071" w:rsidRDefault="00F02071" w:rsidP="00F02071">
      <w:pPr>
        <w:pStyle w:val="Heading4"/>
        <w:numPr>
          <w:ilvl w:val="0"/>
          <w:numId w:val="11"/>
        </w:numPr>
      </w:pPr>
      <w:r>
        <w:t>Increase means the plan must mandate more development</w:t>
      </w:r>
    </w:p>
    <w:p w:rsidR="00F02071" w:rsidRPr="00A304AE" w:rsidRDefault="00F02071" w:rsidP="00F02071">
      <w:pPr>
        <w:pStyle w:val="Heading4"/>
      </w:pPr>
      <w:r w:rsidRPr="00A304AE">
        <w:t>Increase means make greater</w:t>
      </w:r>
    </w:p>
    <w:p w:rsidR="00F02071" w:rsidRPr="00A304AE" w:rsidRDefault="00F02071" w:rsidP="00F02071">
      <w:pPr>
        <w:pStyle w:val="CardIndented"/>
        <w:ind w:left="0"/>
      </w:pPr>
      <w:r w:rsidRPr="00A304AE">
        <w:rPr>
          <w:rStyle w:val="Style13ptBold"/>
        </w:rPr>
        <w:t>Meriam Webster 13</w:t>
      </w:r>
      <w:r w:rsidRPr="00A304AE">
        <w:t xml:space="preserve">  http://www.merriam-webster.com/dictionary/increase</w:t>
      </w:r>
    </w:p>
    <w:p w:rsidR="00F02071" w:rsidRPr="00A304AE" w:rsidRDefault="00F02071" w:rsidP="00F02071">
      <w:pPr>
        <w:pStyle w:val="CardIndented"/>
      </w:pPr>
      <w:r w:rsidRPr="00A304AE">
        <w:rPr>
          <w:rStyle w:val="StyleUnderline"/>
        </w:rPr>
        <w:t>in·crease</w:t>
      </w:r>
      <w:r w:rsidRPr="00A304AE">
        <w:t xml:space="preserve">      verb \in-</w:t>
      </w:r>
      <w:r w:rsidRPr="00A304AE">
        <w:rPr>
          <w:rFonts w:ascii="Times New Roman" w:hAnsi="Times New Roman" w:cs="Times New Roman"/>
        </w:rPr>
        <w:t>ˈ</w:t>
      </w:r>
      <w:r w:rsidRPr="00A304AE">
        <w:t xml:space="preserve">krēs, </w:t>
      </w:r>
      <w:r w:rsidRPr="00A304AE">
        <w:rPr>
          <w:rFonts w:ascii="Times New Roman" w:hAnsi="Times New Roman" w:cs="Times New Roman"/>
        </w:rPr>
        <w:t>ˈ</w:t>
      </w:r>
      <w:r w:rsidRPr="00A304AE">
        <w:t>in-</w:t>
      </w:r>
      <w:r w:rsidRPr="00A304AE">
        <w:rPr>
          <w:rFonts w:ascii="Times New Roman" w:hAnsi="Times New Roman" w:cs="Times New Roman"/>
        </w:rPr>
        <w:t>ˌ</w:t>
      </w:r>
      <w:r w:rsidRPr="00A304AE">
        <w:t>\       in·creasedin·creas·ing</w:t>
      </w:r>
    </w:p>
    <w:p w:rsidR="00F02071" w:rsidRPr="00A304AE" w:rsidRDefault="00F02071" w:rsidP="00F02071">
      <w:pPr>
        <w:pStyle w:val="CardIndented"/>
      </w:pPr>
      <w:r w:rsidRPr="00A304AE">
        <w:t>Definition of INCREASE</w:t>
      </w:r>
      <w:r>
        <w:t xml:space="preserve">    </w:t>
      </w:r>
      <w:r w:rsidRPr="00A304AE">
        <w:t>intransitive verb</w:t>
      </w:r>
    </w:p>
    <w:p w:rsidR="00F02071" w:rsidRPr="00A304AE" w:rsidRDefault="00F02071" w:rsidP="00F02071">
      <w:pPr>
        <w:pStyle w:val="CardIndented"/>
      </w:pPr>
      <w:r w:rsidRPr="00A304AE">
        <w:t>1: to become progressively greater (as in size, amount, number, or intensity)</w:t>
      </w:r>
    </w:p>
    <w:p w:rsidR="00F02071" w:rsidRPr="00A304AE" w:rsidRDefault="00F02071" w:rsidP="00F02071">
      <w:pPr>
        <w:pStyle w:val="CardIndented"/>
      </w:pPr>
      <w:r w:rsidRPr="00A304AE">
        <w:t>2: to multiply by the production of young</w:t>
      </w:r>
    </w:p>
    <w:p w:rsidR="00F02071" w:rsidRPr="00A304AE" w:rsidRDefault="00F02071" w:rsidP="00F02071">
      <w:pPr>
        <w:pStyle w:val="CardIndented"/>
      </w:pPr>
      <w:r w:rsidRPr="00A304AE">
        <w:t>transitive verb</w:t>
      </w:r>
    </w:p>
    <w:p w:rsidR="00F02071" w:rsidRPr="00A304AE" w:rsidRDefault="00F02071" w:rsidP="00F02071">
      <w:pPr>
        <w:pStyle w:val="CardIndented"/>
        <w:rPr>
          <w:rStyle w:val="StyleUnderline"/>
        </w:rPr>
      </w:pPr>
      <w:r w:rsidRPr="00A304AE">
        <w:rPr>
          <w:rStyle w:val="StyleUnderline"/>
        </w:rPr>
        <w:t>1: to make greater : augment</w:t>
      </w:r>
    </w:p>
    <w:p w:rsidR="00F02071" w:rsidRPr="00A304AE" w:rsidRDefault="00F02071" w:rsidP="00F02071">
      <w:pPr>
        <w:pStyle w:val="CardIndented"/>
      </w:pPr>
      <w:r w:rsidRPr="00A304AE">
        <w:t>2  obsolete : enrich</w:t>
      </w:r>
    </w:p>
    <w:p w:rsidR="00F02071" w:rsidRDefault="00F02071" w:rsidP="00F02071">
      <w:pPr>
        <w:rPr>
          <w:rStyle w:val="Style13ptBold"/>
          <w:rFonts w:cs="Calibri"/>
        </w:rPr>
      </w:pPr>
    </w:p>
    <w:p w:rsidR="00F02071" w:rsidRDefault="00F02071" w:rsidP="00F02071">
      <w:pPr>
        <w:rPr>
          <w:rStyle w:val="Style13ptBold"/>
        </w:rPr>
      </w:pPr>
      <w:r>
        <w:rPr>
          <w:rStyle w:val="Style13ptBold"/>
        </w:rPr>
        <w:t xml:space="preserve">Increase excludes decrease </w:t>
      </w:r>
    </w:p>
    <w:p w:rsidR="00F02071" w:rsidRPr="00A304AE" w:rsidRDefault="00F02071" w:rsidP="00F02071">
      <w:pPr>
        <w:rPr>
          <w:rFonts w:eastAsia="Times New Roman"/>
          <w:szCs w:val="20"/>
        </w:rPr>
      </w:pPr>
      <w:r w:rsidRPr="00A304AE">
        <w:rPr>
          <w:rStyle w:val="Style13ptBold"/>
        </w:rPr>
        <w:t>Words and Phrases 8</w:t>
      </w:r>
      <w:r w:rsidRPr="00A304AE">
        <w:rPr>
          <w:rFonts w:eastAsia="Times New Roman"/>
          <w:szCs w:val="20"/>
        </w:rPr>
        <w:t xml:space="preserve"> vol 20B p 264</w:t>
      </w:r>
    </w:p>
    <w:p w:rsidR="00F02071" w:rsidRDefault="00F02071" w:rsidP="00F02071">
      <w:pPr>
        <w:pStyle w:val="CardIndented"/>
      </w:pPr>
      <w:r w:rsidRPr="00A304AE">
        <w:t>U.S. Ct. Cl. 1919  Act March 4, 1909, § 2, 35 Stat. 1065</w:t>
      </w:r>
      <w:r w:rsidRPr="00A304AE">
        <w:rPr>
          <w:rStyle w:val="StyleUnderline"/>
        </w:rPr>
        <w:t>, authorizing</w:t>
      </w:r>
      <w:r w:rsidRPr="00A304AE">
        <w:t xml:space="preserve"> the Secretary of the Treasury </w:t>
      </w:r>
      <w:r w:rsidRPr="00A304AE">
        <w:rPr>
          <w:rStyle w:val="StyleUnderline"/>
        </w:rPr>
        <w:t>to "increase</w:t>
      </w:r>
      <w:r w:rsidRPr="00A304AE">
        <w:t xml:space="preserve">" and "fix" compensation of inspectors of customs, as he may think advisable, not to exceed a certain amount, </w:t>
      </w:r>
      <w:r w:rsidRPr="00A304AE">
        <w:rPr>
          <w:rStyle w:val="StyleUnderline"/>
        </w:rPr>
        <w:t>gives no power to decrease</w:t>
      </w:r>
      <w:r w:rsidRPr="00A304AE">
        <w:t xml:space="preserve"> compensation: "fix" being controlled by "increase."  Cochnower v. United States, 39 S.Ct. 137, 248 U.S. 405, 63 L.Ed. 328, modified 39 S.Ct. 387, 249 U.S. 588, 63 L.Ed. 790 – Cust. Dut. 60.</w:t>
      </w:r>
    </w:p>
    <w:p w:rsidR="00F02071" w:rsidRDefault="00F02071" w:rsidP="00F02071">
      <w:pPr>
        <w:pStyle w:val="CardIndented"/>
      </w:pPr>
    </w:p>
    <w:p w:rsidR="00F02071" w:rsidRDefault="00F02071" w:rsidP="00F02071">
      <w:pPr>
        <w:pStyle w:val="Heading4"/>
        <w:numPr>
          <w:ilvl w:val="0"/>
          <w:numId w:val="11"/>
        </w:numPr>
      </w:pPr>
      <w:r>
        <w:t>Violation – the plan restricts development</w:t>
      </w:r>
    </w:p>
    <w:p w:rsidR="00F02071" w:rsidRPr="005D3352" w:rsidRDefault="00F02071" w:rsidP="00F02071">
      <w:pPr>
        <w:pStyle w:val="Heading4"/>
      </w:pPr>
      <w:r w:rsidRPr="005D3352">
        <w:t>Ocean development means commercial action, not preservation</w:t>
      </w:r>
    </w:p>
    <w:p w:rsidR="00F02071" w:rsidRPr="003054D7" w:rsidRDefault="00F02071" w:rsidP="00F02071">
      <w:pPr>
        <w:rPr>
          <w:szCs w:val="20"/>
        </w:rPr>
      </w:pPr>
      <w:r w:rsidRPr="003054D7">
        <w:rPr>
          <w:rStyle w:val="Style13ptBold"/>
        </w:rPr>
        <w:t>Underhill 7</w:t>
      </w:r>
      <w:r>
        <w:rPr>
          <w:rStyle w:val="verdana"/>
          <w:szCs w:val="20"/>
        </w:rPr>
        <w:t xml:space="preserve">   </w:t>
      </w:r>
      <w:r w:rsidRPr="003054D7">
        <w:rPr>
          <w:rStyle w:val="verdana"/>
          <w:szCs w:val="20"/>
        </w:rPr>
        <w:t xml:space="preserve">Stefan R. Underhill, United States District Judge.   </w:t>
      </w:r>
      <w:r w:rsidRPr="003054D7">
        <w:rPr>
          <w:rFonts w:eastAsia="Times New Roman"/>
          <w:sz w:val="16"/>
          <w:szCs w:val="20"/>
        </w:rPr>
        <w:t xml:space="preserve">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Intervenor Defendant.CIVIL ACTION NO. 3:04cv1271 (SRU)     UNITED STATES DISTRICT COURT FOR THE DISTRICT OF CONNECTICUT </w:t>
      </w:r>
      <w:r w:rsidRPr="003054D7">
        <w:rPr>
          <w:rFonts w:eastAsia="Times New Roman"/>
          <w:szCs w:val="20"/>
        </w:rPr>
        <w:t xml:space="preserve">   2007 U.S. Dist. LEXIS 59320    August 15, 2007, Decided  lexis</w:t>
      </w:r>
    </w:p>
    <w:p w:rsidR="00F02071" w:rsidRDefault="00F02071" w:rsidP="00F02071">
      <w:pPr>
        <w:pStyle w:val="CardIndented"/>
      </w:pPr>
      <w:r>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Connecticut v. Clifton Owens, 100 Conn. App. 619, 639, 918 A.2d 1041 (2007). </w:t>
      </w:r>
      <w:r w:rsidRPr="002E3D15">
        <w:t>There are various definitions of the term "develop," some of which connote commercial and industrial progress, and some of which imply natural growth.</w:t>
      </w:r>
      <w:r>
        <w:t xml:space="preserve"> See BLACK'S LAW DICTIONARY 462 (7th ed. 1999); WEBSTER'S NEW COLLEGE DICTIONARY 310 (2d ed. 1995). Having gained no clear answer from the dictionary, words must be given their "plain and ordinary meaning . . . unless the context indicates that a different meaning was intended." Connecticut v. Vickers, 260 Conn. 219, 224, 796 A.2d 502 (2002).  [*19] Here, the plain meaning of the term "develop" includes commercial improvement. </w:t>
      </w:r>
      <w:r w:rsidRPr="002E3D15">
        <w:rPr>
          <w:rStyle w:val="StyleUnderline"/>
        </w:rPr>
        <w:t>Connecticut argues</w:t>
      </w:r>
      <w:r>
        <w:t xml:space="preserve">, in effect, </w:t>
      </w:r>
      <w:r w:rsidRPr="002E3D15">
        <w:rPr>
          <w:rStyle w:val="StyleUnderline"/>
        </w:rPr>
        <w:t>that by placing the term "develop" in the context of other terms, such as "preserve, protect, and restore," the definition of "develop" must have a natural, conservationist meaning. That argument is not supported by the legislative history of the CZMA</w:t>
      </w:r>
      <w:r>
        <w:t xml:space="preserve">. Congress intended the CZMA to balance conservation of environmental resources with commercial development in the coastal zone. </w:t>
      </w:r>
      <w:r w:rsidRPr="005C46D3">
        <w:rPr>
          <w:rStyle w:val="StyleUnderline"/>
        </w:rPr>
        <w:t>See</w:t>
      </w:r>
      <w:r>
        <w:t xml:space="preserve">, e.g., </w:t>
      </w:r>
      <w:r w:rsidRPr="005C46D3">
        <w:rPr>
          <w:rStyle w:val="StyleUnderline"/>
        </w:rPr>
        <w:t>COASTAL AND OCEAN LAW</w:t>
      </w:r>
      <w:r>
        <w:t xml:space="preserve"> at 229. </w:t>
      </w:r>
      <w:r w:rsidRPr="005D3352">
        <w:rPr>
          <w:rStyle w:val="StyleUnderline"/>
        </w:rPr>
        <w:t>In fact, in the context of the CZMA, the term "develop" has been defined to mean commercial improvement.</w:t>
      </w:r>
      <w:r>
        <w:t xml:space="preserve"> Id. </w:t>
      </w:r>
      <w:r w:rsidRPr="005D3352">
        <w:rPr>
          <w:rStyle w:val="StyleUnderline"/>
        </w:rPr>
        <w:t>("[T]he CZMA reflects a competing national interest in encouraging development of coastal resources."</w:t>
      </w:r>
      <w:r>
        <w:t>).See also Conservation Law Foundation v. Watt, 560 F. Supp. 561, 575 (D. Mass. 1983) (noting that the CZMA recognizes a wide range of uses of the coastal zones, including economic development).</w:t>
      </w:r>
    </w:p>
    <w:p w:rsidR="00F02071" w:rsidRDefault="00F02071" w:rsidP="00F02071">
      <w:pPr>
        <w:pStyle w:val="Heading4"/>
      </w:pPr>
      <w:r>
        <w:t>Sustainable development reduces development</w:t>
      </w:r>
    </w:p>
    <w:p w:rsidR="00F02071" w:rsidRDefault="00F02071" w:rsidP="00F02071">
      <w:r w:rsidRPr="002F6980">
        <w:rPr>
          <w:rStyle w:val="Style13ptBold"/>
        </w:rPr>
        <w:t>UN 11</w:t>
      </w:r>
      <w:r>
        <w:t xml:space="preserve">   UN Conference on Sustainable Development  (Rio+20)    2011  An inter-agency paper towards the preparation of the    Blueprint for ocean and coastal sustainability         </w:t>
      </w:r>
      <w:hyperlink r:id="rId5" w:history="1">
        <w:r w:rsidRPr="00BD1481">
          <w:rPr>
            <w:rStyle w:val="Hyperlink"/>
          </w:rPr>
          <w:t>http://www.unesco.org/new/fileadmin/ MULTIMEDIA/HQ/SC/pdf/ interagency_blue_paper_ocean_rioPlus20.pdf</w:t>
        </w:r>
      </w:hyperlink>
    </w:p>
    <w:p w:rsidR="00F02071" w:rsidRDefault="00F02071" w:rsidP="00F02071">
      <w:pPr>
        <w:pStyle w:val="CardIndented"/>
      </w:pPr>
      <w:r>
        <w:t xml:space="preserve">SIDS expect Rio+20 to provide support for </w:t>
      </w:r>
      <w:r w:rsidRPr="00420FEA">
        <w:rPr>
          <w:rStyle w:val="StyleUnderline"/>
        </w:rPr>
        <w:t>sustainable ocean development</w:t>
      </w:r>
      <w:r>
        <w:t xml:space="preserve"> and protection of resources. </w:t>
      </w:r>
      <w:r w:rsidRPr="00420FEA">
        <w:rPr>
          <w:rStyle w:val="StyleUnderline"/>
        </w:rPr>
        <w:t xml:space="preserve">Measures could include actions to reduce fishing overcapacity, to establish MPAs, enhance and support local coastal management efforts, </w:t>
      </w:r>
      <w:r w:rsidRPr="000A35FC">
        <w:t>improve wastewater treatment as well as solid waste management and recycling.</w:t>
      </w:r>
      <w:r w:rsidRPr="00420FEA">
        <w:rPr>
          <w:rStyle w:val="StyleUnderline"/>
        </w:rPr>
        <w:t xml:space="preserve"> </w:t>
      </w:r>
      <w:r>
        <w:t xml:space="preserve">Significantly, capacity development could take place through SIDS-SIDS partnerships based on the sharing and consolidation of unique SIDS approaches to coastal management; such as the Pacific Locally Managed Marine Areas (LMMA) network, the recognition and transmission of local and indigenous knowledge and customary management of the coastal environment, and community participation in scientific coastal monitoring, management and decision-making as practiced in UNESCO’s Sandwatch programme. </w:t>
      </w:r>
    </w:p>
    <w:p w:rsidR="00F02071" w:rsidRDefault="00F02071" w:rsidP="00F02071">
      <w:pPr>
        <w:pStyle w:val="Heading4"/>
        <w:numPr>
          <w:ilvl w:val="0"/>
          <w:numId w:val="11"/>
        </w:numPr>
      </w:pPr>
      <w:r>
        <w:t>The affirmative interpretation is bad for debate</w:t>
      </w:r>
    </w:p>
    <w:p w:rsidR="00F02071" w:rsidRDefault="00F02071" w:rsidP="00F02071">
      <w:pPr>
        <w:pStyle w:val="Heading4"/>
      </w:pPr>
      <w:r>
        <w:t xml:space="preserve">Limits are necessary for negative preparation and clash.  The aff unlimits by making every action topical – both increases in development and decreases in development.  </w:t>
      </w:r>
    </w:p>
    <w:p w:rsidR="00F02071" w:rsidRDefault="00F02071" w:rsidP="00F02071">
      <w:pPr>
        <w:pStyle w:val="CardIndented"/>
      </w:pPr>
    </w:p>
    <w:p w:rsidR="00F02071" w:rsidRDefault="00F02071" w:rsidP="00F02071">
      <w:pPr>
        <w:pStyle w:val="Heading4"/>
        <w:numPr>
          <w:ilvl w:val="0"/>
          <w:numId w:val="11"/>
        </w:numPr>
      </w:pPr>
      <w:r>
        <w:t>T is voter because it's necessary for good, well-prepared debating</w:t>
      </w:r>
    </w:p>
    <w:p w:rsidR="00C168E6" w:rsidRPr="009B4D2A" w:rsidRDefault="00C168E6" w:rsidP="00C168E6">
      <w:pPr>
        <w:pStyle w:val="Heading3"/>
      </w:pPr>
      <w:bookmarkStart w:id="0" w:name="_GoBack"/>
      <w:bookmarkEnd w:id="0"/>
      <w:r>
        <w:t>Violation: NOAA is military</w:t>
      </w:r>
    </w:p>
    <w:p w:rsidR="00C168E6" w:rsidRPr="00D9167C" w:rsidRDefault="00C168E6" w:rsidP="00C168E6"/>
    <w:p w:rsidR="00C168E6" w:rsidRDefault="00C168E6" w:rsidP="00C168E6">
      <w:pPr>
        <w:pStyle w:val="Heading4"/>
        <w:numPr>
          <w:ilvl w:val="0"/>
          <w:numId w:val="14"/>
        </w:numPr>
        <w:rPr>
          <w:rStyle w:val="Style13ptBold"/>
          <w:rFonts w:eastAsiaTheme="minorHAnsi" w:cstheme="minorBidi"/>
          <w:b/>
          <w:iCs w:val="0"/>
        </w:rPr>
      </w:pPr>
      <w:r>
        <w:rPr>
          <w:rStyle w:val="Style13ptBold"/>
        </w:rPr>
        <w:t>Nonmilitary excludes organizations heavily associated with the military</w:t>
      </w:r>
    </w:p>
    <w:p w:rsidR="00C168E6" w:rsidRDefault="00C168E6" w:rsidP="00C168E6"/>
    <w:p w:rsidR="00C168E6" w:rsidRDefault="00C168E6" w:rsidP="00C168E6">
      <w:pPr>
        <w:pStyle w:val="Heading4"/>
      </w:pPr>
      <w:r>
        <w:t xml:space="preserve">Definition : Non Military </w:t>
      </w:r>
    </w:p>
    <w:p w:rsidR="00C168E6" w:rsidRPr="00427CA7" w:rsidRDefault="00C168E6" w:rsidP="00C168E6">
      <w:r w:rsidRPr="00427CA7">
        <w:rPr>
          <w:rStyle w:val="Style13ptBold"/>
        </w:rPr>
        <w:t>WordNet 12</w:t>
      </w:r>
      <w:r w:rsidRPr="00427CA7">
        <w:t xml:space="preserve">   Based on WordNet 3.0, Farlex clipart collection. © 2003-2012 Princeton University, Farlex Inc.</w:t>
      </w:r>
      <w:r>
        <w:t xml:space="preserve">    </w:t>
      </w:r>
      <w:hyperlink r:id="rId6" w:history="1">
        <w:r w:rsidRPr="00427CA7">
          <w:rPr>
            <w:rStyle w:val="Hyperlink"/>
          </w:rPr>
          <w:t>http://www.thefreedictionary.com/nonmilitary</w:t>
        </w:r>
      </w:hyperlink>
    </w:p>
    <w:tbl>
      <w:tblPr>
        <w:tblW w:w="0" w:type="auto"/>
        <w:tblCellSpacing w:w="15" w:type="dxa"/>
        <w:tblCellMar>
          <w:top w:w="15" w:type="dxa"/>
          <w:left w:w="15" w:type="dxa"/>
          <w:bottom w:w="15" w:type="dxa"/>
          <w:right w:w="15" w:type="dxa"/>
        </w:tblCellMar>
        <w:tblLook w:val="04A0"/>
      </w:tblPr>
      <w:tblGrid>
        <w:gridCol w:w="745"/>
        <w:gridCol w:w="546"/>
        <w:gridCol w:w="8189"/>
      </w:tblGrid>
      <w:tr w:rsidR="00C168E6">
        <w:trPr>
          <w:tblCellSpacing w:w="15" w:type="dxa"/>
        </w:trPr>
        <w:tc>
          <w:tcPr>
            <w:tcW w:w="0" w:type="auto"/>
          </w:tcPr>
          <w:p w:rsidR="00C168E6" w:rsidRPr="00427CA7" w:rsidRDefault="00C168E6" w:rsidP="00F0047F">
            <w:pPr>
              <w:pStyle w:val="CardIndented"/>
            </w:pPr>
            <w:r w:rsidRPr="00427CA7">
              <w:t>Adj.</w:t>
            </w:r>
          </w:p>
        </w:tc>
        <w:tc>
          <w:tcPr>
            <w:tcW w:w="0" w:type="auto"/>
          </w:tcPr>
          <w:p w:rsidR="00C168E6" w:rsidRPr="00427CA7" w:rsidRDefault="00C168E6" w:rsidP="00F0047F">
            <w:pPr>
              <w:pStyle w:val="CardIndented"/>
            </w:pPr>
            <w:r w:rsidRPr="00427CA7">
              <w:t>1.</w:t>
            </w:r>
          </w:p>
        </w:tc>
        <w:tc>
          <w:tcPr>
            <w:tcW w:w="0" w:type="auto"/>
            <w:vAlign w:val="center"/>
          </w:tcPr>
          <w:p w:rsidR="00C168E6" w:rsidRPr="00427CA7" w:rsidRDefault="00C168E6" w:rsidP="00F0047F">
            <w:pPr>
              <w:pStyle w:val="CardIndented"/>
            </w:pPr>
            <w:r w:rsidRPr="00427CA7">
              <w:rPr>
                <w:rStyle w:val="StyleUnderline"/>
              </w:rPr>
              <w:t>nonmilitary - not associated with soldiers or the military</w:t>
            </w:r>
            <w:r w:rsidRPr="00427CA7">
              <w:t>; "unmilitary circles of government"; "fatigue duty involves nonmilitary labor"</w:t>
            </w:r>
            <w:r>
              <w:t xml:space="preserve">   </w:t>
            </w:r>
            <w:hyperlink r:id="rId7" w:history="1">
              <w:r w:rsidRPr="00427CA7">
                <w:rPr>
                  <w:rStyle w:val="Hyperlink"/>
                </w:rPr>
                <w:t>unmilitary</w:t>
              </w:r>
            </w:hyperlink>
          </w:p>
        </w:tc>
      </w:tr>
    </w:tbl>
    <w:p w:rsidR="00C168E6" w:rsidRPr="004465AE" w:rsidRDefault="00C168E6" w:rsidP="00C168E6">
      <w:pPr>
        <w:pStyle w:val="Heading4"/>
        <w:numPr>
          <w:ilvl w:val="0"/>
          <w:numId w:val="14"/>
        </w:numPr>
      </w:pPr>
      <w:r>
        <w:t xml:space="preserve">The plan violates: NOAA is used for military purposes </w:t>
      </w:r>
    </w:p>
    <w:p w:rsidR="00C168E6" w:rsidRDefault="00C168E6" w:rsidP="00C168E6"/>
    <w:p w:rsidR="00C168E6" w:rsidRDefault="00C168E6" w:rsidP="00C168E6">
      <w:pPr>
        <w:pStyle w:val="Heading4"/>
      </w:pPr>
      <w:r>
        <w:t>NOAA does everything the military does</w:t>
      </w:r>
    </w:p>
    <w:p w:rsidR="00C168E6" w:rsidRDefault="00C168E6" w:rsidP="00C168E6">
      <w:pPr>
        <w:rPr>
          <w:sz w:val="16"/>
          <w:szCs w:val="16"/>
        </w:rPr>
      </w:pPr>
    </w:p>
    <w:p w:rsidR="00C168E6" w:rsidRPr="00CF4CA1" w:rsidRDefault="00C168E6" w:rsidP="00C168E6">
      <w:pPr>
        <w:rPr>
          <w:sz w:val="16"/>
          <w:szCs w:val="16"/>
        </w:rPr>
      </w:pPr>
      <w:r w:rsidRPr="0028161E">
        <w:rPr>
          <w:rStyle w:val="Style13ptBold"/>
        </w:rPr>
        <w:t>Reed ’10</w:t>
      </w:r>
      <w:r>
        <w:rPr>
          <w:sz w:val="16"/>
          <w:szCs w:val="16"/>
        </w:rPr>
        <w:t xml:space="preserve"> </w:t>
      </w:r>
      <w:r w:rsidRPr="00CF4CA1">
        <w:rPr>
          <w:sz w:val="16"/>
          <w:szCs w:val="16"/>
        </w:rPr>
        <w:t>(Charlie Reed, Reporter for Stars and Stripes, “NOAA, the service that’s a little “less formal” 22 January 2010. (</w:t>
      </w:r>
      <w:hyperlink r:id="rId8" w:history="1">
        <w:r w:rsidRPr="00CF4CA1">
          <w:rPr>
            <w:sz w:val="16"/>
            <w:szCs w:val="16"/>
          </w:rPr>
          <w:t>http://www.stripes.com/news/noaa-the-service-that-s-a-little-less-formal-1.98207</w:t>
        </w:r>
      </w:hyperlink>
      <w:r w:rsidRPr="00CF4CA1">
        <w:rPr>
          <w:sz w:val="16"/>
          <w:szCs w:val="16"/>
        </w:rPr>
        <w:t>) LP)</w:t>
      </w:r>
    </w:p>
    <w:p w:rsidR="00C168E6" w:rsidRPr="006A7BD5" w:rsidRDefault="00C168E6" w:rsidP="00C168E6">
      <w:pPr>
        <w:rPr>
          <w:sz w:val="16"/>
          <w:szCs w:val="16"/>
        </w:rPr>
      </w:pPr>
      <w:r w:rsidRPr="00746BA7">
        <w:rPr>
          <w:highlight w:val="yellow"/>
          <w:u w:val="single"/>
        </w:rPr>
        <w:t>Call it the "military for geeks</w:t>
      </w:r>
      <w:r w:rsidRPr="006A7BD5">
        <w:rPr>
          <w:u w:val="single"/>
        </w:rPr>
        <w:t>."</w:t>
      </w:r>
      <w:r>
        <w:t xml:space="preserve"> </w:t>
      </w:r>
      <w:r w:rsidRPr="006A7BD5">
        <w:rPr>
          <w:sz w:val="16"/>
          <w:szCs w:val="16"/>
        </w:rPr>
        <w:t>At least that’s how Lt. j.g. Jackie Alemeida describes the National Oceanic and Atmospheric Administration Corps, a group of 300 officers commissioned by the Department of Commerce, under which NOAA operates. The corps consists of aviators, meteorologists and other scientific professionals who work alongside NOAA civilians to generate weather forecasts, aerial mapping of disaster zones and marine mammal surveys. "It’s not as strict as the regular service," said Alemeida, a meteorologist working temporarily from Yokota Air Base in Japan as part of the Winter Storm Reconnaissance Program.</w:t>
      </w:r>
      <w:r>
        <w:t xml:space="preserve"> </w:t>
      </w:r>
      <w:r w:rsidRPr="006A7BD5">
        <w:rPr>
          <w:u w:val="single"/>
        </w:rPr>
        <w:t>"</w:t>
      </w:r>
      <w:r w:rsidRPr="00746BA7">
        <w:rPr>
          <w:highlight w:val="yellow"/>
          <w:u w:val="single"/>
        </w:rPr>
        <w:t>We joke that it’s military lite." Considered the seventh uniformed service</w:t>
      </w:r>
      <w:r w:rsidRPr="006A7BD5">
        <w:t xml:space="preserve"> </w:t>
      </w:r>
      <w:r w:rsidRPr="006A7BD5">
        <w:rPr>
          <w:sz w:val="16"/>
          <w:szCs w:val="16"/>
        </w:rPr>
        <w:t>— the sixth is the U.S. Public Health Service Commissioned Corps</w:t>
      </w:r>
      <w:r w:rsidRPr="006A7BD5">
        <w:t xml:space="preserve"> </w:t>
      </w:r>
      <w:r w:rsidRPr="006A7BD5">
        <w:rPr>
          <w:u w:val="single"/>
        </w:rPr>
        <w:t xml:space="preserve">— </w:t>
      </w:r>
      <w:r w:rsidRPr="00746BA7">
        <w:rPr>
          <w:highlight w:val="yellow"/>
          <w:u w:val="single"/>
        </w:rPr>
        <w:t>the NOAA Corps uses the same ranking structure as the Navy and Coast Guard</w:t>
      </w:r>
      <w:r w:rsidRPr="006A7BD5">
        <w:t xml:space="preserve"> </w:t>
      </w:r>
      <w:r w:rsidRPr="006A7BD5">
        <w:rPr>
          <w:sz w:val="16"/>
          <w:szCs w:val="16"/>
        </w:rPr>
        <w:t>but has no enlisted personnel</w:t>
      </w:r>
      <w:r w:rsidRPr="006A7BD5">
        <w:t xml:space="preserve">. </w:t>
      </w:r>
      <w:r w:rsidRPr="00746BA7">
        <w:rPr>
          <w:highlight w:val="yellow"/>
          <w:u w:val="single"/>
        </w:rPr>
        <w:t>Officers receive all the same benefits provided to troops in the traditional services</w:t>
      </w:r>
      <w:r w:rsidRPr="006A7BD5">
        <w:rPr>
          <w:u w:val="single"/>
        </w:rPr>
        <w:t>,</w:t>
      </w:r>
      <w:r w:rsidRPr="006A7BD5">
        <w:t xml:space="preserve"> </w:t>
      </w:r>
      <w:r w:rsidRPr="006A7BD5">
        <w:rPr>
          <w:sz w:val="16"/>
          <w:szCs w:val="16"/>
        </w:rPr>
        <w:t xml:space="preserve">including military exchange and commissary privileges, Tricare insurance, VA benefits, tuition assistance and a retirement pension after 20 years. </w:t>
      </w:r>
      <w:r w:rsidRPr="00746BA7">
        <w:rPr>
          <w:highlight w:val="yellow"/>
          <w:u w:val="single"/>
        </w:rPr>
        <w:t>NOAA’s Aircraft Operations Center is located at MacDill Air Force Base</w:t>
      </w:r>
      <w:r w:rsidRPr="006A7BD5">
        <w:rPr>
          <w:u w:val="single"/>
        </w:rPr>
        <w:t xml:space="preserve"> in Tampa, Fla., </w:t>
      </w:r>
      <w:r w:rsidRPr="00746BA7">
        <w:rPr>
          <w:highlight w:val="yellow"/>
          <w:u w:val="single"/>
        </w:rPr>
        <w:t>and NOAA operates from other military bases</w:t>
      </w:r>
      <w:r w:rsidRPr="006A7BD5">
        <w:rPr>
          <w:u w:val="single"/>
        </w:rPr>
        <w:t>, too</w:t>
      </w:r>
      <w:r w:rsidRPr="006A7BD5">
        <w:t xml:space="preserve">. </w:t>
      </w:r>
      <w:r w:rsidRPr="006A7BD5">
        <w:rPr>
          <w:sz w:val="16"/>
          <w:szCs w:val="16"/>
        </w:rPr>
        <w:t>But researchers, both officer and civilian, do not work hand-in-hand with the military, nor do they deploy to war zones or carry weapons. Though much of their work is unclassified, they must be eligible for a "secret" security clearance, according to the NOAA Web site</w:t>
      </w:r>
      <w:r w:rsidRPr="006A7BD5">
        <w:t xml:space="preserve">. </w:t>
      </w:r>
      <w:r w:rsidRPr="00746BA7">
        <w:rPr>
          <w:highlight w:val="yellow"/>
          <w:u w:val="single"/>
        </w:rPr>
        <w:t>Half its officers</w:t>
      </w:r>
      <w:r w:rsidRPr="006A7BD5">
        <w:t xml:space="preserve"> — </w:t>
      </w:r>
      <w:r w:rsidRPr="006A7BD5">
        <w:rPr>
          <w:sz w:val="16"/>
          <w:szCs w:val="16"/>
        </w:rPr>
        <w:t>who can receive a commission up to the age of 42 —</w:t>
      </w:r>
      <w:r w:rsidRPr="006A7BD5">
        <w:t xml:space="preserve"> </w:t>
      </w:r>
      <w:r w:rsidRPr="00746BA7">
        <w:rPr>
          <w:highlight w:val="yellow"/>
          <w:u w:val="single"/>
        </w:rPr>
        <w:t>have former military service</w:t>
      </w:r>
      <w:r w:rsidRPr="006A7BD5">
        <w:t xml:space="preserve">, </w:t>
      </w:r>
      <w:r w:rsidRPr="006A7BD5">
        <w:rPr>
          <w:sz w:val="16"/>
          <w:szCs w:val="16"/>
        </w:rPr>
        <w:t xml:space="preserve">according to NOAA. Like the military, </w:t>
      </w:r>
      <w:r w:rsidRPr="00746BA7">
        <w:rPr>
          <w:highlight w:val="yellow"/>
          <w:u w:val="single"/>
        </w:rPr>
        <w:t>officers in the NOAA Corps must make rank</w:t>
      </w:r>
      <w:r w:rsidRPr="006A7BD5">
        <w:rPr>
          <w:u w:val="single"/>
        </w:rPr>
        <w:t xml:space="preserve"> to stay in the service. "</w:t>
      </w:r>
      <w:r w:rsidRPr="00746BA7">
        <w:rPr>
          <w:b/>
          <w:highlight w:val="yellow"/>
          <w:u w:val="single"/>
        </w:rPr>
        <w:t>We’re just like the other services</w:t>
      </w:r>
      <w:r w:rsidRPr="006A7BD5">
        <w:rPr>
          <w:u w:val="single"/>
        </w:rPr>
        <w:t xml:space="preserve"> — you’re either up or you’re out," </w:t>
      </w:r>
      <w:r w:rsidRPr="006A7BD5">
        <w:rPr>
          <w:sz w:val="16"/>
          <w:szCs w:val="16"/>
          <w:u w:val="single"/>
        </w:rPr>
        <w:t>s</w:t>
      </w:r>
      <w:r w:rsidRPr="006A7BD5">
        <w:rPr>
          <w:sz w:val="16"/>
          <w:szCs w:val="16"/>
        </w:rPr>
        <w:t>aid Cmdr. Jeff Hagan, an aviator who joined the NOAA Corps 16 years ago after flying C-130s in the Coast Guard. "Are we a little less formal than the other services? Absolutely."</w:t>
      </w:r>
    </w:p>
    <w:p w:rsidR="00C168E6" w:rsidRPr="00CF4CA1" w:rsidRDefault="00C168E6" w:rsidP="00C168E6"/>
    <w:p w:rsidR="00C168E6" w:rsidRDefault="00C168E6" w:rsidP="00C168E6">
      <w:pPr>
        <w:rPr>
          <w:sz w:val="16"/>
          <w:szCs w:val="16"/>
        </w:rPr>
      </w:pPr>
    </w:p>
    <w:p w:rsidR="00C168E6" w:rsidRDefault="00C168E6" w:rsidP="00C168E6">
      <w:pPr>
        <w:pStyle w:val="Heading4"/>
        <w:numPr>
          <w:ilvl w:val="0"/>
          <w:numId w:val="14"/>
        </w:numPr>
      </w:pPr>
      <w:r>
        <w:t>The affirmative interpretation is bad for debate</w:t>
      </w:r>
    </w:p>
    <w:p w:rsidR="00C168E6" w:rsidRDefault="00C168E6" w:rsidP="00C168E6"/>
    <w:p w:rsidR="00C168E6" w:rsidRDefault="00C168E6" w:rsidP="00C168E6">
      <w:pPr>
        <w:pStyle w:val="ListParagraph"/>
        <w:rPr>
          <w:rStyle w:val="Style13ptBold"/>
        </w:rPr>
      </w:pPr>
      <w:r>
        <w:rPr>
          <w:rStyle w:val="Style13ptBold"/>
        </w:rPr>
        <w:t xml:space="preserve">Cross apply </w:t>
      </w:r>
      <w:r w:rsidRPr="0028657D">
        <w:rPr>
          <w:rStyle w:val="Style13ptBold"/>
        </w:rPr>
        <w:t>Swaminathan  3</w:t>
      </w:r>
      <w:r>
        <w:rPr>
          <w:rStyle w:val="Style13ptBold"/>
        </w:rPr>
        <w:t xml:space="preserve"> to this argument</w:t>
      </w:r>
    </w:p>
    <w:p w:rsidR="00C168E6" w:rsidRDefault="00C168E6" w:rsidP="00C168E6">
      <w:pPr>
        <w:pStyle w:val="ListParagraph"/>
        <w:rPr>
          <w:rStyle w:val="Style13ptBold"/>
        </w:rPr>
      </w:pPr>
    </w:p>
    <w:p w:rsidR="00C168E6" w:rsidRDefault="00C168E6" w:rsidP="00C168E6">
      <w:pPr>
        <w:pStyle w:val="Heading4"/>
        <w:numPr>
          <w:ilvl w:val="0"/>
          <w:numId w:val="14"/>
        </w:numPr>
      </w:pPr>
      <w:r>
        <w:t>T is a voter because it's necessary for good, well-prepared debating</w:t>
      </w:r>
    </w:p>
    <w:p w:rsidR="00C168E6" w:rsidRDefault="006E2C2A" w:rsidP="00C168E6">
      <w:pPr>
        <w:pStyle w:val="Heading3"/>
      </w:pPr>
      <w:r>
        <w:t>Bl</w:t>
      </w:r>
      <w:r w:rsidR="00C168E6">
        <w:t>ock Extension</w:t>
      </w:r>
      <w:r>
        <w:t>: NOAA is military</w:t>
      </w:r>
    </w:p>
    <w:p w:rsidR="00C168E6" w:rsidRDefault="00C168E6" w:rsidP="00C168E6">
      <w:r>
        <w:t xml:space="preserve">The affirmative plan sets a standard which removes the non/military limit on debating by allowing military plans to exist under the guise of environmental protection, economic action, or certain types of exploration such as deep undersea mapping. This underlimits the debate topic and leads us down a path towards significantly larger amounts of affirmative ground. An integrated ocean observation system, lead by a uniformed Service, NOAA, is clearly militaristic. NOAA is currently directed by Rear Admiral  David. A. Score, </w:t>
      </w:r>
      <w:r w:rsidRPr="00CF4429">
        <w:rPr>
          <w:i/>
        </w:rPr>
        <w:t>does that sound non military?</w:t>
      </w:r>
      <w:r>
        <w:rPr>
          <w:i/>
        </w:rPr>
        <w:t xml:space="preserve"> </w:t>
      </w:r>
      <w:r>
        <w:t>This affirmative must be rejected or more and more affirmatives will blatantly ignore the topic so that they can avoid clash with the negative team. We need</w:t>
      </w:r>
    </w:p>
    <w:p w:rsidR="00C168E6" w:rsidRDefault="00C168E6" w:rsidP="00C168E6"/>
    <w:p w:rsidR="00C168E6" w:rsidRPr="00427B37" w:rsidRDefault="00C168E6" w:rsidP="00C168E6">
      <w:pPr>
        <w:keepNext/>
        <w:keepLines/>
        <w:spacing w:before="40"/>
        <w:outlineLvl w:val="3"/>
        <w:rPr>
          <w:rFonts w:eastAsia="Times New Roman" w:cs="Times New Roman"/>
          <w:b/>
          <w:iCs/>
          <w:sz w:val="26"/>
        </w:rPr>
      </w:pPr>
      <w:r w:rsidRPr="00427B37">
        <w:rPr>
          <w:rFonts w:eastAsia="Times New Roman" w:cs="Times New Roman"/>
          <w:b/>
          <w:iCs/>
          <w:sz w:val="26"/>
        </w:rPr>
        <w:t>ALL of NOAA’s missions conducted and staffed by military personnel, the NOAA Corps, making the entirety of NOAA nontopical</w:t>
      </w:r>
    </w:p>
    <w:p w:rsidR="00C168E6" w:rsidRPr="00427B37" w:rsidRDefault="00C168E6" w:rsidP="00C168E6">
      <w:pPr>
        <w:rPr>
          <w:rFonts w:eastAsia="Calibri" w:cs="Times New Roman"/>
          <w:bCs/>
          <w:sz w:val="10"/>
        </w:rPr>
      </w:pPr>
      <w:r w:rsidRPr="00427B37">
        <w:rPr>
          <w:rFonts w:eastAsia="Calibri" w:cs="Times New Roman"/>
          <w:b/>
          <w:bCs/>
          <w:sz w:val="26"/>
        </w:rPr>
        <w:t>NOAA Corps, NOAA, no date</w:t>
      </w:r>
      <w:r w:rsidRPr="00427B37">
        <w:rPr>
          <w:rFonts w:eastAsia="Calibri" w:cs="Times New Roman"/>
          <w:bCs/>
          <w:sz w:val="10"/>
        </w:rPr>
        <w:t> “About NOAA Corps” http://www.noaacorps.noaa.gov/about/about.html</w:t>
      </w:r>
    </w:p>
    <w:p w:rsidR="00C168E6" w:rsidRPr="00427B37" w:rsidRDefault="00C168E6" w:rsidP="00C168E6">
      <w:pPr>
        <w:rPr>
          <w:rFonts w:eastAsia="Calibri" w:cs="Times New Roman"/>
          <w:b/>
          <w:iCs/>
          <w:u w:val="single"/>
        </w:rPr>
      </w:pPr>
      <w:r w:rsidRPr="00427B37">
        <w:rPr>
          <w:rFonts w:eastAsia="Calibri" w:cs="Times New Roman"/>
          <w:u w:val="single"/>
        </w:rPr>
        <w:t>The NOAA Commissioned Officer Corps is one of the seven uniformed services of the United States. The service</w:t>
      </w:r>
      <w:r w:rsidRPr="00427B37">
        <w:rPr>
          <w:rFonts w:eastAsia="Calibri" w:cs="Times New Roman"/>
          <w:sz w:val="10"/>
        </w:rPr>
        <w:t xml:space="preserve">, currently authorized to a strength of 321 commissioned officers, </w:t>
      </w:r>
      <w:r w:rsidRPr="00427B37">
        <w:rPr>
          <w:rFonts w:eastAsia="Calibri" w:cs="Times New Roman"/>
          <w:u w:val="single"/>
        </w:rPr>
        <w:t>is an integral part of</w:t>
      </w:r>
      <w:r w:rsidRPr="00427B37">
        <w:rPr>
          <w:rFonts w:eastAsia="Calibri" w:cs="Times New Roman"/>
          <w:sz w:val="10"/>
        </w:rPr>
        <w:t xml:space="preserve"> the National Oceanic and Atmospheric Administration (</w:t>
      </w:r>
      <w:r w:rsidRPr="00427B37">
        <w:rPr>
          <w:rFonts w:eastAsia="Calibri" w:cs="Times New Roman"/>
          <w:iCs/>
          <w:u w:val="single"/>
        </w:rPr>
        <w:t>NOAA</w:t>
      </w:r>
      <w:r w:rsidRPr="00427B37">
        <w:rPr>
          <w:rFonts w:eastAsia="Calibri" w:cs="Times New Roman"/>
          <w:sz w:val="10"/>
        </w:rPr>
        <w:t xml:space="preserve">), an agency of the U.S. Department of Commerce. The Director of the NOAA Corps is Rear Admiral David A. Score, NOAA. He is also the Director of </w:t>
      </w:r>
      <w:r w:rsidRPr="00427B37">
        <w:rPr>
          <w:rFonts w:eastAsia="Calibri" w:cs="Times New Roman"/>
          <w:b/>
          <w:iCs/>
          <w:u w:val="single"/>
        </w:rPr>
        <w:t>the Office of Marine and Aviation Operations (OMAO)</w:t>
      </w:r>
      <w:r w:rsidRPr="00427B37">
        <w:rPr>
          <w:rFonts w:eastAsia="Calibri" w:cs="Times New Roman"/>
          <w:sz w:val="10"/>
        </w:rPr>
        <w:t xml:space="preserve"> which</w:t>
      </w:r>
      <w:r w:rsidRPr="00427B37">
        <w:rPr>
          <w:rFonts w:eastAsia="Calibri" w:cs="Times New Roman"/>
          <w:b/>
          <w:iCs/>
          <w:u w:val="single"/>
        </w:rPr>
        <w:t xml:space="preserve"> operates a wide variety of specialized aircraft and ships to conduct NOAA's environmental and scientific missions. </w:t>
      </w:r>
      <w:r w:rsidRPr="00427B37">
        <w:rPr>
          <w:rFonts w:eastAsia="Calibri" w:cs="Times New Roman"/>
          <w:sz w:val="10"/>
        </w:rPr>
        <w:t xml:space="preserve">The NOAA Commissioned Corps traces its roots back to the former Survey of the Coast, established in 1807 by President Thomas Jefferson. </w:t>
      </w:r>
      <w:r w:rsidRPr="00427B37">
        <w:rPr>
          <w:rFonts w:eastAsia="Calibri" w:cs="Times New Roman"/>
          <w:b/>
          <w:iCs/>
          <w:u w:val="single"/>
        </w:rPr>
        <w:t>The NOAA Corps today provides a cadre of professionals trained in engineering, earth sciences, oceanography, meteorology, fisheries science, and other related disciplines. Officers operate ships, fly aircraft, facilitate research projects, conduct diving operations, and serve in staff positions throughout NOAA.</w:t>
      </w:r>
    </w:p>
    <w:p w:rsidR="00C168E6" w:rsidRPr="00427B37" w:rsidRDefault="00C168E6" w:rsidP="00C168E6">
      <w:pPr>
        <w:rPr>
          <w:rFonts w:eastAsia="Calibri" w:cs="Times New Roman"/>
          <w:b/>
          <w:iCs/>
        </w:rPr>
      </w:pPr>
      <w:r w:rsidRPr="00427B37">
        <w:rPr>
          <w:rFonts w:eastAsia="Calibri" w:cs="Times New Roman"/>
          <w:b/>
          <w:iCs/>
        </w:rPr>
        <w:t>It goes on to say</w:t>
      </w:r>
    </w:p>
    <w:p w:rsidR="00C168E6" w:rsidRDefault="00C168E6" w:rsidP="00C168E6">
      <w:pPr>
        <w:rPr>
          <w:rFonts w:eastAsia="Calibri" w:cs="Times New Roman"/>
          <w:sz w:val="8"/>
        </w:rPr>
      </w:pPr>
      <w:r w:rsidRPr="00427B37">
        <w:rPr>
          <w:rFonts w:eastAsia="Calibri" w:cs="Times New Roman"/>
          <w:u w:val="single"/>
        </w:rPr>
        <w:t xml:space="preserve">NOAA Commissioned Corps Officers are an integral part of </w:t>
      </w:r>
      <w:r w:rsidRPr="00427B37">
        <w:rPr>
          <w:rFonts w:eastAsia="Calibri" w:cs="Times New Roman"/>
          <w:sz w:val="8"/>
        </w:rPr>
        <w:t>the National Oceanic and Atmospheric Administration (</w:t>
      </w:r>
      <w:r w:rsidRPr="00427B37">
        <w:rPr>
          <w:rFonts w:eastAsia="Calibri" w:cs="Times New Roman"/>
          <w:u w:val="single"/>
        </w:rPr>
        <w:t>NOAA</w:t>
      </w:r>
      <w:r w:rsidRPr="00427B37">
        <w:rPr>
          <w:rFonts w:eastAsia="Calibri" w:cs="Times New Roman"/>
          <w:sz w:val="8"/>
        </w:rPr>
        <w:t xml:space="preserve">). </w:t>
      </w:r>
      <w:r w:rsidRPr="00427B37">
        <w:rPr>
          <w:rFonts w:eastAsia="Calibri" w:cs="Times New Roman"/>
          <w:b/>
          <w:iCs/>
          <w:u w:val="single"/>
        </w:rPr>
        <w:t>Officers can be found operating one of NOAA's 19 ships or 12 aircraft to provide support to meet NOAA's missions.</w:t>
      </w:r>
      <w:r w:rsidRPr="00427B37">
        <w:rPr>
          <w:rFonts w:eastAsia="Calibri" w:cs="Times New Roman"/>
          <w:sz w:val="8"/>
        </w:rPr>
        <w:t xml:space="preserve"> </w:t>
      </w:r>
      <w:r w:rsidRPr="00427B37">
        <w:rPr>
          <w:rFonts w:eastAsia="Calibri" w:cs="Times New Roman"/>
          <w:u w:val="single"/>
        </w:rPr>
        <w:t>Duties and areas of operations can range from launching a weather balloon at the South Pole, conducting hydrographic or fishery surveys in Alaska, maintaining buoys in the tropical Pacific, flying snow surveys and into hurricanes.</w:t>
      </w:r>
      <w:r w:rsidRPr="00427B37">
        <w:rPr>
          <w:rFonts w:eastAsia="Calibri" w:cs="Times New Roman"/>
          <w:sz w:val="8"/>
        </w:rPr>
        <w:t xml:space="preserve"> Find out more about the Corps, its mission and history from the "About the Corps" link.</w:t>
      </w:r>
    </w:p>
    <w:p w:rsidR="00C168E6" w:rsidRPr="00C168E6" w:rsidRDefault="00C168E6" w:rsidP="00C168E6"/>
    <w:p w:rsidR="00341CED" w:rsidRDefault="00BA2062" w:rsidP="00341CED">
      <w:pPr>
        <w:pStyle w:val="Heading1"/>
      </w:pPr>
      <w:r>
        <w:t xml:space="preserve">Kritik </w:t>
      </w:r>
      <w:r w:rsidR="009A7732">
        <w:t>Anthropocentrism</w:t>
      </w:r>
    </w:p>
    <w:p w:rsidR="00341CED" w:rsidRDefault="00341CED" w:rsidP="00341CED">
      <w:pPr>
        <w:pStyle w:val="Heading3"/>
      </w:pPr>
      <w:r>
        <w:t>1NC Link</w:t>
      </w:r>
    </w:p>
    <w:p w:rsidR="007B1F0D" w:rsidRPr="001F54A3" w:rsidRDefault="007B1F0D" w:rsidP="007B1F0D">
      <w:pPr>
        <w:pStyle w:val="Tags"/>
      </w:pPr>
      <w:r>
        <w:t>Sustainable fishing is sustainable genocide – the 1AC is dedicated to speciesist violence</w:t>
      </w:r>
    </w:p>
    <w:p w:rsidR="007B1F0D" w:rsidRDefault="007B1F0D" w:rsidP="007B1F0D">
      <w:pPr>
        <w:pStyle w:val="Nothing"/>
      </w:pPr>
      <w:r w:rsidRPr="001F54A3">
        <w:rPr>
          <w:rStyle w:val="Author-Date"/>
          <w:rFonts w:eastAsiaTheme="majorEastAsia"/>
        </w:rPr>
        <w:t>Singer</w:t>
      </w:r>
      <w:r>
        <w:t xml:space="preserve"> (granddaddy of the animal liberation movement) </w:t>
      </w:r>
      <w:r w:rsidRPr="001F54A3">
        <w:rPr>
          <w:rStyle w:val="Author-Date"/>
          <w:rFonts w:eastAsiaTheme="majorEastAsia"/>
        </w:rPr>
        <w:t>10</w:t>
      </w:r>
    </w:p>
    <w:p w:rsidR="007B1F0D" w:rsidRPr="001F54A3" w:rsidRDefault="007B1F0D" w:rsidP="007B1F0D">
      <w:pPr>
        <w:pStyle w:val="Nothing"/>
      </w:pPr>
      <w:r>
        <w:t xml:space="preserve">(Peter, </w:t>
      </w:r>
      <w:r w:rsidRPr="001F54A3">
        <w:t>Fish: the forgotten victims on our plate</w:t>
      </w:r>
      <w:r>
        <w:t xml:space="preserve">, Spetember, </w:t>
      </w:r>
      <w:r w:rsidRPr="001F54A3">
        <w:t>http://www.theguardian.com/commentisfree/cif-green/2010/sep/14/fish-forgotten-victims</w:t>
      </w:r>
      <w:r>
        <w:t>)</w:t>
      </w:r>
    </w:p>
    <w:p w:rsidR="007B1F0D" w:rsidRDefault="007B1F0D" w:rsidP="007B1F0D">
      <w:pPr>
        <w:pStyle w:val="Nothing"/>
      </w:pPr>
    </w:p>
    <w:p w:rsidR="007B1F0D" w:rsidRDefault="007B1F0D" w:rsidP="007B1F0D">
      <w:pPr>
        <w:pStyle w:val="Cards"/>
      </w:pPr>
      <w:r w:rsidRPr="00756184">
        <w:t xml:space="preserve">Not for fish. There is no humane slaughter requirement for wild fish caught and killed at sea, nor, in most places, for farmed fish. </w:t>
      </w:r>
      <w:r w:rsidRPr="001F54A3">
        <w:rPr>
          <w:rStyle w:val="DebateUnderline"/>
          <w:rFonts w:eastAsiaTheme="majorEastAsia"/>
        </w:rPr>
        <w:t>Fish caught in nets</w:t>
      </w:r>
      <w:r w:rsidRPr="00756184">
        <w:t xml:space="preserve"> by trawlers </w:t>
      </w:r>
      <w:r w:rsidRPr="001F54A3">
        <w:rPr>
          <w:rStyle w:val="DebateUnderline"/>
          <w:rFonts w:eastAsiaTheme="majorEastAsia"/>
        </w:rPr>
        <w:t>are</w:t>
      </w:r>
      <w:r w:rsidRPr="00756184">
        <w:t xml:space="preserve"> dumped on board the ship and </w:t>
      </w:r>
      <w:r w:rsidRPr="001F54A3">
        <w:rPr>
          <w:rStyle w:val="DebateUnderline"/>
          <w:rFonts w:eastAsiaTheme="majorEastAsia"/>
        </w:rPr>
        <w:t>allowed to suffocate</w:t>
      </w:r>
      <w:r w:rsidRPr="00756184">
        <w:t>. Impaling live bait on hooks is a common commercial practice: long-line fishing, for example, uses hundreds or even thousands of hooks on a single line that may be 50-100km long. When fish take the bait, they are likely to remain caught for many hours before the line is hauled in.</w:t>
      </w:r>
    </w:p>
    <w:p w:rsidR="007B1F0D" w:rsidRDefault="007B1F0D" w:rsidP="007B1F0D">
      <w:pPr>
        <w:pStyle w:val="Cards"/>
      </w:pPr>
      <w:r>
        <w:t>Likewise, commercial fishing frequently depends on gill nets – walls of fine netting in which fish become snared, often by the gills. They may suffocate in the net, because, with their gills constricted, they cannot breathe. If not, they may remain trapped for many hours before the nets are pulled in.</w:t>
      </w:r>
    </w:p>
    <w:p w:rsidR="007B1F0D" w:rsidRDefault="007B1F0D" w:rsidP="007B1F0D">
      <w:pPr>
        <w:pStyle w:val="Cards"/>
      </w:pPr>
      <w:r>
        <w:t xml:space="preserve">The most startling revelation in the report, however, is the staggering number of fish on which humans inflict these deaths. By using the reported tonnages of the various species of fish caught, and dividing by the estimated average weight for each species, Alison Mood, the report’s author, has put together what may well be the first-ever systematic estimate of the size of </w:t>
      </w:r>
      <w:r w:rsidRPr="001F54A3">
        <w:rPr>
          <w:rStyle w:val="DebateUnderline"/>
          <w:rFonts w:eastAsiaTheme="majorEastAsia"/>
        </w:rPr>
        <w:t>the annual global capture of wild fish</w:t>
      </w:r>
      <w:r>
        <w:t xml:space="preserve">. It </w:t>
      </w:r>
      <w:r w:rsidRPr="001F54A3">
        <w:rPr>
          <w:rStyle w:val="DebateUnderline"/>
          <w:rFonts w:eastAsiaTheme="majorEastAsia"/>
        </w:rPr>
        <w:t>is</w:t>
      </w:r>
      <w:r>
        <w:t xml:space="preserve">, she calculates, </w:t>
      </w:r>
      <w:r w:rsidRPr="001F54A3">
        <w:rPr>
          <w:rStyle w:val="DebateUnderline"/>
          <w:rFonts w:eastAsiaTheme="majorEastAsia"/>
        </w:rPr>
        <w:t>in the order of one trillion, although it could be as high as 2.7tn</w:t>
      </w:r>
      <w:r>
        <w:t>.</w:t>
      </w:r>
    </w:p>
    <w:p w:rsidR="007B1F0D" w:rsidRDefault="007B1F0D" w:rsidP="007B1F0D">
      <w:pPr>
        <w:pStyle w:val="Cards"/>
      </w:pPr>
      <w:r>
        <w:t>To put this in perspective, the United Nations Food and Agriculture Organisation estimates that 60 billion animals are killed each year for human consumption – the equivalent of about nine animals for each human being on the planet. If we take Mood’s lower estimate of one trillion, the comparable figure for fish is 150. This does not include billions of fish caught illegally nor unwanted fish accidentally caught and discarded, nor does it count fish impaled on hooks as bait.</w:t>
      </w:r>
    </w:p>
    <w:p w:rsidR="007B1F0D" w:rsidRDefault="007B1F0D" w:rsidP="007B1F0D">
      <w:pPr>
        <w:pStyle w:val="Cards"/>
      </w:pPr>
      <w:r>
        <w:t>Many of these fish are consumed indirectly – ground up and fed to factory-farmed chicken or fish. A typical salmon farm churns through 3-4kg of wild fish for every kilogram of salmon that it produces.</w:t>
      </w:r>
    </w:p>
    <w:p w:rsidR="007B1F0D" w:rsidRDefault="007B1F0D" w:rsidP="007B1F0D">
      <w:pPr>
        <w:pStyle w:val="Cards"/>
      </w:pPr>
      <w:r w:rsidRPr="001F54A3">
        <w:rPr>
          <w:rStyle w:val="DebateUnderline"/>
          <w:rFonts w:eastAsiaTheme="majorEastAsia"/>
        </w:rPr>
        <w:t>Let’s assume that all this fishing is sustainable, though of course it is not</w:t>
      </w:r>
      <w:r>
        <w:t>. It would then be reassuring to believe that killing on such a vast scale does not matter, because fish do not feel pain. But the nervous systems of fish are sufficiently similar to those of birds and mammals to suggest that they do. When fish experience something that would cause other animals physical pain, they behave in ways suggestive of pain, and the change in behaviour may last several hours. (It is a myth that fish have short memories.) Fish learn to avoid unpleasant experiences, like electric shocks. And painkillers reduce the symptoms of pain that they would otherwise show.</w:t>
      </w:r>
    </w:p>
    <w:p w:rsidR="007B1F0D" w:rsidRDefault="007B1F0D" w:rsidP="007B1F0D">
      <w:pPr>
        <w:pStyle w:val="Cards"/>
      </w:pPr>
      <w:r>
        <w:t xml:space="preserve">Victoria </w:t>
      </w:r>
      <w:r w:rsidRPr="001F54A3">
        <w:rPr>
          <w:rStyle w:val="DebateUnderline"/>
          <w:rFonts w:eastAsiaTheme="majorEastAsia"/>
        </w:rPr>
        <w:t>Braithwaite, a professor of fisheries and biology</w:t>
      </w:r>
      <w:r>
        <w:t xml:space="preserve"> at Pennsylvania State University, </w:t>
      </w:r>
      <w:r w:rsidRPr="001F54A3">
        <w:rPr>
          <w:rStyle w:val="DebateUnderline"/>
          <w:rFonts w:eastAsiaTheme="majorEastAsia"/>
        </w:rPr>
        <w:t>has probably spent more time investigating this issue than any other scientist.</w:t>
      </w:r>
      <w:r>
        <w:t xml:space="preserve"> </w:t>
      </w:r>
      <w:r w:rsidRPr="001F54A3">
        <w:rPr>
          <w:rStyle w:val="DebateUnderline"/>
          <w:rFonts w:eastAsiaTheme="majorEastAsia"/>
        </w:rPr>
        <w:t>Her recent book</w:t>
      </w:r>
      <w:r>
        <w:t xml:space="preserve"> Do Fish Feel Pain? </w:t>
      </w:r>
      <w:r w:rsidRPr="001F54A3">
        <w:rPr>
          <w:rStyle w:val="DebateUnderline"/>
          <w:rFonts w:eastAsiaTheme="majorEastAsia"/>
        </w:rPr>
        <w:t>shows that fish are</w:t>
      </w:r>
      <w:r w:rsidRPr="001F54A3">
        <w:t xml:space="preserve"> not only </w:t>
      </w:r>
      <w:r w:rsidRPr="001F54A3">
        <w:rPr>
          <w:rStyle w:val="DebateUnderline"/>
          <w:rFonts w:eastAsiaTheme="majorEastAsia"/>
        </w:rPr>
        <w:t>capable of feeling pain</w:t>
      </w:r>
      <w:r>
        <w:t xml:space="preserve">, but also are a lot smarter than most people believe. Last year, </w:t>
      </w:r>
      <w:r w:rsidRPr="001F54A3">
        <w:rPr>
          <w:rStyle w:val="DebateUnderline"/>
          <w:rFonts w:eastAsiaTheme="majorEastAsia"/>
        </w:rPr>
        <w:t>a scientific panel to the European Union concluded that the preponderance of the evidence indicates that fish do feel pain</w:t>
      </w:r>
      <w:r>
        <w:t>.</w:t>
      </w:r>
    </w:p>
    <w:p w:rsidR="007B1F0D" w:rsidRDefault="007B1F0D" w:rsidP="007B1F0D">
      <w:pPr>
        <w:pStyle w:val="Cards"/>
      </w:pPr>
      <w:r>
        <w:t xml:space="preserve">Why are fish the forgotten victims on our plate? Is it because they are cold-blooded and covered in scales? Is it because they cannot give voice to their pain? Whatever the explanation, the evidence is now accumulating that </w:t>
      </w:r>
      <w:r w:rsidRPr="001F54A3">
        <w:rPr>
          <w:rStyle w:val="DebateUnderline"/>
          <w:rFonts w:eastAsiaTheme="majorEastAsia"/>
        </w:rPr>
        <w:t>commercial fishing inflicts an unimaginable amount of pain and suffering</w:t>
      </w:r>
      <w:r>
        <w:t>. We need to learn how to capture and kill wild fish humanely – or, if that is not possible, to find less cruel and more sustainable alternatives to eating them.</w:t>
      </w:r>
    </w:p>
    <w:p w:rsidR="007B1F0D" w:rsidRDefault="007B1F0D" w:rsidP="007B1F0D">
      <w:pPr>
        <w:pStyle w:val="Nothing"/>
      </w:pPr>
    </w:p>
    <w:p w:rsidR="00341CED" w:rsidRDefault="00C168E6" w:rsidP="00C168E6">
      <w:pPr>
        <w:pStyle w:val="Heading3"/>
      </w:pPr>
      <w:r>
        <w:t>Link Wall</w:t>
      </w:r>
    </w:p>
    <w:p w:rsidR="007B1F0D" w:rsidRDefault="007B1F0D" w:rsidP="007B1F0D">
      <w:pPr>
        <w:pStyle w:val="Tags"/>
      </w:pPr>
      <w:r>
        <w:t xml:space="preserve">Describing suffering in terms of the literal violence done to animals exploits and coopts the oppressed animal other and reinforces patriarchal structures </w:t>
      </w:r>
    </w:p>
    <w:p w:rsidR="007B1F0D" w:rsidRDefault="007B1F0D" w:rsidP="007B1F0D">
      <w:pPr>
        <w:pStyle w:val="Nothing"/>
        <w:rPr>
          <w:rFonts w:ascii="Times" w:hAnsi="Times" w:cs="Times"/>
          <w:sz w:val="26"/>
          <w:szCs w:val="26"/>
        </w:rPr>
      </w:pPr>
      <w:r w:rsidRPr="00AF171E">
        <w:rPr>
          <w:rStyle w:val="Author-Date"/>
          <w:rFonts w:eastAsiaTheme="majorEastAsia"/>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xml:space="preserve">; Masters of Divinity from Yale) </w:t>
      </w:r>
      <w:r w:rsidRPr="005C6358">
        <w:rPr>
          <w:rStyle w:val="Author-Date"/>
          <w:rFonts w:eastAsiaTheme="majorEastAsia"/>
        </w:rPr>
        <w:t xml:space="preserve">90 </w:t>
      </w:r>
    </w:p>
    <w:p w:rsidR="007B1F0D" w:rsidRDefault="007B1F0D" w:rsidP="007B1F0D">
      <w:pPr>
        <w:pStyle w:val="Nothing"/>
      </w:pPr>
      <w:r w:rsidRPr="005C6358">
        <w:t>(Carol J.</w:t>
      </w:r>
      <w:r w:rsidRPr="005C6358">
        <w:rPr>
          <w:rFonts w:ascii="MS Mincho" w:eastAsia="MS Mincho" w:hAnsi="MS Mincho" w:cs="MS Mincho" w:hint="eastAsia"/>
        </w:rPr>
        <w:t> </w:t>
      </w:r>
      <w:r w:rsidRPr="005C6358">
        <w:t>, The sexual politics of meat: a feminist-vegetarian critical theory, pg.</w:t>
      </w:r>
      <w:r>
        <w:t xml:space="preserve"> 60-1)</w:t>
      </w:r>
    </w:p>
    <w:p w:rsidR="007B1F0D" w:rsidRDefault="007B1F0D" w:rsidP="007B1F0D">
      <w:pPr>
        <w:pStyle w:val="Nothing"/>
      </w:pPr>
    </w:p>
    <w:p w:rsidR="007B1F0D" w:rsidRPr="0063592E" w:rsidRDefault="007B1F0D" w:rsidP="007B1F0D">
      <w:pPr>
        <w:pStyle w:val="Cards"/>
      </w:pPr>
      <w:r w:rsidRPr="0063592E">
        <w:t>In constructing stories about violence against women, feminists have drawn on the same set of cultural images as their oppressors</w:t>
      </w:r>
      <w:r w:rsidRPr="00D22E10">
        <w:rPr>
          <w:rStyle w:val="DebateUnderline"/>
          <w:rFonts w:eastAsia="MS Gothic"/>
        </w:rPr>
        <w:t>. Feminist critics perceive the violence inherent in representations that collapse sexuality and consumption and have titled this nexus "carnivorous ar- rogance</w:t>
      </w:r>
      <w:r w:rsidRPr="0063592E">
        <w:t>" (Simone de Beauvoir), "</w:t>
      </w:r>
      <w:r w:rsidRPr="00D22E10">
        <w:rPr>
          <w:rStyle w:val="DebateUnderline"/>
          <w:rFonts w:eastAsia="MS Gothic"/>
        </w:rPr>
        <w:t>gynocidal gluttony</w:t>
      </w:r>
      <w:r w:rsidRPr="0063592E">
        <w:t>" (Mary Daly), "</w:t>
      </w:r>
      <w:r w:rsidRPr="00D22E10">
        <w:rPr>
          <w:rStyle w:val="DebateUnderline"/>
          <w:rFonts w:eastAsia="MS Gothic"/>
        </w:rPr>
        <w:t>sex- ual cannibalism</w:t>
      </w:r>
      <w:r w:rsidRPr="0063592E">
        <w:t>" (Kate Millet), "psychic cannibalism" (Andrea Dworkin), "metaphysical cannibalism" (Ti-Grace Atkinson); racism as it intersects with sexism has been defined by bell hooks in distinctions based on meat eating: "The truth is—in sexist America, where women are objectified extensions of male ego, black women have been labeled hamburger and white women prime rib."</w:t>
      </w:r>
      <w:r w:rsidRPr="0063592E">
        <w:rPr>
          <w:rFonts w:ascii="MS Mincho" w:eastAsia="MS Mincho" w:hAnsi="MS Mincho" w:cs="MS Mincho" w:hint="eastAsia"/>
        </w:rPr>
        <w:t> </w:t>
      </w:r>
      <w:r w:rsidRPr="0063592E">
        <w:t xml:space="preserve"> </w:t>
      </w:r>
      <w:r w:rsidRPr="00D22E10">
        <w:rPr>
          <w:rStyle w:val="DebateUnderline"/>
          <w:rFonts w:eastAsia="MS Gothic"/>
        </w:rPr>
        <w:t>These feminist theorists take us to the intersection of the oppression of women and the oppression of animals and then do an immediate about-face, seizing the function of the absent referent to forward women's issues and so imitating and complementing a patriarchal structure</w:t>
      </w:r>
      <w:r w:rsidRPr="0063592E">
        <w:t>. Dealing in symbols and similes that express humili- ation, objectification, and violation is an understandable attempt to im- pose order on a violently fragmented female sexual reality. When we use meat and butchering as metaphors for women's oppression, we express our own hog-squeal of the universe while silencing the primal hog-squeal of Ursula Hamdress herself.</w:t>
      </w:r>
    </w:p>
    <w:p w:rsidR="007B1F0D" w:rsidRDefault="007B1F0D" w:rsidP="007B1F0D">
      <w:pPr>
        <w:pStyle w:val="Cards"/>
      </w:pPr>
      <w:r w:rsidRPr="00D22E10">
        <w:rPr>
          <w:rStyle w:val="DebateUnderline"/>
          <w:rFonts w:eastAsia="MS Gothic"/>
        </w:rPr>
        <w:t>When radical feminists talk as if cultural exchanges with animals are literally true in relationship to women, they exploit and co-opt what is actually done to animals</w:t>
      </w:r>
      <w:r w:rsidRPr="00D22E10">
        <w:rPr>
          <w:b/>
        </w:rPr>
        <w:t xml:space="preserve">. </w:t>
      </w:r>
      <w:r w:rsidRPr="00D22E10">
        <w:t>It could be argued that</w:t>
      </w:r>
      <w:r>
        <w:t xml:space="preserve"> the use of these meta- phors is as exploitative as the posing of Ursula Hamdress: an anonymous pig somewhere was dressed, posed, and photographed. Was she sedated to keep that pose or was she, perhaps, dead? </w:t>
      </w:r>
      <w:r w:rsidRPr="00D22E10">
        <w:rPr>
          <w:rStyle w:val="DebateUnderline"/>
          <w:rFonts w:eastAsia="MS Gothic"/>
        </w:rPr>
        <w:t>Radical feminist theory participates linguistically in exploiting and denying the absent referent</w:t>
      </w:r>
      <w:r>
        <w:t xml:space="preserve"> by not including in their vision Ursula Hamdress's fate. They butcher the animal/ woman cultural exchanges represented in the operation of the absent referent and then address themselves solely to women, thus capitulating to the absent referent, part of the same construct they wish to change. </w:t>
      </w:r>
      <w:r w:rsidRPr="00D22E10">
        <w:rPr>
          <w:rStyle w:val="DebateUnderline"/>
          <w:rFonts w:eastAsia="MS Gothic"/>
        </w:rPr>
        <w:t>What is absent from much feminist theory that relies on metaphors of animals' oppression for illuminating women's experience is the reality behind the metaphor</w:t>
      </w:r>
      <w:r>
        <w:t xml:space="preserve">. When Mary Daly suggests raiding the </w:t>
      </w:r>
      <w:r>
        <w:rPr>
          <w:i/>
          <w:iCs/>
        </w:rPr>
        <w:t xml:space="preserve">Playboy's </w:t>
      </w:r>
      <w:r>
        <w:t>playground to let out "the bunnies, the bitches, the beavers, the squirrels, the chicks, the pussycats, the cows, the nags, the foxy ladies, the old bats and biddies, so that they can at last begin naming themselves" we, her readers, know that she is talking about women and not about actual bunnies, bitches, beavers, and so on.</w:t>
      </w:r>
      <w:r>
        <w:rPr>
          <w:rFonts w:ascii="MS Mincho" w:hAnsi="MS Mincho" w:cs="MS Mincho"/>
        </w:rPr>
        <w:t> </w:t>
      </w:r>
      <w:r>
        <w:t xml:space="preserve"> But, I argue, she should be. Otherwise, </w:t>
      </w:r>
      <w:r w:rsidRPr="003B20B3">
        <w:rPr>
          <w:rStyle w:val="DebateUnderline"/>
          <w:rFonts w:eastAsia="MS Gothic"/>
        </w:rPr>
        <w:t>feminist theorists' use of language describes, reflects, and perpetuates oppression</w:t>
      </w:r>
      <w:r w:rsidRPr="003B20B3">
        <w:t xml:space="preserve"> by denying the extent to which these oppressions are culturally analagous.</w:t>
      </w:r>
    </w:p>
    <w:p w:rsidR="007B1F0D" w:rsidRPr="007B1F0D" w:rsidRDefault="00BA2062" w:rsidP="00BA2062">
      <w:pPr>
        <w:pStyle w:val="Heading1"/>
      </w:pPr>
      <w:r>
        <w:t>Kritik Capitalism</w:t>
      </w:r>
    </w:p>
    <w:p w:rsidR="00C168E6" w:rsidRDefault="00C168E6" w:rsidP="00C168E6">
      <w:pPr>
        <w:pStyle w:val="Heading3"/>
      </w:pPr>
      <w:r>
        <w:t>1NC Link</w:t>
      </w:r>
    </w:p>
    <w:p w:rsidR="008D6442" w:rsidRDefault="008D6442" w:rsidP="008D6442">
      <w:pPr>
        <w:pStyle w:val="Heading4"/>
      </w:pPr>
      <w:r>
        <w:t>Regulations fail, fishers incentivized to act in their own self interest</w:t>
      </w:r>
    </w:p>
    <w:p w:rsidR="008D6442" w:rsidRDefault="008D6442" w:rsidP="008D6442">
      <w:r w:rsidRPr="00F02071">
        <w:rPr>
          <w:rStyle w:val="Style13ptBold"/>
        </w:rPr>
        <w:t>Fulton</w:t>
      </w:r>
      <w:r>
        <w:t xml:space="preserve">, E. A., </w:t>
      </w:r>
      <w:r w:rsidRPr="00F02071">
        <w:rPr>
          <w:rStyle w:val="Style13ptBold"/>
        </w:rPr>
        <w:t>Smith</w:t>
      </w:r>
      <w:r>
        <w:t xml:space="preserve">, A. D. M., </w:t>
      </w:r>
      <w:r w:rsidRPr="005F292E">
        <w:rPr>
          <w:rStyle w:val="Style13ptBold"/>
        </w:rPr>
        <w:t>Smith</w:t>
      </w:r>
      <w:r>
        <w:t xml:space="preserve">, D. C. </w:t>
      </w:r>
      <w:r w:rsidRPr="005F292E">
        <w:rPr>
          <w:rStyle w:val="Style13ptBold"/>
        </w:rPr>
        <w:t>and</w:t>
      </w:r>
      <w:r>
        <w:t xml:space="preserve"> </w:t>
      </w:r>
      <w:r w:rsidRPr="005F292E">
        <w:rPr>
          <w:rStyle w:val="Style13ptBold"/>
        </w:rPr>
        <w:t>van Putten</w:t>
      </w:r>
      <w:r>
        <w:t>, I. E. (20</w:t>
      </w:r>
      <w:r w:rsidRPr="005F292E">
        <w:rPr>
          <w:rStyle w:val="Style13ptBold"/>
        </w:rPr>
        <w:t>11</w:t>
      </w:r>
      <w:r>
        <w:t xml:space="preserve">), Human behaviour: the key source of uncertainty in fisheries management. Fish and Fisheries, 12: 2–17. doi: 10.1111/j.1467-2979.2010.00371.x SIRO Wealth from Oceans National Research Flagship, CSIRO Marine and Atmospheric Research, GPO Box 1538, Hobart, Tasmania, 7001, Australia *Elizabeth A Fulton, CSIRO Wealth from Oceans National Research Flagship, CSIRO Marine and Atmospheric Research, GPO Box 1538, Hobart, Tasmania, 7001, Australia Tel.: +61 (3) 62325018 E-mail: </w:t>
      </w:r>
      <w:hyperlink r:id="rId9" w:history="1">
        <w:r w:rsidRPr="00407301">
          <w:rPr>
            <w:rStyle w:val="Hyperlink"/>
          </w:rPr>
          <w:t>beth.fulton@csiro.au</w:t>
        </w:r>
      </w:hyperlink>
    </w:p>
    <w:p w:rsidR="008D6442" w:rsidRDefault="008D6442" w:rsidP="008D6442"/>
    <w:p w:rsidR="008D6442" w:rsidRPr="00B16074" w:rsidRDefault="008D6442" w:rsidP="008D6442">
      <w:r w:rsidRPr="005F292E">
        <w:rPr>
          <w:rStyle w:val="StyleUnderline"/>
        </w:rPr>
        <w:t>Whilst it is clear that political imperatives and poor enforcement are major contributors to fishery failures, we argue that the response of fishers to management actions is an equally important and largely neglected factor in poor outcomes from fishery management</w:t>
      </w:r>
      <w:r>
        <w:t xml:space="preserve">. As we argue in more detail below, </w:t>
      </w:r>
      <w:r w:rsidRPr="005F292E">
        <w:rPr>
          <w:rStyle w:val="StyleUnderline"/>
        </w:rPr>
        <w:t>nearly all of these behaviours actually represent predictably rational behaviour on the part of fishers</w:t>
      </w:r>
      <w:r>
        <w:t xml:space="preserve">. We acknowledge that there is a vast literature on rationality with its own specific jargon and terms (e.g. Simon 1986; Cook and Levi 1990; McFadden 1999). For the purposes of this discussion however, rational simply means understandable once a sufficient set of drivers are considered – noting that these drivers are likely to extend beyond simple economics and will differ across cultures and between systems with diverse social, economic and geographic settings. </w:t>
      </w:r>
      <w:r w:rsidRPr="005F292E">
        <w:rPr>
          <w:rStyle w:val="StyleUnderline"/>
        </w:rPr>
        <w:t>There are many examples of unexpected yet on closer inspection rational legal and illegal fishers’ responses to management changes resulting in biological, economic and social outcomes that are both unintended and mostly undesirable for the fishery as a whole</w:t>
      </w:r>
      <w:r>
        <w:t xml:space="preserve">. </w:t>
      </w:r>
      <w:r w:rsidRPr="005F292E">
        <w:rPr>
          <w:rStyle w:val="StyleUnderline"/>
        </w:rPr>
        <w:t>Perverse outcomes have been observed in fisheries that are managed using input (effort) controls. For example, fishing seasons are a commonly used management tool, and reducing the length of the season is often used in an attempt to control effort (and hence limit catch). However, reducing season length does not usually reduce effort as much as anticipated, with effort becoming more temporally concentrated as fishers strive to maintain catch levels</w:t>
      </w:r>
      <w:r>
        <w:t xml:space="preserve">. At the extreme, this leads to situations such as the Bristol Bay red king crab fishery, which in 1996 lasted only four days and still exceeded its preseason guideline harvest level by 65% (Briand et al. 2004). </w:t>
      </w:r>
      <w:r w:rsidRPr="005F292E">
        <w:rPr>
          <w:rStyle w:val="StyleUnderline"/>
        </w:rPr>
        <w:t xml:space="preserve">Spatial closures designed to protect vulnerable species, life stages or habitats can also have unintended consequences; effort displacement of the kind seen in the North Sea has led to increased pressure on other species or habitats not protected by the closures </w:t>
      </w:r>
      <w:r>
        <w:t>(Rijnsdorp et al. 2001; Dinmore et al. 2003</w:t>
      </w:r>
      <w:r w:rsidRPr="005F292E">
        <w:rPr>
          <w:rStyle w:val="StyleUnderline"/>
        </w:rPr>
        <w:t>). Output controls are not without problems either. Limited entry and quotas were introduced into the Bay of Fundy herring fishery in the 1970s to control fishing pressure, but instead they encouraged competition and capacity increases, which resulted in strong disparity in incomes</w:t>
      </w:r>
      <w:r>
        <w:t xml:space="preserve"> (White and Mace 1988). In </w:t>
      </w:r>
      <w:r w:rsidRPr="005F292E">
        <w:rPr>
          <w:rStyle w:val="StyleUnderline"/>
        </w:rPr>
        <w:t>Iceland an unexpected consequence of quota introduction was the geographical concentration of quota ownership that had significant social and cultural implications</w:t>
      </w:r>
      <w:r>
        <w:t xml:space="preserve"> (Helgason and Pálsson 1998). </w:t>
      </w:r>
      <w:r w:rsidRPr="005F292E">
        <w:rPr>
          <w:rStyle w:val="StyleUnderline"/>
        </w:rPr>
        <w:t>For southern bluefin tuna, the very high value of the fish combined with the difficulty of monitoring and enforcing regulations have led to catches way in excess of quota, with high rates of unreported fishing which in turn have increased uncertainty in assessments of resource status</w:t>
      </w:r>
      <w:r>
        <w:t xml:space="preserve"> (Kolody et al. 2008; Polacheck and Davies 2008). </w:t>
      </w:r>
      <w:r w:rsidRPr="005F292E">
        <w:rPr>
          <w:rStyle w:val="StyleUnderline"/>
        </w:rPr>
        <w:t>Fishers are also extremely good at maximizing opportunities, sometimes including exploiting loopholes</w:t>
      </w:r>
      <w:r>
        <w:t xml:space="preserve"> (Rowling et al. 1994). </w:t>
      </w:r>
      <w:r w:rsidRPr="005F292E">
        <w:rPr>
          <w:rStyle w:val="StyleUnderline"/>
        </w:rPr>
        <w:t>Mismatches between state and federal fisheries regulations in the US and Australia have led to fishers misreporting catches into areas with less restrictive catch limits</w:t>
      </w:r>
      <w:r>
        <w:t xml:space="preserve"> (Larcombe et al. 2001; Branch et al. 2006). Unfortunately, unexpected responses to closure of apparent jurisdictional loopholes can also occur. Prior to 1990, the Norwegian small boat fishery was not part of the regulated trawl fishery, and was essentially self regulating. In 1990 a crisis in the Norwegian cod fishery meant that regulation was extended to encompass the small boats, creating a race to fish and incentives to fish more heavily (and invest in larger vessels) to secure access to the new and future fishing rights. The combined effect of the unpredicted response and the manner in which the regulation was implemented resulted in increased pressure on the cod (and other species) as effort increased rather than declined – an unintended consequence of introducing formal management measures (Maurstad 2000). Not all cases of unanticipated behaviour result in undesirable outcomes for the fishery. Fishers have proved to be adept at turning problems into opportunities, for example by developing innovative technical solutions to reduce bycatch of turtles and dolphins, in the face of threats to export markets. In some cases this has been turned into a benefit by marketing turtle-friendly prawns or dolphin-friendly tuna. Another example of rapid and effective modification of behaviour occurred in the Canadian British Columbia trawl fishery. Strict enforcement of quotas and a ban on discards in this multi-species fishery led to a strong improvement in ability to target species. This stood in stark contrast to the neighbouring US trawl fishery, where observer coverage and enforcement was much lower, and where the difficulty of targeting in a multispecies fishery was used to excuse the need for potentially extensive discarding (Branch et al. 2006; Branch 2008). In combination these examples serve as a caution about simply extrapolating past fishing behaviour under changed management or stock status conditions. It is also important to highlight that, </w:t>
      </w:r>
      <w:r w:rsidRPr="005F292E">
        <w:rPr>
          <w:rStyle w:val="StyleUnderline"/>
        </w:rPr>
        <w:t xml:space="preserve">whilst these behavioural responses are often labelled as surprising or even irrational, from the perspective of fishers they are often entirely rational </w:t>
      </w:r>
      <w:r>
        <w:t>(i.e. understandable), suggesting the responses should also be reasonably predictable.</w:t>
      </w:r>
    </w:p>
    <w:p w:rsidR="00C168E6" w:rsidRDefault="00C168E6" w:rsidP="00C168E6">
      <w:pPr>
        <w:pStyle w:val="Heading3"/>
      </w:pPr>
      <w:r>
        <w:t>Link Wall</w:t>
      </w:r>
    </w:p>
    <w:p w:rsidR="0013646A" w:rsidRDefault="0013646A" w:rsidP="0013646A">
      <w:pPr>
        <w:pStyle w:val="Heading4"/>
      </w:pPr>
      <w:r>
        <w:t>Longterm sustainability is only important to fishers when not faced with economic pressures</w:t>
      </w:r>
    </w:p>
    <w:p w:rsidR="0013646A" w:rsidRPr="007B1F0D" w:rsidRDefault="0013646A" w:rsidP="0013646A">
      <w:pPr>
        <w:rPr>
          <w:rStyle w:val="Style13ptBold"/>
          <w:rFonts w:eastAsiaTheme="majorEastAsia" w:cstheme="majorBidi"/>
          <w:b w:val="0"/>
          <w:iCs/>
        </w:rPr>
      </w:pPr>
      <w:r w:rsidRPr="007B1F0D">
        <w:rPr>
          <w:rStyle w:val="Style13ptBold"/>
        </w:rPr>
        <w:t>Yates 14</w:t>
      </w:r>
      <w:r>
        <w:rPr>
          <w:rStyle w:val="Style13ptBold"/>
        </w:rPr>
        <w:t xml:space="preserve"> </w:t>
      </w:r>
      <w:r>
        <w:t xml:space="preserve">K.L. Yatesa, b, c, , a Environmental Science Research Institute, University of Ulster, Cromore Road, Coleraine BT52 1SA, UK b ARC Centre of excellence for Environmental Decisions, School of Biological Sciences, University of Queensland, Brisbane, St. Lucia, QLD 4072, Australia c School of the Environment, Flinders University, South Australia 5042, Australia Received 17 December 2013, Revised 3 March 2014, Accepted 3 March 2014, Available online 22 March 2014 Online: </w:t>
      </w:r>
      <w:r w:rsidRPr="00BA2062">
        <w:t>http://www.sciencedirect.com/science/article/pii/S0308597X14000736?np=y</w:t>
      </w:r>
    </w:p>
    <w:p w:rsidR="0013646A" w:rsidRDefault="0013646A" w:rsidP="0013646A"/>
    <w:p w:rsidR="0013646A" w:rsidRPr="00BA2062" w:rsidRDefault="0013646A" w:rsidP="0013646A">
      <w:pPr>
        <w:rPr>
          <w:rStyle w:val="StyleUnderline"/>
        </w:rPr>
      </w:pPr>
      <w:r>
        <w:t xml:space="preserve">Whilst they do not necessarily always agree with the methods, fishers support the need for management and often want greater enforcement [44] and [65]. Northern Irish fishers even admitted to now approving of initiatives they had previously objected to. Northern Irish fishers from all fisheries displayed concern for the stocks and a desire for the long term stability of their fisheries. Yet, like </w:t>
      </w:r>
      <w:r w:rsidRPr="00BA2062">
        <w:rPr>
          <w:rStyle w:val="StyleUnderline"/>
        </w:rPr>
        <w:t>fishers</w:t>
      </w:r>
      <w:r>
        <w:t xml:space="preserve"> around the world, they </w:t>
      </w:r>
      <w:r w:rsidRPr="00BA2062">
        <w:rPr>
          <w:rStyle w:val="StyleUnderline"/>
        </w:rPr>
        <w:t>face immediate economic pressures and their behaviours often reflect trade-offs. Some Northern Irish pot fishers, for example, only v-notched when their overall catch was sufficiently high. It seems prioritising long-term sustainability of the fishery is sometimes a luxury only afforded when the short-term fishing is good.</w:t>
      </w:r>
    </w:p>
    <w:p w:rsidR="0013646A" w:rsidRDefault="0013646A" w:rsidP="0013646A"/>
    <w:p w:rsidR="009A7732" w:rsidRDefault="00BA2062" w:rsidP="009A7732">
      <w:pPr>
        <w:pStyle w:val="Heading1"/>
      </w:pPr>
      <w:r>
        <w:t xml:space="preserve">Kritik </w:t>
      </w:r>
      <w:r w:rsidR="009A7732">
        <w:t>Environmental Security</w:t>
      </w:r>
      <w:r w:rsidR="00C168E6">
        <w:t xml:space="preserve"> (weak links)</w:t>
      </w:r>
    </w:p>
    <w:p w:rsidR="00C168E6" w:rsidRDefault="00C168E6" w:rsidP="00C168E6">
      <w:pPr>
        <w:pStyle w:val="Heading3"/>
      </w:pPr>
      <w:r>
        <w:t xml:space="preserve">1NC Link </w:t>
      </w:r>
    </w:p>
    <w:p w:rsidR="00CC2A3D" w:rsidRDefault="00CC2A3D" w:rsidP="00CC2A3D">
      <w:pPr>
        <w:pStyle w:val="Heading4"/>
      </w:pPr>
      <w:r>
        <w:t xml:space="preserve">Their framing of food security not in terms of people but in terms of states shifts the goal away from feeding the hungry to preventing nuclear war, destroying agency and killing drive to solve hunger.  </w:t>
      </w:r>
    </w:p>
    <w:p w:rsidR="00CC2A3D" w:rsidRDefault="00CC2A3D" w:rsidP="00CC2A3D">
      <w:r>
        <w:rPr>
          <w:rStyle w:val="Style13ptBold"/>
        </w:rPr>
        <w:t>Shepherd</w:t>
      </w:r>
      <w:r>
        <w:t>, Benjamin. "Thinking critically about food security." Security Dialogue 43.3 (20</w:t>
      </w:r>
      <w:r>
        <w:rPr>
          <w:rStyle w:val="Style13ptBold"/>
        </w:rPr>
        <w:t>12</w:t>
      </w:r>
      <w:r>
        <w:t>): 195-212.</w:t>
      </w:r>
    </w:p>
    <w:p w:rsidR="00CC2A3D" w:rsidRDefault="00CC2A3D" w:rsidP="00CC2A3D">
      <w:pPr>
        <w:rPr>
          <w:rStyle w:val="StyleUnderline"/>
        </w:rPr>
      </w:pPr>
      <w:r>
        <w:t>Rethinking food security</w:t>
      </w:r>
      <w:r>
        <w:rPr>
          <w:sz w:val="12"/>
        </w:rPr>
        <w:t xml:space="preserve">¶ </w:t>
      </w:r>
      <w:r>
        <w:t xml:space="preserve">The assignment Booth gives us is to challenge </w:t>
      </w:r>
      <w:r>
        <w:rPr>
          <w:rStyle w:val="StyleUnderline"/>
        </w:rPr>
        <w:t>the conventional framing of food security and to rethink it in emancipatory terms, in terms of the hungry, as opposed to terms that suit or are readily co-opted by global and systemic actors.</w:t>
      </w:r>
      <w:r>
        <w:t xml:space="preserve"> For Booth (2007: 112), ‘emancipation seeks the securing</w:t>
      </w:r>
      <w:r>
        <w:rPr>
          <w:sz w:val="12"/>
        </w:rPr>
        <w:t xml:space="preserve">¶ </w:t>
      </w:r>
      <w:r>
        <w:t xml:space="preserve">of people from those oppressions that stop them carrying out what they would freely choose to do, compatible with the freedom of others’. </w:t>
      </w:r>
      <w:r>
        <w:rPr>
          <w:rStyle w:val="StyleUnderline"/>
        </w:rPr>
        <w:t>Hunger is one of the most basic oppressions that people must be secured against. In this light, food security can be framed in terms of securing vulnerable populations from the structural violence of hunger.¶ Thinking about food security in this way de-privileges currently privileged actors in order to centralize the needs of those who must be the central focus of food-security strategies</w:t>
      </w:r>
      <w:r>
        <w:t xml:space="preserve">: human beings experiencing or vulnerable to hunger. It centralizes the hungry and those at risk of hunger as the focus of food-security activity. </w:t>
      </w:r>
      <w:r>
        <w:rPr>
          <w:rStyle w:val="StyleUnderline"/>
        </w:rPr>
        <w:t>This framing also seeks to place an onus on institutional and systemic actors of agency</w:t>
      </w:r>
      <w:r>
        <w:t xml:space="preserve">. That onus is first to assess their own agency in securing the vulnerable from malign structures and second to challenge the agency of others. </w:t>
      </w:r>
      <w:r>
        <w:rPr>
          <w:rStyle w:val="StyleUnderline"/>
        </w:rPr>
        <w:t>This is fundamental to creating the conditions of human emancipation</w:t>
      </w:r>
      <w:r>
        <w:t>.</w:t>
      </w:r>
      <w:r>
        <w:rPr>
          <w:sz w:val="12"/>
        </w:rPr>
        <w:t xml:space="preserve">¶ </w:t>
      </w:r>
      <w:r>
        <w:t xml:space="preserve">In pursuit of these conditions, </w:t>
      </w:r>
      <w:r>
        <w:rPr>
          <w:rStyle w:val="StyleUnderline"/>
        </w:rPr>
        <w:t>it is crucial that this new framing offers some practical purchase in terms of guiding strategic and tactical decisionmaking for any actor engaging with a ‘food security’ problem. Certainly it provides a basis for designing, implementing and evaluating practical and measurable strategies, policies and actions for creating food security</w:t>
      </w:r>
      <w:r>
        <w:t>. (It should be easier to plan a project and measure its success on the basis of identifying and taking appropriate actions to help secure a group from its vulnerabilities to hunger than on the basis of guaranteeing that ‘all people at all times’ will have adequate food.)</w:t>
      </w:r>
      <w:r>
        <w:rPr>
          <w:sz w:val="12"/>
        </w:rPr>
        <w:t xml:space="preserve">¶ </w:t>
      </w:r>
      <w:r>
        <w:t xml:space="preserve">Moreover, </w:t>
      </w:r>
      <w:r>
        <w:rPr>
          <w:rStyle w:val="StyleUnderline"/>
        </w:rPr>
        <w:t>this framing is active. By adopting this framing, an actor with agency – one with capacity to analyse, influence, modify, reshape or halt existing, malignant institutional arrangements – must be ready to act, and to be challenged by others, in terms of how its policies, behaviours or actions assist in this ultimate objective of securing those going hungry or vulnerable to hunger</w:t>
      </w:r>
      <w:r>
        <w:t xml:space="preserve">. The challenge by others is crucial. This framing provides a normative position that can (must) be used by actors to validate and evaluate the actions of others. </w:t>
      </w:r>
      <w:r>
        <w:rPr>
          <w:rStyle w:val="StyleUnderline"/>
        </w:rPr>
        <w:t>Actors need to be able to be held to account for their ‘food security’ policies and actions and how they are securing the vulnerable against hunger. By facilitating actor accountability, this framing seeks to limit the risk of co-option by self-interested actors and the creation of conditions for human emancipation is sought.</w:t>
      </w:r>
      <w:r>
        <w:t xml:space="preserve"> Helping place an onus on actors with agency to secure the vulnerable from malign structures is a major shift from making utopian claims of ‘freedom from hunger’ to making pragmatic improvements in institutional arrangements that perpetuate the structural violence of hunger and poverty. </w:t>
      </w:r>
      <w:r>
        <w:rPr>
          <w:rStyle w:val="StyleUnderline"/>
        </w:rPr>
        <w:t>This is an important step in developing a systematic approach, not only for thinking about, but also for acting in response to the insecurity of hunger. It seeks to pursue the emancipation of humans from structural malignity and facilitate practical approaches for making material improvements in reducing hunger.</w:t>
      </w:r>
      <w:r>
        <w:t xml:space="preserve"> This pragmatic goal is also one of the key reasons for framing food security in terms of structural violence. Because structural violence is the result of institutional arrangements, this definition provides some direct purchase on the tasks of developing and evaluating strategies, policies, actions and behaviours. It forces the questions to be asked of any particular initiative: What are the existing institutional arrangements? What changes are likely to result? And, what impact will they have on, or for, the hungry?</w:t>
      </w:r>
      <w:r>
        <w:rPr>
          <w:sz w:val="12"/>
        </w:rPr>
        <w:t xml:space="preserve">¶ </w:t>
      </w:r>
      <w:r>
        <w:t xml:space="preserve">This reframing of food security offers some additional advantages. Shaw (2007: 384) has described </w:t>
      </w:r>
      <w:r>
        <w:rPr>
          <w:rStyle w:val="StyleUnderline"/>
        </w:rPr>
        <w:t>the pathologies of the existing global food-security paradigm and concludes that it is shackled by ‘the problem of institutional incoherence’: with ‘so many multilateral, bilateral and non-governmental organizations and international institutions involved, food security has tended to become everybody’s concern and so, in reality, no one’s concern’.</w:t>
      </w:r>
    </w:p>
    <w:p w:rsidR="00CC2A3D" w:rsidRPr="001E3B87" w:rsidRDefault="00C168E6" w:rsidP="00C168E6">
      <w:pPr>
        <w:pStyle w:val="Heading3"/>
      </w:pPr>
      <w:r>
        <w:t>Link Wall</w:t>
      </w:r>
    </w:p>
    <w:p w:rsidR="00CC2A3D" w:rsidRPr="00EA6187" w:rsidRDefault="00CC2A3D" w:rsidP="00CC2A3D">
      <w:pPr>
        <w:pStyle w:val="Heading4"/>
        <w:rPr>
          <w:rStyle w:val="StyleUnderline"/>
          <w:iCs w:val="0"/>
          <w:sz w:val="32"/>
          <w:szCs w:val="24"/>
        </w:rPr>
      </w:pPr>
      <w:r w:rsidRPr="00EA6187">
        <w:rPr>
          <w:rStyle w:val="StyleUnderline"/>
        </w:rPr>
        <w:t>Linking famine and war kills possible solutions to it and promotes Western interests</w:t>
      </w:r>
    </w:p>
    <w:p w:rsidR="00CC2A3D" w:rsidRPr="00446B11" w:rsidRDefault="00CC2A3D" w:rsidP="00CC2A3D">
      <w:pPr>
        <w:pStyle w:val="Cites"/>
      </w:pPr>
      <w:r w:rsidRPr="002E3DD4">
        <w:rPr>
          <w:rStyle w:val="Author-Date"/>
          <w:rFonts w:eastAsiaTheme="majorEastAsia"/>
        </w:rPr>
        <w:t>Barnett</w:t>
      </w:r>
      <w:r w:rsidRPr="00446B11">
        <w:t xml:space="preserve"> (Senior Lecturer, School of Anthropology, Geography, and Environmental Studies, University of Melbourne; Ph.D., Centre for Resource and Environmental Studies) </w:t>
      </w:r>
      <w:r w:rsidRPr="002E3DD4">
        <w:rPr>
          <w:rStyle w:val="Author-Date"/>
          <w:rFonts w:eastAsiaTheme="majorEastAsia"/>
        </w:rPr>
        <w:t>2k</w:t>
      </w:r>
      <w:r w:rsidRPr="00446B11">
        <w:t xml:space="preserve"> </w:t>
      </w:r>
    </w:p>
    <w:p w:rsidR="00CC2A3D" w:rsidRPr="001E3B87" w:rsidRDefault="00CC2A3D" w:rsidP="00CC2A3D">
      <w:pPr>
        <w:pStyle w:val="Cites"/>
      </w:pPr>
      <w:r w:rsidRPr="00446B11">
        <w:t xml:space="preserve">(Jon, “Destabilizing the Environment-Conflict Thesis,” </w:t>
      </w:r>
      <w:r w:rsidRPr="00446B11">
        <w:rPr>
          <w:iCs/>
        </w:rPr>
        <w:t xml:space="preserve">Review of International Studies </w:t>
      </w:r>
      <w:r w:rsidRPr="00446B11">
        <w:t>26(2): 271–288)</w:t>
      </w:r>
    </w:p>
    <w:p w:rsidR="00CC2A3D" w:rsidRPr="001E3B87" w:rsidRDefault="00CC2A3D" w:rsidP="00CC2A3D">
      <w:pPr>
        <w:pStyle w:val="Nothing"/>
      </w:pPr>
    </w:p>
    <w:p w:rsidR="00CC2A3D" w:rsidRDefault="00CC2A3D" w:rsidP="00CC2A3D">
      <w:pPr>
        <w:pStyle w:val="Cards"/>
        <w:rPr>
          <w:rStyle w:val="DebateUnderline"/>
        </w:rPr>
      </w:pPr>
      <w:r w:rsidRPr="001E3B87">
        <w:t xml:space="preserve">The ways in which  population growth leads to environmental degradation are  reasonably well known. However, the particular ways in which this leads to conflict re difficult to  prove. In the absence of proof there is a negative style of argu  mentation, and there are blanket assertions and abrogations; for example: 'the  relationship is rarely causative in a direct fashion', but 'we may surmise that conflict  would not arise so readily, nor would it prove so acute, if the associated factor of  population growth were occurring at a more manageable rate'.38 It is possible  though, that </w:t>
      </w:r>
      <w:r w:rsidRPr="00AB62B8">
        <w:rPr>
          <w:rStyle w:val="DebateUnderline"/>
          <w:rFonts w:eastAsiaTheme="majorEastAsia"/>
        </w:rPr>
        <w:t xml:space="preserve">rather than inducing warfare, overpopulation and famine reduce the  capacity of a people to wage war. </w:t>
      </w:r>
      <w:r w:rsidRPr="001E3B87">
        <w:t xml:space="preserve">Indeed, it is less the case that famines in Africa in  recent decades have  produced 'first rate breeding grounds for conflict'; the more  important, pressing, and avoidable product is widespread malnutrition and large loss  of life.  </w:t>
      </w:r>
      <w:r w:rsidRPr="00AB62B8">
        <w:rPr>
          <w:rStyle w:val="DebateUnderline"/>
          <w:rFonts w:eastAsiaTheme="majorEastAsia"/>
        </w:rPr>
        <w:t>To equate famine with warfare and threat is to  deny the prima facie issue of the  responsibility of the industrialized world to those in affected regions</w:t>
      </w:r>
      <w:r w:rsidRPr="001E3B87">
        <w:t xml:space="preserve">. </w:t>
      </w:r>
      <w:r w:rsidRPr="00AB62B8">
        <w:rPr>
          <w:rStyle w:val="DebateUnderline"/>
          <w:rFonts w:eastAsiaTheme="majorEastAsia"/>
        </w:rPr>
        <w:t>To focus on  the conflict  potential is to ignore the real causes of poverty and vulnerability, namely  the economic  disadvantages people in the industrializing world experience from their  exposure to global capital</w:t>
      </w:r>
      <w:r w:rsidRPr="001E3B87">
        <w:t xml:space="preserve">. </w:t>
      </w:r>
      <w:r w:rsidRPr="00AB62B8">
        <w:rPr>
          <w:rStyle w:val="DebateUnderline"/>
          <w:rFonts w:eastAsiaTheme="majorEastAsia"/>
        </w:rPr>
        <w:t>Ignoring global processes</w:t>
      </w:r>
      <w:r w:rsidRPr="001E3B87">
        <w:t xml:space="preserve"> also </w:t>
      </w:r>
      <w:r w:rsidRPr="00AB62B8">
        <w:rPr>
          <w:rStyle w:val="DebateUnderline"/>
          <w:rFonts w:eastAsiaTheme="majorEastAsia"/>
        </w:rPr>
        <w:t>leads to impoverished  policy</w:t>
      </w:r>
      <w:r w:rsidRPr="001E3B87">
        <w:t xml:space="preserve">.39 Vulnerability to famine can be lessened through substantial increases in  access to  employment, health care, education for women and children, and contra  ception. Resilience to famine can be enhanced by protecting traditional societies  from the  disruptive effects of modern society, by creating safe political conditions,  and  by permitting more autonomous governance at the local level. The con  sequences of famine can be lessened by making use of the efficient collection and  delivery mechanisms that characterize world trade between industrialized nations to  deliver necessary  supplies. </w:t>
      </w:r>
      <w:r w:rsidRPr="00AB62B8">
        <w:rPr>
          <w:rStyle w:val="DebateUnderline"/>
          <w:rFonts w:eastAsiaTheme="majorEastAsia"/>
        </w:rPr>
        <w:t xml:space="preserve">All these mainstream development concerns are ignored  or treated as  afterthoughts when the issue of population growth is understood as a  probable cause of war.    </w:t>
      </w:r>
    </w:p>
    <w:p w:rsidR="00C744B7" w:rsidRDefault="00C744B7" w:rsidP="00C744B7">
      <w:pPr>
        <w:pStyle w:val="Heading1"/>
      </w:pPr>
      <w:r>
        <w:t xml:space="preserve">Kritik Neoliberalism </w:t>
      </w:r>
    </w:p>
    <w:p w:rsidR="00C168E6" w:rsidRDefault="00C168E6" w:rsidP="00C168E6">
      <w:pPr>
        <w:pStyle w:val="Heading3"/>
      </w:pPr>
      <w:r>
        <w:t>1NC Link</w:t>
      </w:r>
    </w:p>
    <w:p w:rsidR="00C168E6" w:rsidRPr="000A3D5A" w:rsidRDefault="00C168E6" w:rsidP="00C168E6">
      <w:pPr>
        <w:pStyle w:val="Heading4"/>
        <w:rPr>
          <w:rFonts w:cs="Times New Roman"/>
          <w:sz w:val="28"/>
        </w:rPr>
      </w:pPr>
      <w:r w:rsidRPr="000A3D5A">
        <w:rPr>
          <w:rFonts w:cs="Times New Roman"/>
          <w:sz w:val="28"/>
        </w:rPr>
        <w:t>Their desire to protect fishing communities obscure economic relations – assumes that communities (or small fishers) can be located in a space outside economic relations</w:t>
      </w:r>
    </w:p>
    <w:p w:rsidR="00C168E6" w:rsidRPr="000A3D5A" w:rsidRDefault="00C168E6" w:rsidP="00C168E6">
      <w:pPr>
        <w:rPr>
          <w:rStyle w:val="Style13ptBold"/>
          <w:rFonts w:eastAsiaTheme="majorEastAsia" w:cstheme="majorBidi"/>
          <w:b w:val="0"/>
          <w:iCs/>
        </w:rPr>
      </w:pPr>
      <w:r w:rsidRPr="000A3D5A">
        <w:rPr>
          <w:rStyle w:val="Style13ptBold"/>
          <w:sz w:val="28"/>
        </w:rPr>
        <w:t>Olson 5</w:t>
      </w:r>
    </w:p>
    <w:p w:rsidR="00C168E6" w:rsidRPr="000A3D5A" w:rsidRDefault="00C168E6" w:rsidP="00C168E6">
      <w:r w:rsidRPr="000A3D5A">
        <w:t>(NOAA-Fisheries, Northeast Fisheries Science Center)</w:t>
      </w:r>
    </w:p>
    <w:p w:rsidR="00C168E6" w:rsidRPr="000A3D5A" w:rsidRDefault="00C168E6" w:rsidP="00C168E6">
      <w:r w:rsidRPr="000A3D5A">
        <w:t>(Julia, Re-Placing the Space of Community: A Story of Cultural Politics, Policies, and Fisheries Management, Anthropological Quarterly 78.1, 247-268)</w:t>
      </w:r>
    </w:p>
    <w:p w:rsidR="00C168E6" w:rsidRPr="000A3D5A" w:rsidRDefault="00C168E6" w:rsidP="00C168E6"/>
    <w:p w:rsidR="00C168E6" w:rsidRPr="000A3D5A" w:rsidRDefault="00C168E6" w:rsidP="00C168E6">
      <w:pPr>
        <w:pStyle w:val="Cards"/>
        <w:ind w:left="0"/>
      </w:pPr>
      <w:r w:rsidRPr="000A3D5A">
        <w:t xml:space="preserve">At the same time these narratives render community the primary ground of interaction through their focus on protectionism and insulation, creating an appearance of being "normal, natural, and prior to political and economic forces" (Collier et al. 1995: 5). Like the homogenous societies of structural-functionalism, </w:t>
      </w:r>
      <w:r w:rsidRPr="000A3D5A">
        <w:rPr>
          <w:rStyle w:val="StyleUnderline"/>
        </w:rPr>
        <w:t>seeing communities as bounded places that need protection tends to assume that essence is internally generated and change is externally imposed. Communities become reactive places when not seen in context</w:t>
      </w:r>
      <w:r w:rsidRPr="000A3D5A">
        <w:rPr>
          <w:rStyle w:val="NothingChar"/>
        </w:rPr>
        <w:t>, what Harvey (1993) has called</w:t>
      </w:r>
      <w:r w:rsidRPr="000A3D5A">
        <w:t xml:space="preserve"> </w:t>
      </w:r>
      <w:r w:rsidRPr="000A3D5A">
        <w:rPr>
          <w:rStyle w:val="StyleUnderline"/>
        </w:rPr>
        <w:t>the fetishization of place</w:t>
      </w:r>
      <w:r w:rsidRPr="000A3D5A">
        <w:t>. Of course communities can be powerfully appealing because of the lived experiences and meanings embedded in them. But it is because of this appeal that-in Harvey's well-known thesis-counter-movements better control place than space, but are "easily dominated by the power of capital to co-ordinate accumulation across universal fragmented space</w:t>
      </w:r>
      <w:r w:rsidRPr="000A3D5A">
        <w:rPr>
          <w:rStyle w:val="StyleUnderline"/>
        </w:rPr>
        <w:t>. Place-bound politics appeals even though such a politics is doomed to failure"</w:t>
      </w:r>
      <w:r w:rsidRPr="000A3D5A">
        <w:t xml:space="preserve"> (1993: 24). </w:t>
      </w:r>
      <w:r w:rsidRPr="000A3D5A">
        <w:rPr>
          <w:rStyle w:val="StyleUnderline"/>
        </w:rPr>
        <w:t>It is difficult</w:t>
      </w:r>
      <w:r w:rsidRPr="000A3D5A">
        <w:t xml:space="preserve">, in other words, </w:t>
      </w:r>
      <w:r w:rsidRPr="000A3D5A">
        <w:rPr>
          <w:rStyle w:val="StyleUnderline"/>
        </w:rPr>
        <w:t>to apply local solutions to large-scale problems</w:t>
      </w:r>
      <w:r w:rsidRPr="000A3D5A">
        <w:t xml:space="preserve">.7 While I neither want to deny regulatory impacts nor dismiss understanding them, when communities are seen simply as places that get impacted, anthropology's role in policy can become bracketed to the production of descriptive accounts of these reactive impacts,8 missing more proactive accounts of alternative notions of value and praxis. The neglect of the production of community misses the creative and meaningful agency of community members, and with it a better understanding of what communities (their concerns, problems, relations, practices, processes, and knowledge they enable) can bring to fisheries management. </w:t>
      </w:r>
      <w:r w:rsidRPr="000A3D5A">
        <w:rPr>
          <w:rStyle w:val="StyleUnderline"/>
        </w:rPr>
        <w:t>This passive, homogeneous portrait of community in turn lends itself to a particular geographic imagination</w:t>
      </w:r>
      <w:r w:rsidRPr="000A3D5A">
        <w:t xml:space="preserve">. For example, in the final US Senate debate about fishing communities, Sen. Gorton (Republican of Washington) remarked "While my parochial concerns have been fully addressed by the manager's amendment by redefining 'fishing communities' to include the communities of tens of thousands of Washingtonians employed in the fishing industry, I continue to believe that establishing a national standard to protect fishing communities is bad policy [...in its] attempt to insulate fishing communities from the economic effects of instituting sound management and restoring healthy stocks" (142 Cong.Rec. S10814, Sept. 18, 1996). But in this nationalist project-what is the best way to promote American fishing? American fishing communities? America? -the community gets repositioned in very particular ways. In the speech made by Senator Murray (Democrat of Washington) directly after Gorton, she argues "fishers are fishers no matter where they live. An individual fisher and his or her family, whether they work on a big boat and or a small boat, are equally dependent upon the fish for their livelihoods no matter where they live. The fisher from a small New England port, an Alaska coastal town, or a metropolitan area like Seattle all make their living from the sea, their lives are all tied to the health and abundance of the fish they catch" (142 Cong.Rec. S10816, Sept. 18, 1996). [End Page 254] One could conclude that the conflation of communities and families in US policy debate was simply a moment of nostalgic yearning for gemeinschaft, and that the disappearance of families from final legislative wording was simply business as usual. But my point is somewhat different. </w:t>
      </w:r>
      <w:r w:rsidRPr="000A3D5A">
        <w:rPr>
          <w:rStyle w:val="StyleUnderline"/>
        </w:rPr>
        <w:t>The debate over fishery-dependent communities neglected the multiple social relations and processes that create such communities in practice, instead viewing them as synonymous with small fishery-dependent families and businesses.</w:t>
      </w:r>
      <w:r w:rsidRPr="000A3D5A">
        <w:t xml:space="preserve"> </w:t>
      </w:r>
      <w:r w:rsidRPr="000A3D5A">
        <w:rPr>
          <w:rStyle w:val="StyleUnderline"/>
        </w:rPr>
        <w:t>The equation of communities with self-sufficient families means that, when it comes to the economic sphere, the real actors are located everywhere and nowhere in particular</w:t>
      </w:r>
      <w:r w:rsidRPr="000A3D5A">
        <w:t xml:space="preserve">. </w:t>
      </w:r>
      <w:r w:rsidRPr="000A3D5A">
        <w:rPr>
          <w:rStyle w:val="StyleUnderline"/>
        </w:rPr>
        <w:t>Addressing such a variety of places and politics under the singular rubric of a fishing community had the ironic effect of standardizing the local and implying that only economics really matters after all. This construction of community as an empty space serves again to erase social difference: fishers are fishers no matter where they live</w:t>
      </w:r>
      <w:r w:rsidRPr="000A3D5A">
        <w:t>.</w:t>
      </w:r>
    </w:p>
    <w:p w:rsidR="00C168E6" w:rsidRPr="00341CED" w:rsidRDefault="00C168E6" w:rsidP="00C168E6">
      <w:pPr>
        <w:pStyle w:val="Heading3"/>
      </w:pPr>
      <w:r>
        <w:t>Link Wall</w:t>
      </w:r>
    </w:p>
    <w:p w:rsidR="00C168E6" w:rsidRPr="000A3D5A" w:rsidRDefault="00C168E6" w:rsidP="00C168E6">
      <w:pPr>
        <w:pStyle w:val="Heading4"/>
        <w:rPr>
          <w:rFonts w:cs="Times New Roman"/>
          <w:sz w:val="28"/>
        </w:rPr>
      </w:pPr>
      <w:r w:rsidRPr="000A3D5A">
        <w:rPr>
          <w:rFonts w:cs="Times New Roman"/>
          <w:sz w:val="28"/>
        </w:rPr>
        <w:t xml:space="preserve">Rights based management leads to inequality </w:t>
      </w:r>
    </w:p>
    <w:p w:rsidR="00C168E6" w:rsidRPr="000A3D5A" w:rsidRDefault="00C168E6" w:rsidP="00C168E6">
      <w:pPr>
        <w:rPr>
          <w:rStyle w:val="Style13ptBold"/>
          <w:rFonts w:eastAsiaTheme="majorEastAsia" w:cstheme="majorBidi"/>
          <w:b w:val="0"/>
          <w:iCs/>
        </w:rPr>
      </w:pPr>
      <w:r w:rsidRPr="000A3D5A">
        <w:rPr>
          <w:rStyle w:val="Style13ptBold"/>
          <w:sz w:val="28"/>
        </w:rPr>
        <w:t>Curry 7</w:t>
      </w:r>
    </w:p>
    <w:p w:rsidR="00C168E6" w:rsidRPr="000A3D5A" w:rsidRDefault="00C168E6" w:rsidP="00C168E6">
      <w:pPr>
        <w:pStyle w:val="Nothing"/>
        <w:rPr>
          <w:rStyle w:val="Author-Date"/>
          <w:rFonts w:asciiTheme="minorHAnsi" w:eastAsiaTheme="minorHAnsi" w:hAnsiTheme="minorHAnsi" w:cstheme="minorBidi"/>
          <w:szCs w:val="22"/>
        </w:rPr>
      </w:pPr>
      <w:r w:rsidRPr="000A3D5A">
        <w:rPr>
          <w:b/>
        </w:rPr>
        <w:t xml:space="preserve"> </w:t>
      </w:r>
      <w:r w:rsidRPr="000A3D5A">
        <w:t>(professor of geography @ Calvin College)</w:t>
      </w:r>
    </w:p>
    <w:p w:rsidR="00C168E6" w:rsidRPr="000A3D5A" w:rsidRDefault="00C168E6" w:rsidP="00C168E6">
      <w:r w:rsidRPr="000A3D5A">
        <w:t>(Janel M., The nature-culture boundary and ocean policy: Great Barrier Island, New Zealand, The Geographical Review</w:t>
      </w:r>
    </w:p>
    <w:p w:rsidR="00C168E6" w:rsidRPr="000A3D5A" w:rsidRDefault="00C168E6" w:rsidP="00C168E6">
      <w:r w:rsidRPr="000A3D5A">
        <w:t xml:space="preserve"> Pg. 46(21) Vol. 97 No. 1, January 1)</w:t>
      </w:r>
    </w:p>
    <w:p w:rsidR="00C168E6" w:rsidRPr="000A3D5A" w:rsidRDefault="00C168E6" w:rsidP="00C168E6">
      <w:pPr>
        <w:pStyle w:val="Cards"/>
      </w:pPr>
    </w:p>
    <w:p w:rsidR="00C168E6" w:rsidRPr="000A3D5A" w:rsidRDefault="00C168E6" w:rsidP="00C168E6">
      <w:pPr>
        <w:pStyle w:val="Cards"/>
        <w:ind w:left="0"/>
      </w:pPr>
      <w:r w:rsidRPr="000A3D5A">
        <w:t xml:space="preserve">Beginning in </w:t>
      </w:r>
      <w:r w:rsidRPr="000A3D5A">
        <w:rPr>
          <w:rStyle w:val="NothingChar"/>
        </w:rPr>
        <w:t>the 1980s, fisheries policy across the world moved toward closed access to resources through the development of rights-based management. Governments</w:t>
      </w:r>
      <w:r w:rsidRPr="000A3D5A">
        <w:t xml:space="preserve"> implemented these policies in order to solve the problem posed by overcapitalized fishing industries where fishing capacity exceeded the desired yearly total allowable catch. Management changes have been made in the context of a global emphasis on market-based approaches to resource management in the even larger context of neoliberalism, which posits the market as the main tool for resource allocation (Mansfield 2004, 565). </w:t>
      </w:r>
      <w:r w:rsidRPr="000A3D5A">
        <w:rPr>
          <w:rStyle w:val="StyleUnderline"/>
        </w:rPr>
        <w:t>Rights-based management is an    attempt to "rationalize" fisheries. It accepts the neoclassical economic concept of rational behavior, in which individuals maximize individual profit</w:t>
      </w:r>
      <w:r w:rsidRPr="000A3D5A">
        <w:rPr>
          <w:u w:val="single"/>
        </w:rPr>
        <w:t xml:space="preserve"> </w:t>
      </w:r>
      <w:r w:rsidRPr="000A3D5A">
        <w:rPr>
          <w:rStyle w:val="NothingChar"/>
        </w:rPr>
        <w:t>and which sets up management structures that prevent the "tragedy of the commons" (p</w:t>
      </w:r>
      <w:r w:rsidRPr="000A3D5A">
        <w:t xml:space="preserve">. 567). New Zealand faced overfishing and responded by constructing a rights-based management structure. By the late 1970s New Zealand's inshore    fishery had become overcapitalized, and stocks of fish showed signsof severe depletion (Sharp 1997, 510). A Labor government took office    in 1984 and began to apply a neoliberal </w:t>
      </w:r>
      <w:r w:rsidRPr="000A3D5A">
        <w:rPr>
          <w:rStyle w:val="NothingChar"/>
        </w:rPr>
        <w:t>ideology to the whole of government and society, including the development of a rights-based approach to fisheries (Simons 2004, 3). The policy regime evolved into New Zealand's current quota management system, a rights-based system of    management with two key structural pillars: the total allowable catch and the individual transferable quota. The Ministry of Fisheries sets the total allowable</w:t>
      </w:r>
      <w:r w:rsidRPr="000A3D5A">
        <w:t xml:space="preserve"> catch each year through the use of information    from research and catch records (Batstone and Sharp 1999, 177-178).Individual quotas are transferable property rights allocated to fishers in the form of the right to harvest from stocks (Clark, Major, and    Mollett 1989, 131). Since 1990 an individual's quota right has beendefined by the government as a percentage of the total allowable catch (Batstone and Sharp 1999,179</w:t>
      </w:r>
      <w:r w:rsidRPr="000A3D5A">
        <w:rPr>
          <w:rStyle w:val="StyleUnderline"/>
        </w:rPr>
        <w:t>). Studies have shown that the privatization of rights to resources, typified by New Zealand's quota management system, in many instances results in the loss of informal institutions as well as greater poverty and differentiation in wealth</w:t>
      </w:r>
      <w:r w:rsidRPr="000A3D5A">
        <w:t xml:space="preserve">. Maria Fernandez-Gimenez illustratedthis dynamic in her study of Mongolian pastoral systems, in </w:t>
      </w:r>
      <w:r w:rsidRPr="000A3D5A">
        <w:rPr>
          <w:rStyle w:val="StyleUnderline"/>
        </w:rPr>
        <w:t>which the institutionalization of rights impacted the poorer segment of the society differentially</w:t>
      </w:r>
      <w:r w:rsidRPr="000A3D5A">
        <w:t xml:space="preserve"> (1999, 315, 338). Similarly, in Mexico marginal groups that often lacked the paper trail establishing their use of resources, necessary for claims in the initial distribution of privaterights, suffered from lack of access (Young 1999, 377).</w:t>
      </w:r>
    </w:p>
    <w:p w:rsidR="00C168E6" w:rsidRPr="000A3D5A" w:rsidRDefault="00C168E6" w:rsidP="00C168E6">
      <w:pPr>
        <w:pStyle w:val="Nothing"/>
      </w:pPr>
    </w:p>
    <w:p w:rsidR="00C168E6" w:rsidRPr="000A3D5A" w:rsidRDefault="00C168E6" w:rsidP="00C168E6">
      <w:pPr>
        <w:pStyle w:val="Heading4"/>
        <w:rPr>
          <w:rFonts w:cs="Times New Roman"/>
          <w:sz w:val="28"/>
        </w:rPr>
      </w:pPr>
      <w:r w:rsidRPr="000A3D5A">
        <w:rPr>
          <w:rFonts w:cs="Times New Roman"/>
          <w:sz w:val="28"/>
        </w:rPr>
        <w:t>And it locks in neoliberalism</w:t>
      </w:r>
    </w:p>
    <w:p w:rsidR="00C168E6" w:rsidRPr="000A3D5A" w:rsidRDefault="00C168E6" w:rsidP="00C168E6">
      <w:pPr>
        <w:pStyle w:val="Nothing"/>
        <w:rPr>
          <w:szCs w:val="20"/>
        </w:rPr>
      </w:pPr>
      <w:r w:rsidRPr="000A3D5A">
        <w:rPr>
          <w:rStyle w:val="Author-Date"/>
        </w:rPr>
        <w:t xml:space="preserve">Mansfield </w:t>
      </w:r>
      <w:r w:rsidRPr="000A3D5A">
        <w:t>(</w:t>
      </w:r>
      <w:r w:rsidRPr="000A3D5A">
        <w:rPr>
          <w:shd w:val="clear" w:color="auto" w:fill="FFFFFF"/>
        </w:rPr>
        <w:t>Professor of Geography @ OSU)</w:t>
      </w:r>
      <w:r w:rsidRPr="000A3D5A">
        <w:rPr>
          <w:rStyle w:val="Author-Date"/>
        </w:rPr>
        <w:t xml:space="preserve"> 4</w:t>
      </w:r>
    </w:p>
    <w:p w:rsidR="00C168E6" w:rsidRPr="000A3D5A" w:rsidRDefault="00C168E6" w:rsidP="00C168E6">
      <w:pPr>
        <w:pStyle w:val="Nothing"/>
      </w:pPr>
      <w:r w:rsidRPr="000A3D5A">
        <w:t>(Becky, Geoforum, Neoliberalism in the oceans: “rationalization,” property rights, and the commons question, Volume 35, Issue 3, May 2004, Pages 313–326)</w:t>
      </w:r>
    </w:p>
    <w:p w:rsidR="00C168E6" w:rsidRPr="000A3D5A" w:rsidRDefault="00C168E6" w:rsidP="00C168E6">
      <w:pPr>
        <w:pStyle w:val="Nothing"/>
      </w:pPr>
    </w:p>
    <w:p w:rsidR="00C168E6" w:rsidRPr="000A3D5A" w:rsidRDefault="00C168E6" w:rsidP="00C168E6">
      <w:pPr>
        <w:pStyle w:val="Cards"/>
        <w:ind w:left="0"/>
      </w:pPr>
      <w:r w:rsidRPr="000A3D5A">
        <w:t xml:space="preserve">It is in this sense that </w:t>
      </w:r>
      <w:r w:rsidRPr="000A3D5A">
        <w:rPr>
          <w:rStyle w:val="StyleUnderline"/>
        </w:rPr>
        <w:t>putting property at the center of fisheries problems is a neoliberal, market-based approach to ocean governance</w:t>
      </w:r>
      <w:r w:rsidRPr="000A3D5A">
        <w:t xml:space="preserve">. </w:t>
      </w:r>
      <w:r w:rsidRPr="000A3D5A">
        <w:rPr>
          <w:rStyle w:val="StyleUnderline"/>
        </w:rPr>
        <w:t>All the approaches</w:t>
      </w:r>
      <w:r w:rsidRPr="000A3D5A">
        <w:t xml:space="preserve"> discussed in this paper––</w:t>
      </w:r>
      <w:r w:rsidRPr="000A3D5A">
        <w:rPr>
          <w:rStyle w:val="StyleUnderline"/>
        </w:rPr>
        <w:t>whether private-, state-, or group-oriented––start from a particular economic logic that takes economic rationality</w:t>
      </w:r>
      <w:r w:rsidRPr="000A3D5A">
        <w:t xml:space="preserve"> (meaning individual profit maximization) </w:t>
      </w:r>
      <w:r w:rsidRPr="000A3D5A">
        <w:rPr>
          <w:rStyle w:val="StyleUnderline"/>
        </w:rPr>
        <w:t>as a given</w:t>
      </w:r>
      <w:r w:rsidRPr="000A3D5A">
        <w:t xml:space="preserve">. From this starting point, the problems in fisheries stem from the ways that open access regimes inherently create irrational incentives: incentives to overuse, to use inefficiently, to race for the resource, and so on. In this view, open access represents a market distortion: what should be rational economic behavior becomes distorted under open access so that outcomes are inefficient and environmentally destructive. The solution, then, must eliminate the market distortion. Government regulation, these theorists argue, cannot in itself do this; instead governments can assign property rights that allow the market itself to be the solution. </w:t>
      </w:r>
      <w:r w:rsidRPr="000A3D5A">
        <w:rPr>
          <w:rStyle w:val="StyleUnderline"/>
        </w:rPr>
        <w:t>From this neoliberal perspective, market incentives decrease capacity and increase efficiency</w:t>
      </w:r>
      <w:r w:rsidRPr="000A3D5A">
        <w:t xml:space="preserve"> as individuals or groups lease and sell privatized rights to fish; market incentives encourage conservation because each individual or group knows they can profit from the fish as much tomorrow as today, and thus they will fish more slowly and more carefully. Market incentives may also lead to overfishing when “mining” fish stocks makes economic sense, and they will also cause “a high degree of real pain” among those who are not the beneficiaries of privatization, but this, proponents argue, is inevitable and inexorable, and all in the name of the greater good (Christy, 1996, pp. 288, 297; see alsoHanna, 1999). </w:t>
      </w:r>
      <w:r w:rsidRPr="000A3D5A">
        <w:rPr>
          <w:rStyle w:val="StyleUnderline"/>
        </w:rPr>
        <w:t>Property rights are at the center of a massive change in the political economy of the oceans around neoliberal, market-based socio-environmental policies that enclose for a few what was once the property of all</w:t>
      </w:r>
      <w:r w:rsidRPr="000A3D5A">
        <w:t>. Neoliberalism in the oceans takes a particular form and has its own history and timeline based on the ways that, for the last 50 years, fisheries analysts have structured regulation debates around the question of the commons and rationalization of the oceans.</w:t>
      </w:r>
    </w:p>
    <w:p w:rsidR="00C168E6" w:rsidRPr="000A3D5A" w:rsidRDefault="00C168E6" w:rsidP="00C168E6"/>
    <w:p w:rsidR="00C168E6" w:rsidRPr="000A3D5A" w:rsidRDefault="00C168E6" w:rsidP="00C168E6">
      <w:pPr>
        <w:pStyle w:val="Heading4"/>
        <w:rPr>
          <w:rFonts w:cs="Times New Roman"/>
          <w:sz w:val="28"/>
        </w:rPr>
      </w:pPr>
      <w:r w:rsidRPr="000A3D5A">
        <w:rPr>
          <w:rFonts w:cs="Times New Roman"/>
          <w:sz w:val="28"/>
        </w:rPr>
        <w:t xml:space="preserve">Fisheries science exists only to further capitalist accumulation and cannot understand fishers as anything but detached economic subjects. </w:t>
      </w:r>
    </w:p>
    <w:p w:rsidR="00C168E6" w:rsidRPr="000A3D5A" w:rsidRDefault="00C168E6" w:rsidP="00C168E6">
      <w:pPr>
        <w:rPr>
          <w:rStyle w:val="Style13ptBold"/>
          <w:rFonts w:eastAsiaTheme="majorEastAsia" w:cstheme="majorBidi"/>
          <w:b w:val="0"/>
          <w:iCs/>
        </w:rPr>
      </w:pPr>
      <w:r w:rsidRPr="000A3D5A">
        <w:rPr>
          <w:rStyle w:val="Style13ptBold"/>
          <w:sz w:val="28"/>
        </w:rPr>
        <w:t>St. Martin 5</w:t>
      </w:r>
    </w:p>
    <w:p w:rsidR="00C168E6" w:rsidRPr="000A3D5A" w:rsidRDefault="00C168E6" w:rsidP="00C168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A3D5A">
        <w:t>(Rutgers, Department of Geography)</w:t>
      </w:r>
    </w:p>
    <w:p w:rsidR="00C168E6" w:rsidRPr="000A3D5A" w:rsidRDefault="00C168E6" w:rsidP="00C168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A3D5A">
        <w:t xml:space="preserve">(K. “Mapping Economic Diversity in the First World: The Case of Fisheries,” </w:t>
      </w:r>
      <w:r w:rsidRPr="000A3D5A">
        <w:rPr>
          <w:i/>
        </w:rPr>
        <w:t>Environment and Planning A</w:t>
      </w:r>
      <w:r w:rsidRPr="000A3D5A">
        <w:t xml:space="preserve"> 37: 959-979)</w:t>
      </w:r>
    </w:p>
    <w:p w:rsidR="00C168E6" w:rsidRPr="000A3D5A" w:rsidRDefault="00C168E6" w:rsidP="00C168E6">
      <w:pPr>
        <w:pStyle w:val="Cards"/>
      </w:pPr>
    </w:p>
    <w:p w:rsidR="00C168E6" w:rsidRPr="000A3D5A" w:rsidRDefault="00C168E6" w:rsidP="00C168E6">
      <w:pPr>
        <w:pStyle w:val="Cards"/>
        <w:ind w:left="0"/>
      </w:pPr>
      <w:r w:rsidRPr="000A3D5A">
        <w:t xml:space="preserve">Fisheries scientific discourse emerged during the first half of the twentieth century and  became widely institutionalized in the post-war era (Cushing, 1988; Smith, 1994); today it is widely performed at all scales of economy (Garcia et al., 1999; Gulland, 1984). While </w:t>
      </w:r>
      <w:r w:rsidRPr="000A3D5A">
        <w:rPr>
          <w:rStyle w:val="StyleUnderline"/>
        </w:rPr>
        <w:t>the scientific discourse of fisheries is but one of many discourses that continually produce and reify the dominant global binary</w:t>
      </w:r>
      <w:r w:rsidRPr="000A3D5A">
        <w:t>, it illustrates well the deeply embedded nature and extensive institutionalization of a binary world where the first world or center of economic development is ruled by capitalism and the third world or periphery into which capitalism is moving (albeit unevenly) remains not fully capitalist.  Before turning to the particulars of fisheries scientific discourse, it is worth noting that fisheries themselves have served and continue to serve a symbolic function within economic debate. During the nineteenth century they were central to debates ending customary rights to access of resources and bounty laws protecting particular industries (O’Leary, 1996; Thompson, 1983). Repealing such rights/laws was part of a general insistence upon a laissez -faire approach to economy. In the case of fisheries, however</w:t>
      </w:r>
      <w:r w:rsidRPr="000A3D5A">
        <w:rPr>
          <w:rStyle w:val="NothingChar"/>
        </w:rPr>
        <w:t>, there were not yet developed systems (e.g. legal, scientific, cartographic) that might make enclosure and privatization of this marine resource possible</w:t>
      </w:r>
      <w:r w:rsidRPr="000A3D5A">
        <w:rPr>
          <w:u w:val="single"/>
        </w:rPr>
        <w:t>.</w:t>
      </w:r>
      <w:r w:rsidRPr="000A3D5A">
        <w:t xml:space="preserve"> The development of such technologies was to take several more decades and their institution/implementation even longer. As a result, most fisheries are not yet fully privatized in terms of access to the resource and, therefore, continue to play the role of a flawed industry, a system based on common property and a share system of compensation (as opposed to wages) that can only result in an eventual tragedy. The common-property-and-its-enclosure story is, of course, reminiscent of the origins of capitalism and debating it continues to serve as an origination and capitalist legitimating myth (and counter-myth of the benefits of common property). The story of fisheries is the story of economic transformation from pre-capitalism to a fully realized capitalism.  Fish as Capital, Fisheries as Capitalist  During the formative years of fisheries science one can trace within the seminal texts of  the discourse the evolution of a compatibility with capitalism and the production of a space for  its enactment (St. Martin, 1999). Like much of modern science, </w:t>
      </w:r>
      <w:r w:rsidRPr="000A3D5A">
        <w:rPr>
          <w:rStyle w:val="StyleUnderline"/>
        </w:rPr>
        <w:t>fisheries science grew out of the  needs of the industrial revolution to understand and inscribe natural resources as inputs into  production</w:t>
      </w:r>
      <w:r w:rsidRPr="000A3D5A">
        <w:t xml:space="preserve">. </w:t>
      </w:r>
      <w:r w:rsidRPr="000A3D5A">
        <w:rPr>
          <w:rStyle w:val="StyleUnderline"/>
        </w:rPr>
        <w:t>Supported from the beginning by industry,</w:t>
      </w:r>
      <w:r w:rsidRPr="000A3D5A">
        <w:rPr>
          <w:u w:val="single"/>
        </w:rPr>
        <w:t xml:space="preserve"> </w:t>
      </w:r>
      <w:r w:rsidRPr="000A3D5A">
        <w:rPr>
          <w:rStyle w:val="NothingChar"/>
        </w:rPr>
        <w:t>either directly through industrial funding  of research or indirectly through industry lobbying of government to fund research</w:t>
      </w:r>
      <w:r w:rsidRPr="000A3D5A">
        <w:rPr>
          <w:rStyle w:val="StyleUnderline"/>
        </w:rPr>
        <w:t>, fisheries  science sought to make clear the relationships between fish populations, the environment, and  the potentials for industrial harvest</w:t>
      </w:r>
      <w:r w:rsidRPr="000A3D5A">
        <w:t xml:space="preserve"> (Smith, 1994). Large-scale fishing enterprises (part those of England and New England that emerged in the 19</w:t>
      </w:r>
      <w:r w:rsidRPr="000A3D5A">
        <w:rPr>
          <w:vertAlign w:val="superscript"/>
        </w:rPr>
        <w:t>th</w:t>
      </w:r>
      <w:r w:rsidRPr="000A3D5A">
        <w:t xml:space="preserve"> century) were searching ever more  distant waters of the North Atlantic for a constant and/or predictable supply of fish.  The demands of an industry facing rising costs and declining catches due to distance served to focus fisheries science on quantitative understandings of individual fish species and their relationship to fishing effort (Cushing, 1988). This understanding of nature and society was markedly different than initial (pre-industrial) understandings of fisheries that were grounded in the experiences of individual fishers and a conception of environmental determination of fish populations. In addition, early fisheries science relied upon essentially qualitative methods of research that included interviewing fishers and mapping fishing grounds (Smith, 1994). </w:t>
      </w:r>
      <w:r w:rsidRPr="000A3D5A">
        <w:rPr>
          <w:rStyle w:val="NothingChar"/>
        </w:rPr>
        <w:t>The demands of industry, however, resulted in</w:t>
      </w:r>
      <w:r w:rsidRPr="000A3D5A">
        <w:rPr>
          <w:u w:val="single"/>
        </w:rPr>
        <w:t xml:space="preserve"> </w:t>
      </w:r>
      <w:r w:rsidRPr="000A3D5A">
        <w:rPr>
          <w:rStyle w:val="StyleUnderline"/>
        </w:rPr>
        <w:t xml:space="preserve">the development of key understandings of fisheries and new methods for knowing them </w:t>
      </w:r>
      <w:r w:rsidRPr="000A3D5A">
        <w:rPr>
          <w:rStyle w:val="NothingChar"/>
        </w:rPr>
        <w:t xml:space="preserve">that </w:t>
      </w:r>
      <w:r w:rsidRPr="000A3D5A">
        <w:rPr>
          <w:rStyle w:val="StyleUnderline"/>
        </w:rPr>
        <w:t>were continuous with the interests of capitalism</w:t>
      </w:r>
      <w:r w:rsidRPr="000A3D5A">
        <w:t xml:space="preserve">.  </w:t>
      </w:r>
      <w:r w:rsidRPr="000A3D5A">
        <w:rPr>
          <w:rStyle w:val="StyleUnderline"/>
        </w:rPr>
        <w:t>The desire to quantify, to constitute fisheries resources as stocks of individual species, was translated into a basic ontological understanding of fishers’ subjectivity and space</w:t>
      </w:r>
      <w:r w:rsidRPr="000A3D5A">
        <w:t xml:space="preserve">. Fishers, once local informants intimately connected to the environment, were now thought of strictly in terms of aggregated and quantified effort. </w:t>
      </w:r>
      <w:r w:rsidRPr="000A3D5A">
        <w:rPr>
          <w:rStyle w:val="StyleUnderline"/>
        </w:rPr>
        <w:t>The space of fishing, once mapped as a heterogeneous landscape of fishing grounds and a variable environment, became an abstract and gridded space for the statistical sampling of fish populations</w:t>
      </w:r>
      <w:r w:rsidRPr="000A3D5A">
        <w:t xml:space="preserve">. Fish mortality, recruitment, and fishing effort could then be modeled as variables in an equation, a general version of which was published in 1931 (i.e. Russell 1931) and is often cited ever since as a milestone in fisheries science.  Like simple economic input/output models, the parameters of Russell’s model of fish stocks can be quantified and used for assessment and prediction, and his insights would become foundational (Smith, 1994). The basic equation  S2 = S1 + (A + G) – (C + M)  expressed stocks in terms of their total weight at the beginning of the year (S1) and at the end of the year (S2). The factors that determine change from S1 to S2 are A (fish large enough to catch or recruitment), G (increase due to growth), C (fish captured by the fishing industry), and M (fish that have died due to natural mortality). These variables exist within some region that has been statistically sampled using a regular reference grid to determine quantities and size by species.  This basic approach to defining and knowing fisheries is utilized with little change to this day (Cushing, 1977; NRC, 1998; Pierce and Hugl, 1979). And, today as then, the equilibrium nature of the equation leaves little room for variables other than fishing effort (e.g. pollution or climate) to be the cause of change (Caddy, 1996; Wilson et al., 1994).  </w:t>
      </w:r>
      <w:r w:rsidRPr="000A3D5A">
        <w:rPr>
          <w:rStyle w:val="StyleUnderline"/>
        </w:rPr>
        <w:t>The relationship to capitalism is clear insofar as this sort of modeling was a response to the needs of industry to predict quantities of fish by species and to do so across a space conceived of by all as the container of resources</w:t>
      </w:r>
      <w:r w:rsidRPr="000A3D5A">
        <w:rPr>
          <w:u w:val="single"/>
        </w:rPr>
        <w:t>.</w:t>
      </w:r>
      <w:r w:rsidRPr="000A3D5A">
        <w:t xml:space="preserve"> Russell’s equation, however, belies a discursive similarity between a particular understanding of fisheries biology and that of the economy. That is, </w:t>
      </w:r>
      <w:r w:rsidRPr="000A3D5A">
        <w:rPr>
          <w:rStyle w:val="StyleUnderline"/>
        </w:rPr>
        <w:t>calculating fishery abundance is, as Russell himself states, analogous to calculating the profits of a corporation</w:t>
      </w:r>
      <w:r w:rsidRPr="000A3D5A">
        <w:t xml:space="preserve">.  Coming back now to our starting point, we may say that the formula stated...  represents a balance-sheet. We start with a working capital S1; to this is added in the course of a year (A + G), and from it is taken away (C + M). At the end of the year our working capital is S2, which will be greater than, equal to, or less than S1, according as income (A + G) has exceeded, equaled or fallen below expenditure (C + M). S2 is what is carried over as capital from one year to the next (p. 9).  The numerical/mathematical approach championed by Russell is shaped and influenced by the history of fisheries science and its foundational connections with industry. The metaphor of a balance sheet reveals a conceptual continuity; it assumes that the entire stock can be bounded and inventoried, that control and ownership over it is centralized or individual (see also Scott, 1955, 1957), and that the stock of fish is working capital to be at least maintained and preferably maximized. In addition, the point of financial balance is equated with the point of ecological equilibrium; to be out of financial balance would constitute a state of either over or under fishing, biological measures of carrying capacity. Finally, </w:t>
      </w:r>
      <w:r w:rsidRPr="000A3D5A">
        <w:rPr>
          <w:rStyle w:val="StyleUnderline"/>
        </w:rPr>
        <w:t>the metaphor of a balance sheet implies that control over fisheries is possible.</w:t>
      </w:r>
      <w:r w:rsidRPr="000A3D5A">
        <w:t xml:space="preserve">  By the 1930s the ontological ground for fisheries science (in terms of fish, fishing effort/fishermen, and space) is clearly established and expressed in a quantitative language of rational use that, no doubt, sounded familiar to industrialists. In this conceptualization, fishing effort was the sole determinant of change in fish populations enumerated within an abstract space. The rate and direction of change due to fishing effort remained, however, un-theorized and therefore troublesome to industry. While fishing effort explained change, what explained fishing effort?  Later that decade Graham (1939) offered a unifying theory of fisheries that would explain the reasons for increases in fish catch and their subsequent decline. More importantly, he would also explain how there was an optimal level of harvest that would match recruitment such that a maximum sustainable yield (MSY) could be predicted and established. This point of MSY could be calculated by fisheries scientists who saw it as an elegant and indisputable natural law.  [T]he theory that has emerged is so simple and in consonance with so many known facts that it is fair to think of it as a natural law that serves to summarize observations, rather than as a product of scientific imagination (p. 17).  Graham’s article is often cited as the moment when fisheries science was established as a discipline, when its central legitimating model and logic were coherently summarized (Smith, 1994). </w:t>
      </w:r>
      <w:r w:rsidRPr="000A3D5A">
        <w:rPr>
          <w:rStyle w:val="StyleUnderline"/>
        </w:rPr>
        <w:t>The celebrated moment of academic cohesion was also the moment when fisheries science could finally declare its usefulness to industry as the holders of the remedy for overfishing</w:t>
      </w:r>
      <w:r w:rsidRPr="000A3D5A">
        <w:rPr>
          <w:u w:val="single"/>
        </w:rPr>
        <w:t>.</w:t>
      </w:r>
      <w:r w:rsidRPr="000A3D5A">
        <w:t xml:space="preserve">  Given up-to-date and adequate estimates of growth-rate, mortality and rate of fishing, we can at any time detect overfishing. If the fisheries are to continue, we may be sure that sooner or later the remedy for overfishing will be called for. We may all agree that it would be better sooner than later (p. 20).  </w:t>
      </w:r>
    </w:p>
    <w:p w:rsidR="00C168E6" w:rsidRPr="000A3D5A" w:rsidRDefault="00C168E6" w:rsidP="00C168E6">
      <w:pPr>
        <w:pStyle w:val="Heading4"/>
        <w:rPr>
          <w:rFonts w:cs="Times New Roman"/>
          <w:sz w:val="28"/>
        </w:rPr>
      </w:pPr>
      <w:r w:rsidRPr="000A3D5A">
        <w:rPr>
          <w:rFonts w:cs="Times New Roman"/>
          <w:sz w:val="28"/>
        </w:rPr>
        <w:t>Economic fisheries management locks in neoliberalism and ensures flawed knowledge production</w:t>
      </w:r>
    </w:p>
    <w:p w:rsidR="00C168E6" w:rsidRPr="000A3D5A" w:rsidRDefault="00C168E6" w:rsidP="00C168E6">
      <w:pPr>
        <w:rPr>
          <w:rStyle w:val="Style13ptBold"/>
          <w:rFonts w:eastAsiaTheme="majorEastAsia" w:cstheme="majorBidi"/>
          <w:b w:val="0"/>
          <w:iCs/>
        </w:rPr>
      </w:pPr>
      <w:r w:rsidRPr="000A3D5A">
        <w:rPr>
          <w:rStyle w:val="Style13ptBold"/>
          <w:sz w:val="28"/>
        </w:rPr>
        <w:t>St. Martin 6</w:t>
      </w:r>
    </w:p>
    <w:p w:rsidR="00C168E6" w:rsidRPr="000A3D5A" w:rsidRDefault="00C168E6" w:rsidP="00C168E6">
      <w:r w:rsidRPr="000A3D5A">
        <w:t xml:space="preserve"> (Rutgers, Department of Geography)</w:t>
      </w:r>
    </w:p>
    <w:p w:rsidR="00C168E6" w:rsidRPr="000A3D5A" w:rsidRDefault="00C168E6" w:rsidP="00C168E6">
      <w:r w:rsidRPr="000A3D5A">
        <w:t xml:space="preserve">(K. “The Impact of ‘Community’ on Fisheries Management in the U.S. Northeast,” </w:t>
      </w:r>
      <w:r w:rsidRPr="000A3D5A">
        <w:rPr>
          <w:i/>
        </w:rPr>
        <w:t>Geoforum</w:t>
      </w:r>
      <w:r w:rsidRPr="000A3D5A">
        <w:t xml:space="preserve"> 37(2) 169-184)</w:t>
      </w:r>
    </w:p>
    <w:p w:rsidR="00C168E6" w:rsidRPr="000A3D5A" w:rsidRDefault="00C168E6" w:rsidP="00C168E6"/>
    <w:p w:rsidR="00C168E6" w:rsidRPr="000A3D5A" w:rsidRDefault="00C168E6" w:rsidP="00C168E6">
      <w:pPr>
        <w:pStyle w:val="Cards"/>
        <w:ind w:left="0"/>
        <w:rPr>
          <w:b/>
          <w:sz w:val="24"/>
          <w:u w:val="thick"/>
        </w:rPr>
      </w:pPr>
      <w:r w:rsidRPr="000A3D5A">
        <w:t xml:space="preserve">There is a dominant bioeconomic discourse of fisheries science and management that has  been instituted in research, branches of government, and regional fisheries management councils  in the U.S. during the last quarter of the twentieth century (on its origins and history see Cushing  1988; Smith 1994). The goal of this discourse is to produce a neoclassical understanding of  fisheries that would be instrumental in the technocratic management of fisheries resources  (Cushing 1977; Smith 1998). Fisheries bioeconomics, despite common perceptions of fishing as exceptional economically and/or culturally, implements the same essential economic subject and  conception of space found within neoclassical economics and its representations of the  hegemonic capitalist economy. </w:t>
      </w:r>
      <w:r w:rsidRPr="000A3D5A">
        <w:rPr>
          <w:rStyle w:val="StyleUnderline"/>
        </w:rPr>
        <w:t>The discipline of bioeconomics attempts to enclose fisheries  within the discursive space of the economy proper, to capture it within standard neoclassical assumptions of subjectivity and space</w:t>
      </w:r>
      <w:r w:rsidRPr="000A3D5A">
        <w:t>. In so doing</w:t>
      </w:r>
      <w:r w:rsidRPr="000A3D5A">
        <w:rPr>
          <w:rStyle w:val="StyleUnderline"/>
        </w:rPr>
        <w:t>, fisheries are reduced to a function of utility, to the behavior of individual fishermen, and community, culture, and other related processes are banished from the space of the economy.</w:t>
      </w:r>
      <w:r w:rsidRPr="000A3D5A">
        <w:t xml:space="preserve"> This section explores this process of discursive enclosure and resulting alterity; it examines the process by which fisheries are constituted in terms of a narrow definition of economy and other possibilities are silenced or made distant.  ENCLOSING </w:t>
      </w:r>
      <w:r w:rsidRPr="000A3D5A">
        <w:rPr>
          <w:rStyle w:val="NothingChar"/>
        </w:rPr>
        <w:t>ECONOMIC SPACE3</w:t>
      </w:r>
      <w:r w:rsidRPr="000A3D5A">
        <w:rPr>
          <w:rStyle w:val="StyleUnderline"/>
        </w:rPr>
        <w:t xml:space="preserve">  The discursive enclosure of fisheries is intertwined with a desire to literally enclose  fisheries as transferable property rather than the technically open access resource that it is now</w:t>
      </w:r>
      <w:r w:rsidRPr="000A3D5A">
        <w:t xml:space="preserve">  (Charles 1988; Eckert 1979; Keen 1988; Scott 1988; van der Berg 2000). Indeed, the uniqueness of bioeconomics relative to standard neoclassical resource economics revolves around the  absence of property rights in fisheries. </w:t>
      </w:r>
      <w:r w:rsidRPr="000A3D5A">
        <w:rPr>
          <w:rStyle w:val="StyleUnderline"/>
        </w:rPr>
        <w:t>This absence suggests a need to discipline fisheries and to  produce a modern-day enclosure of the commons</w:t>
      </w:r>
      <w:r w:rsidRPr="000A3D5A">
        <w:t xml:space="preserve"> (Apostle et al. 2002). Without such property rights and relations modern industrialized fisheries remain not-fully-developed and, without  some intervention or exogenous management, will inevitably suffer a “tragedy of the commons”  (Hardin 1968). Hardin’s article, although concerned with population growth, was partly inspired  by the work of fisheries economists during the two previous decades (McEvoy 1986). In  particular, the work of H. Scott Gordon, cited by many as the founder of fisheries economics  (Smith 1994), foreshadows Hardin. While there are extensive disputations, commentaries, and  discussion of the Gordon-Hardin model, I am here interested in how this model at once inscribes  fisheries as deviant yet captures fisheries and sees it as within the same economic space and  3  The term “economic space” refers to the discursive domain that is claimed by economics. This space is bounded such that beyond the boundary is t</w:t>
      </w:r>
      <w:r w:rsidRPr="000A3D5A">
        <w:rPr>
          <w:rStyle w:val="NothingChar"/>
        </w:rPr>
        <w:t xml:space="preserve">he location of any economic others. Where space is discussed without the modifier “economic” the reader should assume a geographic space (e.g. the space of fishing). The sometimes blurred distinction between these spaces is seen here as unavoidable.  5 within the same disciplinary understanding of economy found in descriptions of the hegemonic/capitalist non-fishing economy.  While the Gordon-Hardin model points to the flaw inherent in common property, it can do so only by speaking of fisheries (or other common property regimes) as already within the space of a marketized and capitalist economy. The model suggests an ontological frame by which to know and understand fisheries; a frame built upon a particular economic subject and a particular notion of an economic space, familiar neoclassical representations of the economy generally (also see Kirby 1996 on the mutual constitution of subject and space). </w:t>
      </w:r>
      <w:r w:rsidRPr="000A3D5A">
        <w:rPr>
          <w:rStyle w:val="StyleUnderline"/>
        </w:rPr>
        <w:t>The subject in fisheries bioeconomics is the fisherman who is equivalent to the utility seeking economic man of neoclassical economics</w:t>
      </w:r>
      <w:r w:rsidRPr="000A3D5A">
        <w:t xml:space="preserve">. In addition, </w:t>
      </w:r>
      <w:r w:rsidRPr="000A3D5A">
        <w:rPr>
          <w:rStyle w:val="StyleUnderline"/>
        </w:rPr>
        <w:t>the corresponding space of fishing is a container of objectified and available-for-appropriation resources; this is the Cartesian space that serves as the template for capitalism</w:t>
      </w:r>
      <w:r w:rsidRPr="000A3D5A">
        <w:t xml:space="preserve"> (cf. Boelhower 1988). </w:t>
      </w:r>
      <w:r w:rsidRPr="000A3D5A">
        <w:rPr>
          <w:rStyle w:val="StyleUnderline"/>
        </w:rPr>
        <w:t>Subject and space combine such that fishermen are individual, mobile, and competitive utility maximizers who work within and throughout an abstract statistical space containing quantities of fish</w:t>
      </w:r>
      <w:r w:rsidRPr="000A3D5A">
        <w:t xml:space="preserve"> (St. Martin 2001). </w:t>
      </w:r>
      <w:r w:rsidRPr="000A3D5A">
        <w:rPr>
          <w:rStyle w:val="NothingChar"/>
        </w:rPr>
        <w:t>Where in this space they might go, with whom, and from which port are irrelevant considerations relative to the enumeration and aggregation of fish and fishing effort across space. The economic space constructed and governed by a single economic calculus is dependent upon the reification of these particular ontological elements.  That such an economic understanding of fisheries would emerge is not surprising given the economic-like language and the centralit</w:t>
      </w:r>
      <w:r w:rsidRPr="000A3D5A">
        <w:t xml:space="preserve">y of equilibrium modeling in early fisheries biology.  </w:t>
      </w:r>
      <w:r w:rsidRPr="000A3D5A">
        <w:rPr>
          <w:rStyle w:val="NothingChar"/>
        </w:rPr>
        <w:t>What is interesting, however, is the degree to which this particular economic discourse with its attendant ontology of fishermen and resources becomes foundational for understanding fisheries across a variety of institutions.</w:t>
      </w:r>
      <w:r w:rsidRPr="000A3D5A">
        <w:t xml:space="preserve"> </w:t>
      </w:r>
      <w:r w:rsidRPr="000A3D5A">
        <w:rPr>
          <w:rStyle w:val="StyleUnderline"/>
        </w:rPr>
        <w:t>Academic, governmental, and international organizations have all adopted this vision of fisheries and have designed data collection initiatives, performed scientific analyses, and developed management strategies based upon it.</w:t>
      </w:r>
      <w:r w:rsidRPr="000A3D5A">
        <w:t xml:space="preserve"> The basic elements of this singular fishing economy have been identified and are made knowable though a variety of practices and performances</w:t>
      </w:r>
      <w:r w:rsidRPr="000A3D5A">
        <w:rPr>
          <w:rStyle w:val="NothingChar"/>
        </w:rPr>
        <w:t>; the fishing economy, stripped bare of other processes, becomes obvious, natural, and uncontestable. Other processes such as those of culture, society, or community are decidedly outside of this narrowly drawn economy of fisheries.  An important aspect of this economic vision of fishing is the necessarily developmentalist nature of fisheries interventions. The loss of economic rent due to a deficiency in property relations is a deficiency relative to modern forms of private property and capitalist</w:t>
      </w:r>
      <w:r w:rsidRPr="000A3D5A">
        <w:t xml:space="preserve"> relations generally. Fisheries, by virtue of their common property nature (whether open access or otherwise) are seen as pre-capitalist or not-yet-fully capitalist economies that are necessarily less efficient and productive than fully capitalist economies. The former can only aspire to the latter through the advent of private property relations or management schemes that simulate such relations (cf. The Ecologist 1999; Escobar 1995; Shiva 1990; Yapa 1991). Given the ontological assumptions outlined above, the singular economy of fisheries is predestined to mirror an equally singular capitalist economy that, once implemented vis-à-vis private property institutions, will solve the problems of fishing both in terms of dissipated rent and environmental degradation.  </w:t>
      </w:r>
      <w:r w:rsidRPr="000A3D5A">
        <w:rPr>
          <w:rStyle w:val="StyleUnderline"/>
        </w:rPr>
        <w:t>The dominant discourse of fisheries</w:t>
      </w:r>
      <w:r w:rsidRPr="000A3D5A">
        <w:rPr>
          <w:rStyle w:val="NothingChar"/>
        </w:rPr>
        <w:t>, then,</w:t>
      </w:r>
      <w:r w:rsidRPr="000A3D5A">
        <w:t xml:space="preserve"> </w:t>
      </w:r>
      <w:r w:rsidRPr="000A3D5A">
        <w:rPr>
          <w:rStyle w:val="StyleUnderline"/>
        </w:rPr>
        <w:t>inscribes a particular economy and economic future as the fundamental understanding and way of knowing fisheries</w:t>
      </w:r>
      <w:r w:rsidRPr="000A3D5A">
        <w:t xml:space="preserve">. </w:t>
      </w:r>
      <w:r w:rsidRPr="000A3D5A">
        <w:rPr>
          <w:rStyle w:val="NothingChar"/>
        </w:rPr>
        <w:t>The discourse of bioeconomics produces a bounded economic space, it encloses a particular notion of subjectivity and space such that the retention of an open access regime of property will inevitably result in tragedy.</w:t>
      </w:r>
      <w:r w:rsidRPr="000A3D5A">
        <w:t xml:space="preserve"> </w:t>
      </w:r>
      <w:r w:rsidRPr="000A3D5A">
        <w:rPr>
          <w:rStyle w:val="StyleUnderline"/>
        </w:rPr>
        <w:t>The subject and space produced also suggest a single route to a non-tragic future that involves the literal enclosure and privatization of fisheries resources.</w:t>
      </w:r>
      <w:r w:rsidRPr="000A3D5A">
        <w:t xml:space="preserve"> </w:t>
      </w:r>
      <w:r w:rsidRPr="000A3D5A">
        <w:rPr>
          <w:rStyle w:val="NothingChar"/>
        </w:rPr>
        <w:t>As with past enclosures of common property,</w:t>
      </w:r>
      <w:r w:rsidRPr="000A3D5A">
        <w:t xml:space="preserve"> </w:t>
      </w:r>
      <w:r w:rsidRPr="000A3D5A">
        <w:rPr>
          <w:rStyle w:val="StyleUnderline"/>
        </w:rPr>
        <w:t>the discursive enclosure clears communities and their associated social/cultural relations form the domain of economy and produces a resource open to discursive and literal appropriation.</w:t>
      </w:r>
    </w:p>
    <w:p w:rsidR="00C168E6" w:rsidRPr="000A3D5A" w:rsidRDefault="00C168E6" w:rsidP="00C168E6">
      <w:pPr>
        <w:pStyle w:val="Heading4"/>
        <w:rPr>
          <w:rFonts w:cs="Times New Roman"/>
          <w:sz w:val="28"/>
        </w:rPr>
      </w:pPr>
      <w:r w:rsidRPr="000A3D5A">
        <w:rPr>
          <w:rFonts w:cs="Times New Roman"/>
          <w:sz w:val="28"/>
        </w:rPr>
        <w:t xml:space="preserve">Their science reduces all life to economic inputs </w:t>
      </w:r>
    </w:p>
    <w:p w:rsidR="00C168E6" w:rsidRPr="000A3D5A" w:rsidRDefault="00C168E6" w:rsidP="00C168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A3D5A">
        <w:rPr>
          <w:rStyle w:val="Style13ptBold"/>
          <w:sz w:val="28"/>
        </w:rPr>
        <w:t>St. Martin</w:t>
      </w:r>
      <w:r w:rsidRPr="000A3D5A">
        <w:t xml:space="preserve"> (Rutgers, Department of Geography) </w:t>
      </w:r>
      <w:r w:rsidRPr="000A3D5A">
        <w:rPr>
          <w:rStyle w:val="Style13ptBold"/>
          <w:sz w:val="28"/>
        </w:rPr>
        <w:t>6</w:t>
      </w:r>
    </w:p>
    <w:p w:rsidR="00C168E6" w:rsidRPr="000A3D5A" w:rsidRDefault="00C168E6" w:rsidP="00C168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A3D5A">
        <w:t xml:space="preserve">(K. “The Impact of ‘Community’ on Fisheries Management in the U.S. Northeast,” </w:t>
      </w:r>
      <w:r w:rsidRPr="000A3D5A">
        <w:rPr>
          <w:i/>
        </w:rPr>
        <w:t>Geoforum</w:t>
      </w:r>
      <w:r w:rsidRPr="000A3D5A">
        <w:t xml:space="preserve"> 37(2) 169-184)</w:t>
      </w:r>
    </w:p>
    <w:p w:rsidR="00C168E6" w:rsidRPr="000A3D5A" w:rsidRDefault="00C168E6" w:rsidP="00C168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4"/>
        </w:rPr>
      </w:pPr>
    </w:p>
    <w:p w:rsidR="00C168E6" w:rsidRPr="000A3D5A" w:rsidRDefault="00C168E6" w:rsidP="00C168E6">
      <w:pPr>
        <w:pStyle w:val="Cards"/>
        <w:ind w:left="0"/>
      </w:pPr>
      <w:r w:rsidRPr="000A3D5A">
        <w:t xml:space="preserve">Curiously, reading bioeconomics one does not easily find individual “fishermen” despite their centrality in the discourse. </w:t>
      </w:r>
      <w:r w:rsidRPr="000A3D5A">
        <w:rPr>
          <w:rStyle w:val="StyleUnderline"/>
        </w:rPr>
        <w:t>Rather one finds an aggregated “fishing effort” which is the outcome of the utility maximizing behavior of individual abstract economic (fisher)men</w:t>
      </w:r>
      <w:r w:rsidRPr="000A3D5A">
        <w:t xml:space="preserve"> (e.g.  Anderson 1986; Clark 1985). Fishing effort is an essential variable in the economy of fisheries; it is the variable most responsible for mortality rates of fish and the variable that must be technocratically controlled such that fish populations can recover (from a state of overfishing) or be sustained (given the propensity for fishermen to always increase effort on an open access commons). </w:t>
      </w:r>
      <w:r w:rsidRPr="000A3D5A">
        <w:rPr>
          <w:rStyle w:val="StyleUnderline"/>
        </w:rPr>
        <w:t>The essential economy of fisheries revolves around fishing effort and the solution to fisheries problems revolves around its control.</w:t>
      </w:r>
      <w:r w:rsidRPr="000A3D5A">
        <w:t xml:space="preserve">  Fishing effort, as the product of aggregated individual behavior, is, quite literally,  distributed across the space of the economy, the demarcated spaces of various science and  management regimes (e.g. any number of spaces that correspond to statistical areas for scientific  assessment and, often, technical management). The distributed nature of fishermen (cf. Amariglio and Ruccio 2001), as fishing effort, works to erase individual and unique fishers in all  their fullness and complexity; fishermen, individual yet originating nowhere, are thus unconstrained by culture or community. In addition, </w:t>
      </w:r>
      <w:r w:rsidRPr="000A3D5A">
        <w:rPr>
          <w:rStyle w:val="StyleUnderline"/>
        </w:rPr>
        <w:t>the even distribution of effort across space erases the unique places within which and through which fishers might work and live; the space of fishing, understood to be everywhere subject to fishing effort</w:t>
      </w:r>
      <w:r w:rsidRPr="000A3D5A">
        <w:t xml:space="preserve"> (or other essential quantities), is devoid of any trace of community or community territory. </w:t>
      </w:r>
      <w:r w:rsidRPr="000A3D5A">
        <w:rPr>
          <w:rStyle w:val="StyleUnderline"/>
        </w:rPr>
        <w:t>Institutionalized practices of data collection and analyses in these terms act to reify the essential ontology of fishing and produces a silence relative to community.</w:t>
      </w:r>
      <w:r w:rsidRPr="000A3D5A">
        <w:t xml:space="preserve"> What can be said about community if all fishing effort originates from nowhere and is distributed across the entire scientific/management space?   </w:t>
      </w:r>
    </w:p>
    <w:p w:rsidR="00C168E6" w:rsidRPr="000A3D5A" w:rsidRDefault="00C168E6" w:rsidP="00C168E6"/>
    <w:p w:rsidR="00C168E6" w:rsidRPr="000A3D5A" w:rsidRDefault="00C168E6" w:rsidP="00C168E6">
      <w:pPr>
        <w:pStyle w:val="Heading4"/>
        <w:rPr>
          <w:rFonts w:cs="Times New Roman"/>
          <w:sz w:val="28"/>
        </w:rPr>
      </w:pPr>
      <w:r w:rsidRPr="000A3D5A">
        <w:rPr>
          <w:rFonts w:cs="Times New Roman"/>
          <w:sz w:val="28"/>
        </w:rPr>
        <w:t>Federal data collection evaluates all data based on the unit of individual vessels, never individuals and is directed only towards managing the fisheries as an abstract resource – makes social relations impossible to see and refies essentialist understanding of fishermen as economic units</w:t>
      </w:r>
    </w:p>
    <w:p w:rsidR="00C168E6" w:rsidRPr="000A3D5A" w:rsidRDefault="00C168E6" w:rsidP="00C168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13ptBold"/>
          <w:rFonts w:eastAsiaTheme="majorEastAsia" w:cstheme="majorBidi"/>
          <w:b w:val="0"/>
          <w:iCs/>
        </w:rPr>
      </w:pPr>
      <w:r w:rsidRPr="000A3D5A">
        <w:rPr>
          <w:rStyle w:val="Style13ptBold"/>
          <w:sz w:val="28"/>
        </w:rPr>
        <w:t>St. Martin 6</w:t>
      </w:r>
    </w:p>
    <w:p w:rsidR="00C168E6" w:rsidRPr="000A3D5A" w:rsidRDefault="00C168E6" w:rsidP="00C168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A3D5A">
        <w:t xml:space="preserve"> (Rutgers, Department of Geography)</w:t>
      </w:r>
    </w:p>
    <w:p w:rsidR="00C168E6" w:rsidRPr="000A3D5A" w:rsidRDefault="00C168E6" w:rsidP="00C168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A3D5A">
        <w:t xml:space="preserve">(K. “The Impact of ‘Community’ on Fisheries Management in the U.S. Northeast,” </w:t>
      </w:r>
      <w:r w:rsidRPr="000A3D5A">
        <w:rPr>
          <w:i/>
        </w:rPr>
        <w:t>Geoforum</w:t>
      </w:r>
      <w:r w:rsidRPr="000A3D5A">
        <w:t xml:space="preserve"> 37(2) 169-184. )</w:t>
      </w:r>
    </w:p>
    <w:p w:rsidR="00C168E6" w:rsidRPr="000A3D5A" w:rsidRDefault="00C168E6" w:rsidP="00C168E6"/>
    <w:p w:rsidR="00C168E6" w:rsidRPr="000A3D5A" w:rsidRDefault="00C168E6" w:rsidP="00C168E6">
      <w:pPr>
        <w:pStyle w:val="Cards"/>
        <w:ind w:left="0"/>
      </w:pPr>
      <w:r w:rsidRPr="000A3D5A">
        <w:t xml:space="preserve">In addition, there is a similar silencing of community even when it is viewed as a set of social relations rather than a location of origin (e.g. port) or territorial domain at sea. </w:t>
      </w:r>
      <w:r w:rsidRPr="000A3D5A">
        <w:rPr>
          <w:rStyle w:val="StyleUnderline"/>
        </w:rPr>
        <w:t>The social relations of production within which fishers are embedded are difficult to reconstruct given standard forms of data collection</w:t>
      </w:r>
      <w:r w:rsidRPr="000A3D5A">
        <w:t xml:space="preserve">. For example, </w:t>
      </w:r>
      <w:r w:rsidRPr="000A3D5A">
        <w:rPr>
          <w:rStyle w:val="StyleUnderline"/>
        </w:rPr>
        <w:t>most federal fisheries data collection initiatives are designed to support the assessment and management of the resource as such</w:t>
      </w:r>
      <w:r w:rsidRPr="000A3D5A">
        <w:t xml:space="preserve"> (hence the focus on fishing effort and fish population dynamics generally). </w:t>
      </w:r>
      <w:r w:rsidRPr="000A3D5A">
        <w:rPr>
          <w:rStyle w:val="StyleUnderline"/>
        </w:rPr>
        <w:t>Data</w:t>
      </w:r>
      <w:r w:rsidRPr="000A3D5A">
        <w:t xml:space="preserve"> (e.g. landings data which give insight into fishing mortality) </w:t>
      </w:r>
      <w:r w:rsidRPr="000A3D5A">
        <w:rPr>
          <w:rStyle w:val="StyleUnderline"/>
        </w:rPr>
        <w:t>is collected not by individual fisher but by fishing vessel</w:t>
      </w:r>
      <w:r w:rsidRPr="000A3D5A">
        <w:t xml:space="preserve"> (Pierce and Hugl 1979). While this again points to the absence of “fishermen” per se within the discourse, it is clear that to represent fishermen as aggregated and distributed fishing effort one must have a basic unit for data reporting and collection. </w:t>
      </w:r>
      <w:r w:rsidRPr="000A3D5A">
        <w:rPr>
          <w:rStyle w:val="StyleUnderline"/>
        </w:rPr>
        <w:t>Fishing vessels are that unit, and since the discourse assumes a universe of individual fishermen, the vessels come to represent those individual fishermen themselves</w:t>
      </w:r>
      <w:r w:rsidRPr="000A3D5A">
        <w:t xml:space="preserve">. </w:t>
      </w:r>
      <w:r w:rsidRPr="000A3D5A">
        <w:rPr>
          <w:rStyle w:val="StyleUnderline"/>
        </w:rPr>
        <w:t>This merging of fisherman and vessel makes the multiple positions associated with fishing vessels</w:t>
      </w:r>
      <w:r w:rsidRPr="000A3D5A">
        <w:t xml:space="preserve"> (for example boat owner, partner, union, captain, or crew member and differentiations within each category) </w:t>
      </w:r>
      <w:r w:rsidRPr="000A3D5A">
        <w:rPr>
          <w:rStyle w:val="StyleUnderline"/>
        </w:rPr>
        <w:t>and the social relations that result impossible to see</w:t>
      </w:r>
      <w:r w:rsidRPr="000A3D5A">
        <w:t xml:space="preserve">. Indeed, within the dominant discourse there is little mention of crew and virtually no data collected concerning crew, forms or rates of compensation, or boat-level social/economic conditions generally. Any (potential) community of fishers on board a fishing vessel is erased by the easy conflation of vessels with abstract individual fishermen. The following is from a standard bioeconomics text and clearly dismisses non-owner crew members as other than fishermen: For the purposes of the present discussion [models of fishermen’s behavior], the word fisherman will be used to refer to the independent owner-operator of a fishing vessel (Clark, 1985, p. 146). </w:t>
      </w:r>
      <w:r w:rsidRPr="000A3D5A">
        <w:rPr>
          <w:rStyle w:val="StyleUnderline"/>
        </w:rPr>
        <w:t>Data collection practices that are boat-centric serve to produce the rational and singular fisherman independent of any physical community</w:t>
      </w:r>
      <w:r w:rsidRPr="000A3D5A">
        <w:t xml:space="preserve"> or set of social relations relative to other fishermen (e.g. those other fishers on board the same vessel, fishers who work for a non-fishing boat owner, fishers linked through union membership, etc.). </w:t>
      </w:r>
      <w:r w:rsidRPr="000A3D5A">
        <w:rPr>
          <w:rStyle w:val="StyleUnderline"/>
        </w:rPr>
        <w:t>Data collected by vessel</w:t>
      </w:r>
      <w:r w:rsidRPr="000A3D5A">
        <w:t>, primarily designed for the calculation of aggregate fishing effort</w:t>
      </w:r>
      <w:r w:rsidRPr="000A3D5A">
        <w:rPr>
          <w:rStyle w:val="StyleUnderline"/>
        </w:rPr>
        <w:t>, reifies the essential subject of fishing as a fisherman who is mobile, independent, and individual</w:t>
      </w:r>
      <w:r w:rsidRPr="000A3D5A">
        <w:t xml:space="preserve">; community as a category within the discourse and a site of economic activity/agency does not exist nor do alternative fisher subject positions. </w:t>
      </w:r>
    </w:p>
    <w:p w:rsidR="00C168E6" w:rsidRPr="000A3D5A" w:rsidRDefault="00C168E6" w:rsidP="00C168E6"/>
    <w:p w:rsidR="009A7732" w:rsidRDefault="009A7732" w:rsidP="009A7732">
      <w:pPr>
        <w:pStyle w:val="Heading1"/>
      </w:pPr>
      <w:r>
        <w:t>Solvency Frontline</w:t>
      </w:r>
    </w:p>
    <w:p w:rsidR="00B16074" w:rsidRDefault="00B16074" w:rsidP="00B16074">
      <w:r>
        <w:t xml:space="preserve">No trade off between existing fishing and new sustainable </w:t>
      </w:r>
      <w:r w:rsidR="00F02071">
        <w:t>development</w:t>
      </w:r>
    </w:p>
    <w:p w:rsidR="00F02071" w:rsidRDefault="00F02071" w:rsidP="00B16074"/>
    <w:p w:rsidR="00C168E6" w:rsidRPr="00BA2062" w:rsidRDefault="00C168E6" w:rsidP="00C168E6">
      <w:pPr>
        <w:pStyle w:val="Heading4"/>
      </w:pPr>
      <w:r w:rsidRPr="00BA2062">
        <w:t>Fishers frustrated with communal organization</w:t>
      </w:r>
      <w:r>
        <w:t xml:space="preserve"> – group meetings fail</w:t>
      </w:r>
    </w:p>
    <w:p w:rsidR="00C168E6" w:rsidRPr="00BA2062" w:rsidRDefault="00C168E6" w:rsidP="00C168E6">
      <w:pPr>
        <w:rPr>
          <w:b/>
          <w:bCs/>
          <w:sz w:val="26"/>
        </w:rPr>
      </w:pPr>
      <w:r w:rsidRPr="007B1F0D">
        <w:rPr>
          <w:rStyle w:val="Style13ptBold"/>
        </w:rPr>
        <w:t>Yates 14</w:t>
      </w:r>
      <w:r>
        <w:rPr>
          <w:rStyle w:val="Style13ptBold"/>
        </w:rPr>
        <w:t xml:space="preserve"> </w:t>
      </w:r>
      <w:r>
        <w:t xml:space="preserve">K.L. Yatesa, b, c, , a Environmental Science Research Institute, University of Ulster, Cromore Road, Coleraine BT52 1SA, UK b ARC Centre of excellence for Environmental Decisions, School of Biological Sciences, University of Queensland, Brisbane, St. Lucia, QLD 4072, Australia c School of the Environment, Flinders University, South Australia 5042, Australia Received 17 December 2013, Revised 3 March 2014, Accepted 3 March 2014, Available online 22 March 2014 Online: </w:t>
      </w:r>
      <w:r w:rsidRPr="00BA2062">
        <w:t>http://www.sciencedirect.com/science/article/pii/S0308597X14000736?np=y</w:t>
      </w:r>
    </w:p>
    <w:p w:rsidR="00C168E6" w:rsidRDefault="00C168E6" w:rsidP="00C168E6">
      <w:r>
        <w:t xml:space="preserve">Fishers are keen to participate, and their participation has been shown to contribute to improved environmental decision making and more sustainable fisheries [53], [54], [55] and [56]. Recognition of the importance of fisher participation of in marine and fisheries management is growing [42], [43], [44], [45], [46], [57], [58] and [59], </w:t>
      </w:r>
      <w:r w:rsidRPr="00BA2062">
        <w:rPr>
          <w:rStyle w:val="StyleUnderline"/>
        </w:rPr>
        <w:t>however fishers, both from this study and elsewhere, remain frustrated with participation opportunities and processes [60], [61], [62], [63], [64], [65] and [66]. Group meetings are often the primary opportunity for participation offered to stakeholders [60] and [62] and fishers have to either try to fit attendance around their fishing schedule or they have to miss a fishing opportunity, and thus lose income, to attend. These logistical challenges present a significant barrier to fisher participation</w:t>
      </w:r>
      <w:r>
        <w:t xml:space="preserve"> [60]. In this study participation was extremely high, and the main factor was probably that the opportunity to participate went to the fishers: with interviews held on fishers</w:t>
      </w:r>
      <w:r>
        <w:rPr>
          <w:rFonts w:ascii="Arial" w:hAnsi="Arial" w:cs="Arial"/>
        </w:rPr>
        <w:t>׳</w:t>
      </w:r>
      <w:r>
        <w:t xml:space="preserve"> boats, at the quayside, or in the harbour cafes. Doing so demonstrated to the fishers that their participation and their opinions were of value. It also allowed the fishers to participate at a time and in a space that suited them and that greatly reduced both the actual and opportunity costs of their participation.</w:t>
      </w:r>
    </w:p>
    <w:p w:rsidR="00C168E6" w:rsidRDefault="00C168E6" w:rsidP="00C168E6"/>
    <w:p w:rsidR="00C168E6" w:rsidRPr="00142A50" w:rsidRDefault="00C168E6" w:rsidP="00C168E6">
      <w:pPr>
        <w:pStyle w:val="Heading4"/>
      </w:pPr>
      <w:r w:rsidRPr="00142A50">
        <w:t>Fishers are not homogenous, drastically different opinions at all levels of division</w:t>
      </w:r>
    </w:p>
    <w:p w:rsidR="00C168E6" w:rsidRPr="00142A50" w:rsidRDefault="00C168E6" w:rsidP="00C168E6">
      <w:pPr>
        <w:rPr>
          <w:b/>
          <w:bCs/>
          <w:sz w:val="26"/>
        </w:rPr>
      </w:pPr>
      <w:r w:rsidRPr="007B1F0D">
        <w:rPr>
          <w:rStyle w:val="Style13ptBold"/>
        </w:rPr>
        <w:t>Yates 14</w:t>
      </w:r>
      <w:r>
        <w:rPr>
          <w:rStyle w:val="Style13ptBold"/>
        </w:rPr>
        <w:t xml:space="preserve"> </w:t>
      </w:r>
      <w:r>
        <w:t xml:space="preserve">K.L. Yatesa, b, c, , a Environmental Science Research Institute, University of Ulster, Cromore Road, Coleraine BT52 1SA, UK b ARC Centre of excellence for Environmental Decisions, School of Biological Sciences, University of Queensland, Brisbane, St. Lucia, QLD 4072, Australia c School of the Environment, Flinders University, South Australia 5042, Australia Received 17 December 2013, Revised 3 March 2014, Accepted 3 March 2014, Available online 22 March 2014 Online: </w:t>
      </w:r>
      <w:r w:rsidRPr="00BA2062">
        <w:t>http://www.sciencedirect.com/science/article/pii/S0308597X14000736?np=y</w:t>
      </w:r>
    </w:p>
    <w:p w:rsidR="00C168E6" w:rsidRDefault="00C168E6" w:rsidP="00C168E6">
      <w:r w:rsidRPr="00142A50">
        <w:rPr>
          <w:rStyle w:val="StyleUnderline"/>
        </w:rPr>
        <w:t>Fishers</w:t>
      </w:r>
      <w:r w:rsidRPr="00142A50">
        <w:rPr>
          <w:rStyle w:val="StyleUnderline"/>
          <w:rFonts w:ascii="Arial" w:hAnsi="Arial" w:cs="Arial"/>
        </w:rPr>
        <w:t>׳</w:t>
      </w:r>
      <w:r w:rsidRPr="00142A50">
        <w:rPr>
          <w:rStyle w:val="StyleUnderline"/>
        </w:rPr>
        <w:t xml:space="preserve"> perceptions differ within groups of fishers. This is of no surprise, fishers are not a homogenous collective and they differ in perception according to many criteria, including: their fishery, the gear they use, and their location</w:t>
      </w:r>
      <w:r>
        <w:t xml:space="preserve"> [45], [60] and [83]. </w:t>
      </w:r>
      <w:r w:rsidRPr="00142A50">
        <w:rPr>
          <w:rStyle w:val="StyleUnderline"/>
        </w:rPr>
        <w:t>Understanding this variation amongst fishers is important, failure to do so will likely see managers facing conflict and non-compliance</w:t>
      </w:r>
      <w:r>
        <w:t xml:space="preserve"> [55].</w:t>
      </w:r>
      <w:r w:rsidRPr="00142A50">
        <w:rPr>
          <w:rStyle w:val="StyleUnderline"/>
        </w:rPr>
        <w:t xml:space="preserve"> It is also important to recognise this variation amongst fishers when considering representation, particularly when considering centralised participation through representatives. Indeed this study showed that many fishers did not feel their representatives were representative of them</w:t>
      </w:r>
      <w:r>
        <w:t>. This highlights the need for decision makers to solicit diverse views, rather than always relying on a restricted number of industry representatives. As previously discussed, this needs to be in-situ within the fishing community. Quantitative tools such as Spatial Access Priority Mapping [49] and [52] can also be used to facilitate more equitable representation of fishers, and can enable transparent analysis of the impacts of spatial planning options on different groups within the fishing industry.</w:t>
      </w:r>
    </w:p>
    <w:p w:rsidR="008D6442" w:rsidRDefault="008D6442" w:rsidP="008D6442">
      <w:pPr>
        <w:pStyle w:val="Heading4"/>
      </w:pPr>
      <w:r>
        <w:t xml:space="preserve">Stock management is highly complicated </w:t>
      </w:r>
    </w:p>
    <w:p w:rsidR="008D6442" w:rsidRPr="00BA2062" w:rsidRDefault="008D6442" w:rsidP="008D6442">
      <w:pPr>
        <w:rPr>
          <w:b/>
          <w:bCs/>
          <w:sz w:val="26"/>
        </w:rPr>
      </w:pPr>
      <w:r w:rsidRPr="007B1F0D">
        <w:rPr>
          <w:rStyle w:val="Style13ptBold"/>
        </w:rPr>
        <w:t>Yates 14</w:t>
      </w:r>
      <w:r>
        <w:rPr>
          <w:rStyle w:val="Style13ptBold"/>
        </w:rPr>
        <w:t xml:space="preserve"> </w:t>
      </w:r>
      <w:r>
        <w:t xml:space="preserve">K.L. Yatesa, b, c, , a Environmental Science Research Institute, University of Ulster, Cromore Road, Coleraine BT52 1SA, UK b ARC Centre of excellence for Environmental Decisions, School of Biological Sciences, University of Queensland, Brisbane, St. Lucia, QLD 4072, Australia c School of the Environment, Flinders University, South Australia 5042, Australia Received 17 December 2013, Revised 3 March 2014, Accepted 3 March 2014, Available online 22 March 2014 Online: </w:t>
      </w:r>
      <w:r w:rsidRPr="00BA2062">
        <w:t>http://www.sciencedirect.com/science/article/pii/S0308597X14000736?np=y</w:t>
      </w:r>
    </w:p>
    <w:p w:rsidR="008D6442" w:rsidRDefault="008D6442" w:rsidP="008D6442">
      <w:r>
        <w:t xml:space="preserve">Fisher participation in management also allows for ground-truthing of management options. </w:t>
      </w:r>
      <w:r w:rsidRPr="00BA2062">
        <w:rPr>
          <w:rStyle w:val="StyleUnderline"/>
        </w:rPr>
        <w:t>There are rarely simple solutions to marine management problems, and what sounds good in theory may well be impossible or impractical in reality.</w:t>
      </w:r>
      <w:r>
        <w:t xml:space="preserve"> Ground-truthing options with fishers can help to ensure that management measures implemented are feasible and enforceable. The discussion with the pot fishers in Northern Ireland demonstrates how </w:t>
      </w:r>
      <w:r w:rsidRPr="00BA2062">
        <w:rPr>
          <w:rStyle w:val="StyleUnderline"/>
        </w:rPr>
        <w:t>a seemingly straightforward stock management option</w:t>
      </w:r>
      <w:r>
        <w:t xml:space="preserve">, banning the landing of all berried lobsters, </w:t>
      </w:r>
      <w:r w:rsidRPr="00BA2062">
        <w:rPr>
          <w:rStyle w:val="StyleUnderline"/>
        </w:rPr>
        <w:t>could in fact be detrimental for the stocks, as well as being both difficult and costly to enforce</w:t>
      </w:r>
      <w:r>
        <w:t>. Fishers are also the ones best placed to anticipate the possible ways fishers might bend the rules or by-pass management measures, thus involving them should help make management more effective.</w:t>
      </w:r>
    </w:p>
    <w:p w:rsidR="008D6442" w:rsidRDefault="008D6442" w:rsidP="008D6442">
      <w:pPr>
        <w:rPr>
          <w:rStyle w:val="Style13ptBold"/>
        </w:rPr>
      </w:pPr>
    </w:p>
    <w:p w:rsidR="00C168E6" w:rsidRPr="008D6442" w:rsidRDefault="00C168E6" w:rsidP="00C168E6">
      <w:pPr>
        <w:pStyle w:val="Heading4"/>
      </w:pPr>
      <w:r>
        <w:t>Fishers susceptible to peer pressure. Extreme, loud, minority opinions determine group behavior.</w:t>
      </w:r>
    </w:p>
    <w:p w:rsidR="00C168E6" w:rsidRPr="008D6442" w:rsidRDefault="00C168E6" w:rsidP="00C168E6">
      <w:pPr>
        <w:rPr>
          <w:b/>
          <w:bCs/>
          <w:sz w:val="26"/>
        </w:rPr>
      </w:pPr>
      <w:r w:rsidRPr="007B1F0D">
        <w:rPr>
          <w:rStyle w:val="Style13ptBold"/>
        </w:rPr>
        <w:t>Yates 14</w:t>
      </w:r>
      <w:r>
        <w:rPr>
          <w:rStyle w:val="Style13ptBold"/>
        </w:rPr>
        <w:t xml:space="preserve"> </w:t>
      </w:r>
      <w:r>
        <w:t xml:space="preserve">K.L. Yatesa, b, c, , a Environmental Science Research Institute, University of Ulster, Cromore Road, Coleraine BT52 1SA, UK b ARC Centre of excellence for Environmental Decisions, School of Biological Sciences, University of Queensland, Brisbane, St. Lucia, QLD 4072, Australia c School of the Environment, Flinders University, South Australia 5042, Australia Received 17 December 2013, Revised 3 March 2014, Accepted 3 March 2014, Available online 22 March 2014 Online: </w:t>
      </w:r>
      <w:r w:rsidRPr="00BA2062">
        <w:t>http://www.sciencedirect.com/science/article/pii/S0308597X14000736?np=y</w:t>
      </w:r>
    </w:p>
    <w:p w:rsidR="00C168E6" w:rsidRDefault="00C168E6" w:rsidP="00C168E6">
      <w:r w:rsidRPr="00142A50">
        <w:rPr>
          <w:rStyle w:val="StyleUnderline"/>
        </w:rPr>
        <w:t>How we communicate with fishers is of critical importance</w:t>
      </w:r>
      <w:r>
        <w:t xml:space="preserve">. </w:t>
      </w:r>
      <w:r w:rsidRPr="00142A50">
        <w:rPr>
          <w:rStyle w:val="StyleUnderline"/>
        </w:rPr>
        <w:t>Techniques employed have to specifically consider the nature of fishers and the fishing community</w:t>
      </w:r>
      <w:r>
        <w:t xml:space="preserve">. As previously discussed, the excellent response rate to this research was likely due to the interviews taking place within the fishing community. </w:t>
      </w:r>
      <w:r w:rsidRPr="00142A50">
        <w:rPr>
          <w:rStyle w:val="StyleUnderline"/>
        </w:rPr>
        <w:t>The candid responses of fishers, admitting they did not consistently v-notch and that they only twin-rigged because others did, for example, was likely facilitated by the anonymous one-to-one interviews. When fishers were in groups having casual conversations over mugs of tea in the harbour cafes, they all always v-notched, they were rarely, if ever in favour, of MPAs and none of them ever complained about twin-rigs. In groups, fishers are constrained and influenced by what the others in the group will think of their responses. Thus the responses obtained from groups can be very different to those from individuals. Groups are also prone to being overtaken by a minority of loud voices, who tend to have the more extreme opinions</w:t>
      </w:r>
      <w:r>
        <w:t xml:space="preserve"> [84]. If managers are to obtain a representative view of fisher</w:t>
      </w:r>
      <w:r>
        <w:rPr>
          <w:rFonts w:ascii="Arial" w:hAnsi="Arial" w:cs="Arial"/>
        </w:rPr>
        <w:t>׳</w:t>
      </w:r>
      <w:r>
        <w:t>s opinions and understand how the different groups of fishers will respond to management options then there must be opportunities for fishers to participate a one-to-one basis, in addition to the more traditional group and representative approaches.</w:t>
      </w:r>
    </w:p>
    <w:p w:rsidR="008D6442" w:rsidRPr="00BA2062" w:rsidRDefault="008D6442" w:rsidP="008D6442">
      <w:pPr>
        <w:pStyle w:val="Heading4"/>
      </w:pPr>
      <w:r w:rsidRPr="00BA2062">
        <w:t>Effective management solutions are easier said than done</w:t>
      </w:r>
    </w:p>
    <w:p w:rsidR="008D6442" w:rsidRPr="00BA2062" w:rsidRDefault="008D6442" w:rsidP="008D6442">
      <w:pPr>
        <w:rPr>
          <w:b/>
          <w:bCs/>
          <w:sz w:val="26"/>
        </w:rPr>
      </w:pPr>
      <w:r w:rsidRPr="007B1F0D">
        <w:rPr>
          <w:rStyle w:val="Style13ptBold"/>
        </w:rPr>
        <w:t>Yates 14</w:t>
      </w:r>
      <w:r>
        <w:rPr>
          <w:rStyle w:val="Style13ptBold"/>
        </w:rPr>
        <w:t xml:space="preserve"> </w:t>
      </w:r>
      <w:r>
        <w:t xml:space="preserve">K.L. Yatesa, b, c, , a Environmental Science Research Institute, University of Ulster, Cromore Road, Coleraine BT52 1SA, UK b ARC Centre of excellence for Environmental Decisions, School of Biological Sciences, University of Queensland, Brisbane, St. Lucia, QLD 4072, Australia c School of the Environment, Flinders University, South Australia 5042, Australia Received 17 December 2013, Revised 3 March 2014, Accepted 3 March 2014, Available online 22 March 2014 Online: </w:t>
      </w:r>
      <w:r w:rsidRPr="00BA2062">
        <w:t>http://www.sciencedirect.com/science/article/pii/S0308597X14000736?np=y</w:t>
      </w:r>
    </w:p>
    <w:p w:rsidR="008D6442" w:rsidRDefault="008D6442" w:rsidP="008D6442">
      <w:r w:rsidRPr="00BA2062">
        <w:rPr>
          <w:rStyle w:val="StyleUnderline"/>
        </w:rPr>
        <w:t>Unfortunately, the identification of potential win-win management solutions is sometimes easier than the realisation of the opportunity. This is particularly true in the marine environment, where management responsibilities often divided between multiple departments and agencies, between which poor communication and lack of trust can present significant barriers to effective collaboration</w:t>
      </w:r>
      <w:r>
        <w:t xml:space="preserve"> [50] and [72]. In Northern Ireland nothing has yet come of the aforementioned win-win-win opportunity. In mid-2012 DOE offered to fund independent research into the identification of the most suitable sites to meet both fisheries and conservation objectives; however AFBI, the research institute associated with DARD, declined to provide the essential scallop survey data. DARD considered the identification of fisheries management areas to fall exclusively under its remit; regrettably though they themselves have not yet undertaken the research and the opportunity remains untaken. This demonstrates that </w:t>
      </w:r>
      <w:r w:rsidRPr="00BA2062">
        <w:rPr>
          <w:rStyle w:val="StyleUnderline"/>
        </w:rPr>
        <w:t>it is not just the capacity and incentives of the fishing community that need to be understood, but also those of the management authority(s)</w:t>
      </w:r>
      <w:r>
        <w:t xml:space="preserve"> [73].</w:t>
      </w:r>
    </w:p>
    <w:p w:rsidR="008D6442" w:rsidRDefault="008D6442" w:rsidP="008D6442"/>
    <w:p w:rsidR="008D6442" w:rsidRDefault="008D6442" w:rsidP="008D6442">
      <w:pPr>
        <w:pStyle w:val="Heading4"/>
      </w:pPr>
      <w:r>
        <w:t>Uncertainty over regulations leads to short term views</w:t>
      </w:r>
    </w:p>
    <w:p w:rsidR="008D6442" w:rsidRPr="00BA2062" w:rsidRDefault="008D6442" w:rsidP="008D6442">
      <w:pPr>
        <w:rPr>
          <w:b/>
          <w:bCs/>
          <w:sz w:val="26"/>
        </w:rPr>
      </w:pPr>
      <w:r w:rsidRPr="007B1F0D">
        <w:rPr>
          <w:rStyle w:val="Style13ptBold"/>
        </w:rPr>
        <w:t>Yates 14</w:t>
      </w:r>
      <w:r>
        <w:rPr>
          <w:rStyle w:val="Style13ptBold"/>
        </w:rPr>
        <w:t xml:space="preserve"> </w:t>
      </w:r>
      <w:r>
        <w:t xml:space="preserve">K.L. Yatesa, b, c, , a Environmental Science Research Institute, University of Ulster, Cromore Road, Coleraine BT52 1SA, UK b ARC Centre of excellence for Environmental Decisions, School of Biological Sciences, University of Queensland, Brisbane, St. Lucia, QLD 4072, Australia c School of the Environment, Flinders University, South Australia 5042, Australia Received 17 December 2013, Revised 3 March 2014, Accepted 3 March 2014, Available online 22 March 2014 Online: </w:t>
      </w:r>
      <w:r w:rsidRPr="00BA2062">
        <w:t>http://www.sciencedirect.com/science/article/pii/S0308597X14000736?np=y</w:t>
      </w:r>
    </w:p>
    <w:p w:rsidR="008D6442" w:rsidRDefault="008D6442" w:rsidP="008D6442">
      <w:r w:rsidRPr="00BA2062">
        <w:rPr>
          <w:rStyle w:val="StyleUnderline"/>
        </w:rPr>
        <w:t>Uncertainty over future regulations and future quota allocation can further drive fisher to adopt a short-term view</w:t>
      </w:r>
      <w:r>
        <w:t xml:space="preserve"> [43]. In Northern Ireland, uncertainty over the continuation of the v-notching programme was one of the reasons pot fishers did not v-notch consistently. The other two reasons were a delay in receiving payment and a decrease in the subsidy rate, both of which reduce the value of the incentive for v-notching by increasing the opportunity cost for the fisher</w:t>
      </w:r>
      <w:r w:rsidRPr="00BA2062">
        <w:rPr>
          <w:rStyle w:val="StyleUnderline"/>
        </w:rPr>
        <w:t>. By understanding the motivations of the fishers, management agencies could increase the consistency of participation</w:t>
      </w:r>
      <w:r>
        <w:t xml:space="preserve"> without making any real changes to the existing schemes. By simply assuring the schemes longevity and guaranteeing the subsidy rate, management agencies could increase the certainty of the incentive. By reducing the time taken to process fisher</w:t>
      </w:r>
      <w:r>
        <w:rPr>
          <w:rFonts w:ascii="Arial" w:hAnsi="Arial" w:cs="Arial"/>
        </w:rPr>
        <w:t>׳</w:t>
      </w:r>
      <w:r>
        <w:t>s subsidy payments, management agencies could reduce the opportunity cost to fishers, which, in the case of v-notching, would decrease the pressure to land berried lobster when the catch of non-berried is low.</w:t>
      </w:r>
    </w:p>
    <w:p w:rsidR="008D6442" w:rsidRDefault="008D6442" w:rsidP="008D6442"/>
    <w:p w:rsidR="008D6442" w:rsidRPr="00142A50" w:rsidRDefault="008D6442" w:rsidP="008D6442">
      <w:pPr>
        <w:pStyle w:val="Heading4"/>
      </w:pPr>
      <w:r w:rsidRPr="00142A50">
        <w:t xml:space="preserve">Behaviors of fishers, not fish, are more important in regulation. More than a simply environmental issue. </w:t>
      </w:r>
    </w:p>
    <w:p w:rsidR="008D6442" w:rsidRPr="00142A50" w:rsidRDefault="008D6442" w:rsidP="008D6442">
      <w:pPr>
        <w:rPr>
          <w:b/>
          <w:bCs/>
          <w:sz w:val="26"/>
        </w:rPr>
      </w:pPr>
      <w:r w:rsidRPr="007B1F0D">
        <w:rPr>
          <w:rStyle w:val="Style13ptBold"/>
        </w:rPr>
        <w:t>Yates 14</w:t>
      </w:r>
      <w:r>
        <w:rPr>
          <w:rStyle w:val="Style13ptBold"/>
        </w:rPr>
        <w:t xml:space="preserve"> </w:t>
      </w:r>
      <w:r>
        <w:t xml:space="preserve">K.L. Yatesa, b, c, , a Environmental Science Research Institute, University of Ulster, Cromore Road, Coleraine BT52 1SA, UK b ARC Centre of excellence for Environmental Decisions, School of Biological Sciences, University of Queensland, Brisbane, St. Lucia, QLD 4072, Australia c School of the Environment, Flinders University, South Australia 5042, Australia Received 17 December 2013, Revised 3 March 2014, Accepted 3 March 2014, Available online 22 March 2014 Online: </w:t>
      </w:r>
      <w:r w:rsidRPr="00BA2062">
        <w:t>http://www.sciencedirect.com/science/article/pii/S0308597X14000736?np=y</w:t>
      </w:r>
    </w:p>
    <w:p w:rsidR="008D6442" w:rsidRDefault="008D6442" w:rsidP="008D6442">
      <w:pPr>
        <w:rPr>
          <w:rStyle w:val="StyleUnderline"/>
        </w:rPr>
      </w:pPr>
      <w:r w:rsidRPr="00142A50">
        <w:rPr>
          <w:rStyle w:val="StyleUnderline"/>
        </w:rPr>
        <w:t>It is important to consider the behaviour and motivations of the fisher, as well as the ecology and economics of the fishery, when developing management measures. Indeed, it is fishers, not the fish, which ultimately are managed. Decision makers need to consider how a fisher will respond to management measures and in turn how that could impact the fishery and the wider marine environment. Decision makers also need to consider external factors that can interact with management measures</w:t>
      </w:r>
      <w:r>
        <w:t>. The rising fuel prices, for example, impacted the behaviour of many Northern Irish fishers, some of whom now fished closer to home</w:t>
      </w:r>
      <w:r w:rsidRPr="00142A50">
        <w:rPr>
          <w:rStyle w:val="StyleUnderline"/>
        </w:rPr>
        <w:t>. The culture and perceptions of fishing communities can also have a large impact on the behaviour of individual fishers, such as the desire to land the most boxes of crabs or the pressure to twin-rig. Whilst difficult to take these phenomena into the account, they must be considered and incorporated into management plans if those plans are to have the best chance of producing the desired outcome.</w:t>
      </w:r>
    </w:p>
    <w:p w:rsidR="008D6442" w:rsidRDefault="008D6442" w:rsidP="008D6442">
      <w:pPr>
        <w:rPr>
          <w:rStyle w:val="StyleUnderline"/>
        </w:rPr>
      </w:pPr>
    </w:p>
    <w:p w:rsidR="009A7732" w:rsidRPr="009A7732" w:rsidRDefault="009A7732" w:rsidP="009A7732">
      <w:pPr>
        <w:pStyle w:val="Heading1"/>
      </w:pPr>
      <w:r>
        <w:t>Neoliberalism Advantage Frontline</w:t>
      </w:r>
    </w:p>
    <w:p w:rsidR="00CC2A3D" w:rsidRDefault="00CC2A3D" w:rsidP="00CC2A3D">
      <w:pPr>
        <w:pStyle w:val="Heading4"/>
      </w:pPr>
      <w:r>
        <w:t>Deep Sea Fishing exists, often outside of EEZ</w:t>
      </w:r>
    </w:p>
    <w:p w:rsidR="00CC2A3D" w:rsidRDefault="00CC2A3D" w:rsidP="00CC2A3D">
      <w:r>
        <w:t xml:space="preserve">Fisheries and Aquaculture topics. Deep-sea fisheries. Topics Fact Sheets. In: </w:t>
      </w:r>
      <w:r w:rsidRPr="00F02071">
        <w:rPr>
          <w:rStyle w:val="Style13ptBold"/>
        </w:rPr>
        <w:t xml:space="preserve">FAO Fisheries and Aquaculture Department </w:t>
      </w:r>
      <w:r>
        <w:rPr>
          <w:rStyle w:val="Style13ptBold"/>
        </w:rPr>
        <w:t xml:space="preserve"> (UN) </w:t>
      </w:r>
      <w:r>
        <w:t>[online]. Rome. Updated 8 April 20</w:t>
      </w:r>
      <w:r w:rsidRPr="00F02071">
        <w:rPr>
          <w:rStyle w:val="Style13ptBold"/>
        </w:rPr>
        <w:t>13</w:t>
      </w:r>
      <w:r>
        <w:t>. [Cited 29 July 2014]. http://www.fao.org/fishery/topic/4440/en</w:t>
      </w:r>
    </w:p>
    <w:p w:rsidR="00CC2A3D" w:rsidRDefault="00CC2A3D" w:rsidP="00CC2A3D">
      <w:r w:rsidRPr="00F02071">
        <w:rPr>
          <w:rStyle w:val="StyleUnderline"/>
        </w:rPr>
        <w:t xml:space="preserve">Deep-sea fisheries take place </w:t>
      </w:r>
      <w:r>
        <w:t>at great depths (</w:t>
      </w:r>
      <w:r w:rsidRPr="00F02071">
        <w:rPr>
          <w:rStyle w:val="StyleUnderline"/>
        </w:rPr>
        <w:t>between 200-2000 meters</w:t>
      </w:r>
      <w:r>
        <w:t xml:space="preserve">), </w:t>
      </w:r>
      <w:r w:rsidRPr="00F02071">
        <w:rPr>
          <w:rStyle w:val="StyleUnderline"/>
        </w:rPr>
        <w:t>on continental slopes, oceanic seamounts, ridge systems banks</w:t>
      </w:r>
      <w:r>
        <w:t xml:space="preserve">. These fisheries target demersal/benthic species using a range of gears including bottom and mid-water trawls, pots and longlines. </w:t>
      </w:r>
      <w:r w:rsidRPr="00F02071">
        <w:rPr>
          <w:rStyle w:val="StyleUnderline"/>
        </w:rPr>
        <w:t>Deep-sea fisheries take place in both exclusive economic zones (EEZs) and in areas beyond national jurisdiction (ABNJ). Most of these fisheries require significant investment</w:t>
      </w:r>
      <w:r>
        <w:t>. The types of fishing gear, vessels and people employed in these fisheries vary greatly</w:t>
      </w:r>
      <w:r w:rsidRPr="00F02071">
        <w:rPr>
          <w:rStyle w:val="StyleUnderline"/>
        </w:rPr>
        <w:t>. They include small-scale deep-sea fisheries though the majority are commercial, technologically advanced operations using a variety of gears. Since the 1990s, fishers have increasingly moved further offshore and into deep-sea regions</w:t>
      </w:r>
      <w:r>
        <w:t>. This was prompted by advances in technology which made it easier to exploit resources at great depths. In addition, the declaration of EEZs expanded States’ exclusive fishing areas and drove those excluded from these zones to seek other fishing grounds. Significant global efforts are currently underway to improve conservation and sustainable use of the deep-sea high seas and its resources and ecosystems.</w:t>
      </w:r>
    </w:p>
    <w:p w:rsidR="00E254B2" w:rsidRDefault="00E254B2" w:rsidP="00CC2A3D"/>
    <w:p w:rsidR="00E254B2" w:rsidRDefault="00E254B2" w:rsidP="00CC2A3D"/>
    <w:p w:rsidR="00E254B2" w:rsidRDefault="00E254B2" w:rsidP="00CC2A3D">
      <w:r>
        <w:t>“Community fisheries” and international wateries</w:t>
      </w:r>
    </w:p>
    <w:p w:rsidR="00E254B2" w:rsidRDefault="00E254B2" w:rsidP="00CC2A3D">
      <w:r>
        <w:tab/>
      </w:r>
      <w:r>
        <w:tab/>
      </w:r>
      <w:r>
        <w:tab/>
        <w:t>And boating capacity</w:t>
      </w:r>
    </w:p>
    <w:p w:rsidR="00C325CA" w:rsidRDefault="00E254B2" w:rsidP="00CC2A3D">
      <w:r>
        <w:t>Share catch</w:t>
      </w:r>
    </w:p>
    <w:p w:rsidR="00C325CA" w:rsidRDefault="00C325CA" w:rsidP="00CC2A3D"/>
    <w:p w:rsidR="00C325CA" w:rsidRPr="00427B37" w:rsidRDefault="00C325CA" w:rsidP="00C325CA">
      <w:pPr>
        <w:keepNext/>
        <w:keepLines/>
        <w:spacing w:before="40"/>
        <w:outlineLvl w:val="3"/>
        <w:rPr>
          <w:rFonts w:eastAsia="Times New Roman" w:cs="Times New Roman"/>
          <w:b/>
          <w:iCs/>
          <w:sz w:val="26"/>
        </w:rPr>
      </w:pPr>
      <w:r w:rsidRPr="00427B37">
        <w:rPr>
          <w:rFonts w:eastAsia="Times New Roman" w:cs="Times New Roman"/>
          <w:b/>
          <w:iCs/>
          <w:sz w:val="26"/>
        </w:rPr>
        <w:t>Violation: ALL of NOAA’s missions conducted and staffed by military personnel, the NOAA Corps, making the entirety of NOAA nontopical</w:t>
      </w:r>
    </w:p>
    <w:p w:rsidR="00C325CA" w:rsidRPr="00427B37" w:rsidRDefault="00C325CA" w:rsidP="00C325CA">
      <w:pPr>
        <w:rPr>
          <w:rFonts w:eastAsia="Calibri" w:cs="Times New Roman"/>
          <w:bCs/>
          <w:sz w:val="10"/>
        </w:rPr>
      </w:pPr>
      <w:r w:rsidRPr="00427B37">
        <w:rPr>
          <w:rFonts w:eastAsia="Calibri" w:cs="Times New Roman"/>
          <w:b/>
          <w:bCs/>
          <w:sz w:val="26"/>
        </w:rPr>
        <w:t>NOAA Corps, NOAA, no date</w:t>
      </w:r>
      <w:r w:rsidRPr="00427B37">
        <w:rPr>
          <w:rFonts w:eastAsia="Calibri" w:cs="Times New Roman"/>
          <w:bCs/>
          <w:sz w:val="10"/>
        </w:rPr>
        <w:t> “About NOAA Corps” http://www.noaacorps.noaa.gov/about/about.html</w:t>
      </w:r>
    </w:p>
    <w:p w:rsidR="00C325CA" w:rsidRPr="00427B37" w:rsidRDefault="00C325CA" w:rsidP="00C325CA">
      <w:pPr>
        <w:rPr>
          <w:rFonts w:eastAsia="Calibri" w:cs="Times New Roman"/>
          <w:b/>
          <w:iCs/>
          <w:u w:val="single"/>
        </w:rPr>
      </w:pPr>
      <w:r w:rsidRPr="00427B37">
        <w:rPr>
          <w:rFonts w:eastAsia="Calibri" w:cs="Times New Roman"/>
          <w:u w:val="single"/>
        </w:rPr>
        <w:t>The NOAA Commissioned Officer Corps is one of the seven uniformed services of the United States. The service</w:t>
      </w:r>
      <w:r w:rsidRPr="00427B37">
        <w:rPr>
          <w:rFonts w:eastAsia="Calibri" w:cs="Times New Roman"/>
          <w:sz w:val="10"/>
        </w:rPr>
        <w:t xml:space="preserve">, currently authorized to a strength of 321 commissioned officers, </w:t>
      </w:r>
      <w:r w:rsidRPr="00427B37">
        <w:rPr>
          <w:rFonts w:eastAsia="Calibri" w:cs="Times New Roman"/>
          <w:u w:val="single"/>
        </w:rPr>
        <w:t>is an integral part of</w:t>
      </w:r>
      <w:r w:rsidRPr="00427B37">
        <w:rPr>
          <w:rFonts w:eastAsia="Calibri" w:cs="Times New Roman"/>
          <w:sz w:val="10"/>
        </w:rPr>
        <w:t xml:space="preserve"> the National Oceanic and Atmospheric Administration (</w:t>
      </w:r>
      <w:r w:rsidRPr="00427B37">
        <w:rPr>
          <w:rFonts w:eastAsia="Calibri" w:cs="Times New Roman"/>
          <w:iCs/>
          <w:u w:val="single"/>
        </w:rPr>
        <w:t>NOAA</w:t>
      </w:r>
      <w:r w:rsidRPr="00427B37">
        <w:rPr>
          <w:rFonts w:eastAsia="Calibri" w:cs="Times New Roman"/>
          <w:sz w:val="10"/>
        </w:rPr>
        <w:t xml:space="preserve">), an agency of the U.S. Department of Commerce. The Director of the NOAA Corps is Rear Admiral David A. Score, NOAA. He is also the Director of </w:t>
      </w:r>
      <w:r w:rsidRPr="00427B37">
        <w:rPr>
          <w:rFonts w:eastAsia="Calibri" w:cs="Times New Roman"/>
          <w:b/>
          <w:iCs/>
          <w:u w:val="single"/>
        </w:rPr>
        <w:t>the Office of Marine and Aviation Operations (OMAO)</w:t>
      </w:r>
      <w:r w:rsidRPr="00427B37">
        <w:rPr>
          <w:rFonts w:eastAsia="Calibri" w:cs="Times New Roman"/>
          <w:sz w:val="10"/>
        </w:rPr>
        <w:t xml:space="preserve"> which</w:t>
      </w:r>
      <w:r w:rsidRPr="00427B37">
        <w:rPr>
          <w:rFonts w:eastAsia="Calibri" w:cs="Times New Roman"/>
          <w:b/>
          <w:iCs/>
          <w:u w:val="single"/>
        </w:rPr>
        <w:t xml:space="preserve"> operates a wide variety of specialized aircraft and ships to conduct NOAA's environmental and scientific missions. </w:t>
      </w:r>
      <w:r w:rsidRPr="00427B37">
        <w:rPr>
          <w:rFonts w:eastAsia="Calibri" w:cs="Times New Roman"/>
          <w:sz w:val="10"/>
        </w:rPr>
        <w:t xml:space="preserve">The NOAA Commissioned Corps traces its roots back to the former Survey of the Coast, established in 1807 by President Thomas Jefferson. </w:t>
      </w:r>
      <w:r w:rsidRPr="00427B37">
        <w:rPr>
          <w:rFonts w:eastAsia="Calibri" w:cs="Times New Roman"/>
          <w:b/>
          <w:iCs/>
          <w:u w:val="single"/>
        </w:rPr>
        <w:t>The NOAA Corps today provides a cadre of professionals trained in engineering, earth sciences, oceanography, meteorology, fisheries science, and other related disciplines. Officers operate ships, fly aircraft, facilitate research projects, conduct diving operations, and serve in staff positions throughout NOAA.</w:t>
      </w:r>
    </w:p>
    <w:p w:rsidR="00C325CA" w:rsidRPr="00427B37" w:rsidRDefault="00C325CA" w:rsidP="00C325CA">
      <w:pPr>
        <w:rPr>
          <w:rFonts w:eastAsia="Calibri" w:cs="Times New Roman"/>
          <w:b/>
          <w:iCs/>
        </w:rPr>
      </w:pPr>
      <w:r w:rsidRPr="00427B37">
        <w:rPr>
          <w:rFonts w:eastAsia="Calibri" w:cs="Times New Roman"/>
          <w:b/>
          <w:iCs/>
        </w:rPr>
        <w:t>It goes on to say</w:t>
      </w:r>
    </w:p>
    <w:p w:rsidR="00C325CA" w:rsidRDefault="00C325CA" w:rsidP="00C325CA">
      <w:pPr>
        <w:rPr>
          <w:rFonts w:eastAsia="Calibri" w:cs="Times New Roman"/>
          <w:sz w:val="8"/>
        </w:rPr>
      </w:pPr>
      <w:r w:rsidRPr="00427B37">
        <w:rPr>
          <w:rFonts w:eastAsia="Calibri" w:cs="Times New Roman"/>
          <w:u w:val="single"/>
        </w:rPr>
        <w:t xml:space="preserve">NOAA Commissioned Corps Officers are an integral part of </w:t>
      </w:r>
      <w:r w:rsidRPr="00427B37">
        <w:rPr>
          <w:rFonts w:eastAsia="Calibri" w:cs="Times New Roman"/>
          <w:sz w:val="8"/>
        </w:rPr>
        <w:t>the National Oceanic and Atmospheric Administration (</w:t>
      </w:r>
      <w:r w:rsidRPr="00427B37">
        <w:rPr>
          <w:rFonts w:eastAsia="Calibri" w:cs="Times New Roman"/>
          <w:u w:val="single"/>
        </w:rPr>
        <w:t>NOAA</w:t>
      </w:r>
      <w:r w:rsidRPr="00427B37">
        <w:rPr>
          <w:rFonts w:eastAsia="Calibri" w:cs="Times New Roman"/>
          <w:sz w:val="8"/>
        </w:rPr>
        <w:t xml:space="preserve">). </w:t>
      </w:r>
      <w:r w:rsidRPr="00427B37">
        <w:rPr>
          <w:rFonts w:eastAsia="Calibri" w:cs="Times New Roman"/>
          <w:b/>
          <w:iCs/>
          <w:u w:val="single"/>
        </w:rPr>
        <w:t>Officers can be found operating one of NOAA's 19 ships or 12 aircraft to provide support to meet NOAA's missions.</w:t>
      </w:r>
      <w:r w:rsidRPr="00427B37">
        <w:rPr>
          <w:rFonts w:eastAsia="Calibri" w:cs="Times New Roman"/>
          <w:sz w:val="8"/>
        </w:rPr>
        <w:t xml:space="preserve"> </w:t>
      </w:r>
      <w:r w:rsidRPr="00427B37">
        <w:rPr>
          <w:rFonts w:eastAsia="Calibri" w:cs="Times New Roman"/>
          <w:u w:val="single"/>
        </w:rPr>
        <w:t>Duties and areas of operations can range from launching a weather balloon at the South Pole, conducting hydrographic or fishery surveys in Alaska, maintaining buoys in the tropical Pacific, flying snow surveys and into hurricanes.</w:t>
      </w:r>
      <w:r w:rsidRPr="00427B37">
        <w:rPr>
          <w:rFonts w:eastAsia="Calibri" w:cs="Times New Roman"/>
          <w:sz w:val="8"/>
        </w:rPr>
        <w:t xml:space="preserve"> Find out more about the Corps, its mission and history from the "About the Corps" link.</w:t>
      </w:r>
    </w:p>
    <w:p w:rsidR="00C325CA" w:rsidRDefault="00C325CA" w:rsidP="00C325CA"/>
    <w:p w:rsidR="00C325CA" w:rsidRDefault="00C325CA" w:rsidP="00C325CA">
      <w:pPr>
        <w:pStyle w:val="Heading4"/>
      </w:pPr>
    </w:p>
    <w:p w:rsidR="00C325CA" w:rsidRPr="00D56046" w:rsidRDefault="00C325CA" w:rsidP="00C325CA">
      <w:pPr>
        <w:pStyle w:val="Heading4"/>
      </w:pPr>
      <w:r w:rsidRPr="00D56046">
        <w:t xml:space="preserve">The green economy guarantees environmental destruction </w:t>
      </w:r>
    </w:p>
    <w:p w:rsidR="00C325CA" w:rsidRPr="00D56046" w:rsidRDefault="00C325CA" w:rsidP="00C325CA">
      <w:pPr>
        <w:pStyle w:val="Tags"/>
      </w:pPr>
      <w:r w:rsidRPr="00D56046">
        <w:t>Via Campesinos 12</w:t>
      </w:r>
    </w:p>
    <w:p w:rsidR="00C325CA" w:rsidRPr="00D56046" w:rsidRDefault="00C325CA" w:rsidP="00C325CA">
      <w:r w:rsidRPr="00D56046">
        <w:t>(Nyeleni Newsletter, Number 10, June 2012, nyeleni.org)</w:t>
      </w:r>
    </w:p>
    <w:p w:rsidR="00C325CA" w:rsidRPr="00D56046" w:rsidRDefault="00C325CA" w:rsidP="00C325CA">
      <w:pPr>
        <w:pStyle w:val="Nothing"/>
      </w:pPr>
    </w:p>
    <w:p w:rsidR="00C325CA" w:rsidRPr="00D56046" w:rsidRDefault="00C325CA" w:rsidP="00C325CA">
      <w:pPr>
        <w:pStyle w:val="Nothing"/>
      </w:pPr>
    </w:p>
    <w:p w:rsidR="00C325CA" w:rsidRDefault="00C325CA" w:rsidP="00C325CA">
      <w:pPr>
        <w:pStyle w:val="Cards"/>
        <w:rPr>
          <w:sz w:val="16"/>
        </w:rPr>
      </w:pPr>
      <w:r w:rsidRPr="00D56046">
        <w:rPr>
          <w:rFonts w:cs="ArialMT"/>
          <w:sz w:val="16"/>
          <w:szCs w:val="18"/>
          <w:lang w:bidi="en-US"/>
        </w:rPr>
        <w:t xml:space="preserve">This June in Rio de Janeiro the </w:t>
      </w:r>
      <w:r w:rsidRPr="00D56046">
        <w:rPr>
          <w:rFonts w:cs="ArialMT"/>
          <w:i/>
          <w:iCs/>
          <w:sz w:val="16"/>
          <w:szCs w:val="18"/>
          <w:lang w:bidi="en-US"/>
        </w:rPr>
        <w:t>United Nations Conference on Sustainable Develop-</w:t>
      </w:r>
      <w:r w:rsidRPr="00D56046">
        <w:rPr>
          <w:rFonts w:ascii="Helvetica" w:hAnsi="Helvetica" w:cs="Helvetica"/>
          <w:sz w:val="16"/>
          <w:lang w:bidi="en-US"/>
        </w:rPr>
        <w:t xml:space="preserve">  </w:t>
      </w:r>
      <w:r w:rsidRPr="00D56046">
        <w:rPr>
          <w:rFonts w:cs="ArialMT"/>
          <w:i/>
          <w:iCs/>
          <w:sz w:val="16"/>
          <w:szCs w:val="18"/>
          <w:lang w:bidi="en-US"/>
        </w:rPr>
        <w:t>ment Rio+20</w:t>
      </w:r>
      <w:r w:rsidRPr="00D56046">
        <w:rPr>
          <w:rFonts w:cs="ArialMT"/>
          <w:sz w:val="16"/>
          <w:szCs w:val="18"/>
          <w:lang w:bidi="en-US"/>
        </w:rPr>
        <w:t xml:space="preserve"> will be held, marking two decades since the Earth Summit. The </w:t>
      </w:r>
      <w:r w:rsidRPr="00D56046">
        <w:rPr>
          <w:rStyle w:val="DebateUnderline"/>
          <w:rFonts w:eastAsiaTheme="majorEastAsia"/>
        </w:rPr>
        <w:t>“green” economy</w:t>
      </w:r>
      <w:r w:rsidRPr="00D56046">
        <w:rPr>
          <w:rFonts w:cs="ArialMT"/>
          <w:sz w:val="16"/>
          <w:szCs w:val="18"/>
          <w:lang w:bidi="en-US"/>
        </w:rPr>
        <w:t xml:space="preserve"> will be the main theme of discussion and debates at the </w:t>
      </w:r>
      <w:r w:rsidRPr="00D56046">
        <w:rPr>
          <w:rFonts w:cs="ArialMT"/>
          <w:i/>
          <w:iCs/>
          <w:sz w:val="16"/>
          <w:szCs w:val="18"/>
          <w:lang w:bidi="en-US"/>
        </w:rPr>
        <w:t>Rio+20 summit</w:t>
      </w:r>
      <w:r w:rsidRPr="00D56046">
        <w:rPr>
          <w:rFonts w:cs="ArialMT"/>
          <w:sz w:val="16"/>
          <w:szCs w:val="18"/>
          <w:lang w:bidi="en-US"/>
        </w:rPr>
        <w:t xml:space="preserve">, this </w:t>
      </w:r>
      <w:r w:rsidRPr="00D56046">
        <w:rPr>
          <w:rFonts w:ascii="Helvetica" w:hAnsi="Helvetica" w:cs="Helvetica"/>
          <w:sz w:val="16"/>
          <w:lang w:bidi="en-US"/>
        </w:rPr>
        <w:t xml:space="preserve"> </w:t>
      </w:r>
      <w:r w:rsidRPr="00D56046">
        <w:rPr>
          <w:rFonts w:cs="ArialMT"/>
          <w:sz w:val="16"/>
          <w:szCs w:val="18"/>
          <w:lang w:bidi="en-US"/>
        </w:rPr>
        <w:t xml:space="preserve">concept </w:t>
      </w:r>
      <w:r w:rsidRPr="00D56046">
        <w:rPr>
          <w:rStyle w:val="DebateUnderline"/>
          <w:rFonts w:eastAsiaTheme="majorEastAsia"/>
        </w:rPr>
        <w:t>represents a way of transforming the environmental crisis into a tool for capital  accumulation</w:t>
      </w:r>
      <w:r w:rsidRPr="00D56046">
        <w:rPr>
          <w:rFonts w:cs="ArialMT"/>
          <w:sz w:val="16"/>
          <w:szCs w:val="18"/>
          <w:lang w:bidi="en-US"/>
        </w:rPr>
        <w:t xml:space="preserve"> – considering that in current times the capitalist system regards markets </w:t>
      </w:r>
      <w:r w:rsidRPr="00D56046">
        <w:rPr>
          <w:rFonts w:ascii="Helvetica" w:hAnsi="Helvetica" w:cs="Helvetica"/>
          <w:sz w:val="16"/>
          <w:lang w:bidi="en-US"/>
        </w:rPr>
        <w:t xml:space="preserve"> </w:t>
      </w:r>
      <w:r w:rsidRPr="00D56046">
        <w:rPr>
          <w:rFonts w:cs="ArialMT"/>
          <w:sz w:val="16"/>
          <w:szCs w:val="18"/>
          <w:lang w:bidi="en-US"/>
        </w:rPr>
        <w:t xml:space="preserve">as the primary medium for responding to the global environmental crisis, </w:t>
      </w:r>
      <w:r w:rsidRPr="00D56046">
        <w:rPr>
          <w:rStyle w:val="DebateUnderline"/>
          <w:rFonts w:eastAsiaTheme="majorEastAsia"/>
        </w:rPr>
        <w:t>and</w:t>
      </w:r>
      <w:r w:rsidRPr="00D56046">
        <w:rPr>
          <w:rFonts w:cs="ArialMT"/>
          <w:sz w:val="16"/>
          <w:szCs w:val="18"/>
          <w:lang w:bidi="en-US"/>
        </w:rPr>
        <w:t xml:space="preserve"> the </w:t>
      </w:r>
      <w:r w:rsidRPr="00D56046">
        <w:rPr>
          <w:rFonts w:cs="ArialMT"/>
          <w:i/>
          <w:iCs/>
          <w:sz w:val="16"/>
          <w:szCs w:val="18"/>
          <w:lang w:bidi="en-US"/>
        </w:rPr>
        <w:t xml:space="preserve">green </w:t>
      </w:r>
      <w:r w:rsidRPr="00D56046">
        <w:rPr>
          <w:rFonts w:ascii="Helvetica" w:hAnsi="Helvetica" w:cs="Helvetica"/>
          <w:sz w:val="16"/>
          <w:lang w:bidi="en-US"/>
        </w:rPr>
        <w:t xml:space="preserve"> </w:t>
      </w:r>
      <w:r w:rsidRPr="00D56046">
        <w:rPr>
          <w:rFonts w:cs="ArialMT"/>
          <w:i/>
          <w:iCs/>
          <w:sz w:val="16"/>
          <w:szCs w:val="18"/>
          <w:lang w:bidi="en-US"/>
        </w:rPr>
        <w:t>economy</w:t>
      </w:r>
      <w:r w:rsidRPr="00D56046">
        <w:rPr>
          <w:rFonts w:cs="ArialMT"/>
          <w:sz w:val="16"/>
          <w:szCs w:val="18"/>
          <w:lang w:bidi="en-US"/>
        </w:rPr>
        <w:t xml:space="preserve"> </w:t>
      </w:r>
      <w:r w:rsidRPr="00D56046">
        <w:rPr>
          <w:rStyle w:val="DebateUnderline"/>
          <w:rFonts w:eastAsiaTheme="majorEastAsia"/>
        </w:rPr>
        <w:t>marks an attempt to make this system appear “sustainable</w:t>
      </w:r>
      <w:r w:rsidRPr="00D56046">
        <w:rPr>
          <w:rFonts w:cs="ArialMT"/>
          <w:sz w:val="16"/>
          <w:szCs w:val="18"/>
          <w:lang w:bidi="en-US"/>
        </w:rPr>
        <w:t>”. The current edi-</w:t>
      </w:r>
      <w:r w:rsidRPr="00D56046">
        <w:rPr>
          <w:rFonts w:ascii="Helvetica" w:hAnsi="Helvetica" w:cs="Helvetica"/>
          <w:sz w:val="16"/>
          <w:lang w:bidi="en-US"/>
        </w:rPr>
        <w:t xml:space="preserve">  </w:t>
      </w:r>
      <w:r w:rsidRPr="00D56046">
        <w:rPr>
          <w:rFonts w:cs="ArialMT"/>
          <w:sz w:val="16"/>
          <w:szCs w:val="18"/>
          <w:lang w:bidi="en-US"/>
        </w:rPr>
        <w:t xml:space="preserve">tion of the </w:t>
      </w:r>
      <w:r w:rsidRPr="00D56046">
        <w:rPr>
          <w:rFonts w:cs="ArialMT"/>
          <w:i/>
          <w:iCs/>
          <w:sz w:val="16"/>
          <w:szCs w:val="18"/>
          <w:lang w:bidi="en-US"/>
        </w:rPr>
        <w:t>Nyéléni Newsletter</w:t>
      </w:r>
      <w:r w:rsidRPr="00D56046">
        <w:rPr>
          <w:rFonts w:cs="ArialMT"/>
          <w:sz w:val="16"/>
          <w:szCs w:val="18"/>
          <w:lang w:bidi="en-US"/>
        </w:rPr>
        <w:t xml:space="preserve"> opens and invites discussion on the </w:t>
      </w:r>
      <w:r w:rsidRPr="00D56046">
        <w:rPr>
          <w:rFonts w:cs="ArialMT"/>
          <w:i/>
          <w:iCs/>
          <w:sz w:val="16"/>
          <w:szCs w:val="18"/>
          <w:lang w:bidi="en-US"/>
        </w:rPr>
        <w:t>green economy</w:t>
      </w:r>
      <w:r w:rsidRPr="00D56046">
        <w:rPr>
          <w:rFonts w:cs="ArialMT"/>
          <w:sz w:val="16"/>
          <w:szCs w:val="18"/>
          <w:lang w:bidi="en-US"/>
        </w:rPr>
        <w:t>, add-</w:t>
      </w:r>
      <w:r w:rsidRPr="00D56046">
        <w:rPr>
          <w:rFonts w:ascii="Helvetica" w:hAnsi="Helvetica" w:cs="Helvetica"/>
          <w:sz w:val="16"/>
          <w:lang w:bidi="en-US"/>
        </w:rPr>
        <w:t xml:space="preserve">  </w:t>
      </w:r>
      <w:r w:rsidRPr="00D56046">
        <w:rPr>
          <w:rFonts w:cs="ArialMT"/>
          <w:sz w:val="16"/>
          <w:szCs w:val="18"/>
          <w:lang w:bidi="en-US"/>
        </w:rPr>
        <w:t xml:space="preserve">ing various elements to the debate and providing alternatives. What is certainly clear </w:t>
      </w:r>
      <w:r w:rsidRPr="00D56046">
        <w:rPr>
          <w:rFonts w:ascii="Helvetica" w:hAnsi="Helvetica" w:cs="Helvetica"/>
          <w:sz w:val="16"/>
          <w:lang w:bidi="en-US"/>
        </w:rPr>
        <w:t xml:space="preserve"> </w:t>
      </w:r>
      <w:r w:rsidRPr="00D56046">
        <w:rPr>
          <w:rFonts w:cs="ArialMT"/>
          <w:sz w:val="16"/>
          <w:szCs w:val="18"/>
          <w:lang w:bidi="en-US"/>
        </w:rPr>
        <w:t xml:space="preserve">is that international capital is organizing to appropriate territories, to transform nature </w:t>
      </w:r>
      <w:r w:rsidRPr="00D56046">
        <w:rPr>
          <w:rFonts w:ascii="Helvetica" w:hAnsi="Helvetica" w:cs="Helvetica"/>
          <w:sz w:val="16"/>
          <w:lang w:bidi="en-US"/>
        </w:rPr>
        <w:t xml:space="preserve"> </w:t>
      </w:r>
      <w:r w:rsidRPr="00D56046">
        <w:rPr>
          <w:rFonts w:cs="ArialMT"/>
          <w:sz w:val="16"/>
          <w:szCs w:val="18"/>
          <w:lang w:bidi="en-US"/>
        </w:rPr>
        <w:t xml:space="preserve">into another form of merchandise, all the while increasing exploitation and privatization. </w:t>
      </w:r>
      <w:r w:rsidRPr="00D56046">
        <w:rPr>
          <w:rFonts w:ascii="Helvetica" w:hAnsi="Helvetica" w:cs="Helvetica"/>
          <w:sz w:val="16"/>
          <w:lang w:bidi="en-US"/>
        </w:rPr>
        <w:t xml:space="preserve"> </w:t>
      </w:r>
      <w:r w:rsidRPr="00D56046">
        <w:rPr>
          <w:rFonts w:cs="ArialMT"/>
          <w:sz w:val="16"/>
          <w:szCs w:val="18"/>
          <w:lang w:bidi="en-US"/>
        </w:rPr>
        <w:t>The “</w:t>
      </w:r>
      <w:r w:rsidRPr="00D56046">
        <w:rPr>
          <w:rFonts w:cs="ArialMT"/>
          <w:i/>
          <w:iCs/>
          <w:sz w:val="16"/>
          <w:szCs w:val="18"/>
          <w:lang w:bidi="en-US"/>
        </w:rPr>
        <w:t>green</w:t>
      </w:r>
      <w:r w:rsidRPr="00D56046">
        <w:rPr>
          <w:rFonts w:cs="ArialMT"/>
          <w:sz w:val="16"/>
          <w:szCs w:val="18"/>
          <w:lang w:bidi="en-US"/>
        </w:rPr>
        <w:t xml:space="preserve">” </w:t>
      </w:r>
      <w:r w:rsidRPr="00D56046">
        <w:rPr>
          <w:rFonts w:cs="ArialMT"/>
          <w:i/>
          <w:iCs/>
          <w:sz w:val="16"/>
          <w:szCs w:val="18"/>
          <w:lang w:bidi="en-US"/>
        </w:rPr>
        <w:t>economy</w:t>
      </w:r>
      <w:r w:rsidRPr="00D56046">
        <w:rPr>
          <w:rFonts w:cs="ArialMT"/>
          <w:sz w:val="16"/>
          <w:szCs w:val="18"/>
          <w:lang w:bidi="en-US"/>
        </w:rPr>
        <w:t xml:space="preserve"> elevates the principles of commerce and profit above any form </w:t>
      </w:r>
      <w:r w:rsidRPr="00D56046">
        <w:rPr>
          <w:rFonts w:ascii="Helvetica" w:hAnsi="Helvetica" w:cs="Helvetica"/>
          <w:sz w:val="16"/>
          <w:lang w:bidi="en-US"/>
        </w:rPr>
        <w:t xml:space="preserve"> </w:t>
      </w:r>
      <w:r w:rsidRPr="00D56046">
        <w:rPr>
          <w:rFonts w:cs="ArialMT"/>
          <w:sz w:val="16"/>
          <w:szCs w:val="18"/>
          <w:lang w:bidi="en-US"/>
        </w:rPr>
        <w:t xml:space="preserve">of social consideration, above even the reproduction of life itself. </w:t>
      </w:r>
      <w:r w:rsidRPr="00D56046">
        <w:rPr>
          <w:rFonts w:cs="ArialMT"/>
          <w:i/>
          <w:iCs/>
          <w:sz w:val="16"/>
          <w:szCs w:val="18"/>
          <w:lang w:bidi="en-US"/>
        </w:rPr>
        <w:t xml:space="preserve">Our challenge is to </w:t>
      </w:r>
      <w:r w:rsidRPr="00D56046">
        <w:rPr>
          <w:rFonts w:ascii="Helvetica" w:hAnsi="Helvetica" w:cs="Helvetica"/>
          <w:sz w:val="16"/>
          <w:lang w:bidi="en-US"/>
        </w:rPr>
        <w:t xml:space="preserve"> </w:t>
      </w:r>
      <w:r w:rsidRPr="00D56046">
        <w:rPr>
          <w:rFonts w:cs="ArialMT"/>
          <w:i/>
          <w:iCs/>
          <w:sz w:val="16"/>
          <w:szCs w:val="18"/>
          <w:lang w:bidi="en-US"/>
        </w:rPr>
        <w:t xml:space="preserve">continue building on our mobilization capacities in our territories, based on solidarity, </w:t>
      </w:r>
      <w:r w:rsidRPr="00D56046">
        <w:rPr>
          <w:rFonts w:ascii="Helvetica" w:hAnsi="Helvetica" w:cs="Helvetica"/>
          <w:sz w:val="16"/>
          <w:lang w:bidi="en-US"/>
        </w:rPr>
        <w:t xml:space="preserve"> </w:t>
      </w:r>
      <w:r w:rsidRPr="00D56046">
        <w:rPr>
          <w:rFonts w:cs="ArialMT"/>
          <w:i/>
          <w:iCs/>
          <w:sz w:val="16"/>
          <w:szCs w:val="18"/>
          <w:lang w:bidi="en-US"/>
        </w:rPr>
        <w:t>internationalism and the integration of peoples to convert our struggles in realities.</w:t>
      </w:r>
      <w:r w:rsidRPr="00D56046">
        <w:rPr>
          <w:rFonts w:ascii="Helvetica" w:hAnsi="Helvetica" w:cs="Helvetica"/>
          <w:sz w:val="16"/>
          <w:lang w:bidi="en-US"/>
        </w:rPr>
        <w:t xml:space="preserve">  </w:t>
      </w:r>
      <w:r w:rsidRPr="00D56046">
        <w:rPr>
          <w:sz w:val="16"/>
        </w:rPr>
        <w:t xml:space="preserve"> </w:t>
      </w:r>
      <w:r w:rsidRPr="00D56046">
        <w:rPr>
          <w:rFonts w:ascii="Helvetica" w:hAnsi="Helvetica" w:cs="Helvetica"/>
          <w:sz w:val="16"/>
          <w:lang w:bidi="en-US"/>
        </w:rPr>
        <w:t xml:space="preserve"> </w:t>
      </w:r>
      <w:r w:rsidRPr="00D56046">
        <w:rPr>
          <w:rFonts w:cs="ArialMT"/>
          <w:sz w:val="16"/>
          <w:szCs w:val="18"/>
          <w:lang w:bidi="en-US"/>
        </w:rPr>
        <w:t>In response to the worrying evidence of an ecological crisis, in 1983 the United Nations</w:t>
      </w:r>
      <w:r w:rsidRPr="00D56046">
        <w:rPr>
          <w:rFonts w:ascii="Helvetica" w:hAnsi="Helvetica" w:cs="Helvetica"/>
          <w:sz w:val="16"/>
          <w:lang w:bidi="en-US"/>
        </w:rPr>
        <w:t xml:space="preserve"> </w:t>
      </w:r>
      <w:r w:rsidRPr="00D56046">
        <w:rPr>
          <w:rFonts w:cs="ArialMT"/>
          <w:sz w:val="16"/>
          <w:szCs w:val="18"/>
          <w:lang w:bidi="en-US"/>
        </w:rPr>
        <w:t xml:space="preserve">established the </w:t>
      </w:r>
      <w:r w:rsidRPr="00D56046">
        <w:rPr>
          <w:rFonts w:cs="ArialMT"/>
          <w:i/>
          <w:iCs/>
          <w:sz w:val="16"/>
          <w:szCs w:val="18"/>
          <w:lang w:bidi="en-US"/>
        </w:rPr>
        <w:t xml:space="preserve">World Commission on Environment and Development </w:t>
      </w:r>
      <w:r w:rsidRPr="00D56046">
        <w:rPr>
          <w:rFonts w:cs="ArialMT"/>
          <w:sz w:val="16"/>
          <w:szCs w:val="18"/>
          <w:lang w:bidi="en-US"/>
        </w:rPr>
        <w:t>to investigate</w:t>
      </w:r>
      <w:r w:rsidRPr="00D56046">
        <w:rPr>
          <w:rFonts w:ascii="Helvetica" w:hAnsi="Helvetica" w:cs="Helvetica"/>
          <w:sz w:val="16"/>
          <w:lang w:bidi="en-US"/>
        </w:rPr>
        <w:t xml:space="preserve"> </w:t>
      </w:r>
      <w:r w:rsidRPr="00D56046">
        <w:rPr>
          <w:rFonts w:cs="ArialMT"/>
          <w:sz w:val="16"/>
          <w:szCs w:val="18"/>
          <w:lang w:bidi="en-US"/>
        </w:rPr>
        <w:t>the connection between the depletion of the environment and development. In 1987</w:t>
      </w:r>
      <w:r w:rsidRPr="00D56046">
        <w:rPr>
          <w:rFonts w:ascii="Helvetica" w:hAnsi="Helvetica" w:cs="Helvetica"/>
          <w:sz w:val="16"/>
          <w:lang w:bidi="en-US"/>
        </w:rPr>
        <w:t xml:space="preserve"> </w:t>
      </w:r>
      <w:r w:rsidRPr="00D56046">
        <w:rPr>
          <w:rFonts w:cs="ArialMT"/>
          <w:sz w:val="16"/>
          <w:szCs w:val="18"/>
          <w:lang w:bidi="en-US"/>
        </w:rPr>
        <w:t xml:space="preserve">the Commission published a report called </w:t>
      </w:r>
      <w:r w:rsidRPr="00D56046">
        <w:rPr>
          <w:rFonts w:cs="ArialMT"/>
          <w:i/>
          <w:iCs/>
          <w:sz w:val="16"/>
          <w:szCs w:val="18"/>
          <w:lang w:bidi="en-US"/>
        </w:rPr>
        <w:t>Our Common Future</w:t>
      </w:r>
      <w:r w:rsidRPr="00D56046">
        <w:rPr>
          <w:rFonts w:cs="ArialMT"/>
          <w:sz w:val="16"/>
          <w:szCs w:val="14"/>
          <w:lang w:bidi="en-US"/>
        </w:rPr>
        <w:t>1</w:t>
      </w:r>
      <w:r w:rsidRPr="00D56046">
        <w:rPr>
          <w:rFonts w:cs="ArialMT"/>
          <w:sz w:val="16"/>
          <w:szCs w:val="18"/>
          <w:lang w:bidi="en-US"/>
        </w:rPr>
        <w:t>, better known as the</w:t>
      </w:r>
      <w:r w:rsidRPr="00D56046">
        <w:rPr>
          <w:rFonts w:ascii="Helvetica" w:hAnsi="Helvetica" w:cs="Helvetica"/>
          <w:sz w:val="16"/>
          <w:lang w:bidi="en-US"/>
        </w:rPr>
        <w:t xml:space="preserve"> </w:t>
      </w:r>
      <w:r w:rsidRPr="00D56046">
        <w:rPr>
          <w:rFonts w:cs="ArialMT"/>
          <w:sz w:val="16"/>
          <w:szCs w:val="18"/>
          <w:lang w:bidi="en-US"/>
        </w:rPr>
        <w:t xml:space="preserve">Brundtland Report. The new concept of </w:t>
      </w:r>
      <w:r w:rsidRPr="00D56046">
        <w:rPr>
          <w:rFonts w:cs="ArialMT"/>
          <w:bCs/>
          <w:sz w:val="16"/>
          <w:szCs w:val="18"/>
          <w:lang w:bidi="en-US"/>
        </w:rPr>
        <w:t xml:space="preserve">Sustainable Development </w:t>
      </w:r>
      <w:r w:rsidRPr="00D56046">
        <w:rPr>
          <w:rFonts w:cs="ArialMT"/>
          <w:sz w:val="16"/>
          <w:szCs w:val="18"/>
          <w:lang w:bidi="en-US"/>
        </w:rPr>
        <w:t>was launched (Box</w:t>
      </w:r>
      <w:r w:rsidRPr="00D56046">
        <w:rPr>
          <w:rFonts w:ascii="Helvetica" w:hAnsi="Helvetica" w:cs="Helvetica"/>
          <w:sz w:val="16"/>
          <w:lang w:bidi="en-US"/>
        </w:rPr>
        <w:t xml:space="preserve"> </w:t>
      </w:r>
      <w:r w:rsidRPr="00D56046">
        <w:rPr>
          <w:rFonts w:cs="ArialMT"/>
          <w:sz w:val="16"/>
          <w:szCs w:val="18"/>
          <w:lang w:bidi="en-US"/>
        </w:rPr>
        <w:t xml:space="preserve">3) and became the basis of the negotiations at the </w:t>
      </w:r>
      <w:r w:rsidRPr="00D56046">
        <w:rPr>
          <w:rFonts w:cs="ArialMT"/>
          <w:i/>
          <w:iCs/>
          <w:sz w:val="16"/>
          <w:szCs w:val="18"/>
          <w:lang w:bidi="en-US"/>
        </w:rPr>
        <w:t xml:space="preserve">Earth Summit </w:t>
      </w:r>
      <w:r w:rsidRPr="00D56046">
        <w:rPr>
          <w:rFonts w:cs="ArialMT"/>
          <w:sz w:val="16"/>
          <w:szCs w:val="18"/>
          <w:lang w:bidi="en-US"/>
        </w:rPr>
        <w:t>in 1992</w:t>
      </w:r>
      <w:r w:rsidRPr="00D56046">
        <w:rPr>
          <w:rFonts w:cs="ArialMT"/>
          <w:sz w:val="16"/>
          <w:szCs w:val="14"/>
          <w:lang w:bidi="en-US"/>
        </w:rPr>
        <w:t>2</w:t>
      </w:r>
      <w:r w:rsidRPr="00D56046">
        <w:rPr>
          <w:rFonts w:cs="ArialMT"/>
          <w:sz w:val="16"/>
          <w:szCs w:val="18"/>
          <w:lang w:bidi="en-US"/>
        </w:rPr>
        <w:t>.</w:t>
      </w:r>
      <w:r w:rsidRPr="00D56046">
        <w:rPr>
          <w:rFonts w:ascii="Helvetica" w:hAnsi="Helvetica" w:cs="Helvetica"/>
          <w:sz w:val="16"/>
          <w:lang w:bidi="en-US"/>
        </w:rPr>
        <w:t xml:space="preserve">  </w:t>
      </w:r>
      <w:r w:rsidRPr="00D56046">
        <w:rPr>
          <w:rFonts w:cs="ArialMT"/>
          <w:sz w:val="16"/>
          <w:szCs w:val="18"/>
          <w:lang w:bidi="en-US"/>
        </w:rPr>
        <w:t>Governments at the Earth Summit agreed to establish a number of multilateral struc-</w:t>
      </w:r>
      <w:r w:rsidRPr="00D56046">
        <w:rPr>
          <w:rFonts w:ascii="Helvetica" w:hAnsi="Helvetica" w:cs="Helvetica"/>
          <w:sz w:val="16"/>
          <w:lang w:bidi="en-US"/>
        </w:rPr>
        <w:t xml:space="preserve"> </w:t>
      </w:r>
      <w:r w:rsidRPr="00D56046">
        <w:rPr>
          <w:rFonts w:cs="ArialMT"/>
          <w:sz w:val="16"/>
          <w:szCs w:val="18"/>
          <w:lang w:bidi="en-US"/>
        </w:rPr>
        <w:t>tures- including the UNFCCC (Global Climate negotiations), the CBD (the Convention</w:t>
      </w:r>
      <w:r w:rsidRPr="00D56046">
        <w:rPr>
          <w:rFonts w:ascii="Helvetica" w:hAnsi="Helvetica" w:cs="Helvetica"/>
          <w:sz w:val="16"/>
          <w:lang w:bidi="en-US"/>
        </w:rPr>
        <w:t xml:space="preserve"> </w:t>
      </w:r>
      <w:r w:rsidRPr="00D56046">
        <w:rPr>
          <w:rFonts w:cs="ArialMT"/>
          <w:sz w:val="16"/>
          <w:szCs w:val="18"/>
          <w:lang w:bidi="en-US"/>
        </w:rPr>
        <w:t>on Biological Diversity) and others</w:t>
      </w:r>
      <w:r w:rsidRPr="00D56046">
        <w:rPr>
          <w:rStyle w:val="DebateUnderline"/>
          <w:rFonts w:eastAsiaTheme="majorEastAsia"/>
        </w:rPr>
        <w:t>. All of these instruments have failed in the last twenty years to address the Earth’s ecological crises.</w:t>
      </w:r>
      <w:r w:rsidRPr="00D56046">
        <w:rPr>
          <w:rFonts w:cs="ArialMT"/>
          <w:bCs/>
          <w:sz w:val="16"/>
          <w:szCs w:val="18"/>
          <w:lang w:bidi="en-US"/>
        </w:rPr>
        <w:t xml:space="preserve"> </w:t>
      </w:r>
      <w:r w:rsidRPr="00D56046">
        <w:rPr>
          <w:rFonts w:cs="ArialMT"/>
          <w:sz w:val="16"/>
          <w:szCs w:val="18"/>
          <w:lang w:bidi="en-US"/>
        </w:rPr>
        <w:t xml:space="preserve">Even worse, </w:t>
      </w:r>
      <w:r w:rsidRPr="00D56046">
        <w:rPr>
          <w:rStyle w:val="DebateUnderline"/>
          <w:rFonts w:eastAsiaTheme="majorEastAsia"/>
        </w:rPr>
        <w:t>the world now faces unprecedented  inancial, food, energy and environmental threats caused by the development model of a capitalist system based on in infinite growth</w:t>
      </w:r>
      <w:r w:rsidRPr="00D56046">
        <w:rPr>
          <w:rFonts w:cs="ArialMT"/>
          <w:bCs/>
          <w:sz w:val="16"/>
          <w:szCs w:val="18"/>
          <w:lang w:bidi="en-US"/>
        </w:rPr>
        <w:t xml:space="preserve"> which Rio in</w:t>
      </w:r>
      <w:r w:rsidRPr="00D56046">
        <w:rPr>
          <w:rFonts w:ascii="Helvetica" w:hAnsi="Helvetica" w:cs="Helvetica"/>
          <w:sz w:val="16"/>
          <w:lang w:bidi="en-US"/>
        </w:rPr>
        <w:t xml:space="preserve"> </w:t>
      </w:r>
      <w:r w:rsidRPr="00D56046">
        <w:rPr>
          <w:rFonts w:cs="ArialMT"/>
          <w:bCs/>
          <w:sz w:val="16"/>
          <w:szCs w:val="18"/>
          <w:lang w:bidi="en-US"/>
        </w:rPr>
        <w:t>1992 failed to question.</w:t>
      </w:r>
      <w:r w:rsidRPr="00D56046">
        <w:rPr>
          <w:rFonts w:cs="ArialMT"/>
          <w:sz w:val="16"/>
          <w:szCs w:val="18"/>
          <w:lang w:bidi="en-US"/>
        </w:rPr>
        <w:t xml:space="preserve"> Despite this, the agenda for Rio +20 is quite clear – govern-</w:t>
      </w:r>
      <w:r w:rsidRPr="00D56046">
        <w:rPr>
          <w:rFonts w:ascii="Helvetica" w:hAnsi="Helvetica" w:cs="Helvetica"/>
          <w:sz w:val="16"/>
          <w:lang w:bidi="en-US"/>
        </w:rPr>
        <w:t xml:space="preserve"> </w:t>
      </w:r>
      <w:r w:rsidRPr="00D56046">
        <w:rPr>
          <w:rFonts w:cs="ArialMT"/>
          <w:sz w:val="16"/>
          <w:szCs w:val="18"/>
          <w:lang w:bidi="en-US"/>
        </w:rPr>
        <w:t>ments and transnational corporations (TNCs) are promoting a new framework to take</w:t>
      </w:r>
      <w:r w:rsidRPr="00D56046">
        <w:rPr>
          <w:rFonts w:ascii="Helvetica" w:hAnsi="Helvetica" w:cs="Helvetica"/>
          <w:sz w:val="16"/>
          <w:lang w:bidi="en-US"/>
        </w:rPr>
        <w:t xml:space="preserve"> </w:t>
      </w:r>
      <w:r w:rsidRPr="00D56046">
        <w:rPr>
          <w:rFonts w:cs="ArialMT"/>
          <w:sz w:val="16"/>
          <w:szCs w:val="18"/>
          <w:lang w:bidi="en-US"/>
        </w:rPr>
        <w:t>advantage of the crisis and promote new ways of making pro</w:t>
      </w:r>
      <w:r w:rsidRPr="00D56046">
        <w:rPr>
          <w:rFonts w:ascii="Helvetica" w:hAnsi="Helvetica" w:cs="Helvetica"/>
          <w:sz w:val="16"/>
          <w:lang w:bidi="en-US"/>
        </w:rPr>
        <w:t xml:space="preserve"> </w:t>
      </w:r>
      <w:r w:rsidRPr="00D56046">
        <w:rPr>
          <w:rFonts w:cs="ArialMT"/>
          <w:sz w:val="16"/>
          <w:szCs w:val="18"/>
          <w:lang w:bidi="en-US"/>
        </w:rPr>
        <w:t>it. They are calling it the</w:t>
      </w:r>
      <w:r w:rsidRPr="00D56046">
        <w:rPr>
          <w:rFonts w:ascii="Helvetica" w:hAnsi="Helvetica" w:cs="Helvetica"/>
          <w:sz w:val="16"/>
          <w:lang w:bidi="en-US"/>
        </w:rPr>
        <w:t xml:space="preserve"> </w:t>
      </w:r>
      <w:r w:rsidRPr="00D56046">
        <w:rPr>
          <w:rFonts w:cs="ArialMT"/>
          <w:i/>
          <w:iCs/>
          <w:sz w:val="16"/>
          <w:szCs w:val="18"/>
          <w:lang w:bidi="en-US"/>
        </w:rPr>
        <w:t xml:space="preserve">“green” economy. </w:t>
      </w:r>
      <w:r w:rsidRPr="00D56046">
        <w:rPr>
          <w:rFonts w:ascii="Helvetica" w:hAnsi="Helvetica" w:cs="Helvetica"/>
          <w:sz w:val="16"/>
          <w:lang w:bidi="en-US"/>
        </w:rPr>
        <w:t xml:space="preserve"> </w:t>
      </w:r>
      <w:r w:rsidRPr="00D56046">
        <w:rPr>
          <w:sz w:val="16"/>
        </w:rPr>
        <w:t xml:space="preserve"> </w:t>
      </w:r>
      <w:r w:rsidRPr="00D56046">
        <w:rPr>
          <w:rFonts w:ascii="Helvetica" w:hAnsi="Helvetica" w:cs="Helvetica"/>
          <w:sz w:val="16"/>
          <w:lang w:bidi="en-US"/>
        </w:rPr>
        <w:t xml:space="preserve"> </w:t>
      </w:r>
      <w:r w:rsidRPr="00D56046">
        <w:rPr>
          <w:rFonts w:cs="ArialMT"/>
          <w:sz w:val="16"/>
          <w:szCs w:val="18"/>
          <w:lang w:bidi="en-US"/>
        </w:rPr>
        <w:t>It may have an appealing name but in reality the</w:t>
      </w:r>
      <w:r w:rsidRPr="00D56046">
        <w:rPr>
          <w:rFonts w:cs="ArialMT"/>
          <w:i/>
          <w:iCs/>
          <w:sz w:val="16"/>
          <w:szCs w:val="18"/>
          <w:lang w:bidi="en-US"/>
        </w:rPr>
        <w:t xml:space="preserve"> </w:t>
      </w:r>
      <w:r w:rsidRPr="00D56046">
        <w:rPr>
          <w:rFonts w:cs="ArialMT"/>
          <w:bCs/>
          <w:sz w:val="16"/>
          <w:szCs w:val="18"/>
          <w:lang w:bidi="en-US"/>
        </w:rPr>
        <w:t xml:space="preserve">green economy is an attack to the </w:t>
      </w:r>
      <w:r w:rsidRPr="00D56046">
        <w:rPr>
          <w:rFonts w:ascii="Helvetica" w:hAnsi="Helvetica" w:cs="Helvetica"/>
          <w:sz w:val="16"/>
          <w:lang w:bidi="en-US"/>
        </w:rPr>
        <w:t xml:space="preserve"> </w:t>
      </w:r>
      <w:r w:rsidRPr="00D56046">
        <w:rPr>
          <w:rFonts w:cs="ArialMT"/>
          <w:bCs/>
          <w:sz w:val="16"/>
          <w:szCs w:val="18"/>
          <w:lang w:bidi="en-US"/>
        </w:rPr>
        <w:t>commons, on peoples’ rights and on nature itself.</w:t>
      </w:r>
      <w:r w:rsidRPr="00D56046">
        <w:rPr>
          <w:rFonts w:cs="ArialMT"/>
          <w:sz w:val="16"/>
          <w:szCs w:val="18"/>
          <w:lang w:bidi="en-US"/>
        </w:rPr>
        <w:t xml:space="preserve"> The </w:t>
      </w:r>
      <w:r w:rsidRPr="00D56046">
        <w:rPr>
          <w:rFonts w:cs="ArialMT"/>
          <w:i/>
          <w:iCs/>
          <w:sz w:val="16"/>
          <w:szCs w:val="18"/>
          <w:lang w:bidi="en-US"/>
        </w:rPr>
        <w:t>Green Economy</w:t>
      </w:r>
      <w:r w:rsidRPr="00D56046">
        <w:rPr>
          <w:rFonts w:cs="ArialMT"/>
          <w:sz w:val="16"/>
          <w:szCs w:val="18"/>
          <w:lang w:bidi="en-US"/>
        </w:rPr>
        <w:t xml:space="preserve"> includes a </w:t>
      </w:r>
      <w:r w:rsidRPr="00D56046">
        <w:rPr>
          <w:rFonts w:ascii="Helvetica" w:hAnsi="Helvetica" w:cs="Helvetica"/>
          <w:sz w:val="16"/>
          <w:lang w:bidi="en-US"/>
        </w:rPr>
        <w:t xml:space="preserve"> </w:t>
      </w:r>
      <w:r w:rsidRPr="00D56046">
        <w:rPr>
          <w:rFonts w:cs="ArialMT"/>
          <w:sz w:val="16"/>
          <w:szCs w:val="18"/>
          <w:lang w:bidi="en-US"/>
        </w:rPr>
        <w:t>wide range of proposals</w:t>
      </w:r>
      <w:r w:rsidRPr="00D56046">
        <w:rPr>
          <w:rFonts w:cs="ArialMT"/>
          <w:sz w:val="16"/>
          <w:szCs w:val="14"/>
          <w:lang w:bidi="en-US"/>
        </w:rPr>
        <w:t>3</w:t>
      </w:r>
      <w:r w:rsidRPr="00D56046">
        <w:rPr>
          <w:rFonts w:cs="ArialMT"/>
          <w:sz w:val="16"/>
          <w:szCs w:val="18"/>
          <w:lang w:bidi="en-US"/>
        </w:rPr>
        <w:t xml:space="preserve"> that can be summarized in two trends. On one hand, it pro-</w:t>
      </w:r>
      <w:r w:rsidRPr="00D56046">
        <w:rPr>
          <w:rFonts w:ascii="Helvetica" w:hAnsi="Helvetica" w:cs="Helvetica"/>
          <w:sz w:val="16"/>
          <w:lang w:bidi="en-US"/>
        </w:rPr>
        <w:t xml:space="preserve"> </w:t>
      </w:r>
      <w:r w:rsidRPr="00D56046">
        <w:rPr>
          <w:rFonts w:cs="ArialMT"/>
          <w:sz w:val="16"/>
          <w:szCs w:val="18"/>
          <w:lang w:bidi="en-US"/>
        </w:rPr>
        <w:t xml:space="preserve">motes the development of a </w:t>
      </w:r>
      <w:r w:rsidRPr="00D56046">
        <w:rPr>
          <w:rFonts w:cs="ArialMT"/>
          <w:i/>
          <w:iCs/>
          <w:sz w:val="16"/>
          <w:szCs w:val="18"/>
          <w:lang w:bidi="en-US"/>
        </w:rPr>
        <w:t xml:space="preserve">‘post-fossil fuel’ bio-economy </w:t>
      </w:r>
      <w:r w:rsidRPr="00D56046">
        <w:rPr>
          <w:rFonts w:cs="ArialMT"/>
          <w:sz w:val="16"/>
          <w:szCs w:val="18"/>
          <w:lang w:bidi="en-US"/>
        </w:rPr>
        <w:t xml:space="preserve">based on the exploitation of </w:t>
      </w:r>
      <w:r w:rsidRPr="00D56046">
        <w:rPr>
          <w:rFonts w:ascii="Helvetica" w:hAnsi="Helvetica" w:cs="Helvetica"/>
          <w:sz w:val="16"/>
          <w:lang w:bidi="en-US"/>
        </w:rPr>
        <w:t xml:space="preserve"> </w:t>
      </w:r>
      <w:r w:rsidRPr="00D56046">
        <w:rPr>
          <w:rFonts w:cs="ArialMT"/>
          <w:bCs/>
          <w:sz w:val="16"/>
          <w:szCs w:val="18"/>
          <w:lang w:bidi="en-US"/>
        </w:rPr>
        <w:t>biomass</w:t>
      </w:r>
      <w:r w:rsidRPr="00D56046">
        <w:rPr>
          <w:rFonts w:cs="ArialMT"/>
          <w:sz w:val="16"/>
          <w:szCs w:val="18"/>
          <w:lang w:bidi="en-US"/>
        </w:rPr>
        <w:t xml:space="preserve"> (forests, soils, plants and microbes – de</w:t>
      </w:r>
      <w:r w:rsidRPr="00D56046">
        <w:rPr>
          <w:rFonts w:ascii="Helvetica" w:hAnsi="Helvetica" w:cs="Helvetica"/>
          <w:sz w:val="16"/>
          <w:lang w:bidi="en-US"/>
        </w:rPr>
        <w:t xml:space="preserve"> </w:t>
      </w:r>
      <w:r w:rsidRPr="00D56046">
        <w:rPr>
          <w:rFonts w:cs="ArialMT"/>
          <w:sz w:val="16"/>
          <w:szCs w:val="18"/>
          <w:lang w:bidi="en-US"/>
        </w:rPr>
        <w:t xml:space="preserve">inition box 1). The biomass will be </w:t>
      </w:r>
      <w:r w:rsidRPr="00D56046">
        <w:rPr>
          <w:rFonts w:ascii="Helvetica" w:hAnsi="Helvetica" w:cs="Helvetica"/>
          <w:sz w:val="16"/>
          <w:lang w:bidi="en-US"/>
        </w:rPr>
        <w:t xml:space="preserve"> </w:t>
      </w:r>
      <w:r w:rsidRPr="00D56046">
        <w:rPr>
          <w:rFonts w:cs="ArialMT"/>
          <w:sz w:val="16"/>
          <w:szCs w:val="18"/>
          <w:lang w:bidi="en-US"/>
        </w:rPr>
        <w:t>used both as fuel and as raw material from which to manufacture a wide range of prod-</w:t>
      </w:r>
      <w:r w:rsidRPr="00D56046">
        <w:rPr>
          <w:rFonts w:ascii="Helvetica" w:hAnsi="Helvetica" w:cs="Helvetica"/>
          <w:sz w:val="16"/>
          <w:lang w:bidi="en-US"/>
        </w:rPr>
        <w:t xml:space="preserve"> </w:t>
      </w:r>
      <w:r w:rsidRPr="00D56046">
        <w:rPr>
          <w:rFonts w:cs="ArialMT"/>
          <w:sz w:val="16"/>
          <w:szCs w:val="18"/>
          <w:lang w:bidi="en-US"/>
        </w:rPr>
        <w:t xml:space="preserve">ucts, including plastics, chemicals and pharmaceuticals – </w:t>
      </w:r>
      <w:r w:rsidRPr="00D56046">
        <w:rPr>
          <w:rFonts w:cs="ArialMT"/>
          <w:bCs/>
          <w:sz w:val="16"/>
          <w:szCs w:val="18"/>
          <w:lang w:bidi="en-US"/>
        </w:rPr>
        <w:t xml:space="preserve">through the employment of </w:t>
      </w:r>
      <w:r w:rsidRPr="00D56046">
        <w:rPr>
          <w:rFonts w:ascii="Helvetica" w:hAnsi="Helvetica" w:cs="Helvetica"/>
          <w:sz w:val="16"/>
          <w:lang w:bidi="en-US"/>
        </w:rPr>
        <w:t xml:space="preserve"> </w:t>
      </w:r>
      <w:r w:rsidRPr="00D56046">
        <w:rPr>
          <w:rFonts w:cs="ArialMT"/>
          <w:bCs/>
          <w:sz w:val="16"/>
          <w:szCs w:val="18"/>
          <w:lang w:bidi="en-US"/>
        </w:rPr>
        <w:t>hazardous new technologies</w:t>
      </w:r>
      <w:r w:rsidRPr="00D56046">
        <w:rPr>
          <w:rFonts w:cs="ArialMT"/>
          <w:sz w:val="16"/>
          <w:szCs w:val="18"/>
          <w:lang w:bidi="en-US"/>
        </w:rPr>
        <w:t xml:space="preserve">. </w:t>
      </w:r>
      <w:r w:rsidRPr="00D56046">
        <w:rPr>
          <w:rStyle w:val="DebateUnderline"/>
          <w:rFonts w:eastAsiaTheme="majorEastAsia"/>
          <w:lang w:bidi="en-US"/>
        </w:rPr>
        <w:t>This means a more intense use of natural resources</w:t>
      </w:r>
      <w:r w:rsidRPr="00D56046">
        <w:rPr>
          <w:rFonts w:cs="ArialMT"/>
          <w:sz w:val="16"/>
          <w:szCs w:val="18"/>
          <w:lang w:bidi="en-US"/>
        </w:rPr>
        <w:t xml:space="preserve"> (the </w:t>
      </w:r>
      <w:r w:rsidRPr="00D56046">
        <w:rPr>
          <w:rFonts w:ascii="Helvetica" w:hAnsi="Helvetica" w:cs="Helvetica"/>
          <w:sz w:val="16"/>
          <w:lang w:bidi="en-US"/>
        </w:rPr>
        <w:t xml:space="preserve"> </w:t>
      </w:r>
      <w:r w:rsidRPr="00D56046">
        <w:rPr>
          <w:rFonts w:cs="ArialMT"/>
          <w:sz w:val="16"/>
          <w:szCs w:val="18"/>
          <w:lang w:bidi="en-US"/>
        </w:rPr>
        <w:t xml:space="preserve">biomass), </w:t>
      </w:r>
      <w:r w:rsidRPr="00D56046">
        <w:rPr>
          <w:rStyle w:val="DebateUnderline"/>
          <w:rFonts w:eastAsiaTheme="majorEastAsia"/>
          <w:lang w:bidi="en-US"/>
        </w:rPr>
        <w:t>that will cause</w:t>
      </w:r>
      <w:r w:rsidRPr="00D56046">
        <w:rPr>
          <w:rFonts w:cs="ArialMT"/>
          <w:sz w:val="16"/>
          <w:szCs w:val="18"/>
          <w:lang w:bidi="en-US"/>
        </w:rPr>
        <w:t xml:space="preserve"> – as already occurred with agrofuels production</w:t>
      </w:r>
      <w:r w:rsidRPr="00D56046">
        <w:rPr>
          <w:rFonts w:cs="ArialMT"/>
          <w:sz w:val="16"/>
          <w:szCs w:val="14"/>
          <w:lang w:bidi="en-US"/>
        </w:rPr>
        <w:t>4</w:t>
      </w:r>
      <w:r w:rsidRPr="00D56046">
        <w:rPr>
          <w:rFonts w:cs="ArialMT"/>
          <w:sz w:val="16"/>
          <w:szCs w:val="18"/>
          <w:lang w:bidi="en-US"/>
        </w:rPr>
        <w:t xml:space="preserve"> - </w:t>
      </w:r>
      <w:r w:rsidRPr="00D56046">
        <w:rPr>
          <w:rStyle w:val="DebateUnderline"/>
          <w:rFonts w:eastAsiaTheme="majorEastAsia"/>
          <w:lang w:bidi="en-US"/>
        </w:rPr>
        <w:t>more land-</w:t>
      </w:r>
      <w:r w:rsidRPr="00D56046">
        <w:rPr>
          <w:rStyle w:val="DebateUnderline"/>
          <w:rFonts w:eastAsiaTheme="majorEastAsia"/>
        </w:rPr>
        <w:t xml:space="preserve"> </w:t>
      </w:r>
      <w:r w:rsidRPr="00D56046">
        <w:rPr>
          <w:rStyle w:val="DebateUnderline"/>
          <w:rFonts w:eastAsiaTheme="majorEastAsia"/>
          <w:lang w:bidi="en-US"/>
        </w:rPr>
        <w:t>grabbing, monoculture, water depletion, soil and biodiversity degradation</w:t>
      </w:r>
      <w:r w:rsidRPr="00D56046">
        <w:rPr>
          <w:rFonts w:cs="ArialMT"/>
          <w:sz w:val="16"/>
          <w:szCs w:val="18"/>
          <w:lang w:bidi="en-US"/>
        </w:rPr>
        <w:t xml:space="preserve">.  </w:t>
      </w:r>
      <w:r w:rsidRPr="00D56046">
        <w:rPr>
          <w:rFonts w:ascii="Helvetica" w:hAnsi="Helvetica" w:cs="Helvetica"/>
          <w:sz w:val="16"/>
          <w:lang w:bidi="en-US"/>
        </w:rPr>
        <w:t xml:space="preserve"> </w:t>
      </w:r>
      <w:r w:rsidRPr="00D56046">
        <w:rPr>
          <w:rFonts w:cs="ArialMT"/>
          <w:sz w:val="16"/>
          <w:szCs w:val="18"/>
          <w:lang w:bidi="en-US"/>
        </w:rPr>
        <w:t xml:space="preserve">On the other hand, </w:t>
      </w:r>
      <w:r w:rsidRPr="00D56046">
        <w:rPr>
          <w:rStyle w:val="DebateUnderline"/>
          <w:rFonts w:eastAsiaTheme="majorEastAsia"/>
          <w:lang w:bidi="en-US"/>
        </w:rPr>
        <w:t xml:space="preserve">the Green Economy embraces the “protection” of ecosystems and </w:t>
      </w:r>
      <w:r w:rsidRPr="00D56046">
        <w:rPr>
          <w:rStyle w:val="DebateUnderline"/>
          <w:rFonts w:eastAsiaTheme="majorEastAsia"/>
        </w:rPr>
        <w:t xml:space="preserve"> </w:t>
      </w:r>
      <w:r w:rsidRPr="00D56046">
        <w:rPr>
          <w:rStyle w:val="DebateUnderline"/>
          <w:rFonts w:eastAsiaTheme="majorEastAsia"/>
          <w:lang w:bidi="en-US"/>
        </w:rPr>
        <w:t xml:space="preserve">biodiversity through the commodification and privatization of nature and the use of new </w:t>
      </w:r>
      <w:r w:rsidRPr="00D56046">
        <w:rPr>
          <w:rStyle w:val="DebateUnderline"/>
          <w:rFonts w:eastAsiaTheme="majorEastAsia"/>
        </w:rPr>
        <w:t xml:space="preserve"> </w:t>
      </w:r>
      <w:r w:rsidRPr="00D56046">
        <w:rPr>
          <w:rStyle w:val="DebateUnderline"/>
          <w:rFonts w:eastAsiaTheme="majorEastAsia"/>
          <w:lang w:bidi="en-US"/>
        </w:rPr>
        <w:t>financial mechanisms</w:t>
      </w:r>
      <w:r w:rsidRPr="00D56046">
        <w:rPr>
          <w:rFonts w:cs="ArialMT"/>
          <w:sz w:val="16"/>
          <w:szCs w:val="18"/>
          <w:lang w:bidi="en-US"/>
        </w:rPr>
        <w:t xml:space="preserve">.  At </w:t>
      </w:r>
      <w:r w:rsidRPr="00D56046">
        <w:rPr>
          <w:rFonts w:ascii="Helvetica" w:hAnsi="Helvetica" w:cs="Helvetica"/>
          <w:sz w:val="16"/>
          <w:lang w:bidi="en-US"/>
        </w:rPr>
        <w:t xml:space="preserve"> </w:t>
      </w:r>
      <w:r w:rsidRPr="00D56046">
        <w:rPr>
          <w:rFonts w:cs="ArialMT"/>
          <w:sz w:val="16"/>
          <w:szCs w:val="18"/>
          <w:lang w:bidi="en-US"/>
        </w:rPr>
        <w:t xml:space="preserve">irst the two trends seem contradictory, but both illustrate the </w:t>
      </w:r>
      <w:r w:rsidRPr="00D56046">
        <w:rPr>
          <w:rFonts w:ascii="Helvetica" w:hAnsi="Helvetica" w:cs="Helvetica"/>
          <w:sz w:val="16"/>
          <w:lang w:bidi="en-US"/>
        </w:rPr>
        <w:t xml:space="preserve"> </w:t>
      </w:r>
      <w:r w:rsidRPr="00D56046">
        <w:rPr>
          <w:rFonts w:cs="ArialMT"/>
          <w:bCs/>
          <w:sz w:val="16"/>
          <w:szCs w:val="18"/>
          <w:lang w:bidi="en-US"/>
        </w:rPr>
        <w:t xml:space="preserve">clever attempt of corporations to </w:t>
      </w:r>
      <w:r w:rsidRPr="00D56046">
        <w:rPr>
          <w:rFonts w:ascii="Helvetica" w:hAnsi="Helvetica" w:cs="Helvetica"/>
          <w:sz w:val="16"/>
          <w:lang w:bidi="en-US"/>
        </w:rPr>
        <w:t xml:space="preserve"> </w:t>
      </w:r>
      <w:r w:rsidRPr="00D56046">
        <w:rPr>
          <w:rFonts w:cs="ArialMT"/>
          <w:bCs/>
          <w:sz w:val="16"/>
          <w:szCs w:val="18"/>
          <w:lang w:bidi="en-US"/>
        </w:rPr>
        <w:t xml:space="preserve">ind new business opportunities and to secure </w:t>
      </w:r>
      <w:r w:rsidRPr="00D56046">
        <w:rPr>
          <w:rFonts w:ascii="Helvetica" w:hAnsi="Helvetica" w:cs="Helvetica"/>
          <w:sz w:val="16"/>
          <w:lang w:bidi="en-US"/>
        </w:rPr>
        <w:t xml:space="preserve"> </w:t>
      </w:r>
      <w:r w:rsidRPr="00D56046">
        <w:rPr>
          <w:rFonts w:cs="ArialMT"/>
          <w:bCs/>
          <w:sz w:val="16"/>
          <w:szCs w:val="18"/>
          <w:lang w:bidi="en-US"/>
        </w:rPr>
        <w:t>access to land and natural resources</w:t>
      </w:r>
      <w:r w:rsidRPr="00D56046">
        <w:rPr>
          <w:rFonts w:cs="ArialMT"/>
          <w:sz w:val="16"/>
          <w:szCs w:val="14"/>
          <w:lang w:bidi="en-US"/>
        </w:rPr>
        <w:t>5</w:t>
      </w:r>
      <w:r w:rsidRPr="00D56046">
        <w:rPr>
          <w:rFonts w:cs="ArialMT"/>
          <w:bCs/>
          <w:sz w:val="16"/>
          <w:szCs w:val="18"/>
          <w:lang w:bidi="en-US"/>
        </w:rPr>
        <w:t>.</w:t>
      </w:r>
      <w:r w:rsidRPr="00D56046">
        <w:rPr>
          <w:rFonts w:ascii="Helvetica" w:hAnsi="Helvetica" w:cs="Helvetica"/>
          <w:sz w:val="16"/>
          <w:lang w:bidi="en-US"/>
        </w:rPr>
        <w:t xml:space="preserve">  </w:t>
      </w:r>
      <w:r w:rsidRPr="00D56046">
        <w:rPr>
          <w:rFonts w:cs="ArialMT"/>
          <w:sz w:val="16"/>
          <w:szCs w:val="18"/>
          <w:lang w:bidi="en-US"/>
        </w:rPr>
        <w:t xml:space="preserve">The </w:t>
      </w:r>
      <w:r w:rsidRPr="00D56046">
        <w:rPr>
          <w:rFonts w:cs="ArialMT"/>
          <w:i/>
          <w:iCs/>
          <w:sz w:val="16"/>
          <w:szCs w:val="18"/>
          <w:lang w:bidi="en-US"/>
        </w:rPr>
        <w:t>Green Economy</w:t>
      </w:r>
      <w:r w:rsidRPr="00D56046">
        <w:rPr>
          <w:rFonts w:cs="ArialMT"/>
          <w:sz w:val="16"/>
          <w:szCs w:val="18"/>
          <w:lang w:bidi="en-US"/>
        </w:rPr>
        <w:t xml:space="preserve"> is an assortment of different proposals that </w:t>
      </w:r>
      <w:r w:rsidRPr="00D56046">
        <w:rPr>
          <w:rFonts w:cs="ArialMT"/>
          <w:bCs/>
          <w:sz w:val="16"/>
          <w:szCs w:val="18"/>
          <w:lang w:bidi="en-US"/>
        </w:rPr>
        <w:t xml:space="preserve">will succeed only if </w:t>
      </w:r>
      <w:r w:rsidRPr="00D56046">
        <w:rPr>
          <w:rFonts w:ascii="Helvetica" w:hAnsi="Helvetica" w:cs="Helvetica"/>
          <w:sz w:val="16"/>
          <w:lang w:bidi="en-US"/>
        </w:rPr>
        <w:t xml:space="preserve"> </w:t>
      </w:r>
      <w:r w:rsidRPr="00D56046">
        <w:rPr>
          <w:rFonts w:cs="ArialMT"/>
          <w:bCs/>
          <w:sz w:val="16"/>
          <w:szCs w:val="18"/>
          <w:lang w:bidi="en-US"/>
        </w:rPr>
        <w:t xml:space="preserve">supported by an international framework of policies that endorse it and subsidize </w:t>
      </w:r>
      <w:r w:rsidRPr="00D56046">
        <w:rPr>
          <w:rFonts w:ascii="Helvetica" w:hAnsi="Helvetica" w:cs="Helvetica"/>
          <w:sz w:val="16"/>
          <w:lang w:bidi="en-US"/>
        </w:rPr>
        <w:t xml:space="preserve"> </w:t>
      </w:r>
      <w:r w:rsidRPr="00D56046">
        <w:rPr>
          <w:rFonts w:cs="ArialMT"/>
          <w:bCs/>
          <w:sz w:val="16"/>
          <w:szCs w:val="18"/>
          <w:lang w:bidi="en-US"/>
        </w:rPr>
        <w:t>the private agents involved</w:t>
      </w:r>
      <w:r w:rsidRPr="00D56046">
        <w:rPr>
          <w:rFonts w:cs="ArialMT"/>
          <w:sz w:val="16"/>
          <w:szCs w:val="18"/>
          <w:lang w:bidi="en-US"/>
        </w:rPr>
        <w:t xml:space="preserve">. The </w:t>
      </w:r>
      <w:r w:rsidRPr="00D56046">
        <w:rPr>
          <w:rFonts w:cs="ArialMT"/>
          <w:i/>
          <w:iCs/>
          <w:sz w:val="16"/>
          <w:szCs w:val="18"/>
          <w:lang w:bidi="en-US"/>
        </w:rPr>
        <w:t>Earth Summit</w:t>
      </w:r>
      <w:r w:rsidRPr="00D56046">
        <w:rPr>
          <w:rFonts w:cs="ArialMT"/>
          <w:sz w:val="16"/>
          <w:szCs w:val="18"/>
          <w:lang w:bidi="en-US"/>
        </w:rPr>
        <w:t xml:space="preserve"> is the perfect place to get the necessary </w:t>
      </w:r>
      <w:r w:rsidRPr="00D56046">
        <w:rPr>
          <w:rFonts w:ascii="Helvetica" w:hAnsi="Helvetica" w:cs="Helvetica"/>
          <w:sz w:val="16"/>
          <w:lang w:bidi="en-US"/>
        </w:rPr>
        <w:t xml:space="preserve"> </w:t>
      </w:r>
      <w:r w:rsidRPr="00D56046">
        <w:rPr>
          <w:rFonts w:cs="ArialMT"/>
          <w:sz w:val="16"/>
          <w:szCs w:val="18"/>
          <w:lang w:bidi="en-US"/>
        </w:rPr>
        <w:t>international commitment and legitimization. This is why it is also the key time to stop them.</w:t>
      </w:r>
      <w:r w:rsidRPr="00D56046">
        <w:rPr>
          <w:sz w:val="16"/>
        </w:rPr>
        <w:t xml:space="preserve">  </w:t>
      </w:r>
    </w:p>
    <w:p w:rsidR="00C325CA" w:rsidRPr="002D461B" w:rsidRDefault="00C325CA" w:rsidP="00C325CA">
      <w:pPr>
        <w:pStyle w:val="Heading4"/>
      </w:pPr>
      <w:r w:rsidRPr="002D461B">
        <w:t>Incentives structures reenforce biopolitical neoliberalism</w:t>
      </w:r>
    </w:p>
    <w:p w:rsidR="00C325CA" w:rsidRPr="002D461B" w:rsidRDefault="00C325CA" w:rsidP="00C325CA">
      <w:r w:rsidRPr="002D461B">
        <w:rPr>
          <w:rStyle w:val="Author-Date"/>
        </w:rPr>
        <w:t>Adaman and Madra</w:t>
      </w:r>
      <w:r w:rsidRPr="002D461B">
        <w:t xml:space="preserve"> (Bogazici University, Department of Economics) </w:t>
      </w:r>
      <w:r w:rsidRPr="002D461B">
        <w:rPr>
          <w:rStyle w:val="Author-Date"/>
        </w:rPr>
        <w:t>12</w:t>
      </w:r>
    </w:p>
    <w:p w:rsidR="00C325CA" w:rsidRPr="002D461B" w:rsidRDefault="00C325CA" w:rsidP="00C325CA">
      <w:r w:rsidRPr="002D461B">
        <w:t>(Fikret &amp; Yahya M., Understanding Neoliberalism as Economization: The Case of the Ecology, http://www.econ.boun.edu.tr/public_html/RePEc/pdf/201204.pdf)</w:t>
      </w:r>
    </w:p>
    <w:p w:rsidR="00C325CA" w:rsidRPr="002D461B" w:rsidRDefault="00C325CA" w:rsidP="00C325CA">
      <w:pPr>
        <w:pStyle w:val="Nothing"/>
      </w:pPr>
    </w:p>
    <w:p w:rsidR="00C325CA" w:rsidRPr="002D461B" w:rsidRDefault="00C325CA" w:rsidP="00C325CA">
      <w:pPr>
        <w:pStyle w:val="Cards"/>
      </w:pPr>
      <w:r w:rsidRPr="002D461B">
        <w:t xml:space="preserve">Michel Foucault’s close reading of some of the key texts of neoliberal thought at his 1979   lectures at the Collège de France (Foucault, 2008; see also Tribe, 2009) moves beyond the   popular representations of neoliberalism that reduce it to a set of marketization policies.    According to Foucault, neoliberalism is a response to the historical unfolding of a constitutive   tension of liberal governmental reason: how might one extend the realm of freedom without   inadvertently delimiting it with governmental interventions that are necessary for the extension   of the realm of freedom? In contrast to classical liberalism that tried to limit government   control over markets, neoliberalism answers this question by aiming at nothing less than   modeling “the overall exercise of political power” on the competitive logic of markets   (Foucault, 2008: 131).  </w:t>
      </w:r>
      <w:r w:rsidRPr="002D461B">
        <w:rPr>
          <w:rStyle w:val="DebateUnderline"/>
          <w:rFonts w:eastAsiaTheme="majorEastAsia"/>
        </w:rPr>
        <w:t>The emergence of neoliberalism</w:t>
      </w:r>
      <w:r w:rsidRPr="002D461B">
        <w:t xml:space="preserve">, according to Foucault, </w:t>
      </w:r>
      <w:r w:rsidRPr="002D461B">
        <w:rPr>
          <w:rStyle w:val="DebateUnderline"/>
          <w:rFonts w:eastAsiaTheme="majorEastAsia"/>
        </w:rPr>
        <w:t>heralds</w:t>
      </w:r>
      <w:r w:rsidRPr="002D461B">
        <w:t xml:space="preserve"> the   birth of a new art of government, </w:t>
      </w:r>
      <w:r w:rsidRPr="002D461B">
        <w:rPr>
          <w:rStyle w:val="DebateUnderline"/>
          <w:rFonts w:eastAsiaTheme="majorEastAsia"/>
        </w:rPr>
        <w:t>a “biopolitical mode of governmentality,” where the state   ceases to relate to its subjects as citizen-subjects</w:t>
      </w:r>
      <w:r w:rsidRPr="002D461B">
        <w:t xml:space="preserve"> with social rights, a</w:t>
      </w:r>
      <w:r w:rsidRPr="002D461B">
        <w:rPr>
          <w:rStyle w:val="DebateUnderline"/>
          <w:rFonts w:eastAsiaTheme="majorEastAsia"/>
        </w:rPr>
        <w:t>nd begins to conduct its   functions under the presumption that subjects will respond (predictably) to economic   incentives</w:t>
      </w:r>
      <w:r w:rsidRPr="002D461B">
        <w:t xml:space="preserve"> in all aspects of their lives.  In short, </w:t>
      </w:r>
      <w:r w:rsidRPr="002D461B">
        <w:rPr>
          <w:rStyle w:val="DebateUnderline"/>
          <w:rFonts w:eastAsiaTheme="majorEastAsia"/>
        </w:rPr>
        <w:t>neolib</w:t>
      </w:r>
      <w:r w:rsidRPr="002D461B">
        <w:t xml:space="preserve">eralism, as a combination of an ideological   discourse and practices, </w:t>
      </w:r>
      <w:r w:rsidRPr="002D461B">
        <w:rPr>
          <w:rStyle w:val="DebateUnderline"/>
          <w:rFonts w:eastAsiaTheme="majorEastAsia"/>
        </w:rPr>
        <w:t>entails a push towards a de-politicization of the social through its   economization—viz. imposing a logic of cost-benefit analysis to all aspects of life under the   assumption that everything is commodifiable</w:t>
      </w:r>
      <w:r w:rsidRPr="002D461B">
        <w:t xml:space="preserve"> (see also Fine and Milonakis, 2009). </w:t>
      </w:r>
    </w:p>
    <w:p w:rsidR="00C325CA" w:rsidRDefault="00C325CA" w:rsidP="00C325CA"/>
    <w:p w:rsidR="00E254B2" w:rsidRDefault="00E254B2" w:rsidP="00CC2A3D"/>
    <w:p w:rsidR="00CC2A3D" w:rsidRDefault="00CC2A3D" w:rsidP="00CC2A3D">
      <w:pPr>
        <w:pStyle w:val="Heading1"/>
      </w:pPr>
      <w:r>
        <w:t>Limbo</w:t>
      </w:r>
    </w:p>
    <w:p w:rsidR="00CC2A3D" w:rsidRDefault="00CC2A3D" w:rsidP="00CC2A3D"/>
    <w:sectPr w:rsidR="00CC2A3D" w:rsidSect="00342014">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MS Gothic">
    <w:altName w:val="ＭＳ ゴシック"/>
    <w:charset w:val="80"/>
    <w:family w:val="modern"/>
    <w:pitch w:val="fixed"/>
    <w:sig w:usb0="E00002FF" w:usb1="6AC7FDFB" w:usb2="08000012" w:usb3="00000000" w:csb0="0002009F" w:csb1="00000000"/>
  </w:font>
  <w:font w:name="Arial">
    <w:panose1 w:val="020B0604020202020204"/>
    <w:charset w:val="00"/>
    <w:family w:val="auto"/>
    <w:pitch w:val="variable"/>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Calibri Light">
    <w:altName w:val="Cambria"/>
    <w:charset w:val="00"/>
    <w:family w:val="swiss"/>
    <w:pitch w:val="variable"/>
    <w:sig w:usb0="A00002EF" w:usb1="4000207B" w:usb2="00000000" w:usb3="00000000" w:csb0="0000019F"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8035194"/>
    <w:multiLevelType w:val="hybridMultilevel"/>
    <w:tmpl w:val="A6DE27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99E0758"/>
    <w:multiLevelType w:val="hybridMultilevel"/>
    <w:tmpl w:val="E70E8C90"/>
    <w:lvl w:ilvl="0" w:tplc="A3F0D6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5B8489F"/>
    <w:multiLevelType w:val="hybridMultilevel"/>
    <w:tmpl w:val="52340A6A"/>
    <w:lvl w:ilvl="0" w:tplc="5872A3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63184DC6"/>
    <w:multiLevelType w:val="hybridMultilevel"/>
    <w:tmpl w:val="A6DE27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2"/>
  </w:num>
  <w:num w:numId="13">
    <w:abstractNumId w:val="13"/>
  </w:num>
  <w:num w:numId="14">
    <w:abstractNumId w:val="15"/>
  </w:num>
  <w:num w:numId="15">
    <w:abstractNumId w:val="14"/>
  </w:num>
  <w:num w:numId="16">
    <w:abstractNumId w:val="11"/>
  </w:num>
  <w:num w:numId="17">
    <w:abstractNumId w:val="10"/>
  </w:num>
  <w:num w:numId="1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attachedTemplate r:id="rId1"/>
  <w:doNotTrackMoves/>
  <w:defaultTabStop w:val="720"/>
  <w:characterSpacingControl w:val="doNotCompress"/>
  <w:compat/>
  <w:docVars>
    <w:docVar w:name="RibbonPointer" w:val="192759332"/>
  </w:docVars>
  <w:rsids>
    <w:rsidRoot w:val="009A7732"/>
    <w:rsid w:val="0013646A"/>
    <w:rsid w:val="00142A50"/>
    <w:rsid w:val="00341CED"/>
    <w:rsid w:val="00342014"/>
    <w:rsid w:val="00541152"/>
    <w:rsid w:val="00553D71"/>
    <w:rsid w:val="005F292E"/>
    <w:rsid w:val="00614B26"/>
    <w:rsid w:val="006E2C2A"/>
    <w:rsid w:val="007B1F0D"/>
    <w:rsid w:val="008D6442"/>
    <w:rsid w:val="009A58CB"/>
    <w:rsid w:val="009A7732"/>
    <w:rsid w:val="00AB1816"/>
    <w:rsid w:val="00B16074"/>
    <w:rsid w:val="00BA2062"/>
    <w:rsid w:val="00C168E6"/>
    <w:rsid w:val="00C325CA"/>
    <w:rsid w:val="00C744B7"/>
    <w:rsid w:val="00CA29C7"/>
    <w:rsid w:val="00CC2A3D"/>
    <w:rsid w:val="00E254B2"/>
    <w:rsid w:val="00F02071"/>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41CED"/>
  </w:style>
  <w:style w:type="paragraph" w:styleId="Heading1">
    <w:name w:val="heading 1"/>
    <w:aliases w:val="Pocket"/>
    <w:basedOn w:val="Normal"/>
    <w:next w:val="Normal"/>
    <w:link w:val="Heading1Char"/>
    <w:autoRedefine/>
    <w:uiPriority w:val="9"/>
    <w:qFormat/>
    <w:rsid w:val="00341C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9"/>
    <w:unhideWhenUsed/>
    <w:qFormat/>
    <w:rsid w:val="00341C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9"/>
    <w:unhideWhenUsed/>
    <w:qFormat/>
    <w:rsid w:val="00341C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autoRedefine/>
    <w:uiPriority w:val="9"/>
    <w:unhideWhenUsed/>
    <w:qFormat/>
    <w:rsid w:val="00341CED"/>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uiPriority w:val="9"/>
    <w:rsid w:val="00341CED"/>
    <w:rPr>
      <w:rFonts w:eastAsiaTheme="majorEastAsia" w:cstheme="majorBidi"/>
      <w:b/>
      <w:sz w:val="52"/>
      <w:szCs w:val="32"/>
    </w:rPr>
  </w:style>
  <w:style w:type="character" w:customStyle="1" w:styleId="Heading2Char">
    <w:name w:val="Heading 2 Char"/>
    <w:aliases w:val="Hat Char"/>
    <w:basedOn w:val="DefaultParagraphFont"/>
    <w:link w:val="Heading2"/>
    <w:uiPriority w:val="9"/>
    <w:rsid w:val="00341CED"/>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9"/>
    <w:rsid w:val="00341CED"/>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9"/>
    <w:rsid w:val="00341CED"/>
    <w:rPr>
      <w:rFonts w:eastAsiaTheme="majorEastAsia" w:cstheme="majorBidi"/>
      <w:b/>
      <w:iCs/>
      <w:sz w:val="26"/>
    </w:rPr>
  </w:style>
  <w:style w:type="character" w:styleId="Emphasis">
    <w:name w:val="Emphasis"/>
    <w:aliases w:val="tag2,Size 10,emphasis in card,Evidence,Minimized,minimized,Highlighted,Underlined,CD Card,ED - Tag,emphasis,Emphasis!!,small,Qualifications,bold underline,normal card text,Shrunk,qualifications in card,qualifications,Debate"/>
    <w:basedOn w:val="DefaultParagraphFont"/>
    <w:link w:val="textbold"/>
    <w:uiPriority w:val="7"/>
    <w:qFormat/>
    <w:rsid w:val="00341CED"/>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341CED"/>
    <w:rPr>
      <w:b/>
      <w:bCs/>
      <w:sz w:val="26"/>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1"/>
    <w:qFormat/>
    <w:rsid w:val="00341CED"/>
    <w:rPr>
      <w:u w:val="single"/>
    </w:rPr>
  </w:style>
  <w:style w:type="character" w:styleId="Hyperlink">
    <w:name w:val="Hyperlink"/>
    <w:aliases w:val="heading 1 (block title),Important,Read,Card Text,Internet Link"/>
    <w:basedOn w:val="DefaultParagraphFont"/>
    <w:uiPriority w:val="99"/>
    <w:unhideWhenUsed/>
    <w:rsid w:val="00341CED"/>
    <w:rPr>
      <w:color w:val="auto"/>
      <w:u w:val="none"/>
    </w:rPr>
  </w:style>
  <w:style w:type="character" w:styleId="FollowedHyperlink">
    <w:name w:val="FollowedHyperlink"/>
    <w:basedOn w:val="DefaultParagraphFont"/>
    <w:uiPriority w:val="99"/>
    <w:semiHidden/>
    <w:unhideWhenUsed/>
    <w:rsid w:val="00341CED"/>
    <w:rPr>
      <w:color w:val="auto"/>
      <w:u w:val="none"/>
    </w:rPr>
  </w:style>
  <w:style w:type="paragraph" w:customStyle="1" w:styleId="CardIndented">
    <w:name w:val="Card (Indented)"/>
    <w:basedOn w:val="Normal"/>
    <w:link w:val="CardIndentedChar"/>
    <w:qFormat/>
    <w:rsid w:val="00F02071"/>
    <w:pPr>
      <w:ind w:left="288"/>
    </w:pPr>
    <w:rPr>
      <w:rFonts w:cs="Calibri"/>
    </w:rPr>
  </w:style>
  <w:style w:type="character" w:customStyle="1" w:styleId="CardIndentedChar">
    <w:name w:val="Card (Indented) Char"/>
    <w:basedOn w:val="DefaultParagraphFont"/>
    <w:link w:val="CardIndented"/>
    <w:rsid w:val="00F02071"/>
    <w:rPr>
      <w:rFonts w:cs="Calibri"/>
    </w:rPr>
  </w:style>
  <w:style w:type="character" w:customStyle="1" w:styleId="verdana">
    <w:name w:val="verdana"/>
    <w:basedOn w:val="DefaultParagraphFont"/>
    <w:rsid w:val="00F02071"/>
  </w:style>
  <w:style w:type="paragraph" w:customStyle="1" w:styleId="Nothing">
    <w:name w:val="Nothing"/>
    <w:link w:val="NothingChar"/>
    <w:qFormat/>
    <w:rsid w:val="00CC2A3D"/>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CC2A3D"/>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CC2A3D"/>
    <w:rPr>
      <w:sz w:val="24"/>
      <w:u w:val="thick"/>
    </w:rPr>
  </w:style>
  <w:style w:type="character" w:customStyle="1" w:styleId="Author-Date">
    <w:name w:val="Author-Date"/>
    <w:qFormat/>
    <w:rsid w:val="00CC2A3D"/>
    <w:rPr>
      <w:b/>
      <w:sz w:val="24"/>
    </w:rPr>
  </w:style>
  <w:style w:type="paragraph" w:customStyle="1" w:styleId="Tags">
    <w:name w:val="Tags"/>
    <w:aliases w:val="No Spacing,No Spacing1,No Spacing11,Debate Text,No Spacing111,No Spacing2,Read stuff,No Spacing112,No Spacing3,Card,Card Format,Small Text,No Spacing6,No Spacing7"/>
    <w:next w:val="Nothing"/>
    <w:uiPriority w:val="1"/>
    <w:qFormat/>
    <w:rsid w:val="00CC2A3D"/>
    <w:pPr>
      <w:widowControl w:val="0"/>
      <w:spacing w:after="0" w:line="240" w:lineRule="auto"/>
      <w:outlineLvl w:val="3"/>
    </w:pPr>
    <w:rPr>
      <w:rFonts w:ascii="Times New Roman" w:eastAsia="Times New Roman" w:hAnsi="Times New Roman" w:cs="Times New Roman"/>
      <w:b/>
      <w:sz w:val="24"/>
      <w:szCs w:val="24"/>
    </w:rPr>
  </w:style>
  <w:style w:type="character" w:customStyle="1" w:styleId="NothingChar">
    <w:name w:val="Nothing Char"/>
    <w:link w:val="Nothing"/>
    <w:rsid w:val="00CC2A3D"/>
    <w:rPr>
      <w:rFonts w:ascii="Times New Roman" w:eastAsia="Times New Roman" w:hAnsi="Times New Roman" w:cs="Times New Roman"/>
      <w:sz w:val="20"/>
      <w:szCs w:val="24"/>
    </w:rPr>
  </w:style>
  <w:style w:type="paragraph" w:customStyle="1" w:styleId="Cites">
    <w:name w:val="Cites"/>
    <w:next w:val="Cards"/>
    <w:rsid w:val="00CC2A3D"/>
    <w:pPr>
      <w:widowControl w:val="0"/>
      <w:spacing w:after="0" w:line="240" w:lineRule="auto"/>
    </w:pPr>
    <w:rPr>
      <w:rFonts w:ascii="Times New Roman" w:eastAsia="Times New Roman" w:hAnsi="Times New Roman" w:cs="Times New Roman"/>
      <w:sz w:val="20"/>
      <w:szCs w:val="24"/>
    </w:rPr>
  </w:style>
  <w:style w:type="paragraph" w:customStyle="1" w:styleId="textbold">
    <w:name w:val="text bold"/>
    <w:basedOn w:val="Normal"/>
    <w:link w:val="Emphasis"/>
    <w:uiPriority w:val="7"/>
    <w:qFormat/>
    <w:rsid w:val="00CC2A3D"/>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CardsChar">
    <w:name w:val="Cards Char"/>
    <w:link w:val="Cards"/>
    <w:rsid w:val="00341CED"/>
    <w:rPr>
      <w:rFonts w:ascii="Times New Roman" w:eastAsia="Times New Roman" w:hAnsi="Times New Roman" w:cs="Times New Roman"/>
      <w:sz w:val="20"/>
      <w:szCs w:val="24"/>
    </w:rPr>
  </w:style>
  <w:style w:type="paragraph" w:styleId="ListParagraph">
    <w:name w:val="List Paragraph"/>
    <w:basedOn w:val="Normal"/>
    <w:uiPriority w:val="34"/>
    <w:qFormat/>
    <w:rsid w:val="00C168E6"/>
    <w:pPr>
      <w:ind w:left="720"/>
      <w:contextualSpacing/>
    </w:pPr>
  </w:style>
  <w:style w:type="paragraph" w:styleId="DocumentMap">
    <w:name w:val="Document Map"/>
    <w:basedOn w:val="Normal"/>
    <w:link w:val="DocumentMapChar"/>
    <w:uiPriority w:val="99"/>
    <w:semiHidden/>
    <w:unhideWhenUsed/>
    <w:rsid w:val="00C325CA"/>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C325CA"/>
    <w:rPr>
      <w:rFonts w:ascii="Lucida Grande" w:hAnsi="Lucida Grande"/>
      <w:sz w:val="24"/>
      <w:szCs w:val="24"/>
    </w:rPr>
  </w:style>
  <w:style w:type="character" w:customStyle="1" w:styleId="TagsChar">
    <w:name w:val="Tags Char"/>
    <w:aliases w:val="No Spacing Char Char,Heading 2 Char2 Char Char1,Char Char Char Char Char Char1,Heading 2 Char3,Heading 2 Char Char2,Heading 2 Char1 Char Char Char2,Heading 2 Char2 Char2,Heading 2 Char1,Head"/>
    <w:uiPriority w:val="1"/>
    <w:rsid w:val="00C325CA"/>
  </w:style>
  <w:style w:type="paragraph" w:styleId="Header">
    <w:name w:val="header"/>
    <w:basedOn w:val="Normal"/>
    <w:link w:val="HeaderChar"/>
    <w:uiPriority w:val="99"/>
    <w:unhideWhenUsed/>
    <w:rsid w:val="00C325CA"/>
    <w:pPr>
      <w:tabs>
        <w:tab w:val="center" w:pos="4320"/>
        <w:tab w:val="right" w:pos="8640"/>
      </w:tabs>
      <w:spacing w:after="0" w:line="240" w:lineRule="auto"/>
    </w:pPr>
    <w:rPr>
      <w:rFonts w:ascii="Calibri" w:eastAsiaTheme="minorEastAsia" w:hAnsi="Calibri"/>
      <w:szCs w:val="24"/>
    </w:rPr>
  </w:style>
  <w:style w:type="character" w:customStyle="1" w:styleId="HeaderChar">
    <w:name w:val="Header Char"/>
    <w:basedOn w:val="DefaultParagraphFont"/>
    <w:link w:val="Header"/>
    <w:uiPriority w:val="99"/>
    <w:rsid w:val="00C325CA"/>
    <w:rPr>
      <w:rFonts w:ascii="Calibri" w:eastAsiaTheme="minorEastAsia" w:hAnsi="Calibri"/>
      <w:szCs w:val="24"/>
    </w:rPr>
  </w:style>
  <w:style w:type="paragraph" w:styleId="Footer">
    <w:name w:val="footer"/>
    <w:basedOn w:val="Normal"/>
    <w:link w:val="FooterChar"/>
    <w:uiPriority w:val="99"/>
    <w:unhideWhenUsed/>
    <w:rsid w:val="00C325CA"/>
    <w:pPr>
      <w:tabs>
        <w:tab w:val="center" w:pos="4320"/>
        <w:tab w:val="right" w:pos="8640"/>
      </w:tabs>
      <w:spacing w:after="0" w:line="240" w:lineRule="auto"/>
    </w:pPr>
    <w:rPr>
      <w:rFonts w:ascii="Calibri" w:eastAsiaTheme="minorEastAsia" w:hAnsi="Calibri"/>
      <w:szCs w:val="24"/>
    </w:rPr>
  </w:style>
  <w:style w:type="character" w:customStyle="1" w:styleId="FooterChar">
    <w:name w:val="Footer Char"/>
    <w:basedOn w:val="DefaultParagraphFont"/>
    <w:link w:val="Footer"/>
    <w:uiPriority w:val="99"/>
    <w:rsid w:val="00C325CA"/>
    <w:rPr>
      <w:rFonts w:ascii="Calibri" w:eastAsiaTheme="minorEastAsia" w:hAnsi="Calibri"/>
      <w:szCs w:val="24"/>
    </w:rPr>
  </w:style>
  <w:style w:type="character" w:styleId="PageNumber">
    <w:name w:val="page number"/>
    <w:basedOn w:val="DefaultParagraphFont"/>
    <w:uiPriority w:val="99"/>
    <w:semiHidden/>
    <w:unhideWhenUsed/>
    <w:rsid w:val="00C325CA"/>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unesco.org/new/fileadmin/%20MULTIMEDIA/HQ/SC/pdf/%20interagency_blue_paper_ocean_rioPlus20.pdf" TargetMode="External"/><Relationship Id="rId6" Type="http://schemas.openxmlformats.org/officeDocument/2006/relationships/hyperlink" Target="http://www.thefreedictionary.com/nonmilitary" TargetMode="External"/><Relationship Id="rId7" Type="http://schemas.openxmlformats.org/officeDocument/2006/relationships/hyperlink" Target="http://www.thefreedictionary.com/unmilitary" TargetMode="External"/><Relationship Id="rId8" Type="http://schemas.openxmlformats.org/officeDocument/2006/relationships/hyperlink" Target="http://www.stripes.com/news/noaa-the-service-that-s-a-little-less-formal-1.98207" TargetMode="External"/><Relationship Id="rId9" Type="http://schemas.openxmlformats.org/officeDocument/2006/relationships/hyperlink" Target="mailto:beth.fulton@csiro.au"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om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\Users\Thomas\AppData\Roaming\Microsoft\Templates\Debate.dotm</Template>
  <TotalTime>249</TotalTime>
  <Pages>34</Pages>
  <Words>12694</Words>
  <Characters>72361</Characters>
  <Application>Microsoft Macintosh Word</Application>
  <DocSecurity>0</DocSecurity>
  <Lines>603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Conger</dc:creator>
  <cp:keywords/>
  <dc:description/>
  <cp:lastModifiedBy>NICOLE SERRANO</cp:lastModifiedBy>
  <cp:revision>7</cp:revision>
  <dcterms:created xsi:type="dcterms:W3CDTF">2014-07-28T22:59:00Z</dcterms:created>
  <dcterms:modified xsi:type="dcterms:W3CDTF">2014-08-19T17:28:00Z</dcterms:modified>
</cp:coreProperties>
</file>