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3BE7D8" w14:textId="77777777" w:rsidR="00A86569" w:rsidRDefault="00A86569" w:rsidP="00A86569">
      <w:pPr>
        <w:pStyle w:val="Heading3"/>
      </w:pPr>
      <w:r>
        <w:t>K 1AC</w:t>
      </w:r>
    </w:p>
    <w:p w14:paraId="343A10F4" w14:textId="378088D9" w:rsidR="00A86569" w:rsidRDefault="00A86569" w:rsidP="00A86569">
      <w:pPr>
        <w:pStyle w:val="Heading4"/>
      </w:pPr>
      <w:r>
        <w:t>Contention One: The Anthropocene</w:t>
      </w:r>
    </w:p>
    <w:p w14:paraId="32A91F0F" w14:textId="77777777" w:rsidR="00A86569" w:rsidRDefault="00A86569" w:rsidP="00A86569">
      <w:pPr>
        <w:pStyle w:val="Heading4"/>
      </w:pPr>
      <w:r>
        <w:t xml:space="preserve">Initially note that we are in the Anthropocene—ocean acidification is reflective of a new geological epoch where humans have permanently impacted the trajectory of the planet. There is no going back—only an opportunity to respond </w:t>
      </w:r>
    </w:p>
    <w:p w14:paraId="1D1941B1" w14:textId="77777777" w:rsidR="00A86569" w:rsidRPr="009C7750" w:rsidRDefault="00A86569" w:rsidP="00A86569"/>
    <w:p w14:paraId="6CF9E277" w14:textId="77777777" w:rsidR="00A86569" w:rsidRPr="00D47D3C" w:rsidRDefault="00A86569" w:rsidP="00A86569">
      <w:pPr>
        <w:rPr>
          <w:rStyle w:val="StyleStyleBold12pt"/>
        </w:rPr>
      </w:pPr>
      <w:r w:rsidRPr="00D47D3C">
        <w:rPr>
          <w:rStyle w:val="StyleStyleBold12pt"/>
        </w:rPr>
        <w:t>Gibson-Graham, Department of Geosciences, University of Massachusetts,</w:t>
      </w:r>
      <w:r>
        <w:rPr>
          <w:rStyle w:val="StyleStyleBold12pt"/>
        </w:rPr>
        <w:t xml:space="preserve"> and Roelvink</w:t>
      </w:r>
      <w:r w:rsidRPr="00D47D3C">
        <w:rPr>
          <w:rStyle w:val="StyleStyleBold12pt"/>
        </w:rPr>
        <w:t xml:space="preserve"> 2009</w:t>
      </w:r>
    </w:p>
    <w:p w14:paraId="4971CDCA" w14:textId="77777777" w:rsidR="00A86569" w:rsidRPr="00D47D3C" w:rsidRDefault="00A86569" w:rsidP="00A86569">
      <w:pPr>
        <w:rPr>
          <w:sz w:val="16"/>
          <w:szCs w:val="16"/>
        </w:rPr>
      </w:pPr>
      <w:r w:rsidRPr="00D47D3C">
        <w:rPr>
          <w:sz w:val="16"/>
          <w:szCs w:val="16"/>
        </w:rPr>
        <w:t>(J.K. Gibson- Graham and Gerda Roelvink, Centre for Citizenship and Public Policy, University of Western Sydney, Australia, “An Economic Ethics</w:t>
      </w:r>
      <w:r>
        <w:rPr>
          <w:sz w:val="16"/>
          <w:szCs w:val="16"/>
        </w:rPr>
        <w:t xml:space="preserve"> for the Anthropocene”, pdf)</w:t>
      </w:r>
    </w:p>
    <w:p w14:paraId="2DF0A137" w14:textId="77777777" w:rsidR="00A86569" w:rsidRDefault="00A86569" w:rsidP="00A86569">
      <w:pPr>
        <w:rPr>
          <w:sz w:val="16"/>
        </w:rPr>
      </w:pPr>
      <w:r w:rsidRPr="003C4195">
        <w:rPr>
          <w:rStyle w:val="StyleBoldUnderline"/>
          <w:szCs w:val="22"/>
        </w:rPr>
        <w:t>In 2008, the Geological Society of London announced a new geological epoch, the Anthropocene, in which humankind is foregrounded as a geological force or agent: The Holocene epoch—the interglacial span of unusually stable climate that has allowed the rapid evolution of agriculture and urban civilization—has ended and ... the Earth has entered “a stratigraphic interval without close parallel in the last several million years.”</w:t>
      </w:r>
      <w:r w:rsidRPr="006D515D">
        <w:rPr>
          <w:sz w:val="16"/>
        </w:rPr>
        <w:t xml:space="preserve"> </w:t>
      </w:r>
      <w:proofErr w:type="gramStart"/>
      <w:r w:rsidRPr="006D515D">
        <w:rPr>
          <w:sz w:val="16"/>
        </w:rPr>
        <w:t xml:space="preserve">In addition to the buildup of greenhouse gases, the stratigrapherscite </w:t>
      </w:r>
      <w:r w:rsidRPr="003C4195">
        <w:rPr>
          <w:rStyle w:val="StyleBoldUnderline"/>
          <w:szCs w:val="22"/>
        </w:rPr>
        <w:t xml:space="preserve">human landscape transformation which “now exceeds [annual] natural sediment production by an order of magnitude,” </w:t>
      </w:r>
      <w:r w:rsidRPr="00D47D3C">
        <w:rPr>
          <w:rStyle w:val="Emphasis"/>
        </w:rPr>
        <w:t>the ominous acidification of the oceans</w:t>
      </w:r>
      <w:r w:rsidRPr="003C4195">
        <w:rPr>
          <w:rStyle w:val="StyleBoldUnderline"/>
          <w:szCs w:val="22"/>
        </w:rPr>
        <w:t>, and the relentless destruction of biota.</w:t>
      </w:r>
      <w:proofErr w:type="gramEnd"/>
      <w:r w:rsidRPr="003C4195">
        <w:rPr>
          <w:rStyle w:val="StyleBoldUnderline"/>
          <w:szCs w:val="22"/>
        </w:rPr>
        <w:t xml:space="preserve"> This new age</w:t>
      </w:r>
      <w:r w:rsidRPr="006D515D">
        <w:rPr>
          <w:sz w:val="16"/>
        </w:rPr>
        <w:t xml:space="preserve">, they explain, </w:t>
      </w:r>
      <w:r w:rsidRPr="003C4195">
        <w:rPr>
          <w:rStyle w:val="StyleBoldUnderline"/>
          <w:szCs w:val="22"/>
        </w:rPr>
        <w:t xml:space="preserve">is defined both by </w:t>
      </w:r>
      <w:r w:rsidRPr="00D47D3C">
        <w:rPr>
          <w:rStyle w:val="Emphasis"/>
        </w:rPr>
        <w:t>the heating trend</w:t>
      </w:r>
      <w:r w:rsidRPr="006D515D">
        <w:rPr>
          <w:sz w:val="16"/>
        </w:rPr>
        <w:t xml:space="preserve"> (whose closest analogue may be the catastrophe known as the Paleocene Eocene Thermal Maximum, 56 million years ago) </w:t>
      </w:r>
      <w:r w:rsidRPr="003C4195">
        <w:rPr>
          <w:rStyle w:val="StyleBoldUnderline"/>
          <w:szCs w:val="22"/>
        </w:rPr>
        <w:t>and by the radical instability expected of future environments... Evolution itself ... has been forced into a new trajectory</w:t>
      </w:r>
      <w:r w:rsidRPr="006D515D">
        <w:rPr>
          <w:sz w:val="16"/>
        </w:rPr>
        <w:t xml:space="preserve"> (Davis 2008). The end of the Holocene, the coming of the Anthropocene, the displaced trajectory of evolution—</w:t>
      </w:r>
      <w:r w:rsidRPr="003C4195">
        <w:rPr>
          <w:rStyle w:val="StyleBoldUnderline"/>
          <w:szCs w:val="22"/>
        </w:rPr>
        <w:t>these apocalyptical images toss us onto a meta-historical playing field without a clue as to how to play the game</w:t>
      </w:r>
      <w:r w:rsidRPr="006D515D">
        <w:rPr>
          <w:sz w:val="16"/>
        </w:rPr>
        <w:t xml:space="preserve"> (Chakrabarty 2009). </w:t>
      </w:r>
      <w:r w:rsidRPr="003C4195">
        <w:rPr>
          <w:rStyle w:val="StyleBoldUnderline"/>
          <w:szCs w:val="22"/>
        </w:rPr>
        <w:t>Suddenly we are not just billions of individuals and millions of collectivities but a single species alongside other species, one whose survival is threatened by its own behavior.</w:t>
      </w:r>
      <w:r w:rsidRPr="006D515D">
        <w:rPr>
          <w:sz w:val="16"/>
        </w:rPr>
        <w:t xml:space="preserve"> References to millions of years, which used to make our brief lives seem inconsequential, now endow us with gargantuan agency and an almost unbearable level of responsibility—intuitively beyond our capacities for rational or concerted action. Never mind that climate scientists instruct us that such action, undertaken over the </w:t>
      </w:r>
      <w:proofErr w:type="gramStart"/>
      <w:r w:rsidRPr="006D515D">
        <w:rPr>
          <w:sz w:val="16"/>
        </w:rPr>
        <w:t>next</w:t>
      </w:r>
      <w:proofErr w:type="gramEnd"/>
      <w:r w:rsidRPr="006D515D">
        <w:rPr>
          <w:sz w:val="16"/>
        </w:rPr>
        <w:t xml:space="preserve"> few years, is the only thing that can possibly avert a catastrophe. In response to scientists’ warnings, solutions are being proposed and put in place—cap-and-trade arrangements, experiments in green technology (particularly energy) and development, international treaties, corporate pledges (many already reneged upon), changes in lifestyle and consumption. Efforts to generate political momentum for change are intensifying, including cautions about imminent tipping points and predictions such as Davis’s of a “planet of slums, with growing food and energy crises” (2008) punctuated by small climate-protected pockets of the wealthy (Steffan 2008). These</w:t>
      </w:r>
      <w:r w:rsidRPr="003C4195">
        <w:rPr>
          <w:rStyle w:val="StyleBoldUnderline"/>
          <w:szCs w:val="22"/>
        </w:rPr>
        <w:t xml:space="preserve"> attempts at stimulating outrage and action frequently involve naming and blaming capitalist industrialization, in both its systemic and personified forms.</w:t>
      </w:r>
      <w:r w:rsidRPr="006D515D">
        <w:rPr>
          <w:sz w:val="16"/>
        </w:rPr>
        <w:t xml:space="preserve"> The head of NASA’s Goddard </w:t>
      </w:r>
      <w:r w:rsidRPr="00B32F73">
        <w:rPr>
          <w:sz w:val="16"/>
          <w:szCs w:val="16"/>
        </w:rPr>
        <w:t>Institute for Space Studies, for example, recently proposed to a congressional committee that CEOs of fossil energy companies be tried for “high crimes against humanity and nature” (Tomdispatch 2008). Frustrated that confronting the world with terrifying “facts” is not enough to galvanize appropriate action, climate scientists have begun to call upon social scientists to come up with new approaches to social change. And here the debate rages over whether technology</w:t>
      </w:r>
      <w:r w:rsidRPr="006D515D">
        <w:rPr>
          <w:sz w:val="16"/>
        </w:rPr>
        <w:t xml:space="preserve"> alone can solve our problems or whether fundamental shifts in values are required (Steffan 2008). </w:t>
      </w:r>
      <w:r w:rsidRPr="003C4195">
        <w:rPr>
          <w:rStyle w:val="StyleBoldUnderline"/>
          <w:szCs w:val="22"/>
        </w:rPr>
        <w:t>Techno-skeptics point to the history of energy efficient innovations that have resulted in cheaper appliances, leading to more widespread appliance use and large overall increases in energy consumption</w:t>
      </w:r>
      <w:r w:rsidRPr="006D515D">
        <w:rPr>
          <w:sz w:val="16"/>
        </w:rPr>
        <w:t xml:space="preserve"> (Hobson 2008). </w:t>
      </w:r>
      <w:r w:rsidRPr="003C4195">
        <w:rPr>
          <w:rStyle w:val="StyleBoldUnderline"/>
          <w:szCs w:val="22"/>
        </w:rPr>
        <w:t xml:space="preserve">Proponents of values shifts are similarly unconvincing. </w:t>
      </w:r>
      <w:r w:rsidRPr="007F0A5D">
        <w:rPr>
          <w:sz w:val="16"/>
          <w:szCs w:val="16"/>
        </w:rPr>
        <w:t xml:space="preserve">As </w:t>
      </w:r>
      <w:r w:rsidRPr="009C7750">
        <w:rPr>
          <w:sz w:val="16"/>
          <w:szCs w:val="16"/>
        </w:rPr>
        <w:t>Hobson argues,</w:t>
      </w:r>
      <w:r w:rsidRPr="003C4195">
        <w:rPr>
          <w:szCs w:val="22"/>
        </w:rPr>
        <w:t xml:space="preserve"> we don’t seem to know</w:t>
      </w:r>
      <w:r w:rsidRPr="009C7750">
        <w:rPr>
          <w:sz w:val="16"/>
          <w:szCs w:val="16"/>
        </w:rPr>
        <w:t xml:space="preserve"> how to create such shifts, nor do we know that they are effective. Information campaigns don’t engender changes in values, and changes in values don’t automatically yield changes in behavior (2008:7), which are ultimately what we are seeking—ways of living differently with the earth. Val Plumwood is eloquent and arresting here: “If our species does not survive the ecological crisis, it will probably be due to our failure ... to work out new ways to live with the earth, to rework ourselves... We will go onwards in a different mode of humanity, or not at all” (2007:1). From this perspective, responding to the challenges of the Anthropocene is not simply about </w:t>
      </w:r>
      <w:r w:rsidRPr="009C7750">
        <w:rPr>
          <w:sz w:val="16"/>
          <w:szCs w:val="16"/>
        </w:rPr>
        <w:lastRenderedPageBreak/>
        <w:t>humans finding a technological or normative fix that will control and restore the earth. It is about human beings being transformed by the world in which we find ourselves—or, to put this in more reciprocal terms, it is about the earth’s future being transformed through a living process of inter-being. But how do we put ourselves (and the earth) in the way of such transformations</w:t>
      </w:r>
      <w:r w:rsidRPr="006D515D">
        <w:rPr>
          <w:sz w:val="16"/>
        </w:rPr>
        <w:t xml:space="preserve">? </w:t>
      </w:r>
      <w:r w:rsidRPr="003C4195">
        <w:rPr>
          <w:rStyle w:val="StyleBoldUnderline"/>
          <w:szCs w:val="22"/>
        </w:rPr>
        <w:t>How do we get from an abstract ontological revisioning to a glimmer or a whiff of what to do on the ground?</w:t>
      </w:r>
      <w:r w:rsidRPr="006D515D">
        <w:rPr>
          <w:sz w:val="16"/>
        </w:rPr>
        <w:t xml:space="preserve"> No answer arrives when we ponder this question—just a spacious silence and a slowing down. Silence and slowness are openings, of course, opportunities for the body to shift its stance, to meld a little more with its surroundings; </w:t>
      </w:r>
      <w:r w:rsidRPr="003C4195">
        <w:rPr>
          <w:rStyle w:val="StyleBoldUnderline"/>
          <w:szCs w:val="22"/>
        </w:rPr>
        <w:t>chances for the mind to mull over what floats by on the affective tide, or to swerve from its course as momentum decreases.</w:t>
      </w:r>
      <w:r w:rsidRPr="006D515D">
        <w:rPr>
          <w:sz w:val="16"/>
        </w:rPr>
        <w:t xml:space="preserve"> </w:t>
      </w:r>
      <w:r w:rsidRPr="003C4195">
        <w:rPr>
          <w:rStyle w:val="StyleBoldUnderline"/>
          <w:szCs w:val="22"/>
        </w:rPr>
        <w:t>Undoubtedly these are openings for learning</w:t>
      </w:r>
      <w:r w:rsidRPr="006D515D">
        <w:rPr>
          <w:sz w:val="16"/>
        </w:rPr>
        <w:t>. Not learning in the sense of increasing a store of</w:t>
      </w:r>
      <w:r w:rsidRPr="003C4195">
        <w:rPr>
          <w:rStyle w:val="StyleBoldUnderline"/>
          <w:szCs w:val="22"/>
        </w:rPr>
        <w:t xml:space="preserve"> knowledge </w:t>
      </w:r>
      <w:r w:rsidRPr="006D515D">
        <w:rPr>
          <w:sz w:val="16"/>
        </w:rPr>
        <w:t>but</w:t>
      </w:r>
      <w:r w:rsidRPr="003C4195">
        <w:rPr>
          <w:rStyle w:val="StyleBoldUnderline"/>
          <w:szCs w:val="22"/>
        </w:rPr>
        <w:t xml:space="preserve"> in the sense of becoming other, creating connections and encountering possibilities that render us newly constituted beings in a newly constituted world. </w:t>
      </w:r>
      <w:r w:rsidRPr="006D515D">
        <w:rPr>
          <w:rStyle w:val="Emphasis"/>
        </w:rPr>
        <w:t xml:space="preserve">Latour along with others has called this “learning to be affected” </w:t>
      </w:r>
      <w:r w:rsidRPr="006D515D">
        <w:rPr>
          <w:sz w:val="16"/>
          <w:szCs w:val="16"/>
        </w:rPr>
        <w:t>(2004</w:t>
      </w:r>
      <w:r w:rsidRPr="006D515D">
        <w:rPr>
          <w:sz w:val="16"/>
        </w:rPr>
        <w:t xml:space="preserve">:205; see also Hinchliffe 2003, 2007). </w:t>
      </w:r>
      <w:r w:rsidRPr="003C4195">
        <w:rPr>
          <w:rStyle w:val="StyleBoldUnderline"/>
          <w:szCs w:val="22"/>
        </w:rPr>
        <w:t>Effectively we are created as bodies/beings by the entirety of human and non-human conditions of the world that affect us and from which we learn—if we are open to doing s</w:t>
      </w:r>
      <w:r w:rsidRPr="006D515D">
        <w:rPr>
          <w:sz w:val="16"/>
        </w:rPr>
        <w:t>o.1 Momentous as it may sound and mundane as it may actually be, this learning is a process of co-constitution that produces a new body-world.</w:t>
      </w:r>
    </w:p>
    <w:p w14:paraId="036584DD" w14:textId="77777777" w:rsidR="00A86569" w:rsidRDefault="00A86569" w:rsidP="00A86569">
      <w:pPr>
        <w:rPr>
          <w:sz w:val="16"/>
        </w:rPr>
      </w:pPr>
    </w:p>
    <w:p w14:paraId="68A6C981" w14:textId="77777777" w:rsidR="00A86569" w:rsidRDefault="00A86569" w:rsidP="00A86569">
      <w:pPr>
        <w:pStyle w:val="Heading4"/>
        <w:rPr>
          <w:rFonts w:ascii="Calibri" w:hAnsi="Calibri"/>
        </w:rPr>
      </w:pPr>
      <w:r>
        <w:rPr>
          <w:rFonts w:ascii="Calibri" w:hAnsi="Calibri"/>
        </w:rPr>
        <w:t>Ocean acidification and climate change are intimately related—</w:t>
      </w:r>
      <w:r w:rsidRPr="002E06C3">
        <w:rPr>
          <w:rFonts w:ascii="Calibri" w:hAnsi="Calibri"/>
        </w:rPr>
        <w:t>prevents oceans from absorbing CO2, accelerating climate change</w:t>
      </w:r>
    </w:p>
    <w:p w14:paraId="618D550B" w14:textId="77777777" w:rsidR="00A86569" w:rsidRPr="003C4195" w:rsidRDefault="00A86569" w:rsidP="00A86569"/>
    <w:p w14:paraId="06047884" w14:textId="77777777" w:rsidR="00A86569" w:rsidRPr="002E06C3" w:rsidRDefault="00A86569" w:rsidP="00A86569">
      <w:pPr>
        <w:rPr>
          <w:sz w:val="16"/>
          <w:szCs w:val="16"/>
        </w:rPr>
      </w:pPr>
      <w:r w:rsidRPr="002E06C3">
        <w:rPr>
          <w:rStyle w:val="StyleStyleBold12pt"/>
        </w:rPr>
        <w:t>Devic 2014</w:t>
      </w:r>
      <w:r w:rsidRPr="002E06C3">
        <w:rPr>
          <w:sz w:val="16"/>
          <w:szCs w:val="16"/>
        </w:rPr>
        <w:t xml:space="preserve"> (Magali, Associate at the Women’s Council on Energy and the Environment, “REDUCTIONS IN OCEANS' UPTAKE CAPACITY COULD SPEED UP GLOBAL WARMING”, March 18 2014, </w:t>
      </w:r>
      <w:hyperlink r:id="rId11" w:history="1">
        <w:r w:rsidRPr="002E06C3">
          <w:rPr>
            <w:rStyle w:val="Hyperlink"/>
            <w:sz w:val="16"/>
            <w:szCs w:val="16"/>
          </w:rPr>
          <w:t>http://www.climate.org/topics/climate-change/ocean-uptake-climate-change.html</w:t>
        </w:r>
      </w:hyperlink>
      <w:r w:rsidRPr="002E06C3">
        <w:rPr>
          <w:sz w:val="16"/>
          <w:szCs w:val="16"/>
        </w:rPr>
        <w:t>, Accessed 7/21/14 //CM)</w:t>
      </w:r>
    </w:p>
    <w:p w14:paraId="74901A8B" w14:textId="77777777" w:rsidR="00A86569" w:rsidRPr="002E06C3" w:rsidRDefault="00A86569" w:rsidP="00A86569">
      <w:pPr>
        <w:rPr>
          <w:sz w:val="16"/>
          <w:szCs w:val="16"/>
        </w:rPr>
      </w:pPr>
    </w:p>
    <w:p w14:paraId="57574859" w14:textId="77777777" w:rsidR="00A86569" w:rsidRDefault="00A86569" w:rsidP="00A86569">
      <w:pPr>
        <w:rPr>
          <w:sz w:val="16"/>
          <w:szCs w:val="16"/>
        </w:rPr>
      </w:pPr>
      <w:r w:rsidRPr="003C4195">
        <w:rPr>
          <w:rStyle w:val="StyleBoldUnderline"/>
          <w:szCs w:val="22"/>
        </w:rPr>
        <w:t>The uptake of anthropogenic CO2 by the ocean changes the chemistry of the oceans and can potentially have significant impacts on the biological systems in the upper oceans</w:t>
      </w:r>
      <w:r w:rsidRPr="002E06C3">
        <w:rPr>
          <w:sz w:val="16"/>
          <w:szCs w:val="16"/>
        </w:rPr>
        <w:t xml:space="preserve">. In June 2005, The Royal Society (the United Kingdom's National Academy of Science) released a report analyzing the impact of increasing atmospheric carbon dioxide on ocean acidification. Surface oceans have an average pH globally of about 8.2 units. </w:t>
      </w:r>
      <w:r w:rsidRPr="003C4195">
        <w:rPr>
          <w:rStyle w:val="StyleBoldUnderline"/>
          <w:szCs w:val="22"/>
          <w:highlight w:val="cyan"/>
        </w:rPr>
        <w:t>Carbon emissions in the atmosphere have lowered the ocean pH</w:t>
      </w:r>
      <w:r w:rsidRPr="003C4195">
        <w:rPr>
          <w:rStyle w:val="StyleBoldUnderline"/>
          <w:szCs w:val="22"/>
        </w:rPr>
        <w:t>, increasing the acidity of the ocean by 30 percent in the last 100 years, according to</w:t>
      </w:r>
      <w:r w:rsidRPr="002E06C3">
        <w:rPr>
          <w:sz w:val="16"/>
          <w:szCs w:val="16"/>
        </w:rPr>
        <w:t xml:space="preserve"> the National Oceanic and Atmospheric Administration (</w:t>
      </w:r>
      <w:r w:rsidRPr="003C4195">
        <w:rPr>
          <w:rStyle w:val="StyleBoldUnderline"/>
          <w:szCs w:val="22"/>
        </w:rPr>
        <w:t>NOAA</w:t>
      </w:r>
      <w:r w:rsidRPr="002E06C3">
        <w:rPr>
          <w:sz w:val="16"/>
          <w:szCs w:val="16"/>
        </w:rPr>
        <w:t xml:space="preserve">). NOAA also projects that, by the end of the century, current levels of carbon dioxide emissions could result in the lowest levels of ocean pH in 20 million years. </w:t>
      </w:r>
      <w:r w:rsidRPr="002E06C3">
        <w:rPr>
          <w:rStyle w:val="Emphasis"/>
          <w:highlight w:val="cyan"/>
        </w:rPr>
        <w:t>A balanced pH is vital in order to</w:t>
      </w:r>
      <w:r w:rsidRPr="002E06C3">
        <w:rPr>
          <w:rStyle w:val="Emphasis"/>
        </w:rPr>
        <w:t xml:space="preserve"> </w:t>
      </w:r>
      <w:r w:rsidRPr="002E06C3">
        <w:rPr>
          <w:sz w:val="16"/>
          <w:szCs w:val="16"/>
        </w:rPr>
        <w:t xml:space="preserve">maintain water quality favorable to marine life and in order to </w:t>
      </w:r>
      <w:r w:rsidRPr="002E06C3">
        <w:rPr>
          <w:rStyle w:val="Emphasis"/>
          <w:highlight w:val="cyan"/>
        </w:rPr>
        <w:t>keep the ocean serving as a "carbon reservoir."</w:t>
      </w:r>
      <w:r w:rsidRPr="003C4195">
        <w:rPr>
          <w:rStyle w:val="StyleBoldUnderline"/>
          <w:szCs w:val="22"/>
          <w:highlight w:val="cyan"/>
        </w:rPr>
        <w:t xml:space="preserve"> If the oceans become too acidic, the shells of animals such as scallops, clams, crabs, plankton and corals are immediately threatened</w:t>
      </w:r>
      <w:proofErr w:type="gramStart"/>
      <w:r w:rsidRPr="002E06C3">
        <w:rPr>
          <w:sz w:val="16"/>
          <w:szCs w:val="16"/>
        </w:rPr>
        <w:t>.</w:t>
      </w:r>
      <w:r w:rsidRPr="002E06C3">
        <w:rPr>
          <w:sz w:val="12"/>
          <w:szCs w:val="16"/>
        </w:rPr>
        <w:t>¶</w:t>
      </w:r>
      <w:proofErr w:type="gramEnd"/>
      <w:r w:rsidRPr="002E06C3">
        <w:rPr>
          <w:sz w:val="12"/>
          <w:szCs w:val="16"/>
        </w:rPr>
        <w:t xml:space="preserve"> </w:t>
      </w:r>
      <w:r w:rsidRPr="002E06C3">
        <w:rPr>
          <w:sz w:val="16"/>
          <w:szCs w:val="16"/>
        </w:rPr>
        <w:t xml:space="preserve">Although studies into the impacts of high concentrations of CO2 in the oceans are still in their infancy, </w:t>
      </w:r>
      <w:r w:rsidRPr="003C4195">
        <w:rPr>
          <w:rStyle w:val="StyleBoldUnderline"/>
          <w:szCs w:val="22"/>
        </w:rPr>
        <w:t xml:space="preserve">evidence indicates that </w:t>
      </w:r>
      <w:r w:rsidRPr="002E06C3">
        <w:rPr>
          <w:rStyle w:val="Emphasis"/>
          <w:highlight w:val="cyan"/>
        </w:rPr>
        <w:t>reduced ocean carbon uptake is starting to occur</w:t>
      </w:r>
      <w:r w:rsidRPr="003C4195">
        <w:rPr>
          <w:rStyle w:val="StyleBoldUnderline"/>
          <w:szCs w:val="22"/>
          <w:highlight w:val="cyan"/>
        </w:rPr>
        <w:t xml:space="preserve"> and that this poses a serious hazard because this is likely to </w:t>
      </w:r>
      <w:r w:rsidRPr="002E06C3">
        <w:rPr>
          <w:rStyle w:val="Emphasis"/>
          <w:highlight w:val="cyan"/>
        </w:rPr>
        <w:t>speed up global warming</w:t>
      </w:r>
      <w:r w:rsidRPr="003C4195">
        <w:rPr>
          <w:rStyle w:val="StyleBoldUnderline"/>
          <w:szCs w:val="22"/>
        </w:rPr>
        <w:t>, as occurred when this type of feedback was initiated during the early warming stages of previous interglacials</w:t>
      </w:r>
      <w:r w:rsidRPr="002E06C3">
        <w:rPr>
          <w:sz w:val="16"/>
          <w:szCs w:val="16"/>
        </w:rPr>
        <w:t xml:space="preserve"> On October 16th 2007, the US Senate passed a provision proposed by Senator Frank Lautenberg (D-NJ) to Protect Oceans from Acidification. The legislation, co-sponsored by Sen. Barbara Boxer (D-CA) would focus more research attention on ocean acidification, which threatens marine life and the fishing industry</w:t>
      </w:r>
      <w:proofErr w:type="gramStart"/>
      <w:r w:rsidRPr="002E06C3">
        <w:rPr>
          <w:sz w:val="16"/>
          <w:szCs w:val="16"/>
        </w:rPr>
        <w:t>.</w:t>
      </w:r>
      <w:r w:rsidRPr="002E06C3">
        <w:rPr>
          <w:sz w:val="12"/>
          <w:szCs w:val="16"/>
        </w:rPr>
        <w:t>¶</w:t>
      </w:r>
      <w:proofErr w:type="gramEnd"/>
      <w:r w:rsidRPr="002E06C3">
        <w:rPr>
          <w:sz w:val="12"/>
          <w:szCs w:val="16"/>
        </w:rPr>
        <w:t xml:space="preserve"> </w:t>
      </w:r>
      <w:r w:rsidRPr="003C4195">
        <w:rPr>
          <w:rStyle w:val="StyleBoldUnderline"/>
          <w:szCs w:val="22"/>
          <w:highlight w:val="cyan"/>
        </w:rPr>
        <w:t>Both the trends in ocean acidification and CO2 absorption will have very large implications</w:t>
      </w:r>
      <w:r w:rsidRPr="003C4195">
        <w:rPr>
          <w:rStyle w:val="StyleBoldUnderline"/>
          <w:szCs w:val="22"/>
        </w:rPr>
        <w:t>, perhaps comparable to the potential impacts of more rapid melting of the Greenland Ice Sheet</w:t>
      </w:r>
      <w:r w:rsidRPr="002E06C3">
        <w:rPr>
          <w:sz w:val="16"/>
          <w:szCs w:val="16"/>
        </w:rPr>
        <w:t>. Moreover, reduced CO2 absorption by the oceans could accelerate warming greatly, pushing the climate toward a more precipitous melting of the Greenland ice sheet</w:t>
      </w:r>
      <w:proofErr w:type="gramStart"/>
      <w:r w:rsidRPr="002E06C3">
        <w:rPr>
          <w:sz w:val="16"/>
          <w:szCs w:val="16"/>
        </w:rPr>
        <w:t>.</w:t>
      </w:r>
      <w:r w:rsidRPr="002E06C3">
        <w:rPr>
          <w:sz w:val="12"/>
          <w:szCs w:val="16"/>
        </w:rPr>
        <w:t>¶</w:t>
      </w:r>
      <w:proofErr w:type="gramEnd"/>
      <w:r w:rsidRPr="002E06C3">
        <w:rPr>
          <w:sz w:val="12"/>
          <w:szCs w:val="16"/>
        </w:rPr>
        <w:t xml:space="preserve"> </w:t>
      </w:r>
      <w:r w:rsidRPr="003C4195">
        <w:rPr>
          <w:rStyle w:val="StyleBoldUnderline"/>
          <w:szCs w:val="22"/>
        </w:rPr>
        <w:t>The recent developments give heightened urgency to our having a grasp of the ocean acidification and CO2 absorption trends</w:t>
      </w:r>
      <w:r w:rsidRPr="002E06C3">
        <w:rPr>
          <w:sz w:val="16"/>
          <w:szCs w:val="16"/>
        </w:rPr>
        <w:t>. Although research and resources aiming at monitoring oceans should be drastically enhanced to fully understand the various consequences that will bring about anthropogenic Co2 emissions, there is cause for great concern over the threat carbon dioxide poses for the health of our oceans.</w:t>
      </w:r>
    </w:p>
    <w:p w14:paraId="4A7F4FEE" w14:textId="77777777" w:rsidR="00A86569" w:rsidRDefault="00A86569" w:rsidP="00A86569">
      <w:pPr>
        <w:rPr>
          <w:sz w:val="16"/>
          <w:szCs w:val="16"/>
        </w:rPr>
      </w:pPr>
    </w:p>
    <w:p w14:paraId="112A2FE3" w14:textId="77777777" w:rsidR="00A86569" w:rsidRPr="002E06C3" w:rsidRDefault="00A86569" w:rsidP="00A86569">
      <w:pPr>
        <w:pStyle w:val="Heading4"/>
        <w:rPr>
          <w:rFonts w:ascii="Calibri" w:hAnsi="Calibri"/>
        </w:rPr>
      </w:pPr>
      <w:r>
        <w:rPr>
          <w:rFonts w:ascii="Calibri" w:hAnsi="Calibri"/>
        </w:rPr>
        <w:t>Positive</w:t>
      </w:r>
      <w:r w:rsidRPr="002E06C3">
        <w:rPr>
          <w:rFonts w:ascii="Calibri" w:hAnsi="Calibri"/>
        </w:rPr>
        <w:t xml:space="preserve"> feedback loops </w:t>
      </w:r>
      <w:r>
        <w:rPr>
          <w:rFonts w:ascii="Calibri" w:hAnsi="Calibri"/>
        </w:rPr>
        <w:t>implicate the entire ecological system</w:t>
      </w:r>
      <w:r w:rsidRPr="002E06C3">
        <w:rPr>
          <w:rFonts w:ascii="Calibri" w:hAnsi="Calibri"/>
        </w:rPr>
        <w:t xml:space="preserve"> – they contribute to temperature increases and warming solutions </w:t>
      </w:r>
      <w:r>
        <w:rPr>
          <w:rFonts w:ascii="Calibri" w:hAnsi="Calibri"/>
        </w:rPr>
        <w:t>fail otherwise</w:t>
      </w:r>
    </w:p>
    <w:p w14:paraId="1A7BC373" w14:textId="77777777" w:rsidR="00A86569" w:rsidRPr="002E06C3" w:rsidRDefault="00A86569" w:rsidP="00A86569">
      <w:pPr>
        <w:rPr>
          <w:rStyle w:val="StyleStyleBold12pt"/>
        </w:rPr>
      </w:pPr>
      <w:r w:rsidRPr="002E06C3">
        <w:rPr>
          <w:rStyle w:val="StyleStyleBold12pt"/>
        </w:rPr>
        <w:t>Lawrence Berkeley National Laboratory, 2006</w:t>
      </w:r>
    </w:p>
    <w:p w14:paraId="1905DE28" w14:textId="77777777" w:rsidR="00A86569" w:rsidRPr="002E06C3" w:rsidRDefault="00A86569" w:rsidP="00A86569">
      <w:r w:rsidRPr="002E06C3">
        <w:t>(“Feedback Loops in Global Cimate Change Point to a Very Hot 21</w:t>
      </w:r>
      <w:r w:rsidRPr="002E06C3">
        <w:rPr>
          <w:vertAlign w:val="superscript"/>
        </w:rPr>
        <w:t>st</w:t>
      </w:r>
      <w:r w:rsidRPr="002E06C3">
        <w:t xml:space="preserve"> Century,” Published in Science Daily, online: http://www.sciencedaily.com/releases/2006/05/060522151248.htm)</w:t>
      </w:r>
    </w:p>
    <w:p w14:paraId="11287409" w14:textId="77777777" w:rsidR="00A86569" w:rsidRPr="002E06C3" w:rsidRDefault="00A86569" w:rsidP="00A86569"/>
    <w:p w14:paraId="57F82608" w14:textId="77777777" w:rsidR="00A86569" w:rsidRPr="003C4195" w:rsidRDefault="00A86569" w:rsidP="00A86569">
      <w:pPr>
        <w:rPr>
          <w:sz w:val="16"/>
          <w:szCs w:val="16"/>
        </w:rPr>
      </w:pPr>
      <w:r w:rsidRPr="003C4195">
        <w:rPr>
          <w:sz w:val="16"/>
          <w:szCs w:val="16"/>
        </w:rPr>
        <w:t xml:space="preserve">Using as a source the Vostok ice core, which provides information about glacial-interglacial cycles over hundreds of thousands of years, </w:t>
      </w:r>
      <w:r w:rsidRPr="003C4195">
        <w:rPr>
          <w:rStyle w:val="StyleBoldUnderline"/>
          <w:szCs w:val="22"/>
        </w:rPr>
        <w:t>the researchers were able to estimate the amounts of carbon dioxide and methane, two of the principal greenhouse gases, that were released into the atmosphere in response to past global warming trends</w:t>
      </w:r>
      <w:r w:rsidRPr="003C4195">
        <w:rPr>
          <w:sz w:val="16"/>
          <w:szCs w:val="16"/>
        </w:rPr>
        <w:t>. Combining their estimates with standard climate model assumptions, they calculated how much these rising concentration levels caused global temperatures to climb, further increasing carbon dioxide and methane emissions, and so on.</w:t>
      </w:r>
    </w:p>
    <w:p w14:paraId="65D7D38D" w14:textId="77777777" w:rsidR="00A86569" w:rsidRPr="003C4195" w:rsidRDefault="00A86569" w:rsidP="00A86569">
      <w:pPr>
        <w:rPr>
          <w:sz w:val="16"/>
          <w:szCs w:val="16"/>
        </w:rPr>
      </w:pPr>
      <w:r w:rsidRPr="003C4195">
        <w:rPr>
          <w:rStyle w:val="StyleBoldUnderline"/>
          <w:szCs w:val="22"/>
        </w:rPr>
        <w:t>“The results indicate a future that is going to be hotter than we think,” said</w:t>
      </w:r>
      <w:r w:rsidRPr="003C4195">
        <w:rPr>
          <w:sz w:val="16"/>
          <w:szCs w:val="16"/>
        </w:rPr>
        <w:t xml:space="preserve"> Margaret </w:t>
      </w:r>
      <w:r w:rsidRPr="003C4195">
        <w:rPr>
          <w:rStyle w:val="StyleBoldUnderline"/>
          <w:szCs w:val="22"/>
        </w:rPr>
        <w:t>Torn, who heads the Climate Change and Carbon Management program for Berkeley Lab’s Earth Sciences Division, and is an Associate Adjunct Professor in UC Berkeley’s Energy and Resources Group</w:t>
      </w:r>
      <w:r w:rsidRPr="003C4195">
        <w:rPr>
          <w:sz w:val="16"/>
          <w:szCs w:val="16"/>
        </w:rPr>
        <w:t>. She and John Harte, a UC Berkeley professor in the Energy and Resources Group and in the Ecosystem Sciences Division of the College of Natural Resources, have co-authored a paper entitled: Missing feedbacks, asymmetric uncertainties, and the underestimation of future warming, which appears in the May, 2006 issue of the journal Geophysical Research Letters (GRL).</w:t>
      </w:r>
    </w:p>
    <w:p w14:paraId="23DBAF7A" w14:textId="77777777" w:rsidR="00A86569" w:rsidRPr="003C4195" w:rsidRDefault="00A86569" w:rsidP="00A86569">
      <w:pPr>
        <w:rPr>
          <w:sz w:val="16"/>
          <w:szCs w:val="16"/>
        </w:rPr>
      </w:pPr>
      <w:r w:rsidRPr="003C4195">
        <w:rPr>
          <w:sz w:val="16"/>
          <w:szCs w:val="16"/>
        </w:rPr>
        <w:t xml:space="preserve">In their GRL paper, Torn and Harte make the case that the </w:t>
      </w:r>
      <w:r w:rsidRPr="003C4195">
        <w:rPr>
          <w:rStyle w:val="StyleBoldUnderline"/>
          <w:szCs w:val="22"/>
        </w:rPr>
        <w:t xml:space="preserve">current climate change models, which are predicting a global temperature </w:t>
      </w:r>
      <w:r w:rsidRPr="004532B7">
        <w:rPr>
          <w:rStyle w:val="StyleBoldUnderline"/>
          <w:sz w:val="24"/>
        </w:rPr>
        <w:t xml:space="preserve">increase of as much as 5.8 degrees Celsius by the end of the century, </w:t>
      </w:r>
      <w:r w:rsidRPr="004532B7">
        <w:rPr>
          <w:rStyle w:val="StyleBoldUnderline"/>
        </w:rPr>
        <w:t>may be off by nearly 2.0 degrees Celsius</w:t>
      </w:r>
      <w:r w:rsidRPr="003C4195">
        <w:rPr>
          <w:sz w:val="16"/>
          <w:szCs w:val="16"/>
        </w:rPr>
        <w:t xml:space="preserve"> because they only take into consideration the increased greenhouse gas concentrations that result from anthropogenic (human) activities.</w:t>
      </w:r>
    </w:p>
    <w:p w14:paraId="3DE79A56" w14:textId="77777777" w:rsidR="00A86569" w:rsidRPr="003C4195" w:rsidRDefault="00A86569" w:rsidP="00A86569">
      <w:pPr>
        <w:rPr>
          <w:sz w:val="16"/>
          <w:szCs w:val="16"/>
        </w:rPr>
      </w:pPr>
      <w:r w:rsidRPr="003C4195">
        <w:rPr>
          <w:sz w:val="16"/>
          <w:szCs w:val="16"/>
        </w:rPr>
        <w:t>“If the past is any guide, then when our anthropogenic greenhouse gas emissions cause global warming, it will alter earth system processes, resulting in additional atmospheric greenhouse gas loading and additional warming,” said Torn.</w:t>
      </w:r>
    </w:p>
    <w:p w14:paraId="7918A5DD" w14:textId="77777777" w:rsidR="00A86569" w:rsidRPr="003C4195" w:rsidRDefault="00A86569" w:rsidP="00A86569">
      <w:pPr>
        <w:rPr>
          <w:sz w:val="16"/>
          <w:szCs w:val="16"/>
        </w:rPr>
      </w:pPr>
      <w:r w:rsidRPr="003C4195">
        <w:rPr>
          <w:rStyle w:val="StyleBoldUnderline"/>
          <w:szCs w:val="22"/>
        </w:rPr>
        <w:t>Torn is an authority on</w:t>
      </w:r>
      <w:r w:rsidRPr="003C4195">
        <w:rPr>
          <w:sz w:val="16"/>
          <w:szCs w:val="16"/>
        </w:rPr>
        <w:t xml:space="preserve"> carbon and </w:t>
      </w:r>
      <w:r w:rsidRPr="003C4195">
        <w:rPr>
          <w:rStyle w:val="StyleBoldUnderline"/>
          <w:szCs w:val="22"/>
        </w:rPr>
        <w:t>nutrient cycling</w:t>
      </w:r>
      <w:r w:rsidRPr="003C4195">
        <w:rPr>
          <w:sz w:val="16"/>
          <w:szCs w:val="16"/>
        </w:rPr>
        <w:t xml:space="preserve"> in terrestrial ecosystems, and on the impacts of anthropogenic activities on terrestrial ecosystem processes. Harte has been a leading figure for the past two decades on climate-ecosystem interactions, and has authored or co-authored numerous books on environmental sciences, including the highly praised Consider a Spherical Cow: A Course in Environmental Problem Solving.</w:t>
      </w:r>
    </w:p>
    <w:p w14:paraId="419FFA35" w14:textId="77777777" w:rsidR="00A86569" w:rsidRPr="003C4195" w:rsidRDefault="00A86569" w:rsidP="00A86569">
      <w:pPr>
        <w:rPr>
          <w:sz w:val="16"/>
          <w:szCs w:val="16"/>
        </w:rPr>
      </w:pPr>
      <w:r w:rsidRPr="003C4195">
        <w:rPr>
          <w:sz w:val="16"/>
          <w:szCs w:val="16"/>
        </w:rPr>
        <w:t>In their GRL paper, Torn and Harte provide an answer to those who have argued that uncertainties in climate change models make it equally possible that future temperature increases could as be smaller or larger than what is feared. This argument has been based on assumptions about the uncertainties in climate prediction.</w:t>
      </w:r>
    </w:p>
    <w:p w14:paraId="314EA4E3" w14:textId="77777777" w:rsidR="00A86569" w:rsidRPr="003C4195" w:rsidRDefault="00A86569" w:rsidP="00A86569">
      <w:pPr>
        <w:rPr>
          <w:sz w:val="16"/>
          <w:szCs w:val="16"/>
        </w:rPr>
      </w:pPr>
      <w:r w:rsidRPr="003C4195">
        <w:rPr>
          <w:sz w:val="16"/>
          <w:szCs w:val="16"/>
        </w:rPr>
        <w:t xml:space="preserve">However, in their GRL paper, </w:t>
      </w:r>
      <w:r w:rsidRPr="003C4195">
        <w:rPr>
          <w:rStyle w:val="StyleBoldUnderline"/>
          <w:szCs w:val="22"/>
        </w:rPr>
        <w:t>Torn and Harte conclude that</w:t>
      </w:r>
      <w:r w:rsidRPr="003C4195">
        <w:rPr>
          <w:sz w:val="16"/>
          <w:szCs w:val="16"/>
        </w:rPr>
        <w:t xml:space="preserve">: “A rigorous investigation of the uncertainties in climate change prediction reveals that </w:t>
      </w:r>
      <w:r w:rsidRPr="003C4195">
        <w:rPr>
          <w:rStyle w:val="StyleBoldUnderline"/>
          <w:szCs w:val="22"/>
        </w:rPr>
        <w:t>there is a higher risk that we will experience more severe</w:t>
      </w:r>
      <w:r w:rsidRPr="003C4195">
        <w:rPr>
          <w:sz w:val="16"/>
          <w:szCs w:val="16"/>
        </w:rPr>
        <w:t xml:space="preserve">, not less severe, </w:t>
      </w:r>
      <w:r w:rsidRPr="003C4195">
        <w:rPr>
          <w:rStyle w:val="StyleBoldUnderline"/>
          <w:szCs w:val="22"/>
        </w:rPr>
        <w:t>climate change than is currently forecast</w:t>
      </w:r>
      <w:r w:rsidRPr="003C4195">
        <w:rPr>
          <w:sz w:val="16"/>
          <w:szCs w:val="16"/>
        </w:rPr>
        <w:t>.”</w:t>
      </w:r>
    </w:p>
    <w:p w14:paraId="311865F1" w14:textId="77777777" w:rsidR="00A86569" w:rsidRPr="003C4195" w:rsidRDefault="00A86569" w:rsidP="00A86569">
      <w:pPr>
        <w:rPr>
          <w:sz w:val="16"/>
          <w:szCs w:val="16"/>
        </w:rPr>
      </w:pPr>
      <w:r w:rsidRPr="003C4195">
        <w:rPr>
          <w:sz w:val="16"/>
          <w:szCs w:val="16"/>
        </w:rPr>
        <w:t>Serious scientific debate about global warming has ended, but the process of refining and improving climate models – called general circulation models or GCMs - is ongoing. Current GCMs project temperature increases at the end of this century based on greenhouse gas emissions scenarios due to anthropogenic activities. Carbon dioxide in the atmosphere, for example, has already climbed from a pre-industrial 280 parts per million (ppm) to 380 ppm today, causing a rise in global temperature of 0.6 degrees Celsius. The expectations are for atmospheric carbon dioxide to soar beyond 550 ppm by 2100 unless major changes in energy supply and demand are implemented.</w:t>
      </w:r>
    </w:p>
    <w:p w14:paraId="100BA15A" w14:textId="77777777" w:rsidR="00A86569" w:rsidRPr="003C4195" w:rsidRDefault="00A86569" w:rsidP="00A86569">
      <w:pPr>
        <w:rPr>
          <w:sz w:val="16"/>
          <w:szCs w:val="16"/>
        </w:rPr>
      </w:pPr>
      <w:r w:rsidRPr="003C4195">
        <w:rPr>
          <w:rStyle w:val="StyleBoldUnderline"/>
          <w:szCs w:val="22"/>
        </w:rPr>
        <w:t>Concerning as these projection are, they do not take into account additional amounts of carbon dioxide and methane released when rising temperatures trigger ecological and chemical responses</w:t>
      </w:r>
      <w:r w:rsidRPr="003C4195">
        <w:rPr>
          <w:sz w:val="16"/>
          <w:szCs w:val="16"/>
        </w:rPr>
        <w:t xml:space="preserve">, such as warmer oceans giving off more carbon dioxide, or warmer soils decomposing faster, liberating </w:t>
      </w:r>
      <w:proofErr w:type="gramStart"/>
      <w:r w:rsidRPr="003C4195">
        <w:rPr>
          <w:sz w:val="16"/>
          <w:szCs w:val="16"/>
        </w:rPr>
        <w:t>ever increasing</w:t>
      </w:r>
      <w:proofErr w:type="gramEnd"/>
      <w:r w:rsidRPr="003C4195">
        <w:rPr>
          <w:sz w:val="16"/>
          <w:szCs w:val="16"/>
        </w:rPr>
        <w:t xml:space="preserve"> amounts of carbon dioxide and methane. The problem has been an inability to quantify the impact of Nature’s responses in the face of overwhelming anthropogenic input. Torn and Harte were able to provide this critical information by examining the paleo data stored in ancient ice cores.</w:t>
      </w:r>
    </w:p>
    <w:p w14:paraId="2939A229" w14:textId="77777777" w:rsidR="00A86569" w:rsidRPr="003C4195" w:rsidRDefault="00A86569" w:rsidP="00A86569">
      <w:pPr>
        <w:rPr>
          <w:sz w:val="16"/>
          <w:szCs w:val="16"/>
        </w:rPr>
      </w:pPr>
      <w:r w:rsidRPr="003C4195">
        <w:rPr>
          <w:sz w:val="16"/>
          <w:szCs w:val="16"/>
        </w:rPr>
        <w:t>“Paleo data can provide us with an estimate of the greenhouse gas increases that are a natural consequence of global warming,” said Torn. “</w:t>
      </w:r>
      <w:r w:rsidRPr="003C4195">
        <w:rPr>
          <w:rStyle w:val="StyleBoldUnderline"/>
          <w:szCs w:val="22"/>
        </w:rPr>
        <w:t>In the absence of human activity, these greenhouse gas increases are the dominant feedback mechanism</w:t>
      </w:r>
      <w:r w:rsidRPr="003C4195">
        <w:rPr>
          <w:sz w:val="16"/>
          <w:szCs w:val="16"/>
        </w:rPr>
        <w:t>.”</w:t>
      </w:r>
    </w:p>
    <w:p w14:paraId="230EB5AB" w14:textId="77777777" w:rsidR="00A86569" w:rsidRPr="003C4195" w:rsidRDefault="00A86569" w:rsidP="00A86569">
      <w:pPr>
        <w:rPr>
          <w:sz w:val="16"/>
          <w:szCs w:val="16"/>
        </w:rPr>
      </w:pPr>
      <w:r w:rsidRPr="003C4195">
        <w:rPr>
          <w:sz w:val="16"/>
          <w:szCs w:val="16"/>
        </w:rPr>
        <w:t xml:space="preserve">In examining data recorded in the Vostok ice core, scientists have known that cyclic variations in the amount of sunlight reaching the earth trigger glacial-interglacial cycles. However, </w:t>
      </w:r>
      <w:r w:rsidRPr="003C4195">
        <w:rPr>
          <w:rStyle w:val="StyleBoldUnderline"/>
          <w:szCs w:val="22"/>
        </w:rPr>
        <w:t>the magnitude of warming and cooling temperatures cannot be explained by variations in sunlight alone</w:t>
      </w:r>
      <w:r w:rsidRPr="003C4195">
        <w:rPr>
          <w:sz w:val="16"/>
          <w:szCs w:val="16"/>
        </w:rPr>
        <w:t>. Instead, large rises in temperatures are more the result of strong upsurges in atmospheric carbon dioxide and methane concentrations set-off by the initial warming.</w:t>
      </w:r>
    </w:p>
    <w:p w14:paraId="065C327F" w14:textId="77777777" w:rsidR="00A86569" w:rsidRPr="003C4195" w:rsidRDefault="00A86569" w:rsidP="00A86569">
      <w:pPr>
        <w:rPr>
          <w:sz w:val="16"/>
          <w:szCs w:val="16"/>
        </w:rPr>
      </w:pPr>
      <w:r w:rsidRPr="003C4195">
        <w:rPr>
          <w:sz w:val="16"/>
          <w:szCs w:val="16"/>
        </w:rPr>
        <w:t>Using deuterium-corrected temperature records for the ice cores, which yield hemispheric rather than local temperature conditions, GCM climate sensitivity, and a mathematical formula for quantifying feedback effects, Torn and Harte calculated the magnitude of the greenhouse gas-temperature feedback on temperature.</w:t>
      </w:r>
    </w:p>
    <w:p w14:paraId="1A09EFA8" w14:textId="77777777" w:rsidR="00A86569" w:rsidRPr="003C4195" w:rsidRDefault="00A86569" w:rsidP="00A86569">
      <w:pPr>
        <w:rPr>
          <w:sz w:val="16"/>
          <w:szCs w:val="16"/>
        </w:rPr>
      </w:pPr>
      <w:r w:rsidRPr="003C4195">
        <w:rPr>
          <w:rStyle w:val="StyleBoldUnderline"/>
          <w:szCs w:val="22"/>
        </w:rPr>
        <w:t>“Our results reinforce the fact that every bit of greenhouse gas we put into the atmosphere now is committing us to higher global temperatures in the future</w:t>
      </w:r>
      <w:r w:rsidRPr="003C4195">
        <w:rPr>
          <w:sz w:val="16"/>
          <w:szCs w:val="16"/>
        </w:rPr>
        <w:t xml:space="preserve"> and we are already near the highest temperatures of the past 700,000 years,” Torn said. “At this point, mitigation of greenhouse gas emissions is absolutely critical.”</w:t>
      </w:r>
    </w:p>
    <w:p w14:paraId="0A3BB862" w14:textId="77777777" w:rsidR="00A86569" w:rsidRPr="003C4195" w:rsidRDefault="00A86569" w:rsidP="00A86569">
      <w:pPr>
        <w:rPr>
          <w:sz w:val="16"/>
          <w:szCs w:val="16"/>
        </w:rPr>
      </w:pPr>
      <w:r w:rsidRPr="003C4195">
        <w:rPr>
          <w:sz w:val="16"/>
          <w:szCs w:val="16"/>
        </w:rPr>
        <w:t>The feedback loop from greenhouse gas concentrations also has a reverse effect, the authors state, in that reduced atmospheric levels can enhance the cooling of global temperatures. This presents at least the possibility of extra rewards if greenhouse gas levels in the atmosphere could be rolled back, but the challenge is great as Harte explained.</w:t>
      </w:r>
    </w:p>
    <w:p w14:paraId="301D2B7E" w14:textId="77777777" w:rsidR="00A86569" w:rsidRPr="003C4195" w:rsidRDefault="00A86569" w:rsidP="00A86569">
      <w:pPr>
        <w:rPr>
          <w:sz w:val="16"/>
          <w:szCs w:val="16"/>
        </w:rPr>
      </w:pPr>
      <w:r w:rsidRPr="003C4195">
        <w:rPr>
          <w:sz w:val="16"/>
          <w:szCs w:val="16"/>
        </w:rPr>
        <w:t xml:space="preserve">“If we reduce emissions so much that the atmospheric concentration of carbon dioxide actually starts to come down and the global temperature also starts to decrease, then the feedback would work for us and speed the recovery,” </w:t>
      </w:r>
      <w:r w:rsidRPr="003C4195">
        <w:rPr>
          <w:rStyle w:val="StyleBoldUnderline"/>
          <w:szCs w:val="22"/>
        </w:rPr>
        <w:t>Harte said</w:t>
      </w:r>
      <w:r w:rsidRPr="003C4195">
        <w:rPr>
          <w:sz w:val="16"/>
          <w:szCs w:val="16"/>
        </w:rPr>
        <w:t xml:space="preserve">. “However, </w:t>
      </w:r>
      <w:r w:rsidRPr="003C4195">
        <w:rPr>
          <w:rStyle w:val="StyleBoldUnderline"/>
          <w:szCs w:val="22"/>
        </w:rPr>
        <w:t>if we reduce emissions by an amount that greatly reduces the rate at which the carbon dioxide level in the atmosphere increases, but don't cut emissions back to the point where the carbon dioxide level actually decreases, then the positive feedback still works against us</w:t>
      </w:r>
      <w:r w:rsidRPr="003C4195">
        <w:rPr>
          <w:sz w:val="16"/>
          <w:szCs w:val="16"/>
        </w:rPr>
        <w:t>.”</w:t>
      </w:r>
    </w:p>
    <w:p w14:paraId="6A1A5AD6" w14:textId="77777777" w:rsidR="00A86569" w:rsidRPr="003C4195" w:rsidRDefault="00A86569" w:rsidP="00A86569">
      <w:pPr>
        <w:rPr>
          <w:szCs w:val="22"/>
        </w:rPr>
      </w:pPr>
    </w:p>
    <w:p w14:paraId="101BAA53" w14:textId="77777777" w:rsidR="00A86569" w:rsidRDefault="00A86569" w:rsidP="00A86569">
      <w:pPr>
        <w:rPr>
          <w:b/>
          <w:bCs/>
          <w:sz w:val="26"/>
        </w:rPr>
      </w:pPr>
      <w:r>
        <w:rPr>
          <w:rFonts w:eastAsiaTheme="majorEastAsia" w:cstheme="majorBidi"/>
          <w:b/>
          <w:bCs/>
          <w:iCs/>
          <w:sz w:val="26"/>
        </w:rPr>
        <w:t>Warming poses an existential risk—non-resilient interconnected subsystems are uniquely vulnerable</w:t>
      </w:r>
      <w:r w:rsidRPr="002E06C3">
        <w:rPr>
          <w:b/>
          <w:bCs/>
          <w:sz w:val="26"/>
        </w:rPr>
        <w:t xml:space="preserve"> </w:t>
      </w:r>
    </w:p>
    <w:p w14:paraId="1061D8D2" w14:textId="77777777" w:rsidR="00A86569" w:rsidRPr="002E06C3" w:rsidRDefault="00A86569" w:rsidP="00A86569">
      <w:pPr>
        <w:rPr>
          <w:b/>
          <w:bCs/>
          <w:sz w:val="26"/>
        </w:rPr>
      </w:pPr>
      <w:r w:rsidRPr="002E06C3">
        <w:rPr>
          <w:b/>
          <w:bCs/>
          <w:sz w:val="26"/>
        </w:rPr>
        <w:t>Ahmed, Executive Director of the Institute for Policy Research and Development at Brunel University, 2010</w:t>
      </w:r>
    </w:p>
    <w:p w14:paraId="14C79947" w14:textId="77777777" w:rsidR="00A86569" w:rsidRDefault="00A86569" w:rsidP="00A86569">
      <w:r w:rsidRPr="002E06C3">
        <w:t>(Nafeez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14:paraId="484FF9FB" w14:textId="77777777" w:rsidR="00A86569" w:rsidRPr="002E06C3" w:rsidRDefault="00A86569" w:rsidP="00A86569"/>
    <w:p w14:paraId="3F35ED12" w14:textId="77777777" w:rsidR="00A86569" w:rsidRPr="00D12C76" w:rsidRDefault="00A86569" w:rsidP="00A86569">
      <w:pPr>
        <w:rPr>
          <w:sz w:val="16"/>
          <w:szCs w:val="16"/>
        </w:rPr>
      </w:pPr>
      <w:r w:rsidRPr="00D12C76">
        <w:rPr>
          <w:sz w:val="16"/>
          <w:szCs w:val="16"/>
        </w:rPr>
        <w:t xml:space="preserve">Perhaps </w:t>
      </w:r>
      <w:r w:rsidRPr="00D12C76">
        <w:rPr>
          <w:rStyle w:val="StyleBoldUnderline"/>
        </w:rPr>
        <w:t>the most notorious indicator is anthropogenic global warming. The landmark</w:t>
      </w:r>
      <w:r w:rsidRPr="00D12C76">
        <w:rPr>
          <w:sz w:val="16"/>
          <w:szCs w:val="16"/>
        </w:rPr>
        <w:t xml:space="preserve"> 2007 Fourth </w:t>
      </w:r>
      <w:r w:rsidRPr="00D12C76">
        <w:rPr>
          <w:rStyle w:val="StyleBoldUnderline"/>
        </w:rPr>
        <w:t>Assessment</w:t>
      </w:r>
      <w:r w:rsidRPr="00D12C76">
        <w:rPr>
          <w:sz w:val="16"/>
          <w:szCs w:val="16"/>
        </w:rPr>
        <w:t xml:space="preserve"> Report of the UN Intergovernmental Panel </w:t>
      </w:r>
      <w:r w:rsidRPr="00D12C76">
        <w:rPr>
          <w:rStyle w:val="StyleBoldUnderline"/>
        </w:rPr>
        <w:t>on Climate Change</w:t>
      </w:r>
      <w:r w:rsidRPr="00D12C76">
        <w:rPr>
          <w:sz w:val="16"/>
          <w:szCs w:val="16"/>
        </w:rPr>
        <w:t xml:space="preserve"> (IPCC) – which </w:t>
      </w:r>
      <w:r w:rsidRPr="00D12C76">
        <w:rPr>
          <w:rStyle w:val="StyleBoldUnderline"/>
        </w:rPr>
        <w:t>warned that at then-current rates of increase of fossil fuel emissions, the earth’s global average temperature would likely rise by 6°C by the end of the 21st century</w:t>
      </w:r>
      <w:r w:rsidRPr="00D12C76">
        <w:rPr>
          <w:sz w:val="16"/>
          <w:szCs w:val="16"/>
        </w:rPr>
        <w:t xml:space="preserve"> creating a largely uninhabitable planet – was a wake-up call to the international community</w:t>
      </w:r>
      <w:proofErr w:type="gramStart"/>
      <w:r w:rsidRPr="00D12C76">
        <w:rPr>
          <w:sz w:val="16"/>
          <w:szCs w:val="16"/>
        </w:rPr>
        <w:t>.[</w:t>
      </w:r>
      <w:proofErr w:type="gramEnd"/>
      <w:r w:rsidRPr="00D12C76">
        <w:rPr>
          <w:sz w:val="16"/>
          <w:szCs w:val="16"/>
        </w:rPr>
        <w:t xml:space="preserve">v] </w:t>
      </w:r>
      <w:r w:rsidRPr="00D12C76">
        <w:rPr>
          <w:rStyle w:val="StyleBoldUnderline"/>
        </w:rPr>
        <w:t>Despite the pretensions of ‘climate sceptics,’ the peer-reviewed scientific literature has continued to produce evidence that the IPCC’s original scenarios were wrong – not because they were too alarmist</w:t>
      </w:r>
      <w:r w:rsidRPr="00D12C76">
        <w:rPr>
          <w:sz w:val="16"/>
          <w:szCs w:val="16"/>
        </w:rPr>
        <w:t xml:space="preserve">, but on the contrary, </w:t>
      </w:r>
      <w:r w:rsidRPr="00D12C76">
        <w:rPr>
          <w:rStyle w:val="StyleBoldUnderline"/>
        </w:rPr>
        <w:t>because they were far too conservative</w:t>
      </w:r>
      <w:r w:rsidRPr="00D12C76">
        <w:rPr>
          <w:sz w:val="16"/>
          <w:szCs w:val="16"/>
        </w:rPr>
        <w:t xml:space="preserve">. According to a paper in the Proceedings of the National Academy of Sciences, </w:t>
      </w:r>
      <w:r w:rsidRPr="00D12C76">
        <w:rPr>
          <w:rStyle w:val="StyleBoldUnderline"/>
        </w:rPr>
        <w:t>current CO2 emissions are worse than all six scenarios contemplated by the IPCC. This implies that the IPCC’s worst-case six-degree scenario severely underestimates the most probable climate trajectory</w:t>
      </w:r>
      <w:r w:rsidRPr="00D12C76">
        <w:rPr>
          <w:sz w:val="16"/>
          <w:szCs w:val="16"/>
        </w:rPr>
        <w:t xml:space="preserve"> under current rates of emissions</w:t>
      </w:r>
      <w:proofErr w:type="gramStart"/>
      <w:r w:rsidRPr="00D12C76">
        <w:rPr>
          <w:sz w:val="16"/>
          <w:szCs w:val="16"/>
        </w:rPr>
        <w:t>.[</w:t>
      </w:r>
      <w:proofErr w:type="gramEnd"/>
      <w:r w:rsidRPr="00D12C76">
        <w:rPr>
          <w:sz w:val="16"/>
          <w:szCs w:val="16"/>
        </w:rPr>
        <w:t xml:space="preserve">vi] </w:t>
      </w:r>
      <w:r w:rsidRPr="00D12C76">
        <w:rPr>
          <w:rStyle w:val="StyleBoldUnderline"/>
        </w:rPr>
        <w:t>It is often presumed that a 2°C rise in global average temperatures under an atmospheric concentration of greenhouse gasses at 400 parts per million (ppm) constitutes a safe upper limit – beyond which further global warming could trigger rapid and abrupt climate changes that, in turn, could tip the whole earth climate system into a process of irreversible, runaway warming</w:t>
      </w:r>
      <w:r w:rsidRPr="00D12C76">
        <w:rPr>
          <w:b/>
          <w:bCs/>
          <w:sz w:val="16"/>
          <w:szCs w:val="16"/>
          <w:u w:val="single"/>
        </w:rPr>
        <w:t>.[</w:t>
      </w:r>
      <w:r w:rsidRPr="00D12C76">
        <w:rPr>
          <w:sz w:val="16"/>
          <w:szCs w:val="16"/>
        </w:rPr>
        <w:t>vii] Unfortunately, we are already well past this limit, with the level of greenhouse gasses as of mid-2005 constituting 445 ppm.[viii] Worse still, cutting-edge scientific data suggests that the safe upper limit is in fact far lower</w:t>
      </w:r>
      <w:r w:rsidRPr="00D12C76">
        <w:rPr>
          <w:b/>
          <w:bCs/>
          <w:sz w:val="16"/>
          <w:szCs w:val="16"/>
          <w:u w:val="single"/>
        </w:rPr>
        <w:t xml:space="preserve">. </w:t>
      </w:r>
      <w:r w:rsidRPr="00D12C76">
        <w:rPr>
          <w:rStyle w:val="StyleBoldUnderline"/>
        </w:rPr>
        <w:t>James Hansen, director of the NASA Goddard Institute for Space Studies</w:t>
      </w:r>
      <w:r w:rsidRPr="00D12C76">
        <w:rPr>
          <w:sz w:val="16"/>
          <w:szCs w:val="16"/>
        </w:rPr>
        <w:t xml:space="preserve">, argues that the absolute upper limit for CO2 emissions is 350 ppm: “If the present overshoot of this target CO2 is not brief, there is a possibility of seeding irreversible catastrophic effects.”[ix] A wealth of </w:t>
      </w:r>
      <w:r w:rsidRPr="00D12C76">
        <w:rPr>
          <w:rStyle w:val="StyleBoldUnderline"/>
        </w:rPr>
        <w:t>scientific studies has attempted to explore</w:t>
      </w:r>
      <w:r w:rsidRPr="00D12C76">
        <w:rPr>
          <w:sz w:val="16"/>
          <w:szCs w:val="16"/>
        </w:rPr>
        <w:t xml:space="preserve"> the role of </w:t>
      </w:r>
      <w:r w:rsidRPr="00D12C76">
        <w:rPr>
          <w:rStyle w:val="StyleBoldUnderline"/>
        </w:rPr>
        <w:t xml:space="preserve">positive-feedback mechanisms between different </w:t>
      </w:r>
      <w:r w:rsidRPr="00563F04">
        <w:rPr>
          <w:rStyle w:val="Emphasis"/>
        </w:rPr>
        <w:t>climate sub-systems</w:t>
      </w:r>
      <w:r w:rsidRPr="00D12C76">
        <w:rPr>
          <w:rStyle w:val="StyleBoldUnderline"/>
        </w:rPr>
        <w:t>,</w:t>
      </w:r>
      <w:r w:rsidRPr="00D12C76">
        <w:rPr>
          <w:sz w:val="16"/>
          <w:szCs w:val="16"/>
        </w:rPr>
        <w:t xml:space="preserve"> the operation of which could intensify the warming process. Emissions beyond 350 ppm over decades are likely to lead to the total loss of Arctic sea-ice in the summer triggering magnified absorption of sun radiation, accelerating warming; the melting of Arctic permafrost triggering massive methane injections into the atmosphere, accelerating warming; the loss of half the Amazon rainforest triggering the momentous release of billions of tonnes of stored carbon, accelerating warming; and increased microbial activity in the earth’s soil leading to further huge releases of stored carbon, accelerating warming; to name just a few. </w:t>
      </w:r>
      <w:r w:rsidRPr="00D12C76">
        <w:rPr>
          <w:rStyle w:val="StyleBoldUnderline"/>
        </w:rPr>
        <w:t>Each of these feedback sub-systems alone is sufficient by itself to lead to irreversible, catastrophic effects that could tip the whole earth climate system over the edge</w:t>
      </w:r>
      <w:proofErr w:type="gramStart"/>
      <w:r w:rsidRPr="00D12C76">
        <w:rPr>
          <w:sz w:val="16"/>
          <w:szCs w:val="16"/>
        </w:rPr>
        <w:t>.[</w:t>
      </w:r>
      <w:proofErr w:type="gramEnd"/>
      <w:r w:rsidRPr="00D12C76">
        <w:rPr>
          <w:sz w:val="16"/>
          <w:szCs w:val="16"/>
        </w:rPr>
        <w:t xml:space="preserve">x] Recent studies now estimate that the </w:t>
      </w:r>
      <w:r w:rsidRPr="00DC79D5">
        <w:rPr>
          <w:rStyle w:val="StyleBoldUnderline"/>
        </w:rPr>
        <w:t>continuation of business-as-usual would lead to global warming of three to four degrees Celsius before 2060 with multiple irreversible, catastrophic impacts; and six, even as high as eight, degrees by the end of the century – a situation endangering the survival of all life on earth</w:t>
      </w:r>
      <w:r w:rsidRPr="00D12C76">
        <w:rPr>
          <w:b/>
          <w:bCs/>
          <w:sz w:val="16"/>
          <w:szCs w:val="16"/>
          <w:u w:val="single"/>
        </w:rPr>
        <w:t>.[</w:t>
      </w:r>
      <w:r w:rsidRPr="00D12C76">
        <w:rPr>
          <w:sz w:val="16"/>
          <w:szCs w:val="16"/>
        </w:rPr>
        <w:t>xi]</w:t>
      </w:r>
    </w:p>
    <w:p w14:paraId="12D4B20B" w14:textId="77777777" w:rsidR="00A86569" w:rsidRDefault="00A86569" w:rsidP="00A86569">
      <w:pPr>
        <w:rPr>
          <w:sz w:val="16"/>
        </w:rPr>
      </w:pPr>
    </w:p>
    <w:p w14:paraId="04BF160F" w14:textId="77777777" w:rsidR="00A86569" w:rsidRPr="00293A07" w:rsidRDefault="00A86569" w:rsidP="00A86569"/>
    <w:p w14:paraId="31BDEA8F" w14:textId="77777777" w:rsidR="00A86569" w:rsidRDefault="00A86569" w:rsidP="00A86569"/>
    <w:p w14:paraId="5DDC30C3" w14:textId="77777777" w:rsidR="00A86569" w:rsidRPr="00150BD8" w:rsidRDefault="00A86569" w:rsidP="00A86569">
      <w:pPr>
        <w:pStyle w:val="Heading4"/>
      </w:pPr>
      <w:r>
        <w:t>Exist</w:t>
      </w:r>
      <w:r w:rsidRPr="00150BD8">
        <w:t xml:space="preserve">ential risk is systemic, not a flash of instability to be predicted and controlled. </w:t>
      </w:r>
      <w:r>
        <w:t xml:space="preserve">Prefer the aff’s ADAPTATION and RESILIENCE </w:t>
      </w:r>
      <w:proofErr w:type="gramStart"/>
      <w:r>
        <w:t>over</w:t>
      </w:r>
      <w:proofErr w:type="gramEnd"/>
      <w:r>
        <w:t xml:space="preserve"> the negative’s one-shot extinction scenario. </w:t>
      </w:r>
    </w:p>
    <w:p w14:paraId="6347873F" w14:textId="77777777" w:rsidR="00A86569" w:rsidRPr="00150BD8" w:rsidRDefault="00A86569" w:rsidP="00A86569">
      <w:pPr>
        <w:rPr>
          <w:rFonts w:ascii="Times" w:hAnsi="Times"/>
          <w:b/>
        </w:rPr>
      </w:pPr>
    </w:p>
    <w:p w14:paraId="4A1C76FE" w14:textId="77777777" w:rsidR="00A86569" w:rsidRPr="003C4195" w:rsidRDefault="00A86569" w:rsidP="00A86569">
      <w:pPr>
        <w:rPr>
          <w:rStyle w:val="StyleBoldUnderline"/>
          <w:szCs w:val="22"/>
        </w:rPr>
      </w:pPr>
      <w:r w:rsidRPr="003C4195">
        <w:rPr>
          <w:rStyle w:val="StyleBoldUnderline"/>
          <w:szCs w:val="22"/>
        </w:rPr>
        <w:t>Mangalagiu 2011</w:t>
      </w:r>
    </w:p>
    <w:p w14:paraId="410DD8D2" w14:textId="77777777" w:rsidR="00A86569" w:rsidRPr="00A37A39" w:rsidRDefault="00A86569" w:rsidP="00A86569">
      <w:pPr>
        <w:tabs>
          <w:tab w:val="left" w:pos="540"/>
        </w:tabs>
        <w:rPr>
          <w:rFonts w:ascii="Times" w:hAnsi="Times"/>
          <w:sz w:val="20"/>
          <w:szCs w:val="20"/>
        </w:rPr>
      </w:pPr>
      <w:r w:rsidRPr="00A37A39">
        <w:rPr>
          <w:rFonts w:ascii="Times" w:hAnsi="Times" w:cs="Cambria"/>
          <w:iCs/>
          <w:sz w:val="20"/>
          <w:szCs w:val="20"/>
        </w:rPr>
        <w:t xml:space="preserve">[Diana Mangalagiu, Prof of Strategy at Smith School of Enterprise and Environment-University of Oxford “Risk and resilience in times of globalization” </w:t>
      </w:r>
      <w:r w:rsidRPr="00A37A39">
        <w:rPr>
          <w:rFonts w:ascii="Times" w:hAnsi="Times" w:cs="Cambria"/>
          <w:bCs/>
          <w:sz w:val="20"/>
          <w:szCs w:val="20"/>
        </w:rPr>
        <w:t xml:space="preserve">An emerging research program for Global Systems Science: </w:t>
      </w:r>
      <w:r w:rsidRPr="00A37A39">
        <w:rPr>
          <w:rFonts w:ascii="Times" w:hAnsi="Times" w:cs="Cambria"/>
          <w:sz w:val="20"/>
          <w:szCs w:val="20"/>
        </w:rPr>
        <w:t xml:space="preserve">Assessing the state of the art, 10/4/11, </w:t>
      </w:r>
      <w:hyperlink r:id="rId12" w:history="1">
        <w:r w:rsidRPr="00A37A39">
          <w:rPr>
            <w:rStyle w:val="Hyperlink"/>
            <w:rFonts w:ascii="Times" w:hAnsi="Times"/>
            <w:color w:val="auto"/>
            <w:sz w:val="20"/>
            <w:szCs w:val="20"/>
          </w:rPr>
          <w:t>http://www.gsdp.eu/</w:t>
        </w:r>
      </w:hyperlink>
      <w:r w:rsidRPr="00A37A39">
        <w:rPr>
          <w:rFonts w:ascii="Times" w:hAnsi="Times"/>
          <w:sz w:val="20"/>
          <w:szCs w:val="20"/>
        </w:rPr>
        <w:t>] Mangalagiu 1</w:t>
      </w:r>
    </w:p>
    <w:p w14:paraId="4B43D55E" w14:textId="77777777" w:rsidR="00A86569" w:rsidRPr="00150BD8" w:rsidRDefault="00A86569" w:rsidP="00A86569">
      <w:pPr>
        <w:tabs>
          <w:tab w:val="left" w:pos="540"/>
        </w:tabs>
        <w:rPr>
          <w:rFonts w:ascii="Times" w:hAnsi="Times" w:cs="Cambria"/>
          <w:color w:val="000000"/>
        </w:rPr>
      </w:pPr>
    </w:p>
    <w:p w14:paraId="045D5244" w14:textId="77777777" w:rsidR="00A86569" w:rsidRPr="00A37A39" w:rsidRDefault="00A86569" w:rsidP="00A86569">
      <w:pPr>
        <w:tabs>
          <w:tab w:val="left" w:pos="540"/>
        </w:tabs>
        <w:rPr>
          <w:sz w:val="16"/>
          <w:szCs w:val="16"/>
        </w:rPr>
      </w:pPr>
      <w:r w:rsidRPr="00A37A39">
        <w:rPr>
          <w:sz w:val="16"/>
          <w:szCs w:val="16"/>
        </w:rPr>
        <w:t xml:space="preserve">1. Introduction </w:t>
      </w:r>
    </w:p>
    <w:p w14:paraId="0B29A963"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 xml:space="preserve">The recent financial crisis highlights the </w:t>
      </w:r>
      <w:r w:rsidRPr="00150BD8">
        <w:rPr>
          <w:rFonts w:ascii="Times" w:hAnsi="Times" w:cs="Cambria"/>
          <w:color w:val="000000"/>
          <w:sz w:val="10"/>
        </w:rPr>
        <w:t xml:space="preserve">challenges of, and the potential of </w:t>
      </w:r>
      <w:r w:rsidRPr="00150BD8">
        <w:rPr>
          <w:rFonts w:ascii="Times" w:hAnsi="Times" w:cs="Cambria"/>
          <w:color w:val="000000"/>
          <w:u w:val="single"/>
        </w:rPr>
        <w:t xml:space="preserve">catastrophic impacts from the failure to address </w:t>
      </w:r>
      <w:r w:rsidRPr="00150BD8">
        <w:rPr>
          <w:rFonts w:ascii="Times" w:hAnsi="Times"/>
          <w:sz w:val="10"/>
        </w:rPr>
        <w:t>global</w:t>
      </w:r>
      <w:r w:rsidRPr="00150BD8">
        <w:rPr>
          <w:rFonts w:ascii="Times" w:hAnsi="Times" w:cs="Cambria"/>
          <w:color w:val="000000"/>
          <w:u w:val="single"/>
        </w:rPr>
        <w:t xml:space="preserve">, systemic </w:t>
      </w:r>
      <w:r w:rsidRPr="00150BD8">
        <w:rPr>
          <w:rFonts w:ascii="Times" w:hAnsi="Times"/>
          <w:sz w:val="10"/>
        </w:rPr>
        <w:t>and long term</w:t>
      </w:r>
      <w:r w:rsidRPr="00150BD8">
        <w:rPr>
          <w:rFonts w:ascii="Times" w:hAnsi="Times" w:cs="Cambria"/>
          <w:color w:val="000000"/>
          <w:u w:val="single"/>
        </w:rPr>
        <w:t xml:space="preserve"> risks. The crisis was neither</w:t>
      </w:r>
      <w:r w:rsidRPr="00150BD8">
        <w:rPr>
          <w:rFonts w:ascii="Times" w:hAnsi="Times" w:cs="Cambria"/>
          <w:color w:val="000000"/>
          <w:sz w:val="10"/>
        </w:rPr>
        <w:t xml:space="preserve"> </w:t>
      </w:r>
      <w:r w:rsidRPr="00150BD8">
        <w:rPr>
          <w:rFonts w:ascii="Times" w:hAnsi="Times" w:cs="Cambria"/>
          <w:color w:val="000000"/>
          <w:u w:val="single"/>
        </w:rPr>
        <w:t>prevented</w:t>
      </w:r>
      <w:r w:rsidRPr="00150BD8">
        <w:rPr>
          <w:rFonts w:ascii="Times" w:hAnsi="Times" w:cs="Cambria"/>
          <w:color w:val="000000"/>
          <w:sz w:val="10"/>
        </w:rPr>
        <w:t xml:space="preserve">, </w:t>
      </w:r>
      <w:r w:rsidRPr="00150BD8">
        <w:rPr>
          <w:rFonts w:ascii="Times" w:hAnsi="Times" w:cs="Cambria"/>
          <w:color w:val="000000"/>
          <w:u w:val="single"/>
        </w:rPr>
        <w:t>nor</w:t>
      </w:r>
      <w:r w:rsidRPr="00150BD8">
        <w:rPr>
          <w:rFonts w:ascii="Times" w:hAnsi="Times" w:cs="Cambria"/>
          <w:color w:val="000000"/>
          <w:sz w:val="10"/>
        </w:rPr>
        <w:t xml:space="preserve"> effectively </w:t>
      </w:r>
      <w:r w:rsidRPr="00150BD8">
        <w:rPr>
          <w:rFonts w:ascii="Times" w:hAnsi="Times" w:cs="Cambria"/>
          <w:color w:val="000000"/>
          <w:u w:val="single"/>
        </w:rPr>
        <w:t xml:space="preserve">anticipated, by the hosts of experts </w:t>
      </w:r>
      <w:r w:rsidRPr="00150BD8">
        <w:rPr>
          <w:rFonts w:ascii="Times" w:hAnsi="Times" w:cs="Cambria"/>
          <w:color w:val="000000"/>
          <w:sz w:val="10"/>
        </w:rPr>
        <w:t xml:space="preserve">in risks and futures employed by the industry. Despite the sophisticated strategic planning and risk management approaches adopted by individual banks and regulators, </w:t>
      </w:r>
      <w:r w:rsidRPr="00150BD8">
        <w:rPr>
          <w:rFonts w:ascii="Times" w:hAnsi="Times" w:cs="Cambria"/>
          <w:color w:val="000000"/>
          <w:u w:val="single"/>
        </w:rPr>
        <w:t>the lack of reflexivity</w:t>
      </w:r>
      <w:r w:rsidRPr="00150BD8">
        <w:rPr>
          <w:rFonts w:ascii="Times" w:hAnsi="Times" w:cs="Cambria"/>
          <w:color w:val="000000"/>
          <w:sz w:val="10"/>
        </w:rPr>
        <w:t xml:space="preserve"> in anticipatory knowledge processes, </w:t>
      </w:r>
      <w:r w:rsidRPr="00150BD8">
        <w:rPr>
          <w:rFonts w:ascii="Times" w:hAnsi="Times" w:cs="Cambria"/>
          <w:color w:val="000000"/>
          <w:u w:val="single"/>
        </w:rPr>
        <w:t xml:space="preserve">coupled with overconfidence in calculable </w:t>
      </w:r>
      <w:r w:rsidRPr="00150BD8">
        <w:rPr>
          <w:rFonts w:ascii="Times" w:hAnsi="Times" w:cs="Cambria"/>
          <w:color w:val="000000"/>
          <w:sz w:val="10"/>
        </w:rPr>
        <w:t xml:space="preserve">and manageable </w:t>
      </w:r>
      <w:r w:rsidRPr="00150BD8">
        <w:rPr>
          <w:rFonts w:ascii="Times" w:hAnsi="Times" w:cs="Cambria"/>
          <w:color w:val="000000"/>
          <w:u w:val="single"/>
        </w:rPr>
        <w:t>risks, contributed to the</w:t>
      </w:r>
      <w:r w:rsidRPr="00150BD8">
        <w:rPr>
          <w:rFonts w:ascii="Times" w:hAnsi="Times" w:cs="Cambria"/>
          <w:color w:val="000000"/>
          <w:sz w:val="10"/>
        </w:rPr>
        <w:t xml:space="preserve"> </w:t>
      </w:r>
      <w:r w:rsidRPr="00150BD8">
        <w:rPr>
          <w:rFonts w:ascii="Times" w:hAnsi="Times" w:cs="Cambria"/>
          <w:color w:val="000000"/>
          <w:u w:val="single"/>
        </w:rPr>
        <w:t xml:space="preserve">denial, </w:t>
      </w:r>
      <w:r w:rsidRPr="00150BD8">
        <w:rPr>
          <w:rFonts w:ascii="Times" w:hAnsi="Times" w:cs="Cambria"/>
          <w:color w:val="000000"/>
          <w:sz w:val="10"/>
        </w:rPr>
        <w:t xml:space="preserve">dismissal and ignorance </w:t>
      </w:r>
      <w:r w:rsidRPr="00150BD8">
        <w:rPr>
          <w:rFonts w:ascii="Times" w:hAnsi="Times" w:cs="Cambria"/>
          <w:color w:val="000000"/>
          <w:u w:val="single"/>
        </w:rPr>
        <w:t xml:space="preserve">of new forms of vulnerability and, </w:t>
      </w:r>
      <w:r w:rsidRPr="00150BD8">
        <w:rPr>
          <w:rFonts w:ascii="Times" w:hAnsi="Times" w:cs="Cambria"/>
          <w:color w:val="000000"/>
          <w:sz w:val="10"/>
        </w:rPr>
        <w:t xml:space="preserve">in particular, </w:t>
      </w:r>
      <w:r w:rsidRPr="00150BD8">
        <w:rPr>
          <w:rFonts w:ascii="Times" w:hAnsi="Times" w:cs="Cambria"/>
          <w:color w:val="000000"/>
          <w:u w:val="single"/>
        </w:rPr>
        <w:t>systemic risk</w:t>
      </w:r>
      <w:r w:rsidRPr="00150BD8">
        <w:rPr>
          <w:rFonts w:ascii="Times" w:hAnsi="Times" w:cs="Cambria"/>
          <w:color w:val="000000"/>
          <w:sz w:val="10"/>
        </w:rPr>
        <w:t xml:space="preserve"> (Wilkinson and Ramirez, 2010; Selsky et al, 2008). It also highlights that risk management approaches that </w:t>
      </w:r>
      <w:r w:rsidRPr="00150BD8">
        <w:rPr>
          <w:rFonts w:ascii="Times" w:hAnsi="Times" w:cs="Cambria"/>
          <w:color w:val="000000"/>
          <w:u w:val="single"/>
        </w:rPr>
        <w:t>focus on</w:t>
      </w:r>
      <w:r w:rsidRPr="00150BD8">
        <w:rPr>
          <w:rFonts w:ascii="Times" w:hAnsi="Times" w:cs="Cambria"/>
          <w:color w:val="000000"/>
          <w:sz w:val="10"/>
        </w:rPr>
        <w:t xml:space="preserve"> stress testing </w:t>
      </w:r>
      <w:r w:rsidRPr="00150BD8">
        <w:rPr>
          <w:rFonts w:ascii="Times" w:hAnsi="Times" w:cs="Cambria"/>
          <w:color w:val="000000"/>
          <w:u w:val="single"/>
        </w:rPr>
        <w:t>the parts</w:t>
      </w:r>
      <w:r w:rsidRPr="00150BD8">
        <w:rPr>
          <w:rFonts w:ascii="Times" w:hAnsi="Times" w:cs="Cambria"/>
          <w:color w:val="000000"/>
          <w:sz w:val="10"/>
        </w:rPr>
        <w:t xml:space="preserve"> (e.g. individual banks, companies, governments, cities etc.) </w:t>
      </w:r>
      <w:r w:rsidRPr="00150BD8">
        <w:rPr>
          <w:rFonts w:ascii="Times" w:hAnsi="Times" w:cs="Cambria"/>
          <w:color w:val="000000"/>
          <w:u w:val="single"/>
        </w:rPr>
        <w:t>of a system are no longer enough.</w:t>
      </w:r>
      <w:r w:rsidRPr="00150BD8">
        <w:rPr>
          <w:rFonts w:ascii="Times" w:hAnsi="Times" w:cs="Cambria"/>
          <w:color w:val="000000"/>
          <w:sz w:val="10"/>
        </w:rPr>
        <w:t xml:space="preserve"> </w:t>
      </w:r>
    </w:p>
    <w:p w14:paraId="5853F4A9"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The notion of systemic risk</w:t>
      </w:r>
      <w:r w:rsidRPr="00150BD8">
        <w:rPr>
          <w:rFonts w:ascii="Times" w:hAnsi="Times" w:cs="Cambria"/>
          <w:color w:val="000000"/>
          <w:sz w:val="10"/>
        </w:rPr>
        <w:t xml:space="preserve"> and practices of systemic risk management are being influenced by multiple traditions in scholarship (e.g. complexity science, resilience concepts), </w:t>
      </w:r>
      <w:r w:rsidRPr="00150BD8">
        <w:rPr>
          <w:rFonts w:ascii="Times" w:hAnsi="Times" w:cs="Cambria"/>
          <w:color w:val="000000"/>
          <w:u w:val="single"/>
        </w:rPr>
        <w:t>contest</w:t>
      </w:r>
      <w:r w:rsidRPr="00150BD8">
        <w:rPr>
          <w:rFonts w:ascii="Times" w:hAnsi="Times" w:cs="Cambria"/>
          <w:color w:val="000000"/>
          <w:sz w:val="10"/>
        </w:rPr>
        <w:t xml:space="preserve">ing </w:t>
      </w:r>
      <w:r w:rsidRPr="00150BD8">
        <w:rPr>
          <w:rFonts w:ascii="Times" w:hAnsi="Times" w:cs="Cambria"/>
          <w:color w:val="000000"/>
          <w:u w:val="single"/>
        </w:rPr>
        <w:t xml:space="preserve">theories </w:t>
      </w:r>
      <w:r w:rsidRPr="00150BD8">
        <w:rPr>
          <w:rFonts w:ascii="Times" w:hAnsi="Times" w:cs="Cambria"/>
          <w:color w:val="000000"/>
          <w:sz w:val="10"/>
        </w:rPr>
        <w:t xml:space="preserve">of risk (e.g. social, mathematical, psychological) and the practical experiences harvested through professional bodies focused on risk management </w:t>
      </w:r>
      <w:r w:rsidRPr="00150BD8">
        <w:rPr>
          <w:rFonts w:ascii="Times" w:hAnsi="Times" w:cs="Cambria"/>
          <w:color w:val="000000"/>
          <w:u w:val="single"/>
        </w:rPr>
        <w:t>in</w:t>
      </w:r>
      <w:r w:rsidRPr="00150BD8">
        <w:rPr>
          <w:rFonts w:ascii="Times" w:hAnsi="Times" w:cs="Cambria"/>
          <w:color w:val="000000"/>
          <w:sz w:val="10"/>
        </w:rPr>
        <w:t xml:space="preserve"> </w:t>
      </w:r>
      <w:r w:rsidRPr="00150BD8">
        <w:rPr>
          <w:rFonts w:ascii="Times" w:hAnsi="Times" w:cs="Cambria"/>
          <w:color w:val="000000"/>
          <w:u w:val="single"/>
        </w:rPr>
        <w:t>banking</w:t>
      </w:r>
      <w:r w:rsidRPr="00150BD8">
        <w:rPr>
          <w:rFonts w:ascii="Times" w:hAnsi="Times" w:cs="Cambria"/>
          <w:color w:val="000000"/>
          <w:sz w:val="10"/>
        </w:rPr>
        <w:t xml:space="preserve"> and financial services, </w:t>
      </w:r>
      <w:r w:rsidRPr="00150BD8">
        <w:rPr>
          <w:rFonts w:ascii="Times" w:hAnsi="Times" w:cs="Cambria"/>
          <w:color w:val="000000"/>
          <w:u w:val="single"/>
        </w:rPr>
        <w:t>environmental management</w:t>
      </w:r>
      <w:r w:rsidRPr="00150BD8">
        <w:rPr>
          <w:rFonts w:ascii="Times" w:hAnsi="Times" w:cs="Cambria"/>
          <w:color w:val="000000"/>
          <w:sz w:val="10"/>
        </w:rPr>
        <w:t xml:space="preserve">, </w:t>
      </w:r>
      <w:r w:rsidRPr="00150BD8">
        <w:rPr>
          <w:rFonts w:ascii="Times" w:hAnsi="Times" w:cs="Cambria"/>
          <w:color w:val="000000"/>
          <w:u w:val="single"/>
        </w:rPr>
        <w:t>urban planning,</w:t>
      </w:r>
      <w:r w:rsidRPr="00150BD8">
        <w:rPr>
          <w:rFonts w:ascii="Times" w:hAnsi="Times" w:cs="Cambria"/>
          <w:color w:val="000000"/>
          <w:sz w:val="10"/>
        </w:rPr>
        <w:t xml:space="preserve"> insurance and reinsurance, etc. </w:t>
      </w:r>
    </w:p>
    <w:p w14:paraId="27DDCBFE"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this WP, we focus on identifying and comparing how risk management, the search for resilience and their respective approaches to strategic foresight and anticipatory knowledge might be better related and more effectively practiced in a range of different contexts such as at the organizational, sectoral-, national- and international-systems levels. </w:t>
      </w:r>
    </w:p>
    <w:p w14:paraId="02E78587"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Our aim is to: </w:t>
      </w:r>
    </w:p>
    <w:p w14:paraId="06FA2CA4" w14:textId="77777777" w:rsidR="00A86569" w:rsidRPr="00150BD8" w:rsidRDefault="00A86569" w:rsidP="00A86569">
      <w:pPr>
        <w:tabs>
          <w:tab w:val="left" w:pos="540"/>
        </w:tabs>
        <w:autoSpaceDE w:val="0"/>
        <w:autoSpaceDN w:val="0"/>
        <w:adjustRightInd w:val="0"/>
        <w:spacing w:after="23"/>
        <w:rPr>
          <w:rFonts w:ascii="Times" w:hAnsi="Times" w:cs="Cambria"/>
          <w:color w:val="000000"/>
          <w:sz w:val="10"/>
        </w:rPr>
      </w:pPr>
      <w:r w:rsidRPr="00150BD8">
        <w:rPr>
          <w:rFonts w:ascii="Times" w:hAnsi="Times" w:cs="Cambria"/>
          <w:color w:val="000000"/>
          <w:sz w:val="10"/>
        </w:rPr>
        <w:t xml:space="preserve">- Unpack what systemic risk means and how it is shaped by different disciplines and different traditions of risk management; also unpack what resilience means; </w:t>
      </w:r>
    </w:p>
    <w:p w14:paraId="468F4395" w14:textId="77777777" w:rsidR="00A86569" w:rsidRPr="00150BD8" w:rsidRDefault="00A86569" w:rsidP="00A86569">
      <w:pPr>
        <w:tabs>
          <w:tab w:val="left" w:pos="540"/>
        </w:tabs>
        <w:autoSpaceDE w:val="0"/>
        <w:autoSpaceDN w:val="0"/>
        <w:adjustRightInd w:val="0"/>
        <w:spacing w:after="23"/>
        <w:rPr>
          <w:rFonts w:ascii="Times" w:hAnsi="Times" w:cs="Cambria"/>
          <w:color w:val="000000"/>
          <w:sz w:val="10"/>
        </w:rPr>
      </w:pPr>
      <w:r w:rsidRPr="00150BD8">
        <w:rPr>
          <w:rFonts w:ascii="Times" w:hAnsi="Times" w:cs="Cambria"/>
          <w:color w:val="000000"/>
          <w:sz w:val="10"/>
        </w:rPr>
        <w:t>- Reveal and clarify how systemic risk and resilience are being operationalized in a range of settings and situations</w:t>
      </w:r>
      <w:proofErr w:type="gramStart"/>
      <w:r w:rsidRPr="00150BD8">
        <w:rPr>
          <w:rFonts w:ascii="Times" w:hAnsi="Times" w:cs="Cambria"/>
          <w:color w:val="000000"/>
          <w:sz w:val="10"/>
        </w:rPr>
        <w:t>;</w:t>
      </w:r>
      <w:proofErr w:type="gramEnd"/>
      <w:r w:rsidRPr="00150BD8">
        <w:rPr>
          <w:rFonts w:ascii="Times" w:hAnsi="Times" w:cs="Cambria"/>
          <w:color w:val="000000"/>
          <w:sz w:val="10"/>
        </w:rPr>
        <w:t xml:space="preserve"> </w:t>
      </w:r>
    </w:p>
    <w:p w14:paraId="012077DA"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 Formulate research questions and </w:t>
      </w:r>
      <w:r w:rsidRPr="003C4195">
        <w:rPr>
          <w:rStyle w:val="StyleBoldUnderline"/>
          <w:szCs w:val="22"/>
        </w:rPr>
        <w:t>develop knowledge</w:t>
      </w:r>
      <w:r w:rsidRPr="00150BD8">
        <w:rPr>
          <w:rFonts w:ascii="Times" w:hAnsi="Times" w:cs="Cambria"/>
          <w:color w:val="000000"/>
          <w:sz w:val="10"/>
        </w:rPr>
        <w:t xml:space="preserve">, methodologies and guidance in order </w:t>
      </w:r>
      <w:r w:rsidRPr="003C4195">
        <w:rPr>
          <w:rStyle w:val="StyleBoldUnderline"/>
          <w:szCs w:val="22"/>
        </w:rPr>
        <w:t>to reveal, inform and create</w:t>
      </w:r>
      <w:r w:rsidRPr="00150BD8">
        <w:rPr>
          <w:rFonts w:ascii="Times" w:hAnsi="Times" w:cs="Cambria"/>
          <w:color w:val="000000"/>
          <w:sz w:val="10"/>
        </w:rPr>
        <w:t xml:space="preserve"> so-called </w:t>
      </w:r>
      <w:r w:rsidRPr="003C4195">
        <w:rPr>
          <w:rStyle w:val="StyleBoldUnderline"/>
          <w:szCs w:val="22"/>
        </w:rPr>
        <w:t>best and next practices in systemic risk management and governance</w:t>
      </w:r>
      <w:r w:rsidRPr="00150BD8">
        <w:rPr>
          <w:rFonts w:ascii="Times" w:hAnsi="Times" w:cs="Cambria"/>
          <w:color w:val="000000"/>
          <w:sz w:val="10"/>
        </w:rPr>
        <w:t xml:space="preserve"> and search for resilience. </w:t>
      </w:r>
    </w:p>
    <w:p w14:paraId="55A28A62" w14:textId="77777777" w:rsidR="00A86569" w:rsidRPr="00150BD8" w:rsidRDefault="00A86569" w:rsidP="00A86569">
      <w:pPr>
        <w:tabs>
          <w:tab w:val="left" w:pos="540"/>
        </w:tabs>
        <w:autoSpaceDE w:val="0"/>
        <w:autoSpaceDN w:val="0"/>
        <w:adjustRightInd w:val="0"/>
        <w:rPr>
          <w:rFonts w:ascii="Times" w:hAnsi="Times" w:cs="Cambria"/>
          <w:color w:val="000000"/>
          <w:sz w:val="10"/>
        </w:rPr>
      </w:pPr>
    </w:p>
    <w:p w14:paraId="57A3C78A"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Our first year deliverable is the state of the art concerning risk, systemic risk and resilience in times of globalization. </w:t>
      </w:r>
    </w:p>
    <w:p w14:paraId="412ADAB1" w14:textId="77777777" w:rsidR="00A86569" w:rsidRPr="00150BD8" w:rsidRDefault="00A86569" w:rsidP="00A86569">
      <w:pPr>
        <w:tabs>
          <w:tab w:val="left" w:pos="540"/>
        </w:tabs>
      </w:pPr>
      <w:r w:rsidRPr="00150BD8">
        <w:t xml:space="preserve">2. Preliminary state of the art on risk and systemic risk </w:t>
      </w:r>
    </w:p>
    <w:p w14:paraId="24147ECF"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2.a. General conceptions of risk 4 </w:t>
      </w:r>
    </w:p>
    <w:p w14:paraId="4151A21E"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The</w:t>
      </w:r>
      <w:r w:rsidRPr="00150BD8">
        <w:rPr>
          <w:rFonts w:ascii="Times" w:hAnsi="Times" w:cs="Cambria"/>
          <w:color w:val="000000"/>
          <w:sz w:val="10"/>
        </w:rPr>
        <w:t xml:space="preserve"> </w:t>
      </w:r>
      <w:r w:rsidRPr="00150BD8">
        <w:rPr>
          <w:rFonts w:ascii="Times" w:hAnsi="Times" w:cs="Cambria"/>
          <w:color w:val="000000"/>
          <w:u w:val="single"/>
        </w:rPr>
        <w:t>conventional</w:t>
      </w:r>
      <w:r w:rsidRPr="00150BD8">
        <w:rPr>
          <w:rFonts w:ascii="Times" w:hAnsi="Times" w:cs="Cambria"/>
          <w:color w:val="000000"/>
          <w:sz w:val="10"/>
        </w:rPr>
        <w:t xml:space="preserve"> </w:t>
      </w:r>
      <w:r w:rsidRPr="00150BD8">
        <w:rPr>
          <w:rFonts w:ascii="Times" w:hAnsi="Times" w:cs="Cambria"/>
          <w:color w:val="000000"/>
          <w:u w:val="single"/>
        </w:rPr>
        <w:t>risk</w:t>
      </w:r>
      <w:r w:rsidRPr="00150BD8">
        <w:rPr>
          <w:rFonts w:ascii="Times" w:hAnsi="Times" w:cs="Cambria"/>
          <w:color w:val="000000"/>
          <w:sz w:val="10"/>
        </w:rPr>
        <w:t xml:space="preserve"> management </w:t>
      </w:r>
      <w:r w:rsidRPr="00150BD8">
        <w:rPr>
          <w:rFonts w:ascii="Times" w:hAnsi="Times" w:cs="Cambria"/>
          <w:color w:val="000000"/>
          <w:u w:val="single"/>
        </w:rPr>
        <w:t>paradigm assumes that a</w:t>
      </w:r>
      <w:r w:rsidRPr="00150BD8">
        <w:rPr>
          <w:rFonts w:ascii="Times" w:hAnsi="Times" w:cs="Cambria"/>
          <w:color w:val="000000"/>
          <w:sz w:val="10"/>
        </w:rPr>
        <w:t xml:space="preserve"> loss </w:t>
      </w:r>
      <w:r w:rsidRPr="00150BD8">
        <w:rPr>
          <w:rFonts w:ascii="Times" w:hAnsi="Times" w:cs="Cambria"/>
          <w:color w:val="000000"/>
          <w:u w:val="single"/>
        </w:rPr>
        <w:t>event</w:t>
      </w:r>
      <w:r w:rsidRPr="00150BD8">
        <w:rPr>
          <w:rFonts w:ascii="Times" w:hAnsi="Times" w:cs="Cambria"/>
          <w:color w:val="000000"/>
          <w:sz w:val="10"/>
        </w:rPr>
        <w:t xml:space="preserve"> </w:t>
      </w:r>
      <w:r w:rsidRPr="00150BD8">
        <w:rPr>
          <w:rFonts w:ascii="Times" w:hAnsi="Times" w:cs="Cambria"/>
          <w:color w:val="000000"/>
          <w:u w:val="single"/>
        </w:rPr>
        <w:t>is</w:t>
      </w:r>
      <w:r w:rsidRPr="00150BD8">
        <w:rPr>
          <w:rFonts w:ascii="Times" w:hAnsi="Times" w:cs="Cambria"/>
          <w:color w:val="000000"/>
          <w:sz w:val="10"/>
        </w:rPr>
        <w:t xml:space="preserve"> relatively limited, </w:t>
      </w:r>
      <w:r w:rsidRPr="00150BD8">
        <w:rPr>
          <w:rFonts w:ascii="Times" w:hAnsi="Times" w:cs="Cambria"/>
          <w:color w:val="000000"/>
          <w:u w:val="single"/>
        </w:rPr>
        <w:t>specific</w:t>
      </w:r>
      <w:r w:rsidRPr="00150BD8">
        <w:rPr>
          <w:rFonts w:ascii="Times" w:hAnsi="Times" w:cs="Cambria"/>
          <w:color w:val="000000"/>
          <w:sz w:val="10"/>
        </w:rPr>
        <w:t xml:space="preserve"> and </w:t>
      </w:r>
      <w:r w:rsidRPr="00150BD8">
        <w:rPr>
          <w:rFonts w:ascii="Times" w:hAnsi="Times" w:cs="Cambria"/>
          <w:color w:val="000000"/>
          <w:u w:val="single"/>
        </w:rPr>
        <w:t>isolated and</w:t>
      </w:r>
      <w:r w:rsidRPr="00150BD8">
        <w:rPr>
          <w:rFonts w:ascii="Times" w:hAnsi="Times" w:cs="Cambria"/>
          <w:color w:val="000000"/>
          <w:sz w:val="10"/>
        </w:rPr>
        <w:t xml:space="preserve"> with proper analysis can be </w:t>
      </w:r>
      <w:r w:rsidRPr="00150BD8">
        <w:rPr>
          <w:rFonts w:ascii="Times" w:hAnsi="Times" w:cs="Cambria"/>
          <w:color w:val="000000"/>
          <w:u w:val="single"/>
        </w:rPr>
        <w:t>anticipated and thus, avoided</w:t>
      </w:r>
      <w:r w:rsidRPr="00150BD8">
        <w:rPr>
          <w:rFonts w:ascii="Times" w:hAnsi="Times" w:cs="Cambria"/>
          <w:color w:val="000000"/>
          <w:sz w:val="10"/>
        </w:rPr>
        <w:t xml:space="preserve"> or contained and mitigated. In the conventional risk management paradigm the default is to forecast the future - or a probabilistic analysis – i.e. the assumption that the future is knowable. </w:t>
      </w:r>
    </w:p>
    <w:p w14:paraId="73C52758"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Formal interest in risk and risk management originates from the fields of engineering and epidemiology in the 20th century (Kates &amp; Kasperson, 1983) and from interdisciplinary studies of natural hazards (White &amp; Haas, 1975). Since then the social sciences created significant independent contributions to risk research (Golding, 1992). Krimsky (1992) summarized the roles theory can take in risk analysis, which are quantitative laws, taxonomic frameworks, models, functionalist explanations, cognitive explanations, or analogical models and interpretive representations. Beck (1992, 1994) and Giddens (1991, 1999) pointed to the elaborate role risk plays in the macro organizational levels of modern society. </w:t>
      </w:r>
    </w:p>
    <w:p w14:paraId="6D8361FD"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Societies are self-reflective in the sense that they seek to govern their own behavior to avoid catastrophic consequences. As such, the concept of risk is also politically relevant (Lupton, 1999). Providing an overview of the different perspectives on risk research, Renn (1992) distinguishes the technical perspective on risk (expected or modeled value, probabilistic risk assessment), economic perspectives (risk-benefit analysis), psychological perspectives (psychometric and cognitive analyses), sociological perspectives (plurality of approaches), and cultural perspectives (grid-group analysis). </w:t>
      </w:r>
    </w:p>
    <w:p w14:paraId="64530D09" w14:textId="77777777" w:rsidR="00A86569" w:rsidRPr="00150BD8" w:rsidRDefault="00A86569" w:rsidP="00A86569">
      <w:pPr>
        <w:tabs>
          <w:tab w:val="left" w:pos="540"/>
        </w:tabs>
        <w:autoSpaceDE w:val="0"/>
        <w:autoSpaceDN w:val="0"/>
        <w:adjustRightInd w:val="0"/>
        <w:rPr>
          <w:rFonts w:ascii="Times" w:hAnsi="Times" w:cs="Cambria"/>
          <w:color w:val="000000"/>
          <w:sz w:val="10"/>
        </w:rPr>
      </w:pPr>
    </w:p>
    <w:p w14:paraId="61280249"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While </w:t>
      </w:r>
      <w:r w:rsidRPr="00150BD8">
        <w:rPr>
          <w:rFonts w:ascii="Times" w:hAnsi="Times" w:cs="Cambria"/>
          <w:color w:val="000000"/>
          <w:u w:val="single"/>
        </w:rPr>
        <w:t>economic</w:t>
      </w:r>
      <w:r w:rsidRPr="00150BD8">
        <w:rPr>
          <w:rFonts w:ascii="Times" w:hAnsi="Times" w:cs="Cambria"/>
          <w:color w:val="000000"/>
          <w:sz w:val="10"/>
        </w:rPr>
        <w:t xml:space="preserve"> and technical </w:t>
      </w:r>
      <w:r w:rsidRPr="00150BD8">
        <w:rPr>
          <w:rFonts w:ascii="Times" w:hAnsi="Times" w:cs="Cambria"/>
          <w:color w:val="000000"/>
          <w:u w:val="single"/>
        </w:rPr>
        <w:t>risk</w:t>
      </w:r>
      <w:r w:rsidRPr="00150BD8">
        <w:rPr>
          <w:rFonts w:ascii="Times" w:hAnsi="Times" w:cs="Cambria"/>
          <w:color w:val="000000"/>
          <w:sz w:val="10"/>
        </w:rPr>
        <w:t xml:space="preserve"> </w:t>
      </w:r>
      <w:r w:rsidRPr="00150BD8">
        <w:rPr>
          <w:rFonts w:ascii="Times" w:hAnsi="Times" w:cs="Cambria"/>
          <w:color w:val="000000"/>
          <w:u w:val="single"/>
        </w:rPr>
        <w:t>assessments are similar with regard to their reductionist</w:t>
      </w:r>
      <w:r w:rsidRPr="00150BD8">
        <w:rPr>
          <w:rFonts w:ascii="Times" w:hAnsi="Times" w:cs="Cambria"/>
          <w:color w:val="000000"/>
          <w:sz w:val="10"/>
        </w:rPr>
        <w:t xml:space="preserve"> </w:t>
      </w:r>
      <w:r w:rsidRPr="00150BD8">
        <w:rPr>
          <w:rFonts w:ascii="Times" w:hAnsi="Times" w:cs="Cambria"/>
          <w:color w:val="000000"/>
          <w:u w:val="single"/>
        </w:rPr>
        <w:t>and one-dimensional view of the world</w:t>
      </w:r>
      <w:r w:rsidRPr="00150BD8">
        <w:rPr>
          <w:rFonts w:ascii="Times" w:hAnsi="Times" w:cs="Cambria"/>
          <w:color w:val="000000"/>
          <w:sz w:val="10"/>
        </w:rPr>
        <w:t xml:space="preserve">, narrowing down risk analysis to a form of quantifiable expected value, psychometric, sociological, and cultural views take a multi-dimensional view that is concerned with 5 the myriad forms of risk perception. In Renn’s (1992) systemic classification of risk perspectives the main applications of the latter group are therefore seen in policy making, regulations, mediation, and risk communication, whereas the former be applicable for decision making (insurance, health, environmental protection, and safety engineering). </w:t>
      </w:r>
    </w:p>
    <w:p w14:paraId="56EC9990"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different research strands can further be summarized regarding their theoretical focus on either the actual assessment of risk, the perception of risk, or blended approaches. Technical, economic, and quantitative social benefit approaches to measure risk can be counted towards those perspectives concerned with practical risk assessment (see e.g. Just, Heuth, &amp; Schmitz, 1982; Lowrance, 1976; Starr, 1969), also apparent in the broad use of the value at risk concept in finance, which basically attempts to calculate an expected value of losses (see e.g. Jorion, 2007). </w:t>
      </w:r>
    </w:p>
    <w:p w14:paraId="4DCC0A7E"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psychological perspectives look into the perception of risk at an individual level (see e.g. Boholm, 1998; Slovic, 1987; Tversky &amp; Kahneman, 1974) while the cultural theories of risk are concerned with the perception of risk at a collective level, as they see risk as the result of what different groups within a society – shaped by their social norms, values, and ontological assumptions – perceive as potential hazards (see Douglas &amp; Wildavsky, 1982; Rayner, 1992; Thompson et al, 1990). In a way, cultural theories of risk attempt a form of risk assessment in a qualitative and social constructivist manner, while psychological theory examines the different perceptions of objective risks. Cultural theory has been criticized for seeing individuals only in aggregate, as being too simplistic, rather descriptive, and as being difficult to measure empirically (Renn, 1992). Marris et al. (1998) find some support for both the psychological and the cultural theory paradigms, although the cultural theory explains only very little variance in risk perception. As the only common denominator of sociological theories of risk is their awareness that human actors can only perceive the world through subjective social and cultural influences (Renn, 1992), they may best be seen as blended approaches leaning towards either weak or strong constructivist positions. Sociological perspectives further take into account what consequences arise from risk for the society (see e.g. Beck, 1992; Giddens, 1999) and bring fairness and competences into the picture, which can provide a basis for normative conclusions regarding risk policies (Renn, 1992). </w:t>
      </w:r>
    </w:p>
    <w:p w14:paraId="27BB742B"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The different theoretical conceptions of risk are non</w:t>
      </w:r>
      <w:r w:rsidRPr="00150BD8">
        <w:rPr>
          <w:rFonts w:ascii="Palatino Linotype" w:hAnsi="Palatino Linotype" w:cs="Palatino Linotype"/>
          <w:color w:val="000000"/>
          <w:sz w:val="10"/>
        </w:rPr>
        <w:t>‐</w:t>
      </w:r>
      <w:r w:rsidRPr="00150BD8">
        <w:rPr>
          <w:rFonts w:ascii="Times" w:hAnsi="Times" w:cs="Cambria"/>
          <w:color w:val="000000"/>
          <w:sz w:val="10"/>
        </w:rPr>
        <w:t xml:space="preserve">exclusive and can nurture each other. One attempt to integrate different perspectives consists in the Amplification of Risk framework, which builds on the analogy of signaling theory and sees risks to emerge from signals of initial real risks amplified in several steps of social interaction processes influenced by cultural setting (see Kasperson, et al., 1988; Kasperson, 1992; Kasperson, et al, 2003; Renn, et al, 1992). </w:t>
      </w:r>
    </w:p>
    <w:p w14:paraId="5D645AC7" w14:textId="77777777" w:rsidR="00A86569" w:rsidRPr="00150BD8" w:rsidRDefault="00A86569" w:rsidP="00A86569">
      <w:pPr>
        <w:tabs>
          <w:tab w:val="left" w:pos="540"/>
        </w:tabs>
        <w:autoSpaceDE w:val="0"/>
        <w:autoSpaceDN w:val="0"/>
        <w:adjustRightInd w:val="0"/>
        <w:rPr>
          <w:rFonts w:ascii="Times" w:hAnsi="Times" w:cs="Cambria"/>
          <w:color w:val="000000"/>
          <w:sz w:val="10"/>
        </w:rPr>
      </w:pPr>
    </w:p>
    <w:p w14:paraId="6DFB773B"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2.b Systemic risk in the futures literature </w:t>
      </w:r>
    </w:p>
    <w:p w14:paraId="631A04B3"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the futures literature2, the term ‘systemic risk’ is not featured frequently and has only been used recently (Checkley 2009). Other </w:t>
      </w:r>
      <w:r w:rsidRPr="00150BD8">
        <w:rPr>
          <w:rFonts w:ascii="Times" w:hAnsi="Times" w:cs="Cambria"/>
          <w:color w:val="000000"/>
          <w:u w:val="single"/>
        </w:rPr>
        <w:t>terms</w:t>
      </w:r>
      <w:r w:rsidRPr="00150BD8">
        <w:rPr>
          <w:rFonts w:ascii="Times" w:hAnsi="Times" w:cs="Cambria"/>
          <w:color w:val="000000"/>
          <w:sz w:val="10"/>
        </w:rPr>
        <w:t xml:space="preserve"> </w:t>
      </w:r>
      <w:r w:rsidRPr="00150BD8">
        <w:rPr>
          <w:rFonts w:ascii="Times" w:hAnsi="Times" w:cs="Cambria"/>
          <w:color w:val="000000"/>
          <w:u w:val="single"/>
        </w:rPr>
        <w:t>akin to systemic risk</w:t>
      </w:r>
      <w:r w:rsidRPr="00150BD8">
        <w:rPr>
          <w:rFonts w:ascii="Times" w:hAnsi="Times" w:cs="Cambria"/>
          <w:color w:val="000000"/>
          <w:sz w:val="10"/>
        </w:rPr>
        <w:t xml:space="preserve"> </w:t>
      </w:r>
      <w:r w:rsidRPr="00150BD8">
        <w:rPr>
          <w:rFonts w:ascii="Times" w:hAnsi="Times" w:cs="Cambria"/>
          <w:color w:val="000000"/>
          <w:u w:val="single"/>
        </w:rPr>
        <w:t>are</w:t>
      </w:r>
      <w:r w:rsidRPr="00150BD8">
        <w:rPr>
          <w:rFonts w:ascii="Times" w:hAnsi="Times" w:cs="Cambria"/>
          <w:color w:val="000000"/>
          <w:sz w:val="10"/>
        </w:rPr>
        <w:t xml:space="preserve"> in more frequent use. They comprise </w:t>
      </w:r>
      <w:r w:rsidRPr="00150BD8">
        <w:rPr>
          <w:rFonts w:ascii="Times" w:hAnsi="Times" w:cs="Cambria"/>
          <w:color w:val="000000"/>
          <w:u w:val="single"/>
        </w:rPr>
        <w:t>complex hazards</w:t>
      </w:r>
      <w:r w:rsidRPr="00150BD8">
        <w:rPr>
          <w:rFonts w:ascii="Times" w:hAnsi="Times" w:cs="Cambria"/>
          <w:color w:val="000000"/>
          <w:sz w:val="10"/>
        </w:rPr>
        <w:t xml:space="preserve"> (de Souza Porto &amp; De Freitas 2003), extreme risks (Nakau 2004), emerging risks from science and technology (Wiedemann et al. 2005), </w:t>
      </w:r>
      <w:r w:rsidRPr="00150BD8">
        <w:rPr>
          <w:rFonts w:ascii="Times" w:hAnsi="Times" w:cs="Cambria"/>
          <w:color w:val="000000"/>
          <w:u w:val="single"/>
        </w:rPr>
        <w:t>catastrophic risk</w:t>
      </w:r>
      <w:r w:rsidRPr="00150BD8">
        <w:rPr>
          <w:rFonts w:ascii="Times" w:hAnsi="Times" w:cs="Cambria"/>
          <w:color w:val="000000"/>
          <w:sz w:val="10"/>
        </w:rPr>
        <w:t xml:space="preserve"> (Geiger 2005), natural disaster-triggered technological (natech) disasters (Cruz et al. 2006), </w:t>
      </w:r>
      <w:r w:rsidRPr="00150BD8">
        <w:rPr>
          <w:rFonts w:ascii="Times" w:hAnsi="Times" w:cs="Cambria"/>
          <w:color w:val="000000"/>
          <w:u w:val="single"/>
        </w:rPr>
        <w:t xml:space="preserve">extreme risks and </w:t>
      </w:r>
      <w:r w:rsidRPr="00150BD8">
        <w:rPr>
          <w:rFonts w:ascii="Times" w:hAnsi="Times" w:cs="Cambria"/>
          <w:b/>
          <w:color w:val="000000"/>
          <w:u w:val="single"/>
        </w:rPr>
        <w:t>human extinction</w:t>
      </w:r>
      <w:r w:rsidRPr="00150BD8">
        <w:rPr>
          <w:rFonts w:ascii="Times" w:hAnsi="Times" w:cs="Cambria"/>
          <w:color w:val="000000"/>
          <w:sz w:val="10"/>
        </w:rPr>
        <w:t xml:space="preserve"> (Tonn &amp; MacGregor 2009), </w:t>
      </w:r>
      <w:r w:rsidRPr="00150BD8">
        <w:rPr>
          <w:rFonts w:ascii="Times" w:hAnsi="Times" w:cs="Cambria"/>
          <w:color w:val="000000"/>
          <w:u w:val="single"/>
        </w:rPr>
        <w:t>and high impact low probability events</w:t>
      </w:r>
      <w:r w:rsidRPr="00150BD8">
        <w:rPr>
          <w:rFonts w:ascii="Times" w:hAnsi="Times" w:cs="Cambria"/>
          <w:color w:val="000000"/>
          <w:sz w:val="10"/>
        </w:rPr>
        <w:t xml:space="preserve"> (Ord et al. 2010). While the last view of systemic risk (high impact with low probability event) comes closest to a definition, no coherent understanding of systemic risk yet exists. </w:t>
      </w:r>
    </w:p>
    <w:p w14:paraId="78332103"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Arguments for post-normal approaches to science and decision-making have been made in the literature, especially so for systemic risk (or close terms), but the explicit treatment of systemic risk so far is limited to case studies and selective areas of threats in the future. It seems that catastrophic or systemic risks per se have been of greater interest in the futures literature so far than the methods and tools to deal with them. </w:t>
      </w:r>
    </w:p>
    <w:p w14:paraId="5C86760F" w14:textId="77777777" w:rsidR="00A86569" w:rsidRPr="00150BD8" w:rsidRDefault="00A86569" w:rsidP="00A86569">
      <w:pPr>
        <w:tabs>
          <w:tab w:val="left" w:pos="540"/>
        </w:tabs>
        <w:autoSpaceDE w:val="0"/>
        <w:autoSpaceDN w:val="0"/>
        <w:adjustRightInd w:val="0"/>
        <w:rPr>
          <w:rFonts w:ascii="Times" w:hAnsi="Times" w:cs="Cambria"/>
          <w:color w:val="000000"/>
          <w:sz w:val="10"/>
        </w:rPr>
      </w:pPr>
    </w:p>
    <w:p w14:paraId="2D6C14F6"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One stream of literature focuses on a conceptual approach to systemic risk. In this stream, three groups can be distinguished. The first follows a positivistic endeavor akin to classic risk management approaches quantifying systemic risk to make it measurable and in consequence manageable. The second group applies narrative scenario techniques and describes possible future systemic risks. The third class of works considers a classification of the severity of threats to mankind, and aims to identify the most threatening ones. </w:t>
      </w:r>
    </w:p>
    <w:p w14:paraId="266CF058"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an attempt to answer the question how much costs are bearable to protect against a catastrophic event, Nakau (2004) proposed a risk evaluation model, which classifies extreme events quantitatively. Based on stochastic probability he introduces tolerable levels of failure probabilities as a sustainability criterion, i.e. how many victims constitute a certain level of impact. Checkley (2009) employed an empirical test that explains the creation of systemic risk in a venture capitalist context, seeing systemic risk as risks affecting all parties. They argue that such risk occurs as mutual funds diversify their investment among several venture capitalists, but those syndicate for investment projects – so, diversification effects are unmade and are thus pseudo, which in turn gives rise to systemic risk. </w:t>
      </w:r>
    </w:p>
    <w:p w14:paraId="3C4D24AE"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 series of scenario works in 2009 have considered narratives explaining possible paths to the extinction of the human race (see Coates 2009; Goux-Baudiment 2009; Tonn &amp; MacGregor 2009). Tonn &amp; MacGregor (2009) describe a chain of events that can lead to the extinction of the human race over the next 1000 years. Goux-Baudiment (2009) on the other hand imagines a chain of events that could lead to human extinction in only 150 years. He further investigates the human agency in this scenario, and whether and how human interaction could break this disastrous chain of events. Tonn (2009) adds to those perspectives as he derives a theoretically acceptable risk level of human extinction from qualitative criteria (i.e. fairness, unfinished business, and maintaining options). He finds that the objectively acceptable level is lower than the currently (subjectively) expected level and concludes that risk must therefore be reduced. </w:t>
      </w:r>
    </w:p>
    <w:p w14:paraId="7684F057"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a different approach, Coates (2009) discussed extreme risks that humankind faces. He developed a classification system for those events, which centers on the severity of extreme events. The approach is similar to Nakau (2004) as it attempts to evaluate severity of risks, but different as it does not rely on quantitative criteria. Coates concludes that a nuclear winter, the use of nuclear weapons, and the eruption of a super-volcano are the most severe threats to civilization and humankind, but that other events such as asteroids also bear some risk. </w:t>
      </w:r>
    </w:p>
    <w:p w14:paraId="65051E3B"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Another stream of literature focuses on the perception and social construction of systemic risk. First, studies look into the paradoxical situation of policy makers to stimulate innovation but also to regulate risks arising from accelerating innovation. This argument is put forward to support post-normal science and decision-making as the appropriate approach to modern (systemic) risk management situations. Then</w:t>
      </w:r>
      <w:r w:rsidRPr="00150BD8">
        <w:rPr>
          <w:rFonts w:ascii="Times" w:hAnsi="Times" w:cs="Cambria"/>
          <w:color w:val="000000"/>
          <w:u w:val="single"/>
        </w:rPr>
        <w:t xml:space="preserve">, risk perception biases for catastrophic risk have been examined and </w:t>
      </w:r>
      <w:r w:rsidRPr="00150BD8">
        <w:rPr>
          <w:rFonts w:ascii="Times" w:hAnsi="Times" w:cs="Cambria"/>
          <w:color w:val="000000"/>
          <w:sz w:val="10"/>
        </w:rPr>
        <w:t xml:space="preserve">ultimately, the classic </w:t>
      </w:r>
      <w:r w:rsidRPr="00150BD8">
        <w:rPr>
          <w:rFonts w:ascii="Times" w:hAnsi="Times" w:cs="Cambria"/>
          <w:color w:val="000000"/>
          <w:u w:val="single"/>
        </w:rPr>
        <w:t xml:space="preserve">reductionist treatment </w:t>
      </w:r>
      <w:r w:rsidRPr="00150BD8">
        <w:rPr>
          <w:rFonts w:ascii="Times" w:hAnsi="Times" w:cs="Cambria"/>
          <w:color w:val="000000"/>
          <w:sz w:val="10"/>
        </w:rPr>
        <w:t xml:space="preserve">of risk management </w:t>
      </w:r>
      <w:r w:rsidRPr="00150BD8">
        <w:rPr>
          <w:rFonts w:ascii="Times" w:hAnsi="Times" w:cs="Cambria"/>
          <w:color w:val="000000"/>
          <w:u w:val="single"/>
        </w:rPr>
        <w:t xml:space="preserve">was held responsible </w:t>
      </w:r>
      <w:r w:rsidRPr="00150BD8">
        <w:rPr>
          <w:rFonts w:ascii="Times" w:hAnsi="Times" w:cs="Cambria"/>
          <w:color w:val="000000"/>
          <w:sz w:val="10"/>
        </w:rPr>
        <w:t xml:space="preserve">for </w:t>
      </w:r>
      <w:r w:rsidRPr="00150BD8">
        <w:rPr>
          <w:rFonts w:ascii="Times" w:hAnsi="Times" w:cs="Cambria"/>
          <w:color w:val="000000"/>
          <w:u w:val="single"/>
        </w:rPr>
        <w:t>rising</w:t>
      </w:r>
      <w:r w:rsidRPr="00150BD8">
        <w:rPr>
          <w:rFonts w:ascii="Times" w:hAnsi="Times" w:cs="Cambria"/>
          <w:color w:val="000000"/>
          <w:sz w:val="10"/>
        </w:rPr>
        <w:t xml:space="preserve"> occupation with </w:t>
      </w:r>
      <w:r w:rsidRPr="00150BD8">
        <w:rPr>
          <w:rFonts w:ascii="Times" w:hAnsi="Times" w:cs="Cambria"/>
          <w:color w:val="000000"/>
          <w:u w:val="single"/>
        </w:rPr>
        <w:t>risk</w:t>
      </w:r>
      <w:r w:rsidRPr="00150BD8">
        <w:rPr>
          <w:rFonts w:ascii="Times" w:hAnsi="Times" w:cs="Cambria"/>
          <w:color w:val="000000"/>
          <w:sz w:val="10"/>
        </w:rPr>
        <w:t xml:space="preserve"> in society. </w:t>
      </w:r>
    </w:p>
    <w:p w14:paraId="1065BB8B"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Public actors play a paradoxical role in the relationship between risk and innovation, between the interests of the public and private actors (Ravetz, 2003). Ravetz sees accelerating innovation as a necessary tool for private companies to compete in a ‘globalizing knowledge economy’ and the role of the public to ensure an environment in which speedy innovation can take place. On the other hand, public actors need to ensure the safety of new technologies and innovation acting as an agent for their citizens, remaining the source of public trust and safety provider for citizens. Besides this paradoxical role, technological innovation threatens the global environmental system; so, how much technological 7 </w:t>
      </w:r>
    </w:p>
    <w:p w14:paraId="29D86B82" w14:textId="77777777" w:rsidR="00A86569" w:rsidRPr="00150BD8" w:rsidRDefault="00A86569" w:rsidP="00A86569">
      <w:pPr>
        <w:tabs>
          <w:tab w:val="left" w:pos="540"/>
        </w:tabs>
        <w:autoSpaceDE w:val="0"/>
        <w:autoSpaceDN w:val="0"/>
        <w:adjustRightInd w:val="0"/>
        <w:rPr>
          <w:rFonts w:ascii="Times" w:hAnsi="Times" w:cs="Cambria"/>
          <w:color w:val="000000"/>
        </w:rPr>
      </w:pPr>
      <w:proofErr w:type="gramStart"/>
      <w:r w:rsidRPr="00150BD8">
        <w:rPr>
          <w:rFonts w:ascii="Times" w:hAnsi="Times" w:cs="Cambria"/>
          <w:color w:val="000000"/>
          <w:sz w:val="10"/>
        </w:rPr>
        <w:t>innovation</w:t>
      </w:r>
      <w:proofErr w:type="gramEnd"/>
      <w:r w:rsidRPr="00150BD8">
        <w:rPr>
          <w:rFonts w:ascii="Times" w:hAnsi="Times" w:cs="Cambria"/>
          <w:color w:val="000000"/>
          <w:sz w:val="10"/>
        </w:rPr>
        <w:t xml:space="preserve"> is desirable and </w:t>
      </w:r>
      <w:r w:rsidRPr="00150BD8">
        <w:rPr>
          <w:rFonts w:ascii="Times" w:hAnsi="Times" w:cs="Cambria"/>
          <w:color w:val="000000"/>
          <w:u w:val="single"/>
        </w:rPr>
        <w:t>how much risk in it acceptable?</w:t>
      </w:r>
      <w:r w:rsidRPr="00150BD8">
        <w:rPr>
          <w:rFonts w:ascii="Times" w:hAnsi="Times" w:cs="Cambria"/>
          <w:color w:val="000000"/>
          <w:sz w:val="10"/>
        </w:rPr>
        <w:t xml:space="preserve"> Ravetz argues that finding </w:t>
      </w:r>
      <w:r w:rsidRPr="00150BD8">
        <w:rPr>
          <w:rFonts w:ascii="Times" w:hAnsi="Times" w:cs="Cambria"/>
          <w:color w:val="000000"/>
          <w:u w:val="single"/>
        </w:rPr>
        <w:t>appropriate answers to this question can only be found in a policy-making process that involves the public</w:t>
      </w:r>
      <w:r w:rsidRPr="00150BD8">
        <w:rPr>
          <w:rFonts w:ascii="Times" w:hAnsi="Times" w:cs="Cambria"/>
          <w:color w:val="000000"/>
          <w:sz w:val="10"/>
        </w:rPr>
        <w:t xml:space="preserve"> in dialogues about scientific findings and </w:t>
      </w:r>
      <w:r w:rsidRPr="00150BD8">
        <w:rPr>
          <w:rFonts w:ascii="Times" w:hAnsi="Times" w:cs="Cambria"/>
          <w:color w:val="000000"/>
          <w:u w:val="single"/>
        </w:rPr>
        <w:t>by disclosing ambiguities</w:t>
      </w:r>
      <w:r w:rsidRPr="00150BD8">
        <w:rPr>
          <w:rFonts w:ascii="Times" w:hAnsi="Times" w:cs="Cambria"/>
          <w:color w:val="000000"/>
          <w:sz w:val="10"/>
        </w:rPr>
        <w:t xml:space="preserve"> in scientific finding, thus </w:t>
      </w:r>
      <w:r w:rsidRPr="00150BD8">
        <w:rPr>
          <w:rFonts w:ascii="Times" w:hAnsi="Times" w:cs="Cambria"/>
          <w:color w:val="000000"/>
          <w:u w:val="single"/>
        </w:rPr>
        <w:t xml:space="preserve">embracing policy </w:t>
      </w:r>
      <w:r w:rsidRPr="00150BD8">
        <w:rPr>
          <w:rFonts w:ascii="Times" w:hAnsi="Times" w:cs="Cambria"/>
          <w:color w:val="000000"/>
          <w:sz w:val="10"/>
        </w:rPr>
        <w:t xml:space="preserve">principles </w:t>
      </w:r>
      <w:r w:rsidRPr="00150BD8">
        <w:rPr>
          <w:rFonts w:ascii="Times" w:hAnsi="Times" w:cs="Cambria"/>
          <w:color w:val="000000"/>
          <w:u w:val="single"/>
        </w:rPr>
        <w:t xml:space="preserve">for a post-normal world </w:t>
      </w:r>
      <w:r w:rsidRPr="00150BD8">
        <w:rPr>
          <w:rFonts w:ascii="Times" w:hAnsi="Times" w:cs="Cambria"/>
          <w:color w:val="000000"/>
          <w:sz w:val="10"/>
        </w:rPr>
        <w:t>of science</w:t>
      </w:r>
      <w:r w:rsidRPr="00150BD8">
        <w:rPr>
          <w:rFonts w:ascii="Times" w:hAnsi="Times" w:cs="Cambria"/>
          <w:color w:val="000000"/>
        </w:rPr>
        <w:t xml:space="preserve">. </w:t>
      </w:r>
    </w:p>
    <w:p w14:paraId="6EA133EA" w14:textId="77777777" w:rsidR="00A86569" w:rsidRPr="00150BD8" w:rsidRDefault="00A86569" w:rsidP="00A86569">
      <w:pPr>
        <w:tabs>
          <w:tab w:val="left" w:pos="540"/>
        </w:tabs>
        <w:autoSpaceDE w:val="0"/>
        <w:autoSpaceDN w:val="0"/>
        <w:adjustRightInd w:val="0"/>
        <w:rPr>
          <w:rFonts w:ascii="Times" w:hAnsi="Times" w:cs="Cambria"/>
          <w:color w:val="000000"/>
        </w:rPr>
      </w:pPr>
    </w:p>
    <w:p w14:paraId="3951821B" w14:textId="77777777" w:rsidR="00A86569" w:rsidRPr="00150BD8" w:rsidRDefault="00A86569" w:rsidP="00A86569">
      <w:pPr>
        <w:pStyle w:val="Heading4"/>
      </w:pPr>
      <w:r w:rsidRPr="00150BD8">
        <w:t xml:space="preserve">Continued (8 pages later)… </w:t>
      </w:r>
    </w:p>
    <w:p w14:paraId="06F92772" w14:textId="77777777" w:rsidR="00A86569" w:rsidRPr="00150BD8" w:rsidRDefault="00A86569" w:rsidP="00A86569">
      <w:pPr>
        <w:tabs>
          <w:tab w:val="left" w:pos="540"/>
        </w:tabs>
        <w:autoSpaceDE w:val="0"/>
        <w:autoSpaceDN w:val="0"/>
        <w:adjustRightInd w:val="0"/>
        <w:rPr>
          <w:rFonts w:ascii="Times" w:hAnsi="Times" w:cs="Cambria"/>
          <w:b/>
          <w:bCs/>
          <w:color w:val="000000"/>
        </w:rPr>
      </w:pPr>
    </w:p>
    <w:p w14:paraId="1F6AE787" w14:textId="77777777" w:rsidR="00A86569" w:rsidRPr="00A37A39" w:rsidRDefault="00A86569" w:rsidP="00A86569">
      <w:pPr>
        <w:tabs>
          <w:tab w:val="left" w:pos="540"/>
        </w:tabs>
        <w:rPr>
          <w:sz w:val="16"/>
          <w:szCs w:val="16"/>
        </w:rPr>
      </w:pPr>
      <w:r w:rsidRPr="00A37A39">
        <w:rPr>
          <w:sz w:val="16"/>
          <w:szCs w:val="16"/>
        </w:rPr>
        <w:t xml:space="preserve">4. Preliminary state of the art on resilience </w:t>
      </w:r>
    </w:p>
    <w:p w14:paraId="6340F8D6"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u w:val="single"/>
        </w:rPr>
        <w:t>In contrast to the</w:t>
      </w:r>
      <w:r w:rsidRPr="00150BD8">
        <w:rPr>
          <w:rFonts w:ascii="Times" w:hAnsi="Times" w:cs="Cambria"/>
          <w:color w:val="000000"/>
          <w:sz w:val="10"/>
        </w:rPr>
        <w:t xml:space="preserve"> conventional risk management approach and </w:t>
      </w:r>
      <w:r w:rsidRPr="00150BD8">
        <w:rPr>
          <w:rFonts w:ascii="Times" w:hAnsi="Times" w:cs="Cambria"/>
          <w:color w:val="000000"/>
          <w:u w:val="single"/>
        </w:rPr>
        <w:t>linear risk paradigm, the search for</w:t>
      </w:r>
      <w:r w:rsidRPr="00150BD8">
        <w:rPr>
          <w:rFonts w:ascii="Times" w:hAnsi="Times" w:cs="Cambria"/>
          <w:color w:val="000000"/>
          <w:sz w:val="10"/>
        </w:rPr>
        <w:t xml:space="preserve"> </w:t>
      </w:r>
      <w:r w:rsidRPr="00150BD8">
        <w:rPr>
          <w:rFonts w:ascii="Times" w:hAnsi="Times" w:cs="Cambria"/>
          <w:color w:val="000000"/>
          <w:u w:val="single"/>
        </w:rPr>
        <w:t>resilience</w:t>
      </w:r>
      <w:r w:rsidRPr="00150BD8">
        <w:rPr>
          <w:rFonts w:ascii="Times" w:hAnsi="Times" w:cs="Cambria"/>
          <w:color w:val="000000"/>
          <w:sz w:val="10"/>
        </w:rPr>
        <w:t xml:space="preserve"> tends to </w:t>
      </w:r>
      <w:r w:rsidRPr="00150BD8">
        <w:rPr>
          <w:rFonts w:ascii="Times" w:hAnsi="Times" w:cs="Cambria"/>
          <w:color w:val="000000"/>
          <w:u w:val="single"/>
        </w:rPr>
        <w:t>emphasize</w:t>
      </w:r>
      <w:r w:rsidRPr="00150BD8">
        <w:rPr>
          <w:rFonts w:ascii="Times" w:hAnsi="Times" w:cs="Cambria"/>
          <w:color w:val="000000"/>
          <w:sz w:val="10"/>
        </w:rPr>
        <w:t xml:space="preserve"> that </w:t>
      </w:r>
      <w:r w:rsidRPr="00150BD8">
        <w:rPr>
          <w:rFonts w:ascii="Times" w:hAnsi="Times" w:cs="Cambria"/>
          <w:color w:val="000000"/>
          <w:u w:val="single"/>
        </w:rPr>
        <w:t>there is no such thing as a ‘zero risk society’ and suggests</w:t>
      </w:r>
      <w:r w:rsidRPr="00150BD8">
        <w:rPr>
          <w:rFonts w:ascii="Times" w:hAnsi="Times" w:cs="Cambria"/>
          <w:color w:val="000000"/>
          <w:sz w:val="10"/>
        </w:rPr>
        <w:t xml:space="preserve">, </w:t>
      </w:r>
      <w:r w:rsidRPr="00150BD8">
        <w:rPr>
          <w:rFonts w:ascii="Times" w:hAnsi="Times" w:cs="Cambria"/>
          <w:color w:val="000000"/>
          <w:u w:val="single"/>
        </w:rPr>
        <w:t>instead</w:t>
      </w:r>
      <w:r w:rsidRPr="00150BD8">
        <w:rPr>
          <w:rFonts w:ascii="Times" w:hAnsi="Times" w:cs="Cambria"/>
          <w:color w:val="000000"/>
          <w:sz w:val="10"/>
        </w:rPr>
        <w:t xml:space="preserve">, that there is a need for groups and organizations to collaborate in </w:t>
      </w:r>
      <w:r w:rsidRPr="00150BD8">
        <w:rPr>
          <w:rFonts w:ascii="Times" w:hAnsi="Times" w:cs="Cambria"/>
          <w:color w:val="000000"/>
          <w:u w:val="single"/>
        </w:rPr>
        <w:t>building</w:t>
      </w:r>
      <w:r w:rsidRPr="00150BD8">
        <w:rPr>
          <w:rFonts w:ascii="Times" w:hAnsi="Times" w:cs="Cambria"/>
          <w:color w:val="000000"/>
          <w:sz w:val="10"/>
        </w:rPr>
        <w:t xml:space="preserve"> the </w:t>
      </w:r>
      <w:r w:rsidRPr="00150BD8">
        <w:rPr>
          <w:rFonts w:ascii="Times" w:hAnsi="Times" w:cs="Cambria"/>
          <w:color w:val="000000"/>
          <w:u w:val="single"/>
        </w:rPr>
        <w:t>adaptive</w:t>
      </w:r>
      <w:r w:rsidRPr="00150BD8">
        <w:rPr>
          <w:rFonts w:ascii="Times" w:hAnsi="Times" w:cs="Cambria"/>
          <w:color w:val="000000"/>
          <w:sz w:val="10"/>
        </w:rPr>
        <w:t xml:space="preserve"> </w:t>
      </w:r>
      <w:r w:rsidRPr="00150BD8">
        <w:rPr>
          <w:rFonts w:ascii="Times" w:hAnsi="Times" w:cs="Cambria"/>
          <w:color w:val="000000"/>
          <w:u w:val="single"/>
        </w:rPr>
        <w:t>capacity</w:t>
      </w:r>
      <w:r w:rsidRPr="00150BD8">
        <w:rPr>
          <w:rFonts w:ascii="Times" w:hAnsi="Times" w:cs="Cambria"/>
          <w:color w:val="000000"/>
          <w:sz w:val="10"/>
        </w:rPr>
        <w:t xml:space="preserve"> </w:t>
      </w:r>
      <w:r w:rsidRPr="00150BD8">
        <w:rPr>
          <w:rFonts w:ascii="Times" w:hAnsi="Times" w:cs="Cambria"/>
          <w:color w:val="000000"/>
          <w:u w:val="single"/>
        </w:rPr>
        <w:t>that enables the whole system to organize and re-organize in the face of inherent</w:t>
      </w:r>
      <w:r w:rsidRPr="00150BD8">
        <w:rPr>
          <w:rFonts w:ascii="Times" w:hAnsi="Times" w:cs="Cambria"/>
          <w:color w:val="000000"/>
          <w:sz w:val="10"/>
        </w:rPr>
        <w:t xml:space="preserve"> </w:t>
      </w:r>
      <w:r w:rsidRPr="00150BD8">
        <w:rPr>
          <w:rFonts w:ascii="Times" w:hAnsi="Times" w:cs="Cambria"/>
          <w:color w:val="000000"/>
          <w:u w:val="single"/>
        </w:rPr>
        <w:t>uncertainty</w:t>
      </w:r>
      <w:r w:rsidRPr="00150BD8">
        <w:rPr>
          <w:rFonts w:ascii="Times" w:hAnsi="Times" w:cs="Cambria"/>
          <w:color w:val="000000"/>
          <w:sz w:val="10"/>
        </w:rPr>
        <w:t xml:space="preserve">, emergence and inevitable surprise. </w:t>
      </w:r>
    </w:p>
    <w:p w14:paraId="4E971EEE"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resilience approach accepts change as inevitable and endemic and focuses on building the adaptive capacity of the system and its ability to re-organize and transform after a disturbance. </w:t>
      </w:r>
      <w:r w:rsidRPr="00150BD8">
        <w:rPr>
          <w:rFonts w:ascii="Times" w:hAnsi="Times" w:cs="Cambria"/>
          <w:color w:val="000000"/>
          <w:u w:val="single"/>
        </w:rPr>
        <w:t xml:space="preserve">Resilience </w:t>
      </w:r>
      <w:r w:rsidRPr="00150BD8">
        <w:rPr>
          <w:rFonts w:ascii="Times" w:hAnsi="Times" w:cs="Cambria"/>
          <w:color w:val="000000"/>
          <w:sz w:val="10"/>
        </w:rPr>
        <w:t xml:space="preserve">is most commonly used to </w:t>
      </w:r>
      <w:r w:rsidRPr="00150BD8">
        <w:rPr>
          <w:rFonts w:ascii="Times" w:hAnsi="Times" w:cs="Cambria"/>
          <w:color w:val="000000"/>
          <w:u w:val="single"/>
        </w:rPr>
        <w:t>describe the ability</w:t>
      </w:r>
      <w:r w:rsidRPr="00150BD8">
        <w:rPr>
          <w:rFonts w:ascii="Times" w:hAnsi="Times" w:cs="Cambria"/>
          <w:color w:val="000000"/>
          <w:sz w:val="10"/>
        </w:rPr>
        <w:t xml:space="preserve"> of an entity </w:t>
      </w:r>
      <w:r w:rsidRPr="00150BD8">
        <w:rPr>
          <w:rFonts w:ascii="Times" w:hAnsi="Times" w:cs="Cambria"/>
          <w:color w:val="000000"/>
          <w:u w:val="single"/>
        </w:rPr>
        <w:t>to withstand and respond to</w:t>
      </w:r>
      <w:r w:rsidRPr="00150BD8">
        <w:rPr>
          <w:rFonts w:ascii="Times" w:hAnsi="Times" w:cs="Cambria"/>
          <w:color w:val="000000"/>
          <w:sz w:val="10"/>
        </w:rPr>
        <w:t xml:space="preserve"> </w:t>
      </w:r>
      <w:r w:rsidRPr="00150BD8">
        <w:rPr>
          <w:rFonts w:ascii="Times" w:hAnsi="Times" w:cs="Cambria"/>
          <w:color w:val="000000"/>
          <w:u w:val="single"/>
        </w:rPr>
        <w:t>shocks</w:t>
      </w:r>
      <w:r w:rsidRPr="00150BD8">
        <w:rPr>
          <w:rFonts w:ascii="Times" w:hAnsi="Times" w:cs="Cambria"/>
          <w:color w:val="000000"/>
          <w:sz w:val="10"/>
        </w:rPr>
        <w:t xml:space="preserve"> in the external environment. The concept of resilience is becoming a core concept in the social and physical sciences and in matters of public policy. Definitions of resilience, however, vary. There is neither scientific nor professional agreement on what constitutes resilience principles and the operationalization of these principles in practice. However, as a general definition of the resilience of a particular system – the ability to maintain critical functions in the face of regular disturbance from a range of shocks (threats) combined with ability to adopt adaptive behavior when facing unknowable or unexampled disturbances – is the commonly used one. </w:t>
      </w:r>
    </w:p>
    <w:p w14:paraId="168A6D9A" w14:textId="77777777" w:rsidR="00A86569" w:rsidRPr="00150BD8" w:rsidRDefault="00A86569" w:rsidP="00A86569">
      <w:pPr>
        <w:tabs>
          <w:tab w:val="left" w:pos="540"/>
        </w:tabs>
        <w:autoSpaceDE w:val="0"/>
        <w:autoSpaceDN w:val="0"/>
        <w:adjustRightInd w:val="0"/>
        <w:rPr>
          <w:rFonts w:ascii="Times" w:hAnsi="Times"/>
          <w:sz w:val="10"/>
        </w:rPr>
      </w:pPr>
      <w:r w:rsidRPr="00150BD8">
        <w:rPr>
          <w:rFonts w:ascii="Times" w:hAnsi="Times" w:cs="Cambria"/>
          <w:color w:val="000000"/>
          <w:sz w:val="10"/>
        </w:rPr>
        <w:t xml:space="preserve">Intellectual traditions on resilience are a still emerging and chaotic field, fragmented across different disciplines and professional practices. The concept of 'resilience' has already been constructed in a 10 variety of fields and traditions, including engineering, systems ecology, political sciences, management and organization theory, cultural theory, complex adaptive systems, cybernetics and psychology. </w:t>
      </w:r>
    </w:p>
    <w:p w14:paraId="579B57F4" w14:textId="77777777" w:rsidR="00A86569" w:rsidRPr="00150BD8" w:rsidRDefault="00A86569" w:rsidP="00A86569">
      <w:pPr>
        <w:tabs>
          <w:tab w:val="left" w:pos="540"/>
        </w:tabs>
        <w:autoSpaceDE w:val="0"/>
        <w:autoSpaceDN w:val="0"/>
        <w:adjustRightInd w:val="0"/>
        <w:rPr>
          <w:rFonts w:ascii="Times" w:hAnsi="Times" w:cs="Cambria"/>
          <w:color w:val="000000"/>
          <w:sz w:val="10"/>
        </w:rPr>
      </w:pPr>
    </w:p>
    <w:p w14:paraId="7D8A0F84"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An initial review of the literatures relating to resilience reveals a fragmented field. In social ecology, resilience is concerned with the longer-term survival and functioning of ecosystems – species, populations and services in a changing or fluctuating operating environment. </w:t>
      </w:r>
    </w:p>
    <w:p w14:paraId="34824007"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The social ecology approach introduced by Holling (1973) argues ecological systems are non-deterministic because of inherent complexity. </w:t>
      </w:r>
      <w:proofErr w:type="gramStart"/>
      <w:r w:rsidRPr="00150BD8">
        <w:rPr>
          <w:rFonts w:ascii="Times" w:hAnsi="Times" w:cs="Cambria"/>
          <w:color w:val="000000"/>
          <w:sz w:val="10"/>
        </w:rPr>
        <w:t>characterizes</w:t>
      </w:r>
      <w:proofErr w:type="gramEnd"/>
      <w:r w:rsidRPr="00150BD8">
        <w:rPr>
          <w:rFonts w:ascii="Times" w:hAnsi="Times" w:cs="Cambria"/>
          <w:color w:val="000000"/>
          <w:sz w:val="10"/>
        </w:rPr>
        <w:t xml:space="preserve"> the ecosystem as complex set of elements and parts existing in dynamic interrelationship and interdependency. The key contribution of the ecological view of resilience is to provide a focus on the systemic nature of the problems and on the longer-term demands on policy and management. It emphasizes the need to keep options open, while appreciating heterogeneity and keeping a broader than local view organization – this is in contrast to </w:t>
      </w:r>
      <w:r w:rsidRPr="00150BD8">
        <w:rPr>
          <w:rFonts w:ascii="Times" w:hAnsi="Times" w:cs="Cambria"/>
          <w:color w:val="000000"/>
          <w:u w:val="single"/>
        </w:rPr>
        <w:t xml:space="preserve">dominant management </w:t>
      </w:r>
      <w:r w:rsidRPr="00150BD8">
        <w:rPr>
          <w:rFonts w:ascii="Times" w:hAnsi="Times" w:cs="Cambria"/>
          <w:color w:val="000000"/>
          <w:sz w:val="10"/>
        </w:rPr>
        <w:t xml:space="preserve">approaches which are concerned with </w:t>
      </w:r>
      <w:r w:rsidRPr="00150BD8">
        <w:rPr>
          <w:rFonts w:ascii="Times" w:hAnsi="Times" w:cs="Cambria"/>
          <w:color w:val="000000"/>
          <w:u w:val="single"/>
        </w:rPr>
        <w:t>compartmentalizi</w:t>
      </w:r>
      <w:r w:rsidRPr="00150BD8">
        <w:rPr>
          <w:rFonts w:ascii="Times" w:hAnsi="Times" w:cs="Cambria"/>
          <w:color w:val="000000"/>
          <w:sz w:val="10"/>
        </w:rPr>
        <w:t>ng</w:t>
      </w:r>
      <w:r w:rsidRPr="00150BD8">
        <w:rPr>
          <w:rFonts w:ascii="Times" w:hAnsi="Times" w:cs="Cambria"/>
          <w:color w:val="000000"/>
          <w:u w:val="single"/>
        </w:rPr>
        <w:t xml:space="preserve"> issues, limiting change to the margins </w:t>
      </w:r>
      <w:r w:rsidRPr="00150BD8">
        <w:rPr>
          <w:rFonts w:ascii="Times" w:hAnsi="Times" w:cs="Cambria"/>
          <w:color w:val="000000"/>
          <w:sz w:val="10"/>
        </w:rPr>
        <w:t xml:space="preserve">and views of </w:t>
      </w:r>
      <w:r w:rsidRPr="00150BD8">
        <w:rPr>
          <w:rFonts w:ascii="Times" w:hAnsi="Times" w:cs="Cambria"/>
          <w:color w:val="000000"/>
          <w:u w:val="single"/>
        </w:rPr>
        <w:t>the future rooted in attempt to preserve the present</w:t>
      </w:r>
      <w:r w:rsidRPr="00150BD8">
        <w:rPr>
          <w:rFonts w:ascii="Times" w:hAnsi="Times" w:cs="Cambria"/>
          <w:color w:val="000000"/>
          <w:sz w:val="10"/>
        </w:rPr>
        <w:t xml:space="preserve">. </w:t>
      </w:r>
      <w:r w:rsidRPr="00150BD8">
        <w:rPr>
          <w:rFonts w:ascii="Times" w:hAnsi="Times" w:cs="Cambria"/>
          <w:b/>
          <w:color w:val="000000"/>
          <w:u w:val="single"/>
        </w:rPr>
        <w:t>The critical distinction is that between resilience and stability</w:t>
      </w:r>
      <w:r w:rsidRPr="00150BD8">
        <w:rPr>
          <w:rFonts w:ascii="Times" w:hAnsi="Times" w:cs="Cambria"/>
          <w:color w:val="000000"/>
          <w:u w:val="single"/>
        </w:rPr>
        <w:t>. The stability/</w:t>
      </w:r>
      <w:r w:rsidRPr="00150BD8">
        <w:rPr>
          <w:rFonts w:ascii="Times" w:hAnsi="Times" w:cs="Cambria"/>
          <w:color w:val="000000"/>
          <w:sz w:val="10"/>
        </w:rPr>
        <w:t xml:space="preserve">equilibrium </w:t>
      </w:r>
      <w:r w:rsidRPr="00150BD8">
        <w:rPr>
          <w:rFonts w:ascii="Times" w:hAnsi="Times" w:cs="Cambria"/>
          <w:color w:val="000000"/>
          <w:u w:val="single"/>
        </w:rPr>
        <w:t>paradigm</w:t>
      </w:r>
      <w:r w:rsidRPr="00150BD8">
        <w:rPr>
          <w:rFonts w:ascii="Times" w:hAnsi="Times" w:cs="Cambria"/>
          <w:color w:val="000000"/>
          <w:sz w:val="10"/>
        </w:rPr>
        <w:t xml:space="preserve"> </w:t>
      </w:r>
      <w:r w:rsidRPr="00150BD8">
        <w:rPr>
          <w:rFonts w:ascii="Times" w:hAnsi="Times" w:cs="Cambria"/>
          <w:color w:val="000000"/>
          <w:u w:val="single"/>
        </w:rPr>
        <w:t>approaches the future with the aim of strengthening the status quo</w:t>
      </w:r>
      <w:r w:rsidRPr="00150BD8">
        <w:rPr>
          <w:rFonts w:ascii="Times" w:hAnsi="Times" w:cs="Cambria"/>
          <w:color w:val="000000"/>
          <w:sz w:val="10"/>
        </w:rPr>
        <w:t xml:space="preserve"> </w:t>
      </w:r>
      <w:r w:rsidRPr="00150BD8">
        <w:rPr>
          <w:rFonts w:ascii="Times" w:hAnsi="Times" w:cs="Cambria"/>
          <w:color w:val="000000"/>
          <w:u w:val="single"/>
        </w:rPr>
        <w:t xml:space="preserve">by making the present system “resilient to change” </w:t>
      </w:r>
      <w:r w:rsidRPr="00150BD8">
        <w:rPr>
          <w:rFonts w:ascii="Times" w:hAnsi="Times" w:cs="Cambria"/>
          <w:color w:val="000000"/>
          <w:sz w:val="10"/>
        </w:rPr>
        <w:t xml:space="preserve">and aiming to achieve stability and constancy. </w:t>
      </w:r>
    </w:p>
    <w:p w14:paraId="03DF16CD"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In the management literature, the focus when using the resilience concept is on the persistence and survival of individual businesses and institutions in face of change. A bulk of the management literature on organizations focuses on the strategies for individual businesses to be ‘resilient’ to change -- on innovation, experimentation and leadership to ensure survival and growth of a specific institution/business -- however the ecosystem perspective requires us to think about the health and of the forest and the services its provides rather than the role of individual species! What are the sources of resilience in the system and or an organization? </w:t>
      </w:r>
      <w:r w:rsidRPr="00150BD8">
        <w:rPr>
          <w:rFonts w:ascii="Times" w:hAnsi="Times" w:cs="Cambria"/>
          <w:color w:val="000000"/>
          <w:u w:val="single"/>
        </w:rPr>
        <w:t>The process of increasing resilience is different from optimization</w:t>
      </w:r>
      <w:r w:rsidRPr="00150BD8">
        <w:rPr>
          <w:rFonts w:ascii="Times" w:hAnsi="Times" w:cs="Cambria"/>
          <w:color w:val="000000"/>
          <w:sz w:val="10"/>
        </w:rPr>
        <w:t xml:space="preserve"> and improving system performance </w:t>
      </w:r>
      <w:r w:rsidRPr="00150BD8">
        <w:rPr>
          <w:rFonts w:ascii="Times" w:hAnsi="Times" w:cs="Cambria"/>
          <w:color w:val="000000"/>
          <w:u w:val="single"/>
        </w:rPr>
        <w:t>in existing conditions</w:t>
      </w:r>
      <w:r w:rsidRPr="00150BD8">
        <w:rPr>
          <w:rFonts w:ascii="Times" w:hAnsi="Times" w:cs="Cambria"/>
          <w:color w:val="000000"/>
          <w:sz w:val="10"/>
        </w:rPr>
        <w:t xml:space="preserve"> – what organizational characteristics build resilience. Successful adaptation requires for individual organizations, agents and businesses to continue to full fill their own goal and function but must also include measures of promoting adaptive capacity of the system. </w:t>
      </w:r>
    </w:p>
    <w:p w14:paraId="207A6A2D" w14:textId="77777777" w:rsidR="00A86569" w:rsidRPr="00150BD8" w:rsidRDefault="00A86569" w:rsidP="00A86569">
      <w:pPr>
        <w:tabs>
          <w:tab w:val="left" w:pos="540"/>
        </w:tabs>
        <w:autoSpaceDE w:val="0"/>
        <w:autoSpaceDN w:val="0"/>
        <w:adjustRightInd w:val="0"/>
        <w:rPr>
          <w:rFonts w:ascii="Times" w:hAnsi="Times" w:cs="Cambria"/>
          <w:color w:val="000000"/>
          <w:sz w:val="10"/>
        </w:rPr>
      </w:pPr>
    </w:p>
    <w:p w14:paraId="13480090"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Despite the richness in conceptual thinking underpinning the concept of resilience, there is limited evidence of how groups, organizations are societies are translating the notion of resilience into practice. The constructivist tradition in social theory argues that social response is non- deterministic because of plural perception and the negotiations of values, cultures, choices and epistemologies. The managers are part of the system that is being managed and define the system and its characteristics in different ways. Understanding the loss, creation and maintenance of resilience through the process of co-discovery – scientists, policy makers, practitioners, stakeholders and citizens is at the heart of building the capacity to deal with whatever the future might bring. </w:t>
      </w:r>
    </w:p>
    <w:p w14:paraId="4C4A6157" w14:textId="77777777" w:rsidR="00A86569" w:rsidRPr="00150BD8" w:rsidRDefault="00A86569" w:rsidP="00A86569">
      <w:pPr>
        <w:tabs>
          <w:tab w:val="left" w:pos="540"/>
        </w:tabs>
        <w:autoSpaceDE w:val="0"/>
        <w:autoSpaceDN w:val="0"/>
        <w:adjustRightInd w:val="0"/>
        <w:rPr>
          <w:rFonts w:ascii="Times" w:hAnsi="Times" w:cs="Cambria"/>
          <w:color w:val="000000"/>
          <w:sz w:val="10"/>
        </w:rPr>
      </w:pPr>
      <w:r w:rsidRPr="00150BD8">
        <w:rPr>
          <w:rFonts w:ascii="Times" w:hAnsi="Times" w:cs="Cambria"/>
          <w:color w:val="000000"/>
          <w:sz w:val="10"/>
        </w:rPr>
        <w:t xml:space="preserve">Anecdotal evidence suggests that some societies are organizing for resilience. For example, both the governments of Canada and Singapore have resilience as the goal of their national strategic plans. There is a nascent literature emerging, as yet unmapped, on operationalizing resilience beyond the organizational level. For example, in an approach to </w:t>
      </w:r>
      <w:r w:rsidRPr="003C4195">
        <w:rPr>
          <w:rStyle w:val="StyleBoldUnderline"/>
          <w:szCs w:val="22"/>
        </w:rPr>
        <w:t>adapting an urban delta to uncertain climate change</w:t>
      </w:r>
      <w:r w:rsidRPr="00150BD8">
        <w:rPr>
          <w:rFonts w:ascii="Times" w:hAnsi="Times" w:cs="Cambria"/>
          <w:color w:val="000000"/>
          <w:sz w:val="10"/>
        </w:rPr>
        <w:t xml:space="preserve">, Wardekkar et al. (2009) identify five options for resilience: (1) homeostasis: incorporation of feedback loops; (2) omnivory: having several different ways of fulfilling needs; (3) flatness: preventing a system from becoming too top heavy enables more effective localized responses, self-reliance and self-organization; (4) buffering: the ability to absorb disturbances to a certain extent and (5) redundancy: having multiple options – routes, supply chains, etc – so that if one fails, others can be used. 11 </w:t>
      </w:r>
    </w:p>
    <w:p w14:paraId="5C8515F4" w14:textId="77777777" w:rsidR="00A86569" w:rsidRDefault="00A86569" w:rsidP="00A86569">
      <w:pPr>
        <w:tabs>
          <w:tab w:val="left" w:pos="540"/>
        </w:tabs>
        <w:rPr>
          <w:rFonts w:ascii="Times" w:hAnsi="Times" w:cs="Cambria"/>
          <w:color w:val="000000"/>
        </w:rPr>
      </w:pPr>
      <w:r w:rsidRPr="00150BD8">
        <w:rPr>
          <w:rFonts w:ascii="Times" w:hAnsi="Times" w:cs="Cambria"/>
          <w:color w:val="000000"/>
          <w:u w:val="single"/>
        </w:rPr>
        <w:t xml:space="preserve">The resilience frame opens the opportunity to think in terms </w:t>
      </w:r>
      <w:r w:rsidRPr="00150BD8">
        <w:rPr>
          <w:rFonts w:ascii="Times" w:hAnsi="Times" w:cs="Cambria"/>
          <w:color w:val="000000"/>
          <w:sz w:val="10"/>
        </w:rPr>
        <w:t xml:space="preserve">of nonlinear and non-deterministic futures and, in doing so, </w:t>
      </w:r>
      <w:r w:rsidRPr="00150BD8">
        <w:rPr>
          <w:rFonts w:ascii="Times" w:hAnsi="Times" w:cs="Cambria"/>
          <w:color w:val="000000"/>
          <w:u w:val="single"/>
        </w:rPr>
        <w:t xml:space="preserve">to displace practices in </w:t>
      </w:r>
      <w:r w:rsidRPr="00150BD8">
        <w:rPr>
          <w:rFonts w:ascii="Times" w:hAnsi="Times" w:cs="Cambria"/>
          <w:b/>
          <w:color w:val="000000"/>
          <w:u w:val="single"/>
        </w:rPr>
        <w:t xml:space="preserve">probable futures </w:t>
      </w:r>
      <w:r w:rsidRPr="00150BD8">
        <w:rPr>
          <w:rFonts w:ascii="Times" w:hAnsi="Times" w:cs="Cambria"/>
          <w:color w:val="000000"/>
          <w:u w:val="single"/>
        </w:rPr>
        <w:t xml:space="preserve">with </w:t>
      </w:r>
      <w:r w:rsidRPr="00150BD8">
        <w:rPr>
          <w:rFonts w:ascii="Times" w:hAnsi="Times" w:cs="Cambria"/>
          <w:color w:val="000000"/>
          <w:sz w:val="10"/>
        </w:rPr>
        <w:t xml:space="preserve">plausible and </w:t>
      </w:r>
      <w:r w:rsidRPr="00150BD8">
        <w:rPr>
          <w:rFonts w:ascii="Times" w:hAnsi="Times" w:cs="Cambria"/>
          <w:b/>
          <w:color w:val="000000"/>
          <w:u w:val="single"/>
        </w:rPr>
        <w:t>preferable</w:t>
      </w:r>
      <w:r w:rsidRPr="00150BD8">
        <w:rPr>
          <w:rFonts w:ascii="Times" w:hAnsi="Times" w:cs="Cambria"/>
          <w:color w:val="000000"/>
          <w:u w:val="single"/>
        </w:rPr>
        <w:t xml:space="preserve"> futures</w:t>
      </w:r>
      <w:r w:rsidRPr="00150BD8">
        <w:rPr>
          <w:rFonts w:ascii="Times" w:hAnsi="Times" w:cs="Cambria"/>
          <w:color w:val="000000"/>
          <w:sz w:val="10"/>
        </w:rPr>
        <w:t>. The resilience frame also invites attention to realizing transformation, rather than future proofing of established structures, identities and values. It invites consideration of the uncertainty as irreducible and inherent, going beyond the lack of knowledge and encompassing ambiguity and ignorance</w:t>
      </w:r>
      <w:r w:rsidRPr="00150BD8">
        <w:rPr>
          <w:rFonts w:ascii="Times" w:hAnsi="Times" w:cs="Cambria"/>
          <w:color w:val="000000"/>
        </w:rPr>
        <w:t>.</w:t>
      </w:r>
    </w:p>
    <w:p w14:paraId="78A81930" w14:textId="77777777" w:rsidR="00A86569" w:rsidRDefault="00A86569" w:rsidP="00A86569">
      <w:pPr>
        <w:tabs>
          <w:tab w:val="left" w:pos="540"/>
        </w:tabs>
        <w:rPr>
          <w:rFonts w:ascii="Times" w:hAnsi="Times" w:cs="Cambria"/>
          <w:color w:val="000000"/>
        </w:rPr>
      </w:pPr>
    </w:p>
    <w:p w14:paraId="63DB47B0" w14:textId="77777777" w:rsidR="00A86569" w:rsidRPr="00D645C2" w:rsidRDefault="00A86569" w:rsidP="00A86569">
      <w:pPr>
        <w:pStyle w:val="Heading4"/>
        <w:rPr>
          <w:rFonts w:eastAsia="Calibri"/>
        </w:rPr>
      </w:pPr>
      <w:r>
        <w:rPr>
          <w:rFonts w:eastAsia="Calibri"/>
        </w:rPr>
        <w:t>Monitoring complex climate systems is necessary to solve—aff is a prerequisite to broader deliberation over the nuances</w:t>
      </w:r>
    </w:p>
    <w:p w14:paraId="6E5A1183" w14:textId="77777777" w:rsidR="00A86569" w:rsidRPr="00D645C2" w:rsidRDefault="00A86569" w:rsidP="00A86569">
      <w:pPr>
        <w:rPr>
          <w:sz w:val="16"/>
          <w:szCs w:val="16"/>
        </w:rPr>
      </w:pPr>
      <w:r w:rsidRPr="00D645C2">
        <w:rPr>
          <w:rStyle w:val="StyleStyleBold12pt"/>
        </w:rPr>
        <w:t>Levy and Lichtenstein, 2011</w:t>
      </w:r>
      <w:r w:rsidRPr="00D645C2">
        <w:t xml:space="preserve"> </w:t>
      </w:r>
      <w:r w:rsidRPr="00D645C2">
        <w:rPr>
          <w:sz w:val="16"/>
          <w:szCs w:val="16"/>
        </w:rPr>
        <w:t>– Levy is a Professor in Management and Marketing at UMass while Lichtenstein is an associate professor in management at UMass (David and Benyamin, “Approaching Business and the Environment with Complexity Theory”, Oxford Press, http://www.faculty.umb.edu/david_levy/LevyLicht</w:t>
      </w:r>
      <w:r>
        <w:rPr>
          <w:sz w:val="16"/>
          <w:szCs w:val="16"/>
        </w:rPr>
        <w:t xml:space="preserve">2011_complexity_chap32.pdf) </w:t>
      </w:r>
    </w:p>
    <w:p w14:paraId="105EC1FC" w14:textId="77777777" w:rsidR="00A86569" w:rsidRPr="00D645C2" w:rsidRDefault="00A86569" w:rsidP="00A86569">
      <w:pPr>
        <w:contextualSpacing/>
        <w:rPr>
          <w:rFonts w:eastAsia="Calibri"/>
          <w:sz w:val="16"/>
          <w:szCs w:val="16"/>
        </w:rPr>
      </w:pPr>
    </w:p>
    <w:p w14:paraId="1E448989" w14:textId="77777777" w:rsidR="00A86569" w:rsidRPr="00D645C2" w:rsidRDefault="00A86569" w:rsidP="00A86569">
      <w:pPr>
        <w:contextualSpacing/>
        <w:rPr>
          <w:rFonts w:eastAsia="Calibri"/>
          <w:sz w:val="14"/>
        </w:rPr>
      </w:pPr>
      <w:r w:rsidRPr="00D645C2">
        <w:rPr>
          <w:rFonts w:eastAsia="Calibri"/>
          <w:sz w:val="14"/>
        </w:rPr>
        <w:t>Intervention in sociotechnical systems entails coordinated action by large numbers of actors, raising the problem of collective action. Hardin’s (1968) “</w:t>
      </w:r>
      <w:r w:rsidRPr="00D645C2">
        <w:rPr>
          <w:sz w:val="14"/>
        </w:rPr>
        <w:t xml:space="preserve">Tragedy of the Commons” describes the tendency toward inaction in the face of the overuse of a common resource, such as the atmosphere, when private actors can </w:t>
      </w:r>
      <w:proofErr w:type="gramStart"/>
      <w:r w:rsidRPr="00D645C2">
        <w:rPr>
          <w:sz w:val="14"/>
        </w:rPr>
        <w:t>free-ride</w:t>
      </w:r>
      <w:proofErr w:type="gramEnd"/>
      <w:r w:rsidRPr="00D645C2">
        <w:rPr>
          <w:sz w:val="14"/>
        </w:rPr>
        <w:t xml:space="preserve"> and have little incentive to change their behavior</w:t>
      </w:r>
      <w:r w:rsidRPr="00D645C2">
        <w:rPr>
          <w:rFonts w:eastAsia="Calibri"/>
          <w:sz w:val="14"/>
        </w:rPr>
        <w:t xml:space="preserve">. Various societal institutions have evolved to address such collective action problems (Ostrom 1990), but </w:t>
      </w:r>
      <w:r w:rsidRPr="003C4195">
        <w:rPr>
          <w:rStyle w:val="StyleBoldUnderline"/>
          <w:szCs w:val="22"/>
          <w:highlight w:val="cyan"/>
        </w:rPr>
        <w:t>large-scale</w:t>
      </w:r>
      <w:r w:rsidRPr="003C4195">
        <w:rPr>
          <w:rStyle w:val="StyleBoldUnderline"/>
          <w:szCs w:val="22"/>
        </w:rPr>
        <w:t xml:space="preserve"> systemic </w:t>
      </w:r>
      <w:r w:rsidRPr="003C4195">
        <w:rPr>
          <w:rStyle w:val="StyleBoldUnderline"/>
          <w:szCs w:val="22"/>
          <w:highlight w:val="cyan"/>
        </w:rPr>
        <w:t>crises require</w:t>
      </w:r>
      <w:r w:rsidRPr="003C4195">
        <w:rPr>
          <w:rStyle w:val="StyleBoldUnderline"/>
          <w:szCs w:val="22"/>
        </w:rPr>
        <w:t xml:space="preserve"> </w:t>
      </w:r>
      <w:r w:rsidRPr="00D645C2">
        <w:rPr>
          <w:sz w:val="14"/>
        </w:rPr>
        <w:t>costly measures that demand</w:t>
      </w:r>
      <w:r w:rsidRPr="003C4195">
        <w:rPr>
          <w:rStyle w:val="StyleBoldUnderline"/>
          <w:szCs w:val="22"/>
        </w:rPr>
        <w:t xml:space="preserve"> </w:t>
      </w:r>
      <w:r w:rsidRPr="003C4195">
        <w:rPr>
          <w:rStyle w:val="StyleBoldUnderline"/>
          <w:szCs w:val="22"/>
          <w:highlight w:val="cyan"/>
        </w:rPr>
        <w:t>a</w:t>
      </w:r>
      <w:r w:rsidRPr="00D645C2">
        <w:rPr>
          <w:sz w:val="14"/>
        </w:rPr>
        <w:t xml:space="preserve">n </w:t>
      </w:r>
      <w:proofErr w:type="gramStart"/>
      <w:r w:rsidRPr="00D645C2">
        <w:rPr>
          <w:sz w:val="14"/>
        </w:rPr>
        <w:t>often</w:t>
      </w:r>
      <w:r w:rsidRPr="003C4195">
        <w:rPr>
          <w:rStyle w:val="StyleBoldUnderline"/>
          <w:szCs w:val="22"/>
        </w:rPr>
        <w:t xml:space="preserve"> </w:t>
      </w:r>
      <w:r w:rsidRPr="003C4195">
        <w:rPr>
          <w:rStyle w:val="StyleBoldUnderline"/>
          <w:szCs w:val="22"/>
          <w:highlight w:val="cyan"/>
        </w:rPr>
        <w:t>lengthy</w:t>
      </w:r>
      <w:proofErr w:type="gramEnd"/>
      <w:r w:rsidRPr="003C4195">
        <w:rPr>
          <w:rStyle w:val="StyleBoldUnderline"/>
          <w:szCs w:val="22"/>
          <w:highlight w:val="cyan"/>
        </w:rPr>
        <w:t xml:space="preserve"> process to build consensus</w:t>
      </w:r>
      <w:r w:rsidRPr="00D645C2">
        <w:rPr>
          <w:rFonts w:eastAsia="Calibri"/>
          <w:sz w:val="14"/>
        </w:rPr>
        <w:t xml:space="preserve">. In part, </w:t>
      </w:r>
      <w:r w:rsidRPr="003C4195">
        <w:rPr>
          <w:rStyle w:val="StyleBoldUnderline"/>
          <w:szCs w:val="22"/>
        </w:rPr>
        <w:t xml:space="preserve">such delays </w:t>
      </w:r>
      <w:r w:rsidRPr="003C4195">
        <w:rPr>
          <w:rStyle w:val="StyleBoldUnderline"/>
          <w:szCs w:val="22"/>
          <w:highlight w:val="cyan"/>
        </w:rPr>
        <w:t>and</w:t>
      </w:r>
      <w:r w:rsidRPr="003C4195">
        <w:rPr>
          <w:rStyle w:val="StyleBoldUnderline"/>
          <w:szCs w:val="22"/>
        </w:rPr>
        <w:t xml:space="preserve"> disagreements </w:t>
      </w:r>
      <w:r w:rsidRPr="003C4195">
        <w:rPr>
          <w:rStyle w:val="StyleBoldUnderline"/>
          <w:szCs w:val="22"/>
          <w:highlight w:val="cyan"/>
        </w:rPr>
        <w:t xml:space="preserve">reflect differences in </w:t>
      </w:r>
      <w:r w:rsidRPr="003C4195">
        <w:rPr>
          <w:rStyle w:val="StyleBoldUnderline"/>
          <w:szCs w:val="22"/>
        </w:rPr>
        <w:t xml:space="preserve">technical </w:t>
      </w:r>
      <w:r w:rsidRPr="003C4195">
        <w:rPr>
          <w:rStyle w:val="StyleBoldUnderline"/>
          <w:szCs w:val="22"/>
          <w:highlight w:val="cyan"/>
        </w:rPr>
        <w:t>understandings of complex systems. Action on climate</w:t>
      </w:r>
      <w:r w:rsidRPr="003C4195">
        <w:rPr>
          <w:rStyle w:val="StyleBoldUnderline"/>
          <w:szCs w:val="22"/>
        </w:rPr>
        <w:t xml:space="preserve"> change</w:t>
      </w:r>
      <w:r w:rsidRPr="00D645C2">
        <w:rPr>
          <w:rFonts w:eastAsia="Calibri"/>
          <w:sz w:val="14"/>
        </w:rPr>
        <w:t>, for example</w:t>
      </w:r>
      <w:r w:rsidRPr="003C4195">
        <w:rPr>
          <w:rStyle w:val="StyleBoldUnderline"/>
          <w:szCs w:val="22"/>
        </w:rPr>
        <w:t xml:space="preserve">, </w:t>
      </w:r>
      <w:r w:rsidRPr="003C4195">
        <w:rPr>
          <w:rStyle w:val="StyleBoldUnderline"/>
          <w:szCs w:val="22"/>
          <w:highlight w:val="cyan"/>
        </w:rPr>
        <w:t>has been delayed while</w:t>
      </w:r>
      <w:r w:rsidRPr="003C4195">
        <w:rPr>
          <w:rStyle w:val="StyleBoldUnderline"/>
          <w:szCs w:val="22"/>
        </w:rPr>
        <w:t xml:space="preserve"> </w:t>
      </w:r>
      <w:r w:rsidRPr="00D645C2">
        <w:rPr>
          <w:sz w:val="14"/>
        </w:rPr>
        <w:t>various</w:t>
      </w:r>
      <w:r w:rsidRPr="003C4195">
        <w:rPr>
          <w:rStyle w:val="StyleBoldUnderline"/>
          <w:szCs w:val="22"/>
        </w:rPr>
        <w:t xml:space="preserve"> </w:t>
      </w:r>
      <w:r w:rsidRPr="003C4195">
        <w:rPr>
          <w:rStyle w:val="StyleBoldUnderline"/>
          <w:szCs w:val="22"/>
          <w:highlight w:val="cyan"/>
        </w:rPr>
        <w:t>parties argue</w:t>
      </w:r>
      <w:r w:rsidRPr="003C4195">
        <w:rPr>
          <w:rStyle w:val="StyleBoldUnderline"/>
          <w:szCs w:val="22"/>
        </w:rPr>
        <w:t xml:space="preserve"> over the best course of action: cap-and-trade versus carbon taxes, </w:t>
      </w:r>
      <w:r w:rsidRPr="003C4195">
        <w:rPr>
          <w:rStyle w:val="StyleBoldUnderline"/>
          <w:szCs w:val="22"/>
          <w:highlight w:val="cyan"/>
        </w:rPr>
        <w:t>nuclear</w:t>
      </w:r>
      <w:r w:rsidRPr="003C4195">
        <w:rPr>
          <w:rStyle w:val="StyleBoldUnderline"/>
          <w:szCs w:val="22"/>
        </w:rPr>
        <w:t xml:space="preserve"> </w:t>
      </w:r>
      <w:r w:rsidRPr="00D645C2">
        <w:rPr>
          <w:sz w:val="14"/>
        </w:rPr>
        <w:t>power</w:t>
      </w:r>
      <w:r w:rsidRPr="003C4195">
        <w:rPr>
          <w:rStyle w:val="StyleBoldUnderline"/>
          <w:szCs w:val="22"/>
        </w:rPr>
        <w:t xml:space="preserve"> </w:t>
      </w:r>
      <w:r w:rsidRPr="003C4195">
        <w:rPr>
          <w:rStyle w:val="StyleBoldUnderline"/>
          <w:szCs w:val="22"/>
          <w:highlight w:val="cyan"/>
        </w:rPr>
        <w:t>versus renewable</w:t>
      </w:r>
      <w:r w:rsidRPr="003C4195">
        <w:rPr>
          <w:rStyle w:val="StyleBoldUnderline"/>
          <w:szCs w:val="22"/>
        </w:rPr>
        <w:t xml:space="preserve"> energy.</w:t>
      </w:r>
      <w:r w:rsidRPr="00D645C2">
        <w:rPr>
          <w:rFonts w:eastAsia="Calibri"/>
          <w:sz w:val="14"/>
        </w:rPr>
        <w:t xml:space="preserve"> Yet </w:t>
      </w:r>
      <w:r w:rsidRPr="003C4195">
        <w:rPr>
          <w:rStyle w:val="StyleBoldUnderline"/>
          <w:szCs w:val="22"/>
          <w:highlight w:val="cyan"/>
        </w:rPr>
        <w:t>these differences are</w:t>
      </w:r>
      <w:r w:rsidRPr="003C4195">
        <w:rPr>
          <w:rStyle w:val="StyleBoldUnderline"/>
          <w:szCs w:val="22"/>
        </w:rPr>
        <w:t xml:space="preserve"> also </w:t>
      </w:r>
      <w:r w:rsidRPr="003C4195">
        <w:rPr>
          <w:rStyle w:val="StyleBoldUnderline"/>
          <w:szCs w:val="22"/>
          <w:highlight w:val="cyan"/>
        </w:rPr>
        <w:t>deeply political, reflecting</w:t>
      </w:r>
      <w:r w:rsidRPr="003C4195">
        <w:rPr>
          <w:rStyle w:val="StyleBoldUnderline"/>
          <w:szCs w:val="22"/>
        </w:rPr>
        <w:t xml:space="preserve"> the </w:t>
      </w:r>
      <w:r w:rsidRPr="003C4195">
        <w:rPr>
          <w:rStyle w:val="StyleBoldUnderline"/>
          <w:szCs w:val="22"/>
          <w:highlight w:val="cyan"/>
        </w:rPr>
        <w:t>asymmetric ways</w:t>
      </w:r>
      <w:r w:rsidRPr="003C4195">
        <w:rPr>
          <w:rStyle w:val="StyleBoldUnderline"/>
          <w:szCs w:val="22"/>
        </w:rPr>
        <w:t xml:space="preserve"> </w:t>
      </w:r>
      <w:r w:rsidRPr="00D645C2">
        <w:rPr>
          <w:sz w:val="14"/>
        </w:rPr>
        <w:t>in which</w:t>
      </w:r>
      <w:r w:rsidRPr="003C4195">
        <w:rPr>
          <w:rStyle w:val="StyleBoldUnderline"/>
          <w:szCs w:val="22"/>
        </w:rPr>
        <w:t xml:space="preserve"> </w:t>
      </w:r>
      <w:r w:rsidRPr="003C4195">
        <w:rPr>
          <w:rStyle w:val="StyleBoldUnderline"/>
          <w:szCs w:val="22"/>
          <w:highlight w:val="cyan"/>
        </w:rPr>
        <w:t>actors perceive</w:t>
      </w:r>
      <w:r w:rsidRPr="003C4195">
        <w:rPr>
          <w:rStyle w:val="StyleBoldUnderline"/>
          <w:szCs w:val="22"/>
        </w:rPr>
        <w:t xml:space="preserve"> </w:t>
      </w:r>
      <w:r w:rsidRPr="00D645C2">
        <w:rPr>
          <w:sz w:val="14"/>
        </w:rPr>
        <w:t>that a</w:t>
      </w:r>
      <w:r w:rsidRPr="003C4195">
        <w:rPr>
          <w:rStyle w:val="StyleBoldUnderline"/>
          <w:szCs w:val="22"/>
        </w:rPr>
        <w:t xml:space="preserve"> </w:t>
      </w:r>
      <w:r w:rsidRPr="003C4195">
        <w:rPr>
          <w:rStyle w:val="StyleBoldUnderline"/>
          <w:szCs w:val="22"/>
          <w:highlight w:val="cyan"/>
        </w:rPr>
        <w:t>crisis and remedial action</w:t>
      </w:r>
      <w:r w:rsidRPr="003C4195">
        <w:rPr>
          <w:rStyle w:val="StyleBoldUnderline"/>
          <w:szCs w:val="22"/>
        </w:rPr>
        <w:t xml:space="preserve"> will affect them</w:t>
      </w:r>
      <w:r w:rsidRPr="00D645C2">
        <w:rPr>
          <w:rFonts w:eastAsia="Calibri"/>
          <w:sz w:val="14"/>
        </w:rPr>
        <w:t xml:space="preserve">. </w:t>
      </w:r>
      <w:r w:rsidRPr="00D645C2">
        <w:rPr>
          <w:sz w:val="14"/>
        </w:rPr>
        <w:t>The fiercest proponents of action on climate change are the low-lying countries likely to be swamped by rising sea levels. In contrast, the countries and sectors who strongly oppose action tend to be heavily dependent on fossil fuels. Some rich countries might be willing to pay 1-2 per cent of GDP to cut emissions, but developing countries demand massive transfusions of capital if they are to transition from cheap fossil fuels.</w:t>
      </w:r>
      <w:r w:rsidRPr="00D645C2">
        <w:rPr>
          <w:rFonts w:eastAsia="Calibri"/>
          <w:sz w:val="14"/>
        </w:rPr>
        <w:t xml:space="preserve"> The failure to reach agreement in Copenhagen was largely due to these deep divisions. </w:t>
      </w:r>
      <w:r w:rsidRPr="003C4195">
        <w:rPr>
          <w:rStyle w:val="StyleBoldUnderline"/>
          <w:szCs w:val="22"/>
          <w:highlight w:val="cyan"/>
        </w:rPr>
        <w:t xml:space="preserve">Problems </w:t>
      </w:r>
      <w:r w:rsidRPr="00D645C2">
        <w:rPr>
          <w:sz w:val="14"/>
        </w:rPr>
        <w:t>of collective action</w:t>
      </w:r>
      <w:r w:rsidRPr="003C4195">
        <w:rPr>
          <w:rStyle w:val="StyleBoldUnderline"/>
          <w:szCs w:val="22"/>
        </w:rPr>
        <w:t xml:space="preserve"> </w:t>
      </w:r>
      <w:r w:rsidRPr="003C4195">
        <w:rPr>
          <w:rStyle w:val="StyleBoldUnderline"/>
          <w:szCs w:val="22"/>
          <w:highlight w:val="cyan"/>
        </w:rPr>
        <w:t xml:space="preserve">are exacerbated by the need to coordinate multiple forms of intervention </w:t>
      </w:r>
      <w:r w:rsidRPr="00D645C2">
        <w:rPr>
          <w:sz w:val="14"/>
        </w:rPr>
        <w:t>in complex dynamic systems</w:t>
      </w:r>
      <w:r w:rsidRPr="00D645C2">
        <w:rPr>
          <w:rFonts w:eastAsia="Calibri"/>
          <w:sz w:val="14"/>
          <w:highlight w:val="cyan"/>
        </w:rPr>
        <w:t xml:space="preserve">. </w:t>
      </w:r>
      <w:r w:rsidRPr="003C4195">
        <w:rPr>
          <w:rStyle w:val="StyleBoldUnderline"/>
          <w:szCs w:val="22"/>
          <w:highlight w:val="cyan"/>
        </w:rPr>
        <w:t xml:space="preserve">Neither </w:t>
      </w:r>
      <w:r w:rsidRPr="00D645C2">
        <w:rPr>
          <w:sz w:val="14"/>
        </w:rPr>
        <w:t>a carbon</w:t>
      </w:r>
      <w:r w:rsidRPr="003C4195">
        <w:rPr>
          <w:rStyle w:val="StyleBoldUnderline"/>
          <w:szCs w:val="22"/>
        </w:rPr>
        <w:t xml:space="preserve"> </w:t>
      </w:r>
      <w:r w:rsidRPr="003C4195">
        <w:rPr>
          <w:rStyle w:val="StyleBoldUnderline"/>
          <w:szCs w:val="22"/>
          <w:highlight w:val="cyan"/>
        </w:rPr>
        <w:t>tax nor a single tech</w:t>
      </w:r>
      <w:r w:rsidRPr="00D645C2">
        <w:rPr>
          <w:sz w:val="14"/>
          <w:szCs w:val="14"/>
        </w:rPr>
        <w:t xml:space="preserve">nological breakthrough </w:t>
      </w:r>
      <w:r w:rsidRPr="003C4195">
        <w:rPr>
          <w:rStyle w:val="StyleBoldUnderline"/>
          <w:szCs w:val="22"/>
          <w:highlight w:val="cyan"/>
        </w:rPr>
        <w:t>will</w:t>
      </w:r>
      <w:r w:rsidRPr="003C4195">
        <w:rPr>
          <w:rStyle w:val="StyleBoldUnderline"/>
          <w:szCs w:val="22"/>
        </w:rPr>
        <w:t xml:space="preserve">, </w:t>
      </w:r>
      <w:r w:rsidRPr="00D645C2">
        <w:rPr>
          <w:rFonts w:eastAsia="Calibri"/>
          <w:sz w:val="14"/>
        </w:rPr>
        <w:t xml:space="preserve">by itself, </w:t>
      </w:r>
      <w:r w:rsidRPr="003C4195">
        <w:rPr>
          <w:rStyle w:val="StyleBoldUnderline"/>
          <w:szCs w:val="22"/>
          <w:highlight w:val="cyan"/>
        </w:rPr>
        <w:t>solve</w:t>
      </w:r>
      <w:r w:rsidRPr="003C4195">
        <w:rPr>
          <w:rStyle w:val="StyleBoldUnderline"/>
          <w:szCs w:val="22"/>
        </w:rPr>
        <w:t xml:space="preserve"> the </w:t>
      </w:r>
      <w:r w:rsidRPr="003C4195">
        <w:rPr>
          <w:rStyle w:val="StyleBoldUnderline"/>
          <w:szCs w:val="22"/>
          <w:highlight w:val="cyan"/>
        </w:rPr>
        <w:t>climate</w:t>
      </w:r>
      <w:r w:rsidRPr="003C4195">
        <w:rPr>
          <w:rStyle w:val="StyleBoldUnderline"/>
          <w:szCs w:val="22"/>
        </w:rPr>
        <w:t xml:space="preserve"> problem</w:t>
      </w:r>
      <w:r w:rsidRPr="00D645C2">
        <w:rPr>
          <w:rFonts w:eastAsia="Calibri"/>
          <w:sz w:val="14"/>
        </w:rPr>
        <w:t xml:space="preserve">, a point made by Jones (2009) in his system dynamics model of the evolution of the solar industry. </w:t>
      </w:r>
      <w:r w:rsidRPr="003C4195">
        <w:rPr>
          <w:rStyle w:val="StyleBoldUnderline"/>
          <w:szCs w:val="22"/>
          <w:highlight w:val="cyan"/>
        </w:rPr>
        <w:t>Intervention in complex systems is</w:t>
      </w:r>
      <w:r w:rsidRPr="003C4195">
        <w:rPr>
          <w:rStyle w:val="StyleBoldUnderline"/>
          <w:szCs w:val="22"/>
        </w:rPr>
        <w:t xml:space="preserve"> also </w:t>
      </w:r>
      <w:r w:rsidRPr="003C4195">
        <w:rPr>
          <w:rStyle w:val="StyleBoldUnderline"/>
          <w:szCs w:val="22"/>
          <w:highlight w:val="cyan"/>
        </w:rPr>
        <w:t>hindered by</w:t>
      </w:r>
      <w:r w:rsidRPr="003C4195">
        <w:rPr>
          <w:rStyle w:val="StyleBoldUnderline"/>
          <w:szCs w:val="22"/>
        </w:rPr>
        <w:t xml:space="preserve"> the likelihood of undesired and </w:t>
      </w:r>
      <w:r w:rsidRPr="003C4195">
        <w:rPr>
          <w:rStyle w:val="StyleBoldUnderline"/>
          <w:szCs w:val="22"/>
          <w:highlight w:val="cyan"/>
        </w:rPr>
        <w:t>unanticipated consequences</w:t>
      </w:r>
      <w:r w:rsidRPr="00D645C2">
        <w:rPr>
          <w:rFonts w:eastAsia="Calibri"/>
          <w:sz w:val="14"/>
        </w:rPr>
        <w:t xml:space="preserve">. Raising vehicle fuel economy standards reduces the cost of travel per mile, encouraging more car travel. Incentives to raise production of biofuels could raise food prices, and perhaps encourage clearcutting forests. </w:t>
      </w:r>
      <w:r w:rsidRPr="00D645C2">
        <w:rPr>
          <w:sz w:val="14"/>
        </w:rPr>
        <w:t>These uncertainties have led some to suggest that</w:t>
      </w:r>
      <w:r w:rsidRPr="003C4195">
        <w:rPr>
          <w:rStyle w:val="StyleBoldUnderline"/>
          <w:szCs w:val="22"/>
        </w:rPr>
        <w:t xml:space="preserve"> </w:t>
      </w:r>
      <w:r w:rsidRPr="003C4195">
        <w:rPr>
          <w:rStyle w:val="StyleBoldUnderline"/>
          <w:szCs w:val="22"/>
          <w:highlight w:val="cyan"/>
        </w:rPr>
        <w:t>complex systems are essentially unmanageable</w:t>
      </w:r>
      <w:r w:rsidRPr="003C4195">
        <w:rPr>
          <w:rStyle w:val="StyleBoldUnderline"/>
          <w:szCs w:val="22"/>
        </w:rPr>
        <w:t>.</w:t>
      </w:r>
      <w:r w:rsidRPr="00D645C2">
        <w:rPr>
          <w:rFonts w:eastAsia="Calibri"/>
          <w:sz w:val="14"/>
        </w:rPr>
        <w:t xml:space="preserve"> Perrow’s (1989) study of the nuclear accident at </w:t>
      </w:r>
      <w:r w:rsidRPr="00D645C2">
        <w:rPr>
          <w:sz w:val="14"/>
        </w:rPr>
        <w:t xml:space="preserve">Three Mile Island concluded that catastrophic accidents were “normal” in the context of highly complex socio-technical systems. Even the most carefully designed systems, Perrow argued, could not always prevent occasional human or technological failures from cascading into major disasters. </w:t>
      </w:r>
      <w:r w:rsidRPr="003C4195">
        <w:rPr>
          <w:rStyle w:val="StyleBoldUnderline"/>
          <w:szCs w:val="22"/>
        </w:rPr>
        <w:t>The explosion and massive oil leak from BP</w:t>
      </w:r>
      <w:r w:rsidRPr="00D645C2">
        <w:rPr>
          <w:rFonts w:eastAsia="Calibri"/>
          <w:sz w:val="14"/>
        </w:rPr>
        <w:t xml:space="preserve">’s oil well in spring 2010 </w:t>
      </w:r>
      <w:r w:rsidRPr="003C4195">
        <w:rPr>
          <w:rStyle w:val="StyleBoldUnderline"/>
          <w:szCs w:val="22"/>
        </w:rPr>
        <w:t>highlights the challenge of anticipating every potential eventuality</w:t>
      </w:r>
      <w:r w:rsidRPr="00D645C2">
        <w:rPr>
          <w:rFonts w:eastAsia="Calibri"/>
          <w:sz w:val="14"/>
        </w:rPr>
        <w:t xml:space="preserve">, especially when regulators and managers are under pressure to overlook risks to meet deadlines and profit targets.    </w:t>
      </w:r>
    </w:p>
    <w:p w14:paraId="465D0DF5" w14:textId="77777777" w:rsidR="00A86569" w:rsidRDefault="00A86569" w:rsidP="00A86569">
      <w:pPr>
        <w:tabs>
          <w:tab w:val="left" w:pos="540"/>
        </w:tabs>
        <w:rPr>
          <w:rFonts w:ascii="Times" w:hAnsi="Times" w:cs="Cambria"/>
          <w:color w:val="000000"/>
        </w:rPr>
      </w:pPr>
    </w:p>
    <w:p w14:paraId="4E6C73D6" w14:textId="77777777" w:rsidR="00841902" w:rsidRPr="00801996" w:rsidRDefault="00841902" w:rsidP="00841902">
      <w:pPr>
        <w:pStyle w:val="Heading4"/>
        <w:rPr>
          <w:rFonts w:ascii="Calibri" w:hAnsi="Calibri"/>
        </w:rPr>
      </w:pPr>
      <w:r w:rsidRPr="00801996">
        <w:rPr>
          <w:rFonts w:ascii="Calibri" w:hAnsi="Calibri"/>
        </w:rPr>
        <w:t>Plan: The United States Feder</w:t>
      </w:r>
      <w:r>
        <w:rPr>
          <w:rFonts w:ascii="Calibri" w:hAnsi="Calibri"/>
        </w:rPr>
        <w:t>al Government should develop a national program o</w:t>
      </w:r>
      <w:r w:rsidRPr="00801996">
        <w:rPr>
          <w:rFonts w:ascii="Calibri" w:hAnsi="Calibri"/>
        </w:rPr>
        <w:t>ffice for monitoring ocean acidification.</w:t>
      </w:r>
    </w:p>
    <w:p w14:paraId="7C5EF354" w14:textId="77777777" w:rsidR="00A86569" w:rsidRDefault="00A86569" w:rsidP="00A86569">
      <w:pPr>
        <w:tabs>
          <w:tab w:val="left" w:pos="540"/>
        </w:tabs>
        <w:rPr>
          <w:rFonts w:ascii="Times" w:hAnsi="Times" w:cs="Cambria"/>
          <w:color w:val="000000"/>
        </w:rPr>
      </w:pPr>
    </w:p>
    <w:p w14:paraId="61A9C9EF" w14:textId="77777777" w:rsidR="00A86569" w:rsidRDefault="00A86569" w:rsidP="00A86569">
      <w:pPr>
        <w:pStyle w:val="Heading4"/>
      </w:pPr>
      <w:r w:rsidRPr="00E728DD">
        <w:rPr>
          <w:u w:val="single"/>
        </w:rPr>
        <w:t xml:space="preserve">Contention Two: </w:t>
      </w:r>
      <w:r>
        <w:t>Data Ecosystem</w:t>
      </w:r>
    </w:p>
    <w:p w14:paraId="49B4CFBB" w14:textId="77777777" w:rsidR="00A86569" w:rsidRPr="00D30A67" w:rsidRDefault="00A86569" w:rsidP="00A86569">
      <w:pPr>
        <w:pStyle w:val="Heading4"/>
      </w:pPr>
      <w:r>
        <w:t>New data management agencies foster an ecology of information—hybrid networks of different actors allows resilient ocean management</w:t>
      </w:r>
    </w:p>
    <w:p w14:paraId="38922714" w14:textId="77777777" w:rsidR="00A86569" w:rsidRDefault="00A86569" w:rsidP="00A86569"/>
    <w:p w14:paraId="59F2048E" w14:textId="77777777" w:rsidR="00A86569" w:rsidRPr="00343711" w:rsidRDefault="00A86569" w:rsidP="00A86569">
      <w:r w:rsidRPr="000260E5">
        <w:rPr>
          <w:rStyle w:val="StyleStyleBold12pt"/>
        </w:rPr>
        <w:t>Parsons Et al. 11</w:t>
      </w:r>
      <w:r>
        <w:t xml:space="preserve">(Mark A. </w:t>
      </w:r>
      <w:r w:rsidRPr="000260E5">
        <w:t>Øystein Godøy, Ellsworth LeDrew, Taco F. de Bruin, Bruno Danis, Scott Tomlinson, and David Carlson</w:t>
      </w:r>
      <w:r>
        <w:t>,</w:t>
      </w:r>
      <w:r w:rsidRPr="000260E5">
        <w:t xml:space="preserve"> </w:t>
      </w:r>
      <w:r>
        <w:t>Rice University MS Rose-Hulman Institute of Technology BS,</w:t>
      </w:r>
      <w:r w:rsidRPr="00FF361A">
        <w:t xml:space="preserve"> </w:t>
      </w:r>
      <w:r>
        <w:t>University of Bergen (UiB) Cand. Scient.</w:t>
      </w:r>
      <w:r w:rsidRPr="00FF361A">
        <w:t xml:space="preserve"> </w:t>
      </w:r>
      <w:r>
        <w:t xml:space="preserve">University of Bergen (UiB) Dr. Scient, </w:t>
      </w:r>
      <w:r w:rsidRPr="000260E5">
        <w:t>Journal of Information Science December 2011 37: 555-569</w:t>
      </w:r>
      <w:r>
        <w:t xml:space="preserve"> Online:</w:t>
      </w:r>
      <w:r w:rsidRPr="00FF361A">
        <w:t xml:space="preserve"> http://jis.sagepub.com/content/37/6/555.full.pdf+html</w:t>
      </w:r>
      <w:r>
        <w:t>)</w:t>
      </w:r>
    </w:p>
    <w:p w14:paraId="34A590B5" w14:textId="77777777" w:rsidR="00A86569" w:rsidRDefault="00A86569" w:rsidP="00A86569">
      <w:pPr>
        <w:rPr>
          <w:sz w:val="16"/>
        </w:rPr>
      </w:pPr>
    </w:p>
    <w:p w14:paraId="4EAD306B" w14:textId="77777777" w:rsidR="00A86569" w:rsidRDefault="00A86569" w:rsidP="00A86569">
      <w:pPr>
        <w:rPr>
          <w:sz w:val="14"/>
          <w:szCs w:val="14"/>
        </w:rPr>
      </w:pPr>
      <w:r w:rsidRPr="00C73FC9">
        <w:rPr>
          <w:sz w:val="14"/>
          <w:szCs w:val="14"/>
        </w:rPr>
        <w:t xml:space="preserve">We have described each of our five principles and the challenges and needs of addressing these principles with very diverse data, but ultimately the principles need to be considered in concert. Data may be open but not discoverable or useful. More commonly, data are useful but not open or safe. To truly address the challenges of very diverse, interdisciplinary data we must consider the data ecosystem as a whole. Indeed, society is still in the process of creating or evolving a fully functional data ecosystem. We, the authors, have been active players in that data ecosystem and its evolution. Between us we participate in the data collection at sea, in the field, and in the lab. We develop and present tools, information products, and scientific analyses. </w:t>
      </w:r>
      <w:proofErr w:type="gramStart"/>
      <w:r w:rsidRPr="00C73FC9">
        <w:rPr>
          <w:sz w:val="14"/>
          <w:szCs w:val="14"/>
        </w:rPr>
        <w:t>We curate and steward data.</w:t>
      </w:r>
      <w:proofErr w:type="gramEnd"/>
      <w:r w:rsidRPr="00C73FC9">
        <w:rPr>
          <w:sz w:val="14"/>
          <w:szCs w:val="14"/>
        </w:rPr>
        <w:t xml:space="preserve"> One of us disburses funding for data archiving and networking. We are active participants in the scientific enterprise around diverse data. In essence, our observations come from a perspective of what</w:t>
      </w:r>
      <w:r w:rsidRPr="00123608">
        <w:rPr>
          <w:sz w:val="16"/>
        </w:rPr>
        <w:t xml:space="preserve"> </w:t>
      </w:r>
      <w:r w:rsidRPr="003C4195">
        <w:rPr>
          <w:rStyle w:val="StyleBoldUnderline"/>
          <w:szCs w:val="22"/>
        </w:rPr>
        <w:t>Latour</w:t>
      </w:r>
      <w:r w:rsidRPr="00123608">
        <w:rPr>
          <w:sz w:val="16"/>
        </w:rPr>
        <w:t xml:space="preserve"> calls ‘science in action’ [59]. He </w:t>
      </w:r>
      <w:r w:rsidRPr="003C4195">
        <w:rPr>
          <w:rStyle w:val="StyleBoldUnderline"/>
          <w:szCs w:val="22"/>
        </w:rPr>
        <w:t>persuades us that it is essential to take a holistic approach to understanding social interactions and that one needs to consider the transactions of the relevant participants along with their individual actions, identities, etc. Our data ecosystem is akin to Latour’s Actor-Network with its emphasis on transactions between and among human and non-human actors [60]. Data are often a focal point of these transactions and can perhaps be viewed as a key nutrient or the water that needs to flow smoothly through the ecosystem. Our goal then is to enhance that flow and enable those transactions to improve the health of the ecosystem. We also seek to foster and understand alliances and ‘hybrids’ of many actors [61]. We seek to not only study but also to improve the ‘balance of language and practice across communities’ in Star and Ruhleder’s ecology of infrastructure [1</w:t>
      </w:r>
      <w:r w:rsidRPr="00123608">
        <w:rPr>
          <w:sz w:val="16"/>
        </w:rPr>
        <w:t xml:space="preserve">6]. More prosaically, our experience with a variety of IPY projects, such as the DAMOCLES project described above, illustrates how a pragmatic, flexible, and especially collaborative approach can encourage the behavioural adaptation in science that enhances data flow and usefulness. </w:t>
      </w:r>
      <w:r w:rsidRPr="003C4195">
        <w:rPr>
          <w:rStyle w:val="StyleBoldUnderline"/>
          <w:szCs w:val="22"/>
        </w:rPr>
        <w:t>Collaboration between data managers and data creators increases the ecosystem transactions and balance of communication and has broad, positive repercussions.</w:t>
      </w:r>
      <w:r w:rsidRPr="00123608">
        <w:rPr>
          <w:sz w:val="16"/>
        </w:rPr>
        <w:t xml:space="preserve"> At one level, this sort of congenial collaboration can improve data and metadata completeness [51, 62]. At a deeper level, Saracevic suggested that ‘the subject knowledge view of relevance is fundamental to all other views of relevance, because subject knowledge is fundamental to communication of knowledge’ [63 p. 333, his emphasis]. In other words, </w:t>
      </w:r>
      <w:r w:rsidRPr="003C4195">
        <w:rPr>
          <w:rStyle w:val="StyleBoldUnderline"/>
          <w:szCs w:val="22"/>
        </w:rPr>
        <w:t>we cannot communicate the value, uncertainty, or usability of data effectively without capturing expert knowledge of the data creator.</w:t>
      </w:r>
      <w:r w:rsidRPr="00123608">
        <w:rPr>
          <w:sz w:val="16"/>
        </w:rPr>
        <w:t xml:space="preserve"> Hjørland [19] argues that information science has neglected the ‘subject knowledge’ view of relevance and has focused unduly on a false dichotomy between ‘system relevance’ and ‘user relevance’. Without entering that theoretical debate, as practitioners, we note that, while it is important to consider user needs and perspectives, it is equally important to consider data creator perspectives in order to effectively capture contextual knowledge. </w:t>
      </w:r>
      <w:r w:rsidRPr="003C4195">
        <w:rPr>
          <w:rStyle w:val="StyleBoldUnderline"/>
          <w:szCs w:val="22"/>
        </w:rPr>
        <w:t>Data can serve as the sort of ‘boundary objects’ central for translating between viewpoints in the interdisciplinary discussion of science, but the objects must remain robust enough to maintain identity across disciplines</w:t>
      </w:r>
      <w:r w:rsidRPr="00123608">
        <w:rPr>
          <w:sz w:val="16"/>
        </w:rPr>
        <w:t xml:space="preserve"> [15]. In short, both theory and practice suggest that metadata is best generated through collaboration between the subject-knowledge holder and information specialists. </w:t>
      </w:r>
      <w:r w:rsidRPr="003C4195">
        <w:rPr>
          <w:rStyle w:val="StyleBoldUnderline"/>
          <w:szCs w:val="22"/>
        </w:rPr>
        <w:t>This makes the data more useful within and without specialist communities.</w:t>
      </w:r>
      <w:r w:rsidRPr="00123608">
        <w:rPr>
          <w:sz w:val="16"/>
        </w:rPr>
        <w:t xml:space="preserve"> Furthermore, Shankar illustrates how the research lab notebook becomes a significant artefact that centres, defines, and communicates knowledge creation and collaboration. [64]. Our experience echoes her view that participation in the minutiae of data creation can be a means to help form scientific identity and community. It is very helpful for data managers to participate in that process of data creation because it helps engender trust and collaboration, but it also makes the boundary object, the data, more robust. We can readily see this with reference and community data </w:t>
      </w:r>
      <w:r w:rsidRPr="003C4195">
        <w:rPr>
          <w:rStyle w:val="StyleBoldUnderline"/>
          <w:szCs w:val="22"/>
        </w:rPr>
        <w:t>because consensusbuilding mechanisms such as science and technical working groups are necessarily included</w:t>
      </w:r>
      <w:r w:rsidRPr="00123608">
        <w:rPr>
          <w:sz w:val="16"/>
        </w:rPr>
        <w:t xml:space="preserve"> in their creation. </w:t>
      </w:r>
      <w:r w:rsidRPr="003C4195">
        <w:rPr>
          <w:rStyle w:val="StyleBoldUnderline"/>
          <w:szCs w:val="22"/>
        </w:rPr>
        <w:t>There is a break in the flow in the data ecosystem. Communication is unbalanced and needs correction. We lack what Nardi and O’Day call a ‘keystone species’ in the ecosystem – the data scientist, the mediator, the translator [18]. We believe it is necessary to establish more interpersonal communication between data providers and data managers, but in many ways as the field of informatics grows more sophisticated and complex it becomes more separate from the domains it serves</w:t>
      </w:r>
      <w:r w:rsidRPr="00123608">
        <w:rPr>
          <w:sz w:val="16"/>
        </w:rPr>
        <w:t xml:space="preserve">. </w:t>
      </w:r>
      <w:r w:rsidRPr="00C73FC9">
        <w:rPr>
          <w:sz w:val="14"/>
          <w:szCs w:val="14"/>
        </w:rPr>
        <w:t xml:space="preserve">This need for communication is not a new concept. Vickery [65] in his excellent review of science and technical communication in the twenty-first century notes that the need to share vast information and knowledge has always seemed daunting. The first lesson Vickery draws from his review is that ‘Scientists and technologists need to interact and communicate’ [65, p. 515]. We note, however, that data stewards are not solely technologists. Further, we feel that many of the proposed solutions of the past – user guides, discussion fora, etc. – while useful, do not fully address the issue. To increase interpersonal relations data managers need to participate directly in field data collection activities and scientists need to actively participate in data curation. In IPY, data management processes only began to function after a certain critical mass of interpersonal relations had been established within the science projects themselves and across the whole international data management enterprise. It is critical that scientists see themselves as part of the data ecosystem, whereas most probably do not; this change will require the time, patience, and outreach of data managers as well as flexible and useful tools for the scientists. </w:t>
      </w:r>
    </w:p>
    <w:p w14:paraId="65274958" w14:textId="77777777" w:rsidR="00A86569" w:rsidRDefault="00A86569" w:rsidP="00A86569">
      <w:pPr>
        <w:rPr>
          <w:sz w:val="14"/>
          <w:szCs w:val="14"/>
        </w:rPr>
      </w:pPr>
    </w:p>
    <w:p w14:paraId="2F3591F5" w14:textId="77777777" w:rsidR="00A86569" w:rsidRPr="00C73FC9" w:rsidRDefault="00A86569" w:rsidP="00A86569">
      <w:pPr>
        <w:rPr>
          <w:i/>
          <w:sz w:val="24"/>
        </w:rPr>
      </w:pPr>
      <w:r w:rsidRPr="00C73FC9">
        <w:rPr>
          <w:i/>
          <w:sz w:val="24"/>
        </w:rPr>
        <w:t>[Continued on the next page]</w:t>
      </w:r>
    </w:p>
    <w:p w14:paraId="352D2771" w14:textId="77777777" w:rsidR="00A86569" w:rsidRDefault="00A86569" w:rsidP="00A86569">
      <w:pPr>
        <w:rPr>
          <w:sz w:val="14"/>
          <w:szCs w:val="14"/>
        </w:rPr>
      </w:pPr>
    </w:p>
    <w:p w14:paraId="204EDFD0" w14:textId="77777777" w:rsidR="00A86569" w:rsidRPr="00FD0D4C" w:rsidRDefault="00A86569" w:rsidP="00A86569">
      <w:pPr>
        <w:rPr>
          <w:b/>
          <w:u w:val="single"/>
        </w:rPr>
      </w:pPr>
      <w:r w:rsidRPr="00123608">
        <w:rPr>
          <w:sz w:val="16"/>
        </w:rPr>
        <w:t xml:space="preserve">As mentioned, the IPY Data Policy drove a change in several countries where research funding was contingent upon data release. This command and control approach may seem contrary to the evolutionary nature of an ecosystem, but we believe generally free flowing data are key to a healthy data ecosystem. Open data can encourage more interaction between the components of the ecosystem, and this interaction enables greater interdisciplinary understanding and collaboration. </w:t>
      </w:r>
      <w:r w:rsidRPr="003C4195">
        <w:rPr>
          <w:rStyle w:val="StyleBoldUnderline"/>
          <w:szCs w:val="22"/>
        </w:rPr>
        <w:t>One might think of funding agency intervention as a form of ecosystem management, a controlled burn if you will, designed to bring the ecosystem in balance and more in line with stated policy</w:t>
      </w:r>
      <w:r w:rsidRPr="00123608">
        <w:rPr>
          <w:sz w:val="16"/>
        </w:rPr>
        <w:t xml:space="preserve">. As the ecosystem evolves and more routine norms of sharing are established, less draconian methods may be employed, but it is still important to recognize sponsors as key actors in the data ecosystem. Sponsors need to be actively engaged in the planning and execution of data systems for large experiments or campaigns. </w:t>
      </w:r>
      <w:r w:rsidRPr="003C4195">
        <w:rPr>
          <w:rStyle w:val="StyleBoldUnderline"/>
          <w:szCs w:val="22"/>
        </w:rPr>
        <w:t>The World Ocean Circulation Experiment (WOCE) is often cited as a successful example of good data stewardship in support of a large international programme.</w:t>
      </w:r>
      <w:r w:rsidRPr="00123608">
        <w:rPr>
          <w:sz w:val="16"/>
        </w:rPr>
        <w:t xml:space="preserve"> While it was much more disciplinarily focused than IPY, it had a very long planning period. Data Assembly Centers for the different data types were funded and in place before the data collection began. The World Data Center for Oceanography in Silver Spring was the designated long-term archive. </w:t>
      </w:r>
      <w:r w:rsidRPr="003C4195">
        <w:rPr>
          <w:rStyle w:val="StyleBoldUnderline"/>
          <w:szCs w:val="22"/>
        </w:rPr>
        <w:t xml:space="preserve">WOCE had a rigorous data policy, which required participants to submit the data to a data centre within six months of collection. This helped create an imperative to develop the data submission and access infrastructure in advance. As one senior oceanographer noted, ‘Everybody involved knew the data managers, knew which data centre to submit what data to, knew which format was required, etc.’. This is in direct contrast to IPY and many other international programmes where data systems are so often an afterthought. It helped that the preparation and collaboration were driven by highly respected and well-known oceanographers who worked to move the funding agencies toward ‘a different (and new) way of thinking. </w:t>
      </w:r>
      <w:r w:rsidRPr="00C73FC9">
        <w:rPr>
          <w:sz w:val="14"/>
          <w:szCs w:val="14"/>
        </w:rPr>
        <w:t>Th</w:t>
      </w:r>
      <w:r w:rsidRPr="00123608">
        <w:rPr>
          <w:sz w:val="16"/>
        </w:rPr>
        <w:t xml:space="preserve">ey did not fund "innovative research" for the usual "four-year project duration", but had to fund existing data centres and data managers, for a much longer period than four years’. This was possible partly because some of the leading programme managers on the project were respected and recognized scientists themselves, and thereby collegial participants and actors in the ecosystem. We see a similar evolution in thinking in response to IPY, but IPY and its diversity are presenting a much more complex challenge. Moving forward, </w:t>
      </w:r>
      <w:r w:rsidRPr="003C4195">
        <w:rPr>
          <w:rStyle w:val="StyleBoldUnderline"/>
          <w:szCs w:val="22"/>
        </w:rPr>
        <w:t>we will need to take an organic approach</w:t>
      </w:r>
      <w:r w:rsidRPr="00123608">
        <w:rPr>
          <w:sz w:val="16"/>
        </w:rPr>
        <w:t xml:space="preserve">. </w:t>
      </w:r>
      <w:r w:rsidRPr="003C4195">
        <w:rPr>
          <w:rStyle w:val="StyleBoldUnderline"/>
          <w:szCs w:val="22"/>
        </w:rPr>
        <w:t>We must encourage a socio-technical evolution, where the science community continually adapts to new technologies and the demands of the fourth paradigm, and the new technologies adapt to the dynamic, interdisciplinary needs of science.</w:t>
      </w:r>
      <w:r w:rsidRPr="00123608">
        <w:rPr>
          <w:sz w:val="16"/>
        </w:rPr>
        <w:t xml:space="preserve"> </w:t>
      </w:r>
      <w:r w:rsidRPr="003C4195">
        <w:rPr>
          <w:rStyle w:val="StyleBoldUnderline"/>
          <w:szCs w:val="22"/>
        </w:rPr>
        <w:t xml:space="preserve">This creates an overarching need for flexibility and adaptability that can help us identify both technical and socio-cultural requirements or next steps toward creating a robust data ecosystem. </w:t>
      </w:r>
    </w:p>
    <w:p w14:paraId="0CECE62A" w14:textId="77777777" w:rsidR="00A86569" w:rsidRDefault="00A86569" w:rsidP="00A86569">
      <w:pPr>
        <w:pStyle w:val="Heading4"/>
      </w:pPr>
      <w:r>
        <w:t>Facilitating better knowledge exchange at the government level incorporates local ecosystem knowledge and improves system resiliency</w:t>
      </w:r>
    </w:p>
    <w:p w14:paraId="77468430" w14:textId="77777777" w:rsidR="00A86569" w:rsidRPr="00D06B72" w:rsidRDefault="00A86569" w:rsidP="00A86569">
      <w:pPr>
        <w:rPr>
          <w:rStyle w:val="StyleStyleBold12pt"/>
        </w:rPr>
      </w:pPr>
      <w:r w:rsidRPr="00D06B72">
        <w:rPr>
          <w:rStyle w:val="StyleStyleBold12pt"/>
        </w:rPr>
        <w:t>Nilsson and Persson, Stockholm Environment Institute, 2012</w:t>
      </w:r>
    </w:p>
    <w:p w14:paraId="674A28B6" w14:textId="77777777" w:rsidR="00A86569" w:rsidRPr="00D06B72" w:rsidRDefault="00A86569" w:rsidP="00A86569">
      <w:pPr>
        <w:rPr>
          <w:sz w:val="16"/>
          <w:szCs w:val="16"/>
        </w:rPr>
      </w:pPr>
      <w:r w:rsidRPr="00D06B72">
        <w:rPr>
          <w:sz w:val="16"/>
          <w:szCs w:val="16"/>
        </w:rPr>
        <w:t>(Mans Nilsson, KTH Royal Institute of Technology, Division of Environmental Strategies Research, School of Architecture and the Built Environment, Asa Persson, c Stockholm University, Stockholm Resilience Centre, “Can Earth system interactions be governed? Governance functions for linking climate change mitigation with land use, freshwater and biodiversity protection</w:t>
      </w:r>
      <w:proofErr w:type="gramStart"/>
      <w:r w:rsidRPr="00D06B72">
        <w:rPr>
          <w:sz w:val="16"/>
          <w:szCs w:val="16"/>
        </w:rPr>
        <w:t>” ,</w:t>
      </w:r>
      <w:proofErr w:type="gramEnd"/>
      <w:r w:rsidRPr="00D06B72">
        <w:rPr>
          <w:sz w:val="16"/>
          <w:szCs w:val="16"/>
        </w:rPr>
        <w:t xml:space="preserve"> pdf)//CA</w:t>
      </w:r>
    </w:p>
    <w:p w14:paraId="2308B0F3" w14:textId="77777777" w:rsidR="00A86569" w:rsidRPr="003C4195" w:rsidRDefault="00A86569" w:rsidP="00A86569">
      <w:pPr>
        <w:rPr>
          <w:rStyle w:val="StyleBoldUnderline"/>
          <w:szCs w:val="22"/>
        </w:rPr>
      </w:pPr>
      <w:r w:rsidRPr="00C728C1">
        <w:rPr>
          <w:sz w:val="16"/>
        </w:rPr>
        <w:t xml:space="preserve">3.1. </w:t>
      </w:r>
      <w:r w:rsidRPr="003C4195">
        <w:rPr>
          <w:rStyle w:val="StyleBoldUnderline"/>
          <w:szCs w:val="22"/>
        </w:rPr>
        <w:t>Governance to Reduce System Stress, Risks and Vulnerabilities</w:t>
      </w:r>
      <w:r w:rsidRPr="00C728C1">
        <w:rPr>
          <w:sz w:val="16"/>
        </w:rPr>
        <w:t xml:space="preserve"> </w:t>
      </w:r>
      <w:proofErr w:type="gramStart"/>
      <w:r w:rsidRPr="00C728C1">
        <w:rPr>
          <w:sz w:val="16"/>
        </w:rPr>
        <w:t>Performing</w:t>
      </w:r>
      <w:proofErr w:type="gramEnd"/>
      <w:r w:rsidRPr="00C728C1">
        <w:rPr>
          <w:sz w:val="16"/>
        </w:rPr>
        <w:t xml:space="preserve"> this core function, </w:t>
      </w:r>
      <w:r w:rsidRPr="00D06B72">
        <w:rPr>
          <w:rStyle w:val="Emphasis"/>
        </w:rPr>
        <w:t xml:space="preserve">we find instruments for data collection and monitoring, performance measurement, organised knowledge exchange, regulation and standards, and mechanisms for adaptive governance. </w:t>
      </w:r>
      <w:r w:rsidRPr="00C728C1">
        <w:rPr>
          <w:sz w:val="16"/>
        </w:rPr>
        <w:t xml:space="preserve">A well-known business axiom (by Peter Drucker) </w:t>
      </w:r>
      <w:proofErr w:type="gramStart"/>
      <w:r w:rsidRPr="00C728C1">
        <w:rPr>
          <w:sz w:val="16"/>
        </w:rPr>
        <w:t>states that</w:t>
      </w:r>
      <w:proofErr w:type="gramEnd"/>
      <w:r w:rsidRPr="00C728C1">
        <w:rPr>
          <w:sz w:val="16"/>
        </w:rPr>
        <w:t xml:space="preserve"> </w:t>
      </w:r>
      <w:r w:rsidRPr="003C4195">
        <w:rPr>
          <w:rStyle w:val="StyleBoldUnderline"/>
          <w:szCs w:val="22"/>
        </w:rPr>
        <w:t>“what gets measured gets managed”. Actors involved in sectoral and economic governance</w:t>
      </w:r>
      <w:r w:rsidRPr="00C728C1">
        <w:rPr>
          <w:sz w:val="16"/>
        </w:rPr>
        <w:t xml:space="preserve">, either at international (UN), EU or national levels, </w:t>
      </w:r>
      <w:r w:rsidRPr="003C4195">
        <w:rPr>
          <w:rStyle w:val="StyleBoldUnderline"/>
          <w:szCs w:val="22"/>
        </w:rPr>
        <w:t>often lack sufficient knowledge about system interactions and have weak incentives to attribute global environmental change to the</w:t>
      </w:r>
      <w:r w:rsidRPr="00C728C1">
        <w:rPr>
          <w:sz w:val="16"/>
        </w:rPr>
        <w:t xml:space="preserve"> (part of the) </w:t>
      </w:r>
      <w:r w:rsidRPr="003C4195">
        <w:rPr>
          <w:rStyle w:val="StyleBoldUnderline"/>
          <w:szCs w:val="22"/>
        </w:rPr>
        <w:t>system they control and assess</w:t>
      </w:r>
      <w:r w:rsidRPr="00C728C1">
        <w:rPr>
          <w:sz w:val="16"/>
        </w:rPr>
        <w:t xml:space="preserve">. Also, </w:t>
      </w:r>
      <w:r w:rsidRPr="003C4195">
        <w:rPr>
          <w:rStyle w:val="StyleBoldUnderline"/>
          <w:szCs w:val="22"/>
        </w:rPr>
        <w:t>there are large differences in monitoring capacities.</w:t>
      </w:r>
      <w:r w:rsidRPr="00C728C1">
        <w:rPr>
          <w:sz w:val="16"/>
        </w:rPr>
        <w:t xml:space="preserve"> In the EU, data gathering has become increasingly institutionalised through the European Environment Agency, but at the global level, the limited resources and effectiveness of UNEP is a stumbling block (Biermann et al., 2009a). </w:t>
      </w:r>
      <w:r w:rsidRPr="003C4195">
        <w:rPr>
          <w:rStyle w:val="StyleBoldUnderline"/>
          <w:szCs w:val="22"/>
        </w:rPr>
        <w:t>As a premise for avoiding problem shifting, monitoring could be improved through investments</w:t>
      </w:r>
      <w:r w:rsidRPr="00C728C1">
        <w:rPr>
          <w:sz w:val="16"/>
        </w:rPr>
        <w:t xml:space="preserve">, such as in high-resolution satellite monitoring systems for forests. Also </w:t>
      </w:r>
      <w:r w:rsidRPr="00D06B72">
        <w:rPr>
          <w:rStyle w:val="Emphasis"/>
        </w:rPr>
        <w:t>local knowledge of ecosystems change must be connected and combined with scientific assessments.</w:t>
      </w:r>
      <w:r w:rsidRPr="00C728C1">
        <w:rPr>
          <w:sz w:val="16"/>
        </w:rPr>
        <w:t xml:space="preserve"> </w:t>
      </w:r>
      <w:r w:rsidRPr="00D06B72">
        <w:rPr>
          <w:rStyle w:val="Emphasis"/>
        </w:rPr>
        <w:t>Institutional mechanisms for this need to be developed</w:t>
      </w:r>
      <w:r w:rsidRPr="00C728C1">
        <w:rPr>
          <w:sz w:val="16"/>
        </w:rPr>
        <w:t xml:space="preserve">, such as community-based mapping and monitoring that are assembled and coordinated by regional authorities. </w:t>
      </w:r>
      <w:r w:rsidRPr="003C4195">
        <w:rPr>
          <w:rStyle w:val="StyleBoldUnderline"/>
          <w:szCs w:val="22"/>
        </w:rPr>
        <w:t>Based on better data, performance measurement systems related to planetary boundaries and their interactions could also be developed, both for nation-states, public sector bodies and the private sector</w:t>
      </w:r>
      <w:r w:rsidRPr="00C728C1">
        <w:rPr>
          <w:sz w:val="16"/>
        </w:rPr>
        <w:t xml:space="preserve">. The </w:t>
      </w:r>
      <w:r w:rsidRPr="003C4195">
        <w:rPr>
          <w:rStyle w:val="StyleBoldUnderline"/>
          <w:szCs w:val="22"/>
        </w:rPr>
        <w:t>publication of performance</w:t>
      </w:r>
      <w:r w:rsidRPr="00C728C1">
        <w:rPr>
          <w:sz w:val="16"/>
        </w:rPr>
        <w:t xml:space="preserve"> </w:t>
      </w:r>
      <w:proofErr w:type="gramStart"/>
      <w:r w:rsidRPr="00C728C1">
        <w:rPr>
          <w:sz w:val="16"/>
        </w:rPr>
        <w:t>score boards</w:t>
      </w:r>
      <w:proofErr w:type="gramEnd"/>
      <w:r w:rsidRPr="00C728C1">
        <w:rPr>
          <w:sz w:val="16"/>
        </w:rPr>
        <w:t xml:space="preserve"> on planetary boundaries can play a central role to </w:t>
      </w:r>
      <w:r w:rsidRPr="003C4195">
        <w:rPr>
          <w:rStyle w:val="StyleBoldUnderline"/>
          <w:szCs w:val="22"/>
        </w:rPr>
        <w:t>incentivize different actors including local and national governments</w:t>
      </w:r>
      <w:r w:rsidRPr="00C728C1">
        <w:rPr>
          <w:sz w:val="16"/>
        </w:rPr>
        <w:t xml:space="preserve">. Tools for </w:t>
      </w:r>
      <w:r w:rsidRPr="003C4195">
        <w:rPr>
          <w:rStyle w:val="StyleBoldUnderline"/>
          <w:szCs w:val="22"/>
        </w:rPr>
        <w:t xml:space="preserve">impact assessment </w:t>
      </w:r>
      <w:r w:rsidRPr="00C728C1">
        <w:rPr>
          <w:sz w:val="16"/>
        </w:rPr>
        <w:t xml:space="preserve">(such as the EU's procedure, see above) </w:t>
      </w:r>
      <w:r w:rsidRPr="003C4195">
        <w:rPr>
          <w:rStyle w:val="StyleBoldUnderline"/>
          <w:szCs w:val="22"/>
        </w:rPr>
        <w:t xml:space="preserve">need to become more institutionalised </w:t>
      </w:r>
      <w:r w:rsidRPr="00C728C1">
        <w:rPr>
          <w:sz w:val="16"/>
        </w:rPr>
        <w:t xml:space="preserve">at all levels (specifically at the international level there is weak demand and lack of supportive judicial procedures), </w:t>
      </w:r>
      <w:r w:rsidRPr="003C4195">
        <w:rPr>
          <w:rStyle w:val="StyleBoldUnderline"/>
          <w:szCs w:val="22"/>
        </w:rPr>
        <w:t xml:space="preserve">be properly scaled in relation to relevant drivers and impacts, and draw upon new methods that link economic and environmental change </w:t>
      </w:r>
      <w:r w:rsidRPr="00C728C1">
        <w:rPr>
          <w:sz w:val="16"/>
        </w:rPr>
        <w:t xml:space="preserve">and addressing trade-offs and risks of problem shifting. </w:t>
      </w:r>
      <w:r w:rsidRPr="003C4195">
        <w:rPr>
          <w:rStyle w:val="StyleBoldUnderline"/>
          <w:szCs w:val="22"/>
        </w:rPr>
        <w:t xml:space="preserve">Once data is available it must also be shared effectively and used in decision support across organisations concerned with Earth subsystems. </w:t>
      </w:r>
      <w:r w:rsidRPr="00C728C1">
        <w:rPr>
          <w:sz w:val="16"/>
        </w:rPr>
        <w:t xml:space="preserve">Many times, an absolute knowledge shortage is not the main problem, but rather </w:t>
      </w:r>
      <w:r w:rsidRPr="003C4195">
        <w:rPr>
          <w:rStyle w:val="StyleBoldUnderline"/>
          <w:szCs w:val="22"/>
        </w:rPr>
        <w:t>the tendency to isolate and interpret knowledge in ways that follow certain frames, interests, or agenda</w:t>
      </w:r>
      <w:r w:rsidRPr="00C728C1">
        <w:rPr>
          <w:sz w:val="16"/>
        </w:rPr>
        <w:t xml:space="preserve">s, be it in the water, energy or agricultural sectors, for instance. </w:t>
      </w:r>
      <w:r w:rsidRPr="00D06B72">
        <w:rPr>
          <w:rStyle w:val="Emphasis"/>
        </w:rPr>
        <w:t>Efforts are needed for a better knowledge exchange between organisations at different levels.</w:t>
      </w:r>
      <w:r w:rsidRPr="00C728C1">
        <w:rPr>
          <w:sz w:val="16"/>
        </w:rPr>
        <w:t xml:space="preserve"> </w:t>
      </w:r>
      <w:r w:rsidRPr="003C4195">
        <w:rPr>
          <w:rStyle w:val="StyleBoldUnderline"/>
          <w:szCs w:val="22"/>
        </w:rPr>
        <w:t xml:space="preserve">Governing this exchange is important in the routine </w:t>
      </w:r>
      <w:r w:rsidRPr="00D06B72">
        <w:rPr>
          <w:rStyle w:val="Emphasis"/>
        </w:rPr>
        <w:t>monitoring</w:t>
      </w:r>
      <w:r w:rsidRPr="003C4195">
        <w:rPr>
          <w:rStyle w:val="StyleBoldUnderline"/>
          <w:szCs w:val="22"/>
        </w:rPr>
        <w:t xml:space="preserve"> situation</w:t>
      </w:r>
      <w:r w:rsidRPr="00C728C1">
        <w:rPr>
          <w:sz w:val="16"/>
        </w:rPr>
        <w:t xml:space="preserve">, but perhaps even more critical in cases where emergency responses are needed, not least given the anticipation of more extreme events due to e.g. climate change. Here, infomation technologies open new opportunities for governance that hitherto have only been superficially probed (Galaz, 2009). Whilst a potentially low-hanging fruit, knowledge exchange can be pursued with very different levels of ambition. So far, there are countless coordination bodies at the international level, but due to lack of incentive and lack of mandate, results have been limited (Pittock, 2011). At the EU level, process analysis on the recent climate and energy policy development showed that it was characterised by greater knowledge sharing than usual and an extension of the initial system boundaries of the problem once all related dimensions were clear, provided opportunities for learning and more effective governance (Nilsson et al., 2009a). Such cognitive modes of governance have their obvious limitations, and need to be coupled with extended and/or tuned up regulations and legally binding environmental targets, limits and norms for various aspects of Earth sub-systems at different administrative levels. A key challenge when considering the regulatory mode of governance in relation to planetary-level risks such as those with assigned boundaries is the down-scaling, as discussed earlier, and quantification of place-sensitive phenomena such as biodiversity. Summing up, </w:t>
      </w:r>
      <w:r w:rsidRPr="00C728C1">
        <w:rPr>
          <w:rStyle w:val="Emphasis"/>
        </w:rPr>
        <w:t>governance to reduce system stress, risks and vulnerabilities relies on both cognitive and regulative modes. It is closely linked to the state as lead actor, and to the international level of governance</w:t>
      </w:r>
      <w:r w:rsidRPr="00C728C1">
        <w:rPr>
          <w:sz w:val="16"/>
        </w:rPr>
        <w:t xml:space="preserve">, but it must really operate also, down to community levels. On the one hand, </w:t>
      </w:r>
      <w:r w:rsidRPr="003C4195">
        <w:rPr>
          <w:rStyle w:val="StyleBoldUnderline"/>
          <w:szCs w:val="22"/>
        </w:rPr>
        <w:t>it concerns knowledge generation and exchange</w:t>
      </w:r>
      <w:r w:rsidRPr="00C728C1">
        <w:rPr>
          <w:sz w:val="16"/>
        </w:rPr>
        <w:t xml:space="preserve">, by means of Earth system monitoring and assessment, </w:t>
      </w:r>
      <w:r w:rsidRPr="003C4195">
        <w:rPr>
          <w:rStyle w:val="StyleBoldUnderline"/>
          <w:szCs w:val="22"/>
        </w:rPr>
        <w:t>and knowedge sharing and stronger institutional interaction to facilitate by better collaboration among agents</w:t>
      </w:r>
      <w:r w:rsidRPr="00C728C1">
        <w:rPr>
          <w:sz w:val="16"/>
        </w:rPr>
        <w:t xml:space="preserve"> concerned with primarily one Earth sub-system or planetary boundary. </w:t>
      </w:r>
      <w:r w:rsidRPr="003C4195">
        <w:rPr>
          <w:rStyle w:val="StyleBoldUnderline"/>
          <w:szCs w:val="22"/>
        </w:rPr>
        <w:t>As a result</w:t>
      </w:r>
      <w:r w:rsidRPr="00C728C1">
        <w:rPr>
          <w:sz w:val="16"/>
        </w:rPr>
        <w:t xml:space="preserve">, the capacities to prevent, </w:t>
      </w:r>
      <w:r w:rsidRPr="003C4195">
        <w:rPr>
          <w:rStyle w:val="StyleBoldUnderline"/>
          <w:szCs w:val="22"/>
        </w:rPr>
        <w:t xml:space="preserve">respond and adapt at different levels will be strengthened. </w:t>
      </w:r>
      <w:r w:rsidRPr="00C728C1">
        <w:rPr>
          <w:sz w:val="16"/>
        </w:rPr>
        <w:t xml:space="preserve">On the other, </w:t>
      </w:r>
      <w:r w:rsidRPr="003C4195">
        <w:rPr>
          <w:rStyle w:val="StyleBoldUnderline"/>
          <w:szCs w:val="22"/>
        </w:rPr>
        <w:t>it will also require stronger use of protective regulation of Earth systems and the activities that affect them</w:t>
      </w:r>
      <w:r w:rsidRPr="00C728C1">
        <w:rPr>
          <w:sz w:val="16"/>
        </w:rPr>
        <w:t xml:space="preserve">, including standards at local, national, regional </w:t>
      </w:r>
      <w:r w:rsidRPr="003C4195">
        <w:rPr>
          <w:rStyle w:val="StyleBoldUnderline"/>
          <w:szCs w:val="22"/>
        </w:rPr>
        <w:t>and</w:t>
      </w:r>
      <w:r w:rsidRPr="00C728C1">
        <w:rPr>
          <w:sz w:val="16"/>
        </w:rPr>
        <w:t xml:space="preserve">, exceptionally, international scales to, </w:t>
      </w:r>
      <w:r w:rsidRPr="003C4195">
        <w:rPr>
          <w:rStyle w:val="StyleBoldUnderline"/>
          <w:szCs w:val="22"/>
        </w:rPr>
        <w:t>in a cumulative and aggregated way, minimize harmful interactions.</w:t>
      </w:r>
    </w:p>
    <w:p w14:paraId="1F792429" w14:textId="77777777" w:rsidR="00A86569" w:rsidRPr="003C4195" w:rsidRDefault="00A86569" w:rsidP="00A86569">
      <w:pPr>
        <w:rPr>
          <w:rStyle w:val="StyleBoldUnderline"/>
          <w:szCs w:val="22"/>
        </w:rPr>
      </w:pPr>
    </w:p>
    <w:p w14:paraId="056CF01F" w14:textId="77777777" w:rsidR="00A86569" w:rsidRDefault="00A86569" w:rsidP="00A86569">
      <w:pPr>
        <w:pStyle w:val="Heading4"/>
      </w:pPr>
      <w:r>
        <w:t>The plan is not the beginning or end of the affirmative’s method of knowledge production—our models of ocean acidification initiate an open-ended collaboration between policymakers and scientists</w:t>
      </w:r>
    </w:p>
    <w:p w14:paraId="3F4483B8" w14:textId="77777777" w:rsidR="00A86569" w:rsidRPr="0072383A" w:rsidRDefault="00A86569" w:rsidP="00A86569">
      <w:pPr>
        <w:rPr>
          <w:b/>
          <w:bCs/>
          <w:sz w:val="26"/>
        </w:rPr>
      </w:pPr>
      <w:r>
        <w:rPr>
          <w:rStyle w:val="StyleStyleBold12pt"/>
        </w:rPr>
        <w:t xml:space="preserve">Evans et al., School of Biological and Chemical Sciences, Queen Mary University of London, 14 </w:t>
      </w:r>
      <w:r w:rsidRPr="00D37EC8">
        <w:t>(Matthew R. Evans, Mike Bithell Stephen J. Cornell, Sasha R. X. Dall, Sandra Díaz, Stephen Emmott, Bruno Ernande, Volker Grimm, David J. Hodgson, Simon L. Lewis, Georgina M. Mace, Michael Morecroft, Aristides Moustakas, Eugene Murphy, Tim Newbold, K. J. Norris, Owen Petchey, Matthew Smith, Justin M. J. Travis and Tim G. Benton, “Predictive Systems of Ecology”, 2014, Online: http://rspb.royalsocietypublishing.org/content/280/1771/20131452.full.html)</w:t>
      </w:r>
    </w:p>
    <w:p w14:paraId="427DF4FF" w14:textId="77777777" w:rsidR="00A86569" w:rsidRDefault="00A86569" w:rsidP="00A86569">
      <w:pPr>
        <w:rPr>
          <w:sz w:val="16"/>
        </w:rPr>
      </w:pPr>
      <w:r w:rsidRPr="006C006F">
        <w:rPr>
          <w:sz w:val="16"/>
        </w:rPr>
        <w:t xml:space="preserve">An integrated ecological systems approach was attempted in the 1960s [29,30], most notably in the International Biological Programme (IBP) [31]. </w:t>
      </w:r>
      <w:r w:rsidRPr="0001589D">
        <w:rPr>
          <w:rStyle w:val="StyleBoldUnderline"/>
        </w:rPr>
        <w:t xml:space="preserve">The systems ecology of the 1960s foundered </w:t>
      </w:r>
      <w:r w:rsidRPr="006C006F">
        <w:rPr>
          <w:sz w:val="16"/>
        </w:rPr>
        <w:t>on at least two grounds: practically—the computing power available in the 1960s was insufficient to run the necessary models; and philosophically—the approach attempted to measure as many parameters of a system as possible without using theory beyond its use as a tool</w:t>
      </w:r>
      <w:r w:rsidRPr="0001589D">
        <w:rPr>
          <w:rStyle w:val="StyleBoldUnderline"/>
        </w:rPr>
        <w:t xml:space="preserve"> </w:t>
      </w:r>
      <w:r w:rsidRPr="006C006F">
        <w:rPr>
          <w:sz w:val="16"/>
        </w:rPr>
        <w:t xml:space="preserve">for informing which function might best fit a given dataset [32,33]. </w:t>
      </w:r>
      <w:r w:rsidRPr="0001589D">
        <w:rPr>
          <w:rStyle w:val="StyleBoldUnderline"/>
        </w:rPr>
        <w:t>Our use of the term ‘systems ecology’</w:t>
      </w:r>
      <w:r w:rsidRPr="006C006F">
        <w:rPr>
          <w:sz w:val="16"/>
        </w:rPr>
        <w:t xml:space="preserve"> is distinct from the approach used in the IBP, </w:t>
      </w:r>
      <w:r w:rsidRPr="0001589D">
        <w:rPr>
          <w:rStyle w:val="StyleBoldUnderline"/>
        </w:rPr>
        <w:t>instead</w:t>
      </w:r>
      <w:r w:rsidRPr="006C006F">
        <w:rPr>
          <w:sz w:val="16"/>
        </w:rPr>
        <w:t xml:space="preserve"> it </w:t>
      </w:r>
      <w:r w:rsidRPr="0001589D">
        <w:rPr>
          <w:rStyle w:val="StyleBoldUnderline"/>
        </w:rPr>
        <w:t>is analogous to the approach used in climatology and in systems biology where process-based models are derived from observational and experimental data.</w:t>
      </w:r>
      <w:r w:rsidRPr="006C006F">
        <w:rPr>
          <w:sz w:val="16"/>
        </w:rPr>
        <w:t xml:space="preserve"> Recent </w:t>
      </w:r>
      <w:r w:rsidRPr="00CF4EBD">
        <w:rPr>
          <w:rStyle w:val="StyleBoldUnderline"/>
        </w:rPr>
        <w:t>technological advances are revolutionizing scientific research</w:t>
      </w:r>
      <w:r w:rsidRPr="006C006F">
        <w:rPr>
          <w:sz w:val="16"/>
        </w:rPr>
        <w:t xml:space="preserve">. </w:t>
      </w:r>
      <w:r w:rsidRPr="00CF4EBD">
        <w:rPr>
          <w:rStyle w:val="StyleBoldUnderline"/>
        </w:rPr>
        <w:t>New sensors allow us to collect data in novel ways</w:t>
      </w:r>
      <w:r w:rsidRPr="006C006F">
        <w:rPr>
          <w:sz w:val="16"/>
        </w:rPr>
        <w:t xml:space="preserve">: individuals can be tracked in the wild; ecosystem services or habitats can be mapped remotely. </w:t>
      </w:r>
      <w:r w:rsidRPr="00CF4EBD">
        <w:rPr>
          <w:rStyle w:val="StyleBoldUnderline"/>
        </w:rPr>
        <w:t xml:space="preserve">New informatics tools permit better data </w:t>
      </w:r>
      <w:r w:rsidRPr="006C006F">
        <w:rPr>
          <w:sz w:val="16"/>
        </w:rPr>
        <w:t xml:space="preserve">collation, analysis, inference and visualization. Formerly </w:t>
      </w:r>
      <w:r w:rsidRPr="00CF4EBD">
        <w:rPr>
          <w:rStyle w:val="StyleBoldUnderline"/>
        </w:rPr>
        <w:t>undreamed-of computing power is now ubiquitous</w:t>
      </w:r>
      <w:r w:rsidRPr="006C006F">
        <w:rPr>
          <w:sz w:val="16"/>
        </w:rPr>
        <w:t xml:space="preserve">. Additionally, </w:t>
      </w:r>
      <w:r w:rsidRPr="00CF4EBD">
        <w:rPr>
          <w:rStyle w:val="StyleBoldUnderline"/>
        </w:rPr>
        <w:t xml:space="preserve">there have been advances in </w:t>
      </w:r>
      <w:r w:rsidRPr="006C006F">
        <w:rPr>
          <w:sz w:val="16"/>
        </w:rPr>
        <w:t xml:space="preserve">theory: in evolutionary </w:t>
      </w:r>
      <w:r w:rsidRPr="00CF4EBD">
        <w:rPr>
          <w:rStyle w:val="StyleBoldUnderline"/>
        </w:rPr>
        <w:t>ecology</w:t>
      </w:r>
      <w:r w:rsidRPr="006C006F">
        <w:rPr>
          <w:sz w:val="16"/>
        </w:rPr>
        <w:t xml:space="preserve"> [34]; behavioural ecology [35]</w:t>
      </w:r>
      <w:proofErr w:type="gramStart"/>
      <w:r w:rsidRPr="006C006F">
        <w:rPr>
          <w:sz w:val="16"/>
        </w:rPr>
        <w:t>;</w:t>
      </w:r>
      <w:proofErr w:type="gramEnd"/>
      <w:r w:rsidRPr="006C006F">
        <w:rPr>
          <w:sz w:val="16"/>
        </w:rPr>
        <w:t xml:space="preserve"> </w:t>
      </w:r>
      <w:r w:rsidRPr="00CF4EBD">
        <w:rPr>
          <w:rStyle w:val="StyleBoldUnderline"/>
        </w:rPr>
        <w:t xml:space="preserve">and </w:t>
      </w:r>
      <w:r w:rsidRPr="006C006F">
        <w:rPr>
          <w:sz w:val="16"/>
        </w:rPr>
        <w:t xml:space="preserve">life-history </w:t>
      </w:r>
      <w:r w:rsidRPr="00CF4EBD">
        <w:rPr>
          <w:rStyle w:val="StyleBoldUnderline"/>
        </w:rPr>
        <w:t xml:space="preserve">evolution </w:t>
      </w:r>
      <w:r w:rsidRPr="006C006F">
        <w:rPr>
          <w:sz w:val="16"/>
        </w:rPr>
        <w:t xml:space="preserve">[36]. These disciplines, which emerged from the adaptationist paradigm [37] in the 1970s and 1980s, focused on providing explanations for individual behaviour derived from first principles and concerned with evolutionary function. </w:t>
      </w:r>
      <w:r w:rsidRPr="00CF4EBD">
        <w:rPr>
          <w:rStyle w:val="StyleBoldUnderline"/>
        </w:rPr>
        <w:t>These theories can provide explanations for why organisms act as they do</w:t>
      </w:r>
      <w:r w:rsidRPr="006C006F">
        <w:rPr>
          <w:sz w:val="16"/>
        </w:rPr>
        <w:t xml:space="preserve">. Recent work has provided rigorous explanations for why we would expect individual organisms to maximize relative fitness [38,39]. </w:t>
      </w:r>
      <w:r w:rsidRPr="00CF4EBD">
        <w:rPr>
          <w:rStyle w:val="StyleBoldUnderline"/>
        </w:rPr>
        <w:t>If we accept this</w:t>
      </w:r>
      <w:r w:rsidRPr="006C006F">
        <w:rPr>
          <w:sz w:val="16"/>
        </w:rPr>
        <w:t xml:space="preserve">, and if we have a good understanding of how to measure fitness [38], then </w:t>
      </w:r>
      <w:r w:rsidRPr="00CF4EBD">
        <w:rPr>
          <w:rStyle w:val="StyleBoldUnderline"/>
        </w:rPr>
        <w:t xml:space="preserve">we have a conceptual basis for modelling life-history decisions of organisms, even when we have sparse information about their biology and potentially even in conditions </w:t>
      </w:r>
      <w:r w:rsidRPr="006C006F">
        <w:rPr>
          <w:sz w:val="16"/>
        </w:rPr>
        <w:t xml:space="preserve">that we have not observed previously. For an example in which individual foraging decisions (behavioural ecology) were successfully used to predict food web complexity (community ecology), see [40]. Moreover, </w:t>
      </w:r>
      <w:r w:rsidRPr="00CF4EBD">
        <w:rPr>
          <w:rStyle w:val="StyleBoldUnderline"/>
        </w:rPr>
        <w:t>the development of</w:t>
      </w:r>
      <w:r w:rsidRPr="006C006F">
        <w:rPr>
          <w:sz w:val="16"/>
        </w:rPr>
        <w:t xml:space="preserve"> </w:t>
      </w:r>
      <w:r w:rsidRPr="00CF4EBD">
        <w:rPr>
          <w:rStyle w:val="StyleBoldUnderline"/>
        </w:rPr>
        <w:t xml:space="preserve">individual-based and spatially explicit modelling provides tools to model ecological systems that integrate the behaviour of individuals </w:t>
      </w:r>
      <w:r w:rsidRPr="006C006F">
        <w:rPr>
          <w:sz w:val="16"/>
        </w:rPr>
        <w:t>[41]</w:t>
      </w:r>
      <w:r w:rsidRPr="00CF4EBD">
        <w:rPr>
          <w:rStyle w:val="StyleBoldUnderline"/>
        </w:rPr>
        <w:t xml:space="preserve"> to their </w:t>
      </w:r>
      <w:r w:rsidRPr="006C006F">
        <w:rPr>
          <w:sz w:val="16"/>
        </w:rPr>
        <w:t>life</w:t>
      </w:r>
      <w:r w:rsidRPr="00CF4EBD">
        <w:rPr>
          <w:rStyle w:val="StyleBoldUnderline"/>
        </w:rPr>
        <w:t xml:space="preserve"> histories and allow phenomena at higher levels of organization</w:t>
      </w:r>
      <w:r w:rsidRPr="006C006F">
        <w:rPr>
          <w:sz w:val="16"/>
        </w:rPr>
        <w:t xml:space="preserve"> (populations, communities and ecosystems) </w:t>
      </w:r>
      <w:r w:rsidRPr="00CF4EBD">
        <w:rPr>
          <w:rStyle w:val="StyleBoldUnderline"/>
        </w:rPr>
        <w:t xml:space="preserve">to emerge from the interaction of processes at lower levels of </w:t>
      </w:r>
      <w:r w:rsidRPr="00F0715C">
        <w:rPr>
          <w:rStyle w:val="StyleBoldUnderline"/>
        </w:rPr>
        <w:t>organization</w:t>
      </w:r>
      <w:r w:rsidRPr="006C006F">
        <w:rPr>
          <w:sz w:val="16"/>
        </w:rPr>
        <w:t xml:space="preserve"> [7,10] and spatial extent [42]. </w:t>
      </w:r>
      <w:r w:rsidRPr="00CF4EBD">
        <w:rPr>
          <w:rStyle w:val="StyleBoldUnderline"/>
        </w:rPr>
        <w:t>We believe that the time has therefore come to develop ‘predictive systems ecology’ which we define here as ‘the integrated analysis of interactions and feedbacks across different components of biological and ecological organization and scale, and their relationships with their abiotic and biotic environments, to understand and predict the properties and behaviour of ecological systems’</w:t>
      </w:r>
      <w:r w:rsidRPr="006C006F">
        <w:rPr>
          <w:sz w:val="16"/>
        </w:rPr>
        <w:t xml:space="preserve">. </w:t>
      </w:r>
      <w:r w:rsidRPr="00CF4EBD">
        <w:rPr>
          <w:rStyle w:val="StyleBoldUnderline"/>
        </w:rPr>
        <w:t>The societal imperative of managing systems</w:t>
      </w:r>
      <w:r w:rsidRPr="006C006F">
        <w:rPr>
          <w:sz w:val="16"/>
        </w:rPr>
        <w:t xml:space="preserve"> under change </w:t>
      </w:r>
      <w:r w:rsidRPr="00CF4EBD">
        <w:rPr>
          <w:rStyle w:val="StyleBoldUnderline"/>
        </w:rPr>
        <w:t>should facilitate</w:t>
      </w:r>
      <w:r w:rsidRPr="006C006F">
        <w:rPr>
          <w:sz w:val="16"/>
        </w:rPr>
        <w:t xml:space="preserve"> the development of a </w:t>
      </w:r>
      <w:r w:rsidRPr="00CF4EBD">
        <w:rPr>
          <w:rStyle w:val="StyleBoldUnderline"/>
        </w:rPr>
        <w:t xml:space="preserve">fundamental scientific good: </w:t>
      </w:r>
      <w:r w:rsidRPr="006C006F">
        <w:rPr>
          <w:sz w:val="16"/>
        </w:rPr>
        <w:t>systems approaches</w:t>
      </w:r>
      <w:r w:rsidRPr="00CF4EBD">
        <w:rPr>
          <w:rStyle w:val="StyleBoldUnderline"/>
        </w:rPr>
        <w:t xml:space="preserve"> that lead to understanding</w:t>
      </w:r>
      <w:r w:rsidRPr="006C006F">
        <w:rPr>
          <w:sz w:val="16"/>
        </w:rPr>
        <w:t xml:space="preserve">. </w:t>
      </w:r>
      <w:r w:rsidRPr="00CF4EBD">
        <w:rPr>
          <w:rStyle w:val="StyleBoldUnderline"/>
        </w:rPr>
        <w:t>Prediction and understanding have often before been considered as separate modelling goals</w:t>
      </w:r>
      <w:r w:rsidRPr="006C006F">
        <w:rPr>
          <w:sz w:val="16"/>
        </w:rPr>
        <w:t xml:space="preserve"> within ecology: models are often typified as strategic (leading to understanding) or tactical (allowing prediction) [24,43,44]. However, </w:t>
      </w:r>
      <w:r w:rsidRPr="00CF4EBD">
        <w:rPr>
          <w:rStyle w:val="StyleBoldUnderline"/>
        </w:rPr>
        <w:t xml:space="preserve">we consider this a false and potentially damaging dichotomy. Process-based models can </w:t>
      </w:r>
      <w:r w:rsidRPr="006C006F">
        <w:rPr>
          <w:sz w:val="16"/>
        </w:rPr>
        <w:t>be developed with the dual aim of</w:t>
      </w:r>
      <w:r w:rsidRPr="00CF4EBD">
        <w:rPr>
          <w:rStyle w:val="StyleBoldUnderline"/>
        </w:rPr>
        <w:t xml:space="preserve"> improving </w:t>
      </w:r>
      <w:r w:rsidRPr="006C006F">
        <w:rPr>
          <w:sz w:val="16"/>
        </w:rPr>
        <w:t>both</w:t>
      </w:r>
      <w:r w:rsidRPr="00CF4EBD">
        <w:rPr>
          <w:rStyle w:val="StyleBoldUnderline"/>
        </w:rPr>
        <w:t xml:space="preserve"> mechanistic understanding and predictive capability</w:t>
      </w:r>
      <w:r w:rsidRPr="006C006F">
        <w:rPr>
          <w:sz w:val="16"/>
        </w:rPr>
        <w:t xml:space="preserve"> [45]. We will have the basis for understanding an ecological system if we can make predictions about its state in new conditions. Indeed, </w:t>
      </w:r>
      <w:r w:rsidRPr="00CF4EBD">
        <w:rPr>
          <w:rStyle w:val="StyleBoldUnderline"/>
        </w:rPr>
        <w:t>ecological theory will only be scientifically credible when its predictions can survive being comprehensively testing against the widest possible range of data.</w:t>
      </w:r>
      <w:r>
        <w:rPr>
          <w:rStyle w:val="StyleBoldUnderline"/>
        </w:rPr>
        <w:t xml:space="preserve"> </w:t>
      </w:r>
      <w:r w:rsidRPr="00CF4EBD">
        <w:rPr>
          <w:rStyle w:val="StyleBoldUnderline"/>
        </w:rPr>
        <w:t>The pace of change</w:t>
      </w:r>
      <w:r w:rsidRPr="006C006F">
        <w:rPr>
          <w:sz w:val="16"/>
        </w:rPr>
        <w:t>—in technology, in computing and in the environment—</w:t>
      </w:r>
      <w:r w:rsidRPr="00CF4EBD">
        <w:rPr>
          <w:rStyle w:val="StyleBoldUnderline"/>
        </w:rPr>
        <w:t>is enormous</w:t>
      </w:r>
      <w:r w:rsidRPr="006C006F">
        <w:rPr>
          <w:sz w:val="16"/>
        </w:rPr>
        <w:t xml:space="preserve">. This sets the scope of both the challenge and the potential of meeting it. This potential can arise from the bottom-up embracing of the requirement, and developing opportunities, for doing ecology in a new way, and it can be driven by top down social imperatives. </w:t>
      </w:r>
      <w:r w:rsidRPr="00CF4EBD">
        <w:rPr>
          <w:rStyle w:val="StyleBoldUnderline"/>
        </w:rPr>
        <w:t>Ecological system models have to embrace uncertainty</w:t>
      </w:r>
      <w:r w:rsidRPr="006C006F">
        <w:rPr>
          <w:sz w:val="16"/>
        </w:rPr>
        <w:t xml:space="preserve"> to an even greater extent than either climatology or molecular systems biology, because at the core of climatological models are well-understood physical equations, while in systems biology predictive ability is enhanced by the deterministic nature of chemical interactions between populations of molecules [27]. Systems ecology has to grapple with uncertainty </w:t>
      </w:r>
      <w:r w:rsidRPr="00CF4EBD">
        <w:rPr>
          <w:rStyle w:val="StyleBoldUnderline"/>
        </w:rPr>
        <w:t>as</w:t>
      </w:r>
      <w:r w:rsidRPr="006C006F">
        <w:rPr>
          <w:sz w:val="16"/>
        </w:rPr>
        <w:t xml:space="preserve">, for example, </w:t>
      </w:r>
      <w:r w:rsidRPr="00CF4EBD">
        <w:rPr>
          <w:rStyle w:val="StyleBoldUnderline"/>
        </w:rPr>
        <w:t>stochastic effects occur throughout ecological systems at all levels</w:t>
      </w:r>
      <w:r w:rsidRPr="006C006F">
        <w:rPr>
          <w:sz w:val="16"/>
        </w:rPr>
        <w:t xml:space="preserve"> [46]. The propagation of stochastic effects may mean that confidence intervals on projections will be large but realistic measures of our uncertainty, </w:t>
      </w:r>
      <w:r w:rsidRPr="00CF4EBD">
        <w:rPr>
          <w:rStyle w:val="StyleBoldUnderline"/>
        </w:rPr>
        <w:t xml:space="preserve">reflecting our ability to predict outcomes in the real world given our current state of knowledge </w:t>
      </w:r>
      <w:r w:rsidRPr="006C006F">
        <w:rPr>
          <w:sz w:val="16"/>
        </w:rPr>
        <w:t xml:space="preserve">[47]. </w:t>
      </w:r>
      <w:r w:rsidRPr="006C006F">
        <w:rPr>
          <w:rStyle w:val="StyleBoldUnderline"/>
        </w:rPr>
        <w:t>We will increasingly require ensembles of model runs with different</w:t>
      </w:r>
      <w:r w:rsidRPr="006C006F">
        <w:rPr>
          <w:sz w:val="16"/>
        </w:rPr>
        <w:t xml:space="preserve"> initial conditions, parameter sets, or even </w:t>
      </w:r>
      <w:r w:rsidRPr="006C006F">
        <w:rPr>
          <w:rStyle w:val="StyleBoldUnderline"/>
        </w:rPr>
        <w:t xml:space="preserve">processes </w:t>
      </w:r>
      <w:r w:rsidRPr="006C006F">
        <w:rPr>
          <w:sz w:val="16"/>
        </w:rPr>
        <w:t>(cf. [48</w:t>
      </w:r>
      <w:r w:rsidRPr="006C006F">
        <w:rPr>
          <w:rStyle w:val="StyleBoldUnderline"/>
        </w:rPr>
        <w:t>]) in order both to scope out</w:t>
      </w:r>
      <w:r w:rsidRPr="006C006F">
        <w:rPr>
          <w:sz w:val="16"/>
        </w:rPr>
        <w:t xml:space="preserve"> the variability of </w:t>
      </w:r>
      <w:r w:rsidRPr="006C006F">
        <w:rPr>
          <w:rStyle w:val="StyleBoldUnderline"/>
        </w:rPr>
        <w:t>outcomes, and</w:t>
      </w:r>
      <w:r w:rsidRPr="006C006F">
        <w:rPr>
          <w:sz w:val="16"/>
        </w:rPr>
        <w:t xml:space="preserve"> to quantify context-dependent </w:t>
      </w:r>
      <w:r w:rsidRPr="006C006F">
        <w:rPr>
          <w:rStyle w:val="StyleBoldUnderline"/>
        </w:rPr>
        <w:t>predictability</w:t>
      </w:r>
      <w:r w:rsidRPr="006C006F">
        <w:rPr>
          <w:sz w:val="16"/>
        </w:rPr>
        <w:t xml:space="preserve"> of future states. This approach is routinely followed in weather forecasting [49], and similar needs apply to ecological forecasting. The sources of </w:t>
      </w:r>
      <w:r w:rsidRPr="006C006F">
        <w:rPr>
          <w:rStyle w:val="StyleBoldUnderline"/>
        </w:rPr>
        <w:t>uncertainty in the modelling process need class</w:t>
      </w:r>
      <w:r w:rsidRPr="006C006F">
        <w:rPr>
          <w:sz w:val="16"/>
        </w:rPr>
        <w:t xml:space="preserve">ification [50–53]. At the very least, there are uncertainties in model parameters, in the specification of processes that are included, and in the datasets that inform the models; </w:t>
      </w:r>
      <w:r w:rsidRPr="006C006F">
        <w:rPr>
          <w:rStyle w:val="StyleBoldUnderline"/>
        </w:rPr>
        <w:t>there will be processes that we know to be operating in principle, but about which we lack enough knowledge, or data, to make sensible model specifications, and there will be real-world processes about which we are currently ignorant</w:t>
      </w:r>
      <w:r w:rsidRPr="006C006F">
        <w:rPr>
          <w:sz w:val="16"/>
        </w:rPr>
        <w:t xml:space="preserve">. Additionally, it can be unclear where to draw model boundaries, either spatially, or temporally, or in terms of what processes and categories of object should be included, and at what resolution and scale the model should be run. Examples would be: cohort-based models that produce different outputs from models that include all individuals in a population [54]; and patchiness and variability affecting productivity and ecological dynamics [55,56]. Finally, there may be causal uncertainty: in a complex system, the apparent proximal triggering of an event may not be the main dynamical reason for its occurrence. Indeed, there may be no one single factor that can be identified as leading to a given outcome. </w:t>
      </w:r>
      <w:r w:rsidRPr="006C006F">
        <w:rPr>
          <w:rStyle w:val="StyleBoldUnderline"/>
        </w:rPr>
        <w:t xml:space="preserve">Predictive systems ecology will need to find new ways of formalizing both the treatment of stochasticity and the communication of uncertainty </w:t>
      </w:r>
      <w:r w:rsidRPr="006C006F">
        <w:rPr>
          <w:sz w:val="16"/>
        </w:rPr>
        <w:t xml:space="preserve">[57]. </w:t>
      </w:r>
      <w:r w:rsidRPr="006C006F">
        <w:rPr>
          <w:rStyle w:val="StyleBoldUnderline"/>
        </w:rPr>
        <w:t>Predictive systems ecology</w:t>
      </w:r>
      <w:r w:rsidRPr="006C006F">
        <w:rPr>
          <w:sz w:val="16"/>
        </w:rPr>
        <w:t xml:space="preserve"> is ‘big science’. It </w:t>
      </w:r>
      <w:r w:rsidRPr="006C006F">
        <w:rPr>
          <w:rStyle w:val="StyleBoldUnderline"/>
        </w:rPr>
        <w:t>requires large amounts of data and complex models</w:t>
      </w:r>
      <w:r w:rsidRPr="006C006F">
        <w:rPr>
          <w:sz w:val="16"/>
        </w:rPr>
        <w:t xml:space="preserve">. To avoid the fate of classical systems ecology, </w:t>
      </w:r>
      <w:r w:rsidRPr="006C006F">
        <w:rPr>
          <w:rStyle w:val="StyleBoldUnderline"/>
        </w:rPr>
        <w:t>model complexity must be decided caref</w:t>
      </w:r>
      <w:r w:rsidRPr="006C006F">
        <w:rPr>
          <w:sz w:val="16"/>
        </w:rPr>
        <w:t xml:space="preserve">ully, </w:t>
      </w:r>
      <w:r w:rsidRPr="006C006F">
        <w:rPr>
          <w:rStyle w:val="StyleBoldUnderline"/>
        </w:rPr>
        <w:t>and standardized approaches</w:t>
      </w:r>
      <w:r w:rsidRPr="006C006F">
        <w:rPr>
          <w:sz w:val="16"/>
        </w:rPr>
        <w:t xml:space="preserve"> for describing individual organisms and their interactions </w:t>
      </w:r>
      <w:r w:rsidRPr="006C006F">
        <w:rPr>
          <w:rStyle w:val="StyleBoldUnderline"/>
        </w:rPr>
        <w:t>and model structure are required</w:t>
      </w:r>
      <w:r w:rsidRPr="006C006F">
        <w:rPr>
          <w:sz w:val="16"/>
        </w:rPr>
        <w:t xml:space="preserve">. Just as big data analysis requires advanced computational statistics, </w:t>
      </w:r>
      <w:r w:rsidRPr="006C006F">
        <w:rPr>
          <w:rStyle w:val="StyleBoldUnderline"/>
        </w:rPr>
        <w:t>predictive systems ecology will require models as complex as necessary to realistically represent ecosystems</w:t>
      </w:r>
      <w:r w:rsidRPr="006C006F">
        <w:rPr>
          <w:sz w:val="16"/>
        </w:rPr>
        <w:t xml:space="preserve">. In a complex system with multiple patterns, there may be trade-offs between agreement with different datasets or advantages in some cases to including particular processes that are not required for others. In such cases, a multi-model approach with replaceable components allows for different model purposes to be accommodated within an overarching scheme [58]. Exploring experimental model variants can provide the level of complexity merited by iteratively removing or adding components to the model and repeatedly comparing model robustness and sensitivity with data [59]. This </w:t>
      </w:r>
      <w:r w:rsidRPr="006C006F">
        <w:rPr>
          <w:rStyle w:val="StyleBoldUnderline"/>
        </w:rPr>
        <w:t>component-based approach would allow for suites of models to be developed with different targets in mind</w:t>
      </w:r>
      <w:r w:rsidRPr="006C006F">
        <w:rPr>
          <w:sz w:val="16"/>
        </w:rPr>
        <w:t xml:space="preserve"> that have different levels of internal complexity depending on the state of knowledge for particular subsystems, and is attractive from the software development point of view, as </w:t>
      </w:r>
      <w:r w:rsidRPr="006C006F">
        <w:rPr>
          <w:rStyle w:val="StyleBoldUnderline"/>
        </w:rPr>
        <w:t>it allows for flexibility in model development and implementation, so that different groups of specialists can develop their own component parts independently.</w:t>
      </w:r>
      <w:r w:rsidRPr="006C006F">
        <w:rPr>
          <w:sz w:val="16"/>
        </w:rPr>
        <w:t xml:space="preserve"> The computational burden of predictive systems ecological models is not to be underestimated, but the judicious use of mathematics can mitigate this by highlighting approximations that can replace some components of explicit simulation models. For example, it is more computationally expensive to model the motion of organisms by discrete steps than to use the diffusion equation, yet in some cases the latter may describe the behaviour equally faithfully [60]. Moreover, the diffusion equation is more parsimonious as it requires just one parameter (the diffusion constant) to be measured, whereas explicit simulation requires many details. In many cases, mathematical approximations work best in exactly the cases where simulation is most costly, e.g. when local density dependence is made up of contributions from many individuals [61]. By incorporating, at the right scale, appropriate analytical and semi-analytical submodels into simulation approaches, we can simulate more complex ecological systems and improve the power of our projections. The high levels of </w:t>
      </w:r>
      <w:r w:rsidRPr="006C006F">
        <w:rPr>
          <w:rStyle w:val="Emphasis"/>
        </w:rPr>
        <w:t>uncertainty and complexity</w:t>
      </w:r>
      <w:r w:rsidRPr="006C006F">
        <w:rPr>
          <w:sz w:val="16"/>
        </w:rPr>
        <w:t xml:space="preserve"> in ecological systems </w:t>
      </w:r>
      <w:r w:rsidRPr="006C006F">
        <w:rPr>
          <w:rStyle w:val="Emphasis"/>
        </w:rPr>
        <w:t xml:space="preserve">will be seen, by some, as a reason not to attempt progress. We suggest the opposite: </w:t>
      </w:r>
      <w:r w:rsidRPr="006C006F">
        <w:rPr>
          <w:rStyle w:val="StyleBoldUnderline"/>
        </w:rPr>
        <w:t>that these create interesting opportunities for the development of new theory</w:t>
      </w:r>
      <w:r w:rsidRPr="006C006F">
        <w:rPr>
          <w:rStyle w:val="Emphasis"/>
        </w:rPr>
        <w:t>—</w:t>
      </w:r>
      <w:r w:rsidRPr="006C006F">
        <w:rPr>
          <w:sz w:val="16"/>
        </w:rPr>
        <w:t>perhaps</w:t>
      </w:r>
      <w:r w:rsidRPr="006C006F">
        <w:rPr>
          <w:rStyle w:val="Emphasis"/>
        </w:rPr>
        <w:t xml:space="preserve"> furthering fruitful collaborations between ecologists, statisticians, mathematicians and computer scientists</w:t>
      </w:r>
      <w:r w:rsidRPr="006C006F">
        <w:rPr>
          <w:sz w:val="16"/>
        </w:rPr>
        <w:t xml:space="preserve">. We should also note that error does not necessarily multiply in process-based models of complex systems: there can be feedbacks and buffers that reduce the effects of variation, just as in real systems. Such </w:t>
      </w:r>
      <w:r w:rsidRPr="006C006F">
        <w:rPr>
          <w:rStyle w:val="StyleBoldUnderline"/>
        </w:rPr>
        <w:t>models would allow us to see effects that at present are not conspicuous.</w:t>
      </w:r>
      <w:r w:rsidRPr="006C006F">
        <w:rPr>
          <w:sz w:val="16"/>
        </w:rPr>
        <w:t xml:space="preserve"> </w:t>
      </w:r>
      <w:r w:rsidRPr="006C006F">
        <w:rPr>
          <w:rStyle w:val="StyleBoldUnderline"/>
        </w:rPr>
        <w:t xml:space="preserve">Complexity </w:t>
      </w:r>
      <w:r w:rsidRPr="006C006F">
        <w:rPr>
          <w:sz w:val="16"/>
        </w:rPr>
        <w:t xml:space="preserve">despite being inherent in understanding ecology as the product of its component </w:t>
      </w:r>
      <w:proofErr w:type="gramStart"/>
      <w:r w:rsidRPr="006C006F">
        <w:rPr>
          <w:sz w:val="16"/>
        </w:rPr>
        <w:t>parts,</w:t>
      </w:r>
      <w:proofErr w:type="gramEnd"/>
      <w:r w:rsidRPr="006C006F">
        <w:rPr>
          <w:sz w:val="16"/>
        </w:rPr>
        <w:t xml:space="preserve"> </w:t>
      </w:r>
      <w:r w:rsidRPr="006C006F">
        <w:rPr>
          <w:rStyle w:val="StyleBoldUnderline"/>
        </w:rPr>
        <w:t>often remains untackled while researchers focus on simplifying systems to make them more tractable</w:t>
      </w:r>
      <w:r w:rsidRPr="006C006F">
        <w:rPr>
          <w:sz w:val="16"/>
        </w:rPr>
        <w:t xml:space="preserve"> [62]. Greater emphasis on constraining models, with data, and on hypothesis testing within models will afford both more robust predictions to be made from models and better understanding of the processes that are likely to be operating within ecosystems. Models should be expected to generate projections at many different levels—both within the ecosystem and emerging from the system; these could and should be tested against data. Testing such patterns is a core concept of predictive systems ecology. </w:t>
      </w:r>
      <w:r w:rsidRPr="006C006F">
        <w:rPr>
          <w:rStyle w:val="StyleBoldUnderline"/>
        </w:rPr>
        <w:t>The very fact that we can observe patterns means that in ecology, despite of all the uncertainty, nonlinearity and stochasticity, there are recurrent phenomena, and there is something to be predicted</w:t>
      </w:r>
      <w:r w:rsidRPr="006C006F">
        <w:rPr>
          <w:sz w:val="16"/>
        </w:rPr>
        <w:t xml:space="preserve">. Models should be able to reproduce these observed patterns, both qualitatively and quantitatively [63]. Still we may have to accept that high process accuracy may not, in all cases, lead to high agreement between model and past observation [64], and that multiple process pathways can potentially give rise to similar output patterns, so that model selection may not be straightforward [65]. </w:t>
      </w:r>
      <w:r w:rsidRPr="006C006F">
        <w:rPr>
          <w:rStyle w:val="StyleBoldUnderline"/>
        </w:rPr>
        <w:t>Systems ecology will need to develop methods to deal with the availability of data—a significant advance could be made in ecology if more scientists working in the discipline adopted the habit of data sharing</w:t>
      </w:r>
      <w:r w:rsidRPr="006C006F">
        <w:rPr>
          <w:sz w:val="16"/>
        </w:rPr>
        <w:t xml:space="preserve"> (www.datadryad.org), and funders made free data access a condition for funding, as is the norm in some in other areas of science, and is being actively encouraged by funders in most countries. </w:t>
      </w:r>
      <w:r w:rsidRPr="006C006F">
        <w:rPr>
          <w:rStyle w:val="StyleBoldUnderline"/>
        </w:rPr>
        <w:t>Successful models will also suggest key gaps in data and hopefully inspire new and relevant observations and experiments</w:t>
      </w:r>
      <w:r w:rsidRPr="006C006F">
        <w:rPr>
          <w:sz w:val="16"/>
        </w:rPr>
        <w:t xml:space="preserve">. </w:t>
      </w:r>
      <w:r w:rsidRPr="000F3714">
        <w:rPr>
          <w:sz w:val="14"/>
          <w:szCs w:val="14"/>
        </w:rPr>
        <w:t xml:space="preserve">Common standards will be needed for both data and models, to make both more transparent and easily handled [66]. This has been done elsewhere: for example systems biology markup language facilitates model interoperability and sharing and the existence of publically funded data repositories makes data sharing relatively straightforward in molecular biology. 6. Systems ecology is already being practised Systems ecology approaches are already being applied in both terrestrial and marine systems. (a) Terrestrial vegetation models Terrestrial vegetation models have been developed, at least in part, to refine the terrestrial carbon cycle subroutines of general circulation models and the Earth System Models, and to improve the predictive ability of these models [67]. Models like SORTIE, FORMIND, PPA, PICUS and ED are capable of producing robust predictions of community structure in forest ecosystems over time [21–23,68–71]. In the main, this field has developed from a combination of ecophysiology and individual-based modelling, as well as data from established, long-term, forest inventory surveys, allowing model output to be tested against observations. The rationale for the development of these models has been to improve predictions of how ecosystems respond to changes in climate and, in particular, how these changes will feedback into and affect the global and regional climate [67]. The development of land process models has burgeoned, with each model incorporating the same fundamental processes to predict the same global phenomena, such as the dynamics of terrestrial carbon. Now, the focus is on why the different models make different predictions which are resulting in model-intercomparison [72–74], benchmarking models against standard datasets [75,76], model–data fusion [77,78], and characterizing the expected behaviour of the terrestrial carbon cycle [79]. The development of terrestrial vegetation models has benefited from the existence of, often rich, datasets collected by foresters in many parts of the world. These allow the growth, development and reproduction of trees to be well constrained by data and the increasing use of Bayesian methods to infer probability distributions for model parameters allows estimation of the likely error in both parameters and output (for a recent example, see [78]). Terrestrial vegetation models that are based on modelling the behaviour of individual trees (e.g. SORTIE and FORMIND) can be computationally demanding when extended over large areas and a solution to the problem of scaling these models up has been to move from individual-based to cohort-based models (e.g. ED is a cohort-based model). A version of ED parametrized with data from a Harvard Forest, MA, has been used to generate predictions of forest structure across a large area of the northeastern USA and southeastern Canada that are a good match to what is seen in forest inventories [71]. The solution to the inherent practical difficulty of scaling up to larger areas was to lose information about the behaviour and performance of individual trees. The main focus of terrestrial vegetation models is on primary producers and their relationship with the climate via the carbon cycle [67], effectively this relationship is at the core of the climate-regulating services provided by ecosystems. While some other ecosystem goods and services could be derived from terrestrial vegetation models—food, fibre and biofuels—the limited scope of these models means that estimates of most ecosystem services cannot be derived from them. The output from terrestrial vegetation models could be converted into estimates of primary production and thence to the abundance and distribution of resources that could then be used to model herbivore behaviour. The impact of herbivory would impact on the plants and could feedback into the vegetation model. There has been some consideration of the impact of herbivorous insects on tree mortality, growth and carbon capture in forest models [80,81]. Neither of these studies was concerned with estimating herbivore populations but could be modified to do so, taking forest models closer to models of ecosystems. </w:t>
      </w:r>
      <w:r>
        <w:rPr>
          <w:sz w:val="16"/>
        </w:rPr>
        <w:t xml:space="preserve">(b) Ocean ecosystem models </w:t>
      </w:r>
      <w:proofErr w:type="gramStart"/>
      <w:r w:rsidRPr="00A424C9">
        <w:rPr>
          <w:rStyle w:val="StyleBoldUnderline"/>
        </w:rPr>
        <w:t>A</w:t>
      </w:r>
      <w:proofErr w:type="gramEnd"/>
      <w:r w:rsidRPr="004B5542">
        <w:rPr>
          <w:sz w:val="16"/>
        </w:rPr>
        <w:t xml:space="preserve"> particular </w:t>
      </w:r>
      <w:r w:rsidRPr="00A424C9">
        <w:rPr>
          <w:rStyle w:val="StyleBoldUnderline"/>
        </w:rPr>
        <w:t>focus of ocean</w:t>
      </w:r>
      <w:r w:rsidRPr="004B5542">
        <w:rPr>
          <w:sz w:val="16"/>
        </w:rPr>
        <w:t xml:space="preserve"> ecosystem </w:t>
      </w:r>
      <w:r w:rsidRPr="00D16AD9">
        <w:rPr>
          <w:rStyle w:val="StyleBoldUnderline"/>
        </w:rPr>
        <w:t>mo</w:t>
      </w:r>
      <w:r w:rsidRPr="00A424C9">
        <w:rPr>
          <w:rStyle w:val="StyleBoldUnderline"/>
        </w:rPr>
        <w:t>delling has been on models of biogeochemical cycles</w:t>
      </w:r>
      <w:r w:rsidRPr="004B5542">
        <w:rPr>
          <w:sz w:val="16"/>
        </w:rPr>
        <w:t xml:space="preserve">, developed in conjunction with the ocean physics and chemistry modelling communities. </w:t>
      </w:r>
      <w:r w:rsidRPr="00A424C9">
        <w:rPr>
          <w:rStyle w:val="StyleBoldUnderline"/>
        </w:rPr>
        <w:t>These ocean ecosystem models are process-based, but the focus is on physical and chemical physiological processes</w:t>
      </w:r>
      <w:r w:rsidRPr="004B5542">
        <w:rPr>
          <w:sz w:val="16"/>
        </w:rPr>
        <w:t xml:space="preserve">. There are models of microbial systems in which organisms have been categorized on the basis of the different groups with different biogeochemical functions. Examples of such models include MEDUSA, that has relatively few components but is physiologically complicated [82], and PlankTOM10, which includes a wider range of functional types [83]. These models are being used to examine the role of these systems in global biogeochemistry, and especially carbon budgets. </w:t>
      </w:r>
      <w:r w:rsidRPr="00A424C9">
        <w:rPr>
          <w:rStyle w:val="StyleBoldUnderline"/>
        </w:rPr>
        <w:t>None of these marine models were designed to examine the ecological impact of environmental change or to act as a model of the ecosystem as a whole.</w:t>
      </w:r>
      <w:r w:rsidRPr="004B5542">
        <w:rPr>
          <w:sz w:val="16"/>
        </w:rPr>
        <w:t xml:space="preserve"> </w:t>
      </w:r>
      <w:r w:rsidRPr="004B5542">
        <w:rPr>
          <w:rStyle w:val="StyleBoldUnderline"/>
        </w:rPr>
        <w:t>Models have been developed to examine individual species in oceanic systems</w:t>
      </w:r>
      <w:r w:rsidRPr="004B5542">
        <w:rPr>
          <w:sz w:val="16"/>
        </w:rPr>
        <w:t xml:space="preserve">. These have developed over the last decade to be coupled with output from physical models to examine the interaction between biological processes (physiological, behavioural and demographic) and physical processes (e.g. ocean circulation and vertical structure [84–88]). In one global marine phytoplankton model, physiological traits were assigned randomly to generate different phytoplankton types. This model generated a realistic emergent community structure at a global scale [89]. A range of marine food web models have been developed to examine the impacts of change within ecosystems; including impacts of fisheries and climate change. </w:t>
      </w:r>
      <w:r w:rsidRPr="004B5542">
        <w:rPr>
          <w:rStyle w:val="StyleBoldUnderline"/>
        </w:rPr>
        <w:t>However, these make various simplifying assumptions to cope with the inherent complexity such as aggregating across trophic levels and averaging processes across spatial and temporal scales</w:t>
      </w:r>
      <w:r w:rsidRPr="004B5542">
        <w:rPr>
          <w:sz w:val="16"/>
        </w:rPr>
        <w:t xml:space="preserve"> (e.g. ECOPATH [90–92]). There have been other approaches to capture the broader structure of ecosystems, with a particular focus on development of </w:t>
      </w:r>
      <w:r w:rsidRPr="004B5542">
        <w:rPr>
          <w:rStyle w:val="StyleBoldUnderline"/>
        </w:rPr>
        <w:t>size-based models</w:t>
      </w:r>
      <w:r w:rsidRPr="004B5542">
        <w:rPr>
          <w:sz w:val="16"/>
        </w:rPr>
        <w:t xml:space="preserve"> (e.g. APECOSM [93,94]), which </w:t>
      </w:r>
      <w:r w:rsidRPr="004B5542">
        <w:rPr>
          <w:rStyle w:val="StyleBoldUnderline"/>
        </w:rPr>
        <w:t>again make simplifying assumptions to cope with the complexity of having many different species.</w:t>
      </w:r>
      <w:r w:rsidRPr="004B5542">
        <w:rPr>
          <w:sz w:val="16"/>
        </w:rPr>
        <w:t xml:space="preserve"> However</w:t>
      </w:r>
      <w:r w:rsidRPr="004B5542">
        <w:rPr>
          <w:rStyle w:val="StyleBoldUnderline"/>
        </w:rPr>
        <w:t>, the importance of cross scale interactions and feedback processes is now being recognized</w:t>
      </w:r>
      <w:r w:rsidRPr="004B5542">
        <w:rPr>
          <w:sz w:val="16"/>
        </w:rPr>
        <w:t xml:space="preserve">: for example, plankton and fish populations are affected by the biogeochemical and physical systems dynamics and large zooplankton species may influence biogeochemical cycles [95]. The challenge of generating climate change projections has led to the development of systems level concepts that in the marine community have been termed ‘end-to-end’ approaches [96]. </w:t>
      </w:r>
      <w:r w:rsidRPr="004B5542">
        <w:rPr>
          <w:rStyle w:val="StyleBoldUnderline"/>
        </w:rPr>
        <w:t>This includes the development of methods for linking together different types of models such as biogeochemical, population and food web models</w:t>
      </w:r>
      <w:r w:rsidRPr="004B5542">
        <w:rPr>
          <w:sz w:val="16"/>
        </w:rPr>
        <w:t xml:space="preserve"> [97]. A key aspect of this work is to link to human activities, focusing mainly on fisheries activities, and a range of models of food webs and fisheries are being linked to biogeochemical and physical models [98,99]. Some key features of ocean ecosystem models are that they frequently operate at large scales (sometimes a global scale) and that they integrate the physical environment into models more extensively than is typical for terrestrial models. </w:t>
      </w:r>
      <w:r w:rsidRPr="004B5542">
        <w:rPr>
          <w:rStyle w:val="Emphasis"/>
        </w:rPr>
        <w:t>The low availability of datasets for many parts of the world's oceans can limit the ability to constrain these models with data</w:t>
      </w:r>
      <w:r w:rsidRPr="004B5542">
        <w:rPr>
          <w:sz w:val="16"/>
        </w:rPr>
        <w:t xml:space="preserve"> (for a discussion of this issue in the Southern Ocean, see [97]).</w:t>
      </w:r>
    </w:p>
    <w:p w14:paraId="752CBB97" w14:textId="77777777" w:rsidR="00A86569" w:rsidRPr="00B9723C" w:rsidRDefault="00A86569" w:rsidP="00A86569"/>
    <w:p w14:paraId="502591B5" w14:textId="77777777" w:rsidR="00A86569" w:rsidRDefault="00A86569" w:rsidP="00A86569">
      <w:pPr>
        <w:pStyle w:val="Heading4"/>
      </w:pPr>
      <w:r w:rsidRPr="004F5FBC">
        <w:rPr>
          <w:u w:val="single"/>
        </w:rPr>
        <w:t>Contention Three:</w:t>
      </w:r>
      <w:r>
        <w:t xml:space="preserve"> Bruno’s Laboratory</w:t>
      </w:r>
    </w:p>
    <w:p w14:paraId="4C539E5A" w14:textId="77777777" w:rsidR="00A86569" w:rsidRDefault="00A86569" w:rsidP="00A86569">
      <w:pPr>
        <w:pStyle w:val="Heading4"/>
      </w:pPr>
      <w:r>
        <w:t>Framing climate change as a global matter of concern solves- key to break away from policy solely dependent on scientific data</w:t>
      </w:r>
    </w:p>
    <w:p w14:paraId="3EEEB51E" w14:textId="77777777" w:rsidR="00A86569" w:rsidRPr="00344B8B" w:rsidRDefault="00A86569" w:rsidP="00A86569">
      <w:pPr>
        <w:rPr>
          <w:rStyle w:val="StyleStyleBold12pt"/>
        </w:rPr>
      </w:pPr>
      <w:r w:rsidRPr="00344B8B">
        <w:rPr>
          <w:rStyle w:val="StyleStyleBold12pt"/>
        </w:rPr>
        <w:t>Demeritt, Professor at King’s College London</w:t>
      </w:r>
      <w:r>
        <w:rPr>
          <w:rStyle w:val="StyleStyleBold12pt"/>
        </w:rPr>
        <w:t>,</w:t>
      </w:r>
      <w:r w:rsidRPr="00344B8B">
        <w:rPr>
          <w:rStyle w:val="StyleStyleBold12pt"/>
        </w:rPr>
        <w:t xml:space="preserve"> 2006</w:t>
      </w:r>
    </w:p>
    <w:p w14:paraId="66A7123E" w14:textId="77777777" w:rsidR="00A86569" w:rsidRPr="00344B8B" w:rsidRDefault="00A86569" w:rsidP="00A86569">
      <w:pPr>
        <w:rPr>
          <w:sz w:val="16"/>
          <w:szCs w:val="16"/>
        </w:rPr>
      </w:pPr>
      <w:r w:rsidRPr="00344B8B">
        <w:rPr>
          <w:sz w:val="16"/>
          <w:szCs w:val="16"/>
        </w:rPr>
        <w:t xml:space="preserve">(David Demeritt, University of British Columbia, University of Maine, Professor of Geography specializing in social theory and the </w:t>
      </w:r>
      <w:proofErr w:type="gramStart"/>
      <w:r w:rsidRPr="00344B8B">
        <w:rPr>
          <w:sz w:val="16"/>
          <w:szCs w:val="16"/>
        </w:rPr>
        <w:t>environment ,Economy</w:t>
      </w:r>
      <w:proofErr w:type="gramEnd"/>
      <w:r w:rsidRPr="00344B8B">
        <w:rPr>
          <w:sz w:val="16"/>
          <w:szCs w:val="16"/>
        </w:rPr>
        <w:t xml:space="preserve"> and Society Volume 35 Number 3 August 2006, “Science studies, climate change and the prospects for co</w:t>
      </w:r>
      <w:r>
        <w:rPr>
          <w:sz w:val="16"/>
          <w:szCs w:val="16"/>
        </w:rPr>
        <w:t>nstructivist critique”, pdf)</w:t>
      </w:r>
    </w:p>
    <w:p w14:paraId="3273C644" w14:textId="77777777" w:rsidR="00A86569" w:rsidRPr="003C4195" w:rsidRDefault="00A86569" w:rsidP="00A86569">
      <w:pPr>
        <w:rPr>
          <w:rStyle w:val="StyleBoldUnderline"/>
          <w:szCs w:val="22"/>
        </w:rPr>
      </w:pPr>
      <w:r w:rsidRPr="003C4195">
        <w:rPr>
          <w:rStyle w:val="StyleBoldUnderline"/>
          <w:szCs w:val="22"/>
        </w:rPr>
        <w:t>Does it follow then, that the old modernist constitution and its attendant distinctions between science and politics were entirely illusory? That is certainly one way to read the proliferation of constructionist science studies</w:t>
      </w:r>
      <w:r w:rsidRPr="00E54F64">
        <w:rPr>
          <w:sz w:val="16"/>
        </w:rPr>
        <w:t xml:space="preserve">. But, before repealing the old constitution, </w:t>
      </w:r>
      <w:r w:rsidRPr="003C4195">
        <w:rPr>
          <w:rStyle w:val="StyleBoldUnderline"/>
          <w:szCs w:val="22"/>
        </w:rPr>
        <w:t xml:space="preserve">we might reflect on why, if our science and politics actually involve a good deal of </w:t>
      </w:r>
      <w:proofErr w:type="gramStart"/>
      <w:r w:rsidRPr="003C4195">
        <w:rPr>
          <w:rStyle w:val="StyleBoldUnderline"/>
          <w:szCs w:val="22"/>
        </w:rPr>
        <w:t>often unacknowledged</w:t>
      </w:r>
      <w:proofErr w:type="gramEnd"/>
      <w:r w:rsidRPr="003C4195">
        <w:rPr>
          <w:rStyle w:val="StyleBoldUnderline"/>
          <w:szCs w:val="22"/>
        </w:rPr>
        <w:t xml:space="preserve"> promiscuity, we continue to invest so much in its norms of due process.</w:t>
      </w:r>
      <w:r w:rsidRPr="00E54F64">
        <w:rPr>
          <w:sz w:val="16"/>
        </w:rPr>
        <w:t xml:space="preserve"> </w:t>
      </w:r>
      <w:r w:rsidRPr="003C4195">
        <w:rPr>
          <w:rStyle w:val="StyleBoldUnderline"/>
          <w:szCs w:val="22"/>
        </w:rPr>
        <w:t>The traditional rationale is epistemic</w:t>
      </w:r>
      <w:r w:rsidRPr="00E54F64">
        <w:rPr>
          <w:sz w:val="16"/>
        </w:rPr>
        <w:t xml:space="preserve">. </w:t>
      </w:r>
      <w:r w:rsidRPr="003C4195">
        <w:rPr>
          <w:rStyle w:val="StyleBoldUnderline"/>
          <w:szCs w:val="22"/>
        </w:rPr>
        <w:t>Minimizing the influence of politics and values over questions of scientific fact is said to promise more truthful and accurate answers.</w:t>
      </w:r>
      <w:r w:rsidRPr="00E54F64">
        <w:rPr>
          <w:sz w:val="16"/>
        </w:rPr>
        <w:t xml:space="preserve"> Thus environmentalists have sought to cast the climate sceptics as ‘pseudo-scientists’ in hock to special interests. They note, for instance, that, for the most part, the sceptics’ claims have not been peer reviewed, or, if they have, not by widely recognized journals, and thus do not conform to the norms of good science. Tellingly about the only thing that has remained constant over the years about the sceptics’ various counterclaims (McCright and Dunlap 2000</w:t>
      </w:r>
      <w:proofErr w:type="gramStart"/>
      <w:r w:rsidRPr="00E54F64">
        <w:rPr>
          <w:sz w:val="16"/>
        </w:rPr>
        <w:t>)  first</w:t>
      </w:r>
      <w:proofErr w:type="gramEnd"/>
      <w:r w:rsidRPr="00E54F64">
        <w:rPr>
          <w:sz w:val="16"/>
        </w:rPr>
        <w:t xml:space="preserve"> that the climate is not changing, then that changes were only minor and caused by natural variability, and now that those changes will be of little consequence or even beneficial  is the steady stream of fossil fuel money seeking to amplify them in the public sphere (Gelbspan 2004; Mooney 2005). Collins and Evans fear that constructionist science studies provide no grounds for dismissing such lies for what they are: For example </w:t>
      </w:r>
      <w:r w:rsidRPr="003C4195">
        <w:rPr>
          <w:rStyle w:val="StyleBoldUnderline"/>
          <w:szCs w:val="22"/>
        </w:rPr>
        <w:t>do we never want to say that the tobacco industry has for years falsified the implications of epidemiological studies out of a concern for selling more cigarettes</w:t>
      </w:r>
      <w:r w:rsidRPr="00E54F64">
        <w:rPr>
          <w:sz w:val="16"/>
        </w:rPr>
        <w:t xml:space="preserve">? </w:t>
      </w:r>
      <w:r w:rsidRPr="003C4195">
        <w:rPr>
          <w:rStyle w:val="StyleBoldUnderline"/>
          <w:szCs w:val="22"/>
        </w:rPr>
        <w:t>Do we want to say</w:t>
      </w:r>
      <w:r w:rsidRPr="00E54F64">
        <w:rPr>
          <w:sz w:val="16"/>
        </w:rPr>
        <w:t xml:space="preserve">, rather, </w:t>
      </w:r>
      <w:r w:rsidRPr="003C4195">
        <w:rPr>
          <w:rStyle w:val="StyleBoldUnderline"/>
          <w:szCs w:val="22"/>
        </w:rPr>
        <w:t>that this was just the tobacco industry’s point of view and that the only fight there is to be had with them is a political fight, not a scientific fight?</w:t>
      </w:r>
      <w:r w:rsidRPr="00E54F64">
        <w:rPr>
          <w:sz w:val="16"/>
        </w:rPr>
        <w:t xml:space="preserve"> (Collins and Evans 2002: 280) But, </w:t>
      </w:r>
      <w:r w:rsidRPr="003C4195">
        <w:rPr>
          <w:rStyle w:val="StyleBoldUnderline"/>
          <w:szCs w:val="22"/>
        </w:rPr>
        <w:t>in calling for a more precise demarcation of experts from non-experts to solve the problem of extension</w:t>
      </w:r>
      <w:r w:rsidRPr="00E54F64">
        <w:rPr>
          <w:sz w:val="16"/>
        </w:rPr>
        <w:t xml:space="preserve">, Collins and Evans </w:t>
      </w:r>
      <w:r w:rsidRPr="00C52454">
        <w:rPr>
          <w:rStyle w:val="StyleBoldUnderline"/>
        </w:rPr>
        <w:t>discount the degree to which this</w:t>
      </w:r>
      <w:r w:rsidRPr="003C4195">
        <w:rPr>
          <w:rStyle w:val="StyleBoldUnderline"/>
          <w:szCs w:val="22"/>
        </w:rPr>
        <w:t xml:space="preserve"> is also a political problem</w:t>
      </w:r>
      <w:r w:rsidRPr="00E54F64">
        <w:rPr>
          <w:sz w:val="16"/>
        </w:rPr>
        <w:t xml:space="preserve"> rather than a strictly epistemological one about how to provide authoritative answers to questions of scientific fact relevant to ‘[</w:t>
      </w:r>
      <w:proofErr w:type="gramStart"/>
      <w:r w:rsidRPr="00E54F64">
        <w:rPr>
          <w:sz w:val="16"/>
        </w:rPr>
        <w:t>t]echnical</w:t>
      </w:r>
      <w:proofErr w:type="gramEnd"/>
      <w:r w:rsidRPr="00E54F64">
        <w:rPr>
          <w:sz w:val="16"/>
        </w:rPr>
        <w:t xml:space="preserve"> decision-making in the public realm’ (2002: 235). One reason that science is so often in the firing line in environmental politics is that all too often policy decisions are legitimated in purely technical terms, leaving opponents with only scientific grounds for contesting policies that they oppose for other reasons. </w:t>
      </w:r>
      <w:r w:rsidRPr="003C4195">
        <w:rPr>
          <w:rStyle w:val="StyleBoldUnderline"/>
          <w:szCs w:val="22"/>
        </w:rPr>
        <w:t>When politicians</w:t>
      </w:r>
      <w:r w:rsidRPr="00E54F64">
        <w:rPr>
          <w:sz w:val="16"/>
        </w:rPr>
        <w:t xml:space="preserve">, such as David Cameron (2005), the newly anointed leader of the British Conservative Party, </w:t>
      </w:r>
      <w:r w:rsidRPr="003C4195">
        <w:rPr>
          <w:rStyle w:val="StyleBoldUnderline"/>
          <w:szCs w:val="22"/>
        </w:rPr>
        <w:t>look to science ‘to take the politics out of ’ environmental policy deliberations so as to ‘constrain future</w:t>
      </w:r>
      <w:r w:rsidRPr="00E54F64">
        <w:rPr>
          <w:sz w:val="16"/>
        </w:rPr>
        <w:t xml:space="preserve"> David Demeritt: Science studies, climate change 473governments in the face of the natural tendency to put short-term electoral considerations above the long-term interests of the country and the planet’, they are actually encouraging this very extension of debate over the scientific soundness of policy by forestalling the kind of open deliberation necessary to forge consensus about those long-term interests and thus about environmental policy. There is still an important place for science in those debates, to be sure, but it is hardly the last or only word. </w:t>
      </w:r>
      <w:r w:rsidRPr="003C4195">
        <w:rPr>
          <w:rStyle w:val="StyleBoldUnderline"/>
          <w:szCs w:val="22"/>
        </w:rPr>
        <w:t>The case of climate change shows the difficulties of distinguishing strictly scientific questions for experts alone to decide from associated value-laden and often politicized matters of concern for the lay public to debate. Upholding such a strict quarantine between political and scientific questions may insulate scientific judgements</w:t>
      </w:r>
      <w:r w:rsidRPr="00E54F64">
        <w:rPr>
          <w:sz w:val="16"/>
        </w:rPr>
        <w:t xml:space="preserve"> about the hockey-stick temperature reconstruction from unwelcome partisan political interference, but it has also made the scientific research of the USGCRP increasingly irrelevant to the important challenges we will face in </w:t>
      </w:r>
      <w:r w:rsidRPr="003C4195">
        <w:rPr>
          <w:rStyle w:val="StyleBoldUnderline"/>
          <w:szCs w:val="22"/>
        </w:rPr>
        <w:t>mitigating climate change and adapting to its effects, while at the same time discouraging openness about the contestable social assumptions and political effects of the orthodox scientific framing of climate change as a universal and global-scale matter of concern</w:t>
      </w:r>
      <w:r w:rsidRPr="00E54F64">
        <w:rPr>
          <w:sz w:val="16"/>
        </w:rPr>
        <w:t xml:space="preserve">. In pointing to those inevitable partialities, my aim has not been to denounce climate science because its framing is socially contingent, but in the reflexive spirit of Beck and Latour to explore the wider effects of its construction and political deployment. Despite blurring the traditional demarcations between science and politics defended so fiercely by Collins and Evans (2002), thevarious constitutional arrangements proposed by Beck1, Beck2, and </w:t>
      </w:r>
      <w:r w:rsidRPr="003C4195">
        <w:rPr>
          <w:rStyle w:val="StyleBoldUnderline"/>
          <w:szCs w:val="22"/>
        </w:rPr>
        <w:t xml:space="preserve">Latour still provide a basis for denouncing the climate sceptics for failing to observe the norms Merton </w:t>
      </w:r>
      <w:r w:rsidRPr="00E54F64">
        <w:rPr>
          <w:sz w:val="16"/>
        </w:rPr>
        <w:t xml:space="preserve">(1973) </w:t>
      </w:r>
      <w:r w:rsidRPr="003C4195">
        <w:rPr>
          <w:rStyle w:val="StyleBoldUnderline"/>
          <w:szCs w:val="22"/>
        </w:rPr>
        <w:t>famously associated with science. But the reason for observing those norms of due process is no longer the strictly epistemic one of guaranteeing the truth of our claims.</w:t>
      </w:r>
      <w:r w:rsidRPr="00E54F64">
        <w:rPr>
          <w:sz w:val="16"/>
        </w:rPr>
        <w:t xml:space="preserve"> Rather, </w:t>
      </w:r>
      <w:r w:rsidRPr="00C52454">
        <w:rPr>
          <w:b/>
          <w:szCs w:val="22"/>
          <w:u w:val="single"/>
        </w:rPr>
        <w:t>o</w:t>
      </w:r>
      <w:r w:rsidRPr="00C52454">
        <w:rPr>
          <w:rStyle w:val="StyleBoldUnderline"/>
          <w:szCs w:val="22"/>
        </w:rPr>
        <w:t>nce</w:t>
      </w:r>
      <w:r w:rsidRPr="003C4195">
        <w:rPr>
          <w:rStyle w:val="StyleBoldUnderline"/>
          <w:szCs w:val="22"/>
        </w:rPr>
        <w:t xml:space="preserve"> we acknowledge that the ‘the operative question is how to distinguish between good constructions and bad’</w:t>
      </w:r>
      <w:r w:rsidRPr="00E54F64">
        <w:rPr>
          <w:sz w:val="16"/>
        </w:rPr>
        <w:t xml:space="preserve"> (Latour 2004b: 459), </w:t>
      </w:r>
      <w:r w:rsidRPr="003C4195">
        <w:rPr>
          <w:rStyle w:val="StyleBoldUnderline"/>
          <w:szCs w:val="22"/>
        </w:rPr>
        <w:t xml:space="preserve">it becomes possible to recognize that the commitment to reasonableness, honesty, and open deliberation is as important for our politics as for our science. </w:t>
      </w:r>
      <w:r w:rsidRPr="00E54F64">
        <w:rPr>
          <w:sz w:val="16"/>
        </w:rPr>
        <w:t xml:space="preserve">The two, of course, are closely intertwined, as historians of liberal democracy have noted (e.g. Ezrahi 1990; Shapin and Schaffer 1985). </w:t>
      </w:r>
      <w:r w:rsidRPr="003C4195">
        <w:rPr>
          <w:rStyle w:val="StyleBoldUnderline"/>
          <w:szCs w:val="22"/>
        </w:rPr>
        <w:t>To the extent that they seek to hide the reasons for their political opposition to the Kyoto Protocol and other measures to reduce the GHG</w:t>
      </w:r>
      <w:r w:rsidRPr="00E54F64">
        <w:rPr>
          <w:sz w:val="16"/>
        </w:rPr>
        <w:t xml:space="preserve"> emissions of the United States behind a veil of technical objections to climate change science, </w:t>
      </w:r>
      <w:r w:rsidRPr="003C4195">
        <w:rPr>
          <w:rStyle w:val="StyleBoldUnderline"/>
          <w:szCs w:val="22"/>
        </w:rPr>
        <w:t>the sceptics can be condemned as much for engaging in bad politics as in bad science.</w:t>
      </w:r>
    </w:p>
    <w:p w14:paraId="1E89EE34" w14:textId="77777777" w:rsidR="00A86569" w:rsidRPr="0007155A" w:rsidRDefault="00A86569" w:rsidP="00A86569">
      <w:pPr>
        <w:pStyle w:val="Heading4"/>
      </w:pPr>
      <w:r>
        <w:t>There is no outside to human activity—the laboratory extends beyond the site of experimentation into spaces of political deliberation—this debate is a hybrid forum over ocean policy and climate change</w:t>
      </w:r>
    </w:p>
    <w:p w14:paraId="2C841004" w14:textId="77777777" w:rsidR="00A86569" w:rsidRDefault="00A86569" w:rsidP="00A86569">
      <w:pPr>
        <w:rPr>
          <w:rStyle w:val="StyleStyleBold12pt"/>
        </w:rPr>
      </w:pPr>
    </w:p>
    <w:p w14:paraId="61673C19" w14:textId="77777777" w:rsidR="00A86569" w:rsidRPr="00423139" w:rsidRDefault="00A86569" w:rsidP="00A86569">
      <w:pPr>
        <w:rPr>
          <w:rStyle w:val="StyleStyleBold12pt"/>
        </w:rPr>
      </w:pPr>
      <w:r w:rsidRPr="00423139">
        <w:rPr>
          <w:rStyle w:val="StyleStyleBold12pt"/>
        </w:rPr>
        <w:t>Latour 2003</w:t>
      </w:r>
    </w:p>
    <w:p w14:paraId="50797255" w14:textId="77777777" w:rsidR="00A86569" w:rsidRPr="00423139" w:rsidRDefault="00A86569" w:rsidP="00A86569">
      <w:pPr>
        <w:rPr>
          <w:sz w:val="16"/>
          <w:szCs w:val="16"/>
        </w:rPr>
      </w:pPr>
      <w:r w:rsidRPr="00423139">
        <w:rPr>
          <w:sz w:val="16"/>
          <w:szCs w:val="16"/>
        </w:rPr>
        <w:t>(Bruno, a French sociologist of science and anthropologist. He is especially known for his work in the field of Science and Technology Studies, “A</w:t>
      </w:r>
      <w:r>
        <w:rPr>
          <w:sz w:val="16"/>
          <w:szCs w:val="16"/>
        </w:rPr>
        <w:t>tmosphere, Atmosphere”, pdf)</w:t>
      </w:r>
    </w:p>
    <w:p w14:paraId="5E240C41" w14:textId="77777777" w:rsidR="00A86569" w:rsidRDefault="00A86569" w:rsidP="00A86569">
      <w:pPr>
        <w:rPr>
          <w:sz w:val="16"/>
        </w:rPr>
      </w:pPr>
      <w:r w:rsidRPr="00C323EB">
        <w:rPr>
          <w:sz w:val="16"/>
        </w:rPr>
        <w:t xml:space="preserve">That </w:t>
      </w:r>
      <w:r w:rsidRPr="003C4195">
        <w:rPr>
          <w:rStyle w:val="StyleBoldUnderline"/>
          <w:szCs w:val="22"/>
        </w:rPr>
        <w:t>we are all engaged into a set of collective experiments that have spilled over the strict confines of the laboratories</w:t>
      </w:r>
      <w:r w:rsidRPr="00C323EB">
        <w:rPr>
          <w:sz w:val="16"/>
        </w:rPr>
        <w:t xml:space="preserve"> does not need more proof than the reading of the newspapers or the watching of the night TV news. This year, it is the SARS </w:t>
      </w:r>
      <w:proofErr w:type="gramStart"/>
      <w:r w:rsidRPr="00C323EB">
        <w:rPr>
          <w:sz w:val="16"/>
        </w:rPr>
        <w:t>epidemy which</w:t>
      </w:r>
      <w:proofErr w:type="gramEnd"/>
      <w:r w:rsidRPr="00C323EB">
        <w:rPr>
          <w:sz w:val="16"/>
        </w:rPr>
        <w:t xml:space="preserve"> traces commercial, social, legal, medical relations all over the world. Last year, in Spain, thousand of volunteers and specialists were trying to fight against yet another oil spill from the ‘Prestige’s sunken hull. Two years ago, </w:t>
      </w:r>
      <w:r w:rsidRPr="003C4195">
        <w:rPr>
          <w:rStyle w:val="StyleBoldUnderline"/>
          <w:szCs w:val="22"/>
        </w:rPr>
        <w:t xml:space="preserve">thousand of officials, policemen, veterinarians, farmers, custom officers, firemen, were fighting all over Europe against the foot and mouth virus that was devastating so much of the British countryside. </w:t>
      </w:r>
      <w:r w:rsidRPr="00C323EB">
        <w:rPr>
          <w:sz w:val="16"/>
        </w:rPr>
        <w:t xml:space="preserve">Those examples remain as good as any. Nothing new in this, of course, since public health has been invented two centuries ago to prevent the spread of infectious diseases through quarantine and, later, disinfection and vaccination. </w:t>
      </w:r>
      <w:r w:rsidRPr="003C4195">
        <w:rPr>
          <w:rStyle w:val="StyleBoldUnderline"/>
          <w:szCs w:val="22"/>
        </w:rPr>
        <w:t>In all those crises, we found ourselves entangled in the unwanted consequences of decisions to experiment, at a very large scale on how to experiment on food production in China, oil transport in Europe, non-vaccinated livestock in Great.</w:t>
      </w:r>
      <w:r w:rsidRPr="00C323EB">
        <w:rPr>
          <w:sz w:val="16"/>
        </w:rPr>
        <w:t xml:space="preserve"> Nice cases for what Ulrich Beck has called «</w:t>
      </w:r>
      <w:proofErr w:type="gramStart"/>
      <w:r w:rsidRPr="00C323EB">
        <w:rPr>
          <w:sz w:val="16"/>
        </w:rPr>
        <w:t>!manufactured</w:t>
      </w:r>
      <w:proofErr w:type="gramEnd"/>
      <w:r w:rsidRPr="00C323EB">
        <w:rPr>
          <w:sz w:val="16"/>
        </w:rPr>
        <w:t xml:space="preserve"> risks!». By mentioning this case, I am not being indignant</w:t>
      </w:r>
      <w:proofErr w:type="gramStart"/>
      <w:r w:rsidRPr="00C323EB">
        <w:rPr>
          <w:sz w:val="16"/>
        </w:rPr>
        <w:t>!;</w:t>
      </w:r>
      <w:proofErr w:type="gramEnd"/>
      <w:r w:rsidRPr="00C323EB">
        <w:rPr>
          <w:sz w:val="16"/>
        </w:rPr>
        <w:t xml:space="preserve"> </w:t>
      </w:r>
      <w:r w:rsidRPr="003C4195">
        <w:rPr>
          <w:rStyle w:val="StyleBoldUnderline"/>
          <w:szCs w:val="22"/>
        </w:rPr>
        <w:t>I am not claiming that ‘naturally’ we ‘should’ have vaccinated livestock, stopped single hull oil tankers and checked wild life food in China; I am not saying it is a scandal because economic interests had taken precedence over public health and farmers’ welfare. My point is different: a collective experiment had been tried out where farmers, consumers, cows, sheep, pigs, veterinarians, virologists had been engaged together. The question then is the following: has it been a well or a badly designed experiment?</w:t>
      </w:r>
      <w:r w:rsidRPr="00C323EB">
        <w:rPr>
          <w:sz w:val="16"/>
        </w:rPr>
        <w:t xml:space="preserve"> Everything happens as if from the science age, we had entered the experimental age. We have shifted from science and its modernist dream of total control, with unwanted consequences appearing only later without ever putting the original dream of control into doubt, to research. </w:t>
      </w:r>
      <w:r w:rsidRPr="003C4195">
        <w:rPr>
          <w:rStyle w:val="StyleBoldUnderline"/>
          <w:szCs w:val="22"/>
        </w:rPr>
        <w:t>Research is just the opposite of science, careful experiments just the opposite of total control. The problem is that while we believe we know how to conduct a scientific experiment in the narrow confines of a laboratory, we have no idea how to pursue collective experiments in the confusing atmosphere of a whole culture.</w:t>
      </w:r>
      <w:r w:rsidRPr="00C323EB">
        <w:rPr>
          <w:sz w:val="16"/>
        </w:rPr>
        <w:t xml:space="preserve"> In the time past, when a scientist or a philosopher of science was thinking of writing down rules of method, he (more rarely she) was thinking of a closed site, the laboratory, where a small group of specialised experts where scaling down (or scaling up) phenomena which they could repeat at will through simulations or modelling, before presenting, much later, their results, which could then, and only then, be scaled up, diffused, applied, or tried out. We recognise here </w:t>
      </w:r>
      <w:r w:rsidRPr="003C4195">
        <w:rPr>
          <w:rStyle w:val="StyleBoldUnderline"/>
          <w:szCs w:val="22"/>
        </w:rPr>
        <w:t>the ‘trickling down’ theory of scientific influence: from a confined centre of rational enlightenment, knowledge would emerge and then slowly diffuse out to the rest of society</w:t>
      </w:r>
      <w:r w:rsidRPr="00C323EB">
        <w:rPr>
          <w:sz w:val="16"/>
        </w:rPr>
        <w:t xml:space="preserve">. The public could chose to learn the results of the laboratory sciences or remain indifferent to them, but it could certainly not add to them, dispute them, and even less contribute to their elaboration. </w:t>
      </w:r>
      <w:r w:rsidRPr="003C4195">
        <w:rPr>
          <w:rStyle w:val="StyleBoldUnderline"/>
          <w:szCs w:val="22"/>
        </w:rPr>
        <w:t xml:space="preserve">Science was this activity carried out inside the walls where white coats were at work. </w:t>
      </w:r>
      <w:proofErr w:type="gramStart"/>
      <w:r w:rsidRPr="003C4195">
        <w:rPr>
          <w:rStyle w:val="StyleBoldUnderline"/>
          <w:szCs w:val="22"/>
        </w:rPr>
        <w:t>Experiments were undergone by animals, materials, figures and software</w:t>
      </w:r>
      <w:proofErr w:type="gramEnd"/>
      <w:r w:rsidRPr="003C4195">
        <w:rPr>
          <w:rStyle w:val="StyleBoldUnderline"/>
          <w:szCs w:val="22"/>
        </w:rPr>
        <w:t>. Outside the laboratory borders began the realm of mere experience —not experiment.</w:t>
      </w:r>
      <w:r w:rsidRPr="00C323EB">
        <w:rPr>
          <w:sz w:val="16"/>
        </w:rPr>
        <w:t xml:space="preserve"> It would be an understatement to say that nothing, absolutely nothing, has been left of this picture, of this trickling down model of scientific production. First, </w:t>
      </w:r>
      <w:r w:rsidRPr="003C4195">
        <w:rPr>
          <w:rStyle w:val="StyleBoldUnderline"/>
          <w:szCs w:val="22"/>
        </w:rPr>
        <w:t>the laboratory has extended its walls to the whole planet. Instruments are everywhere. Houses, factories, hospitals have become so many subsidiaries of the labs.</w:t>
      </w:r>
      <w:r w:rsidRPr="00C323EB">
        <w:rPr>
          <w:sz w:val="16"/>
        </w:rPr>
        <w:t xml:space="preserve"> Think, for instance, of global positioning system (GPS): thanks to this satellite network geologists, naturalists, can now take measurements with the same range of precision outside and inside their laboratories. </w:t>
      </w:r>
      <w:r w:rsidRPr="003C4195">
        <w:rPr>
          <w:rStyle w:val="StyleBoldUnderline"/>
          <w:szCs w:val="22"/>
        </w:rPr>
        <w:t xml:space="preserve">Think of the </w:t>
      </w:r>
      <w:r w:rsidRPr="003720CD">
        <w:rPr>
          <w:rStyle w:val="Emphasis"/>
        </w:rPr>
        <w:t>monitoring systems</w:t>
      </w:r>
      <w:r w:rsidRPr="003720CD">
        <w:rPr>
          <w:rStyle w:val="StyleBoldUnderline"/>
        </w:rPr>
        <w:t xml:space="preserve"> for fish quotas</w:t>
      </w:r>
      <w:r w:rsidRPr="003C4195">
        <w:rPr>
          <w:rStyle w:val="StyleBoldUnderline"/>
          <w:szCs w:val="22"/>
        </w:rPr>
        <w:t xml:space="preserve">, for volcanoes, for glaciers: everywhere, instruments crisscross the ‘outside world’ as if it was made out of log paper. Think of the new requirements for tracability, quality control, standardisation </w:t>
      </w:r>
      <w:proofErr w:type="gramStart"/>
      <w:r w:rsidRPr="003C4195">
        <w:rPr>
          <w:rStyle w:val="StyleBoldUnderline"/>
          <w:szCs w:val="22"/>
        </w:rPr>
        <w:t>which</w:t>
      </w:r>
      <w:proofErr w:type="gramEnd"/>
      <w:r w:rsidRPr="003C4195">
        <w:rPr>
          <w:rStyle w:val="StyleBoldUnderline"/>
          <w:szCs w:val="22"/>
        </w:rPr>
        <w:t xml:space="preserve"> are as stringent outside factories as those for inside production sites. And of course nothing is more ‘global’ than </w:t>
      </w:r>
      <w:r w:rsidRPr="0007155A">
        <w:rPr>
          <w:rStyle w:val="Emphasis"/>
        </w:rPr>
        <w:t>global warming</w:t>
      </w:r>
      <w:r w:rsidRPr="003C4195">
        <w:rPr>
          <w:rStyle w:val="StyleBoldUnderline"/>
          <w:szCs w:val="22"/>
        </w:rPr>
        <w:t>, which has definitely ended the time when human activity had an outside. The difference between natural history —outdoor science— and lab science, has slowly been eroded,</w:t>
      </w:r>
      <w:r w:rsidRPr="00C323EB">
        <w:rPr>
          <w:sz w:val="16"/>
        </w:rPr>
        <w:t xml:space="preserve"> so much so that it is now possible, through 3-D equipment to organize ‘field trips’ inside datascapes projected onto the screen of conference rooms inside a lab... Soldiers of the last Irak war had an eye on the battle field and another on the screen of the ‘digital battle field’, so much so that it was difficult to detect the difference between the inside and the outside of the command and control war rooms. </w:t>
      </w:r>
      <w:proofErr w:type="gramStart"/>
      <w:r w:rsidRPr="00C323EB">
        <w:rPr>
          <w:sz w:val="16"/>
        </w:rPr>
        <w:t xml:space="preserve">Second, </w:t>
      </w:r>
      <w:r w:rsidRPr="003C4195">
        <w:rPr>
          <w:rStyle w:val="StyleBoldUnderline"/>
          <w:szCs w:val="22"/>
        </w:rPr>
        <w:t>the question of scale.</w:t>
      </w:r>
      <w:proofErr w:type="gramEnd"/>
      <w:r w:rsidRPr="003C4195">
        <w:rPr>
          <w:rStyle w:val="StyleBoldUnderline"/>
          <w:szCs w:val="22"/>
        </w:rPr>
        <w:t xml:space="preserve"> Experiments are now happening at scale one and in real time, as it has now become clear to all with the key question of global warming.</w:t>
      </w:r>
      <w:r w:rsidRPr="00C323EB">
        <w:rPr>
          <w:sz w:val="16"/>
        </w:rPr>
        <w:t xml:space="preserve"> To be sure, many simulations are being run</w:t>
      </w:r>
      <w:proofErr w:type="gramStart"/>
      <w:r w:rsidRPr="00C323EB">
        <w:rPr>
          <w:sz w:val="16"/>
        </w:rPr>
        <w:t>!;</w:t>
      </w:r>
      <w:proofErr w:type="gramEnd"/>
      <w:r w:rsidRPr="00C323EB">
        <w:rPr>
          <w:sz w:val="16"/>
        </w:rPr>
        <w:t xml:space="preserve"> complex models are being tried out on huge computers, but </w:t>
      </w:r>
      <w:r w:rsidRPr="003C4195">
        <w:rPr>
          <w:rStyle w:val="StyleBoldUnderline"/>
          <w:szCs w:val="22"/>
        </w:rPr>
        <w:t xml:space="preserve">the real experiment is happening on us, with us, through the action of each of us, on all of us, </w:t>
      </w:r>
      <w:r w:rsidRPr="00902651">
        <w:rPr>
          <w:rStyle w:val="Emphasis"/>
        </w:rPr>
        <w:t>with all the oceans</w:t>
      </w:r>
      <w:r w:rsidRPr="003C4195">
        <w:rPr>
          <w:rStyle w:val="StyleBoldUnderline"/>
          <w:szCs w:val="22"/>
        </w:rPr>
        <w:t>, high atmosphere and even the Gulf Stream</w:t>
      </w:r>
      <w:r w:rsidRPr="00C323EB">
        <w:rPr>
          <w:sz w:val="16"/>
        </w:rPr>
        <w:t xml:space="preserve"> —as some oceanographers argue — </w:t>
      </w:r>
      <w:r w:rsidRPr="003C4195">
        <w:rPr>
          <w:rStyle w:val="StyleBoldUnderline"/>
          <w:szCs w:val="22"/>
        </w:rPr>
        <w:t>participating in it. The only way to know if global warming is indeed due to anthropic activity is to try out and stop our noxious emissions to see later, and collectively, what has happened. This is indeed an experiment but at scale one and this one has no outside: we are all embarked in it</w:t>
      </w:r>
      <w:r w:rsidRPr="00C323EB">
        <w:rPr>
          <w:sz w:val="16"/>
        </w:rPr>
        <w:t>. But then, what is now the difference with what used to be called a political situation: namely, what interests everyone concerns everyone but cannot be easily privatised nor speedily mastered</w:t>
      </w:r>
      <w:proofErr w:type="gramStart"/>
      <w:r w:rsidRPr="00C323EB">
        <w:rPr>
          <w:sz w:val="16"/>
        </w:rPr>
        <w:t>!?</w:t>
      </w:r>
      <w:proofErr w:type="gramEnd"/>
      <w:r w:rsidRPr="00C323EB">
        <w:rPr>
          <w:sz w:val="16"/>
        </w:rPr>
        <w:t xml:space="preserve"> None. That’s precisely the point. </w:t>
      </w:r>
      <w:r w:rsidRPr="003C4195">
        <w:rPr>
          <w:rStyle w:val="StyleBoldUnderline"/>
          <w:szCs w:val="22"/>
        </w:rPr>
        <w:t>The sharp distinction between</w:t>
      </w:r>
      <w:r w:rsidRPr="00C323EB">
        <w:rPr>
          <w:sz w:val="16"/>
        </w:rPr>
        <w:t xml:space="preserve">, on the one hand, </w:t>
      </w:r>
      <w:r w:rsidRPr="003C4195">
        <w:rPr>
          <w:rStyle w:val="StyleBoldUnderline"/>
          <w:szCs w:val="22"/>
        </w:rPr>
        <w:t>scientific laboratories experimenting on theories and phenomena inside their walls, and, on the other, a political outside where non-experts were getting by with human values, opinions and passions, is simply evaporating under our eyes</w:t>
      </w:r>
      <w:r w:rsidRPr="00C323EB">
        <w:rPr>
          <w:sz w:val="16"/>
        </w:rPr>
        <w:t xml:space="preserve">. We are now all embarked in the same collective experiments mixing humans and non-humans together —and </w:t>
      </w:r>
      <w:r w:rsidRPr="003C4195">
        <w:rPr>
          <w:rStyle w:val="StyleBoldUnderline"/>
          <w:szCs w:val="22"/>
        </w:rPr>
        <w:t>no one is in charge</w:t>
      </w:r>
      <w:r w:rsidRPr="00C323EB">
        <w:rPr>
          <w:sz w:val="16"/>
        </w:rPr>
        <w:t xml:space="preserve">. Those experiments made on us, by us, for us have no protocol. No one is explicitly given the responsibility of monitoring </w:t>
      </w:r>
      <w:proofErr w:type="gramStart"/>
      <w:r w:rsidRPr="00C323EB">
        <w:rPr>
          <w:sz w:val="16"/>
        </w:rPr>
        <w:t>them</w:t>
      </w:r>
      <w:proofErr w:type="gramEnd"/>
      <w:r w:rsidRPr="00C323EB">
        <w:rPr>
          <w:sz w:val="16"/>
        </w:rPr>
        <w:t xml:space="preserve">. Who has the power of saying the last word, of deciding for all of us? This is why a new definition of sovereignty is being called for. When I am saying that the distinction between the inside and the outside of the laboratory has disappeared, </w:t>
      </w:r>
      <w:r w:rsidRPr="003C4195">
        <w:rPr>
          <w:rStyle w:val="StyleBoldUnderline"/>
          <w:szCs w:val="22"/>
        </w:rPr>
        <w:t>I am not saying that from now on ‘all is political’. I am simply saying that contemporary scientific controversies are designing what Arie Rip and Michel Callon have called ‘hybrid forums’. We used to have two types of representations</w:t>
      </w:r>
      <w:r w:rsidRPr="00C323EB">
        <w:rPr>
          <w:sz w:val="16"/>
        </w:rPr>
        <w:t xml:space="preserve"> and two types of forums</w:t>
      </w:r>
      <w:proofErr w:type="gramStart"/>
      <w:r w:rsidRPr="00C323EB">
        <w:rPr>
          <w:sz w:val="16"/>
        </w:rPr>
        <w:t>!:</w:t>
      </w:r>
      <w:proofErr w:type="gramEnd"/>
      <w:r w:rsidRPr="00C323EB">
        <w:rPr>
          <w:sz w:val="16"/>
        </w:rPr>
        <w:t xml:space="preserve"> one </w:t>
      </w:r>
      <w:r w:rsidRPr="003C4195">
        <w:rPr>
          <w:rStyle w:val="StyleBoldUnderline"/>
          <w:szCs w:val="22"/>
        </w:rPr>
        <w:t>that was in charge of representing things of nature</w:t>
      </w:r>
      <w:r w:rsidRPr="00C323EB">
        <w:rPr>
          <w:sz w:val="16"/>
        </w:rPr>
        <w:t xml:space="preserve"> —and </w:t>
      </w:r>
      <w:r w:rsidRPr="003C4195">
        <w:rPr>
          <w:rStyle w:val="StyleBoldUnderline"/>
          <w:szCs w:val="22"/>
        </w:rPr>
        <w:t>here the word ‘representation’ meant accuracy, precision and reference— and another one which was in charge of representing people in society —and here the word ‘representation’ meant faithfulness, election, confidence, obedience</w:t>
      </w:r>
      <w:r w:rsidRPr="00C323EB">
        <w:rPr>
          <w:sz w:val="16"/>
        </w:rPr>
        <w:t xml:space="preserve">. One simple way to characterise our times is to say that the two meanings of representation have now merged into one around the key notion of spokespersons offering clearly staged demonstrations for proving the existence of some new entity that becomes the object of collective concern. </w:t>
      </w:r>
      <w:r w:rsidRPr="003720CD">
        <w:rPr>
          <w:rStyle w:val="StyleBoldUnderline"/>
        </w:rPr>
        <w:t>The global warming controversy is just one of those many new hybrid forums</w:t>
      </w:r>
      <w:r w:rsidRPr="00C323EB">
        <w:rPr>
          <w:sz w:val="16"/>
        </w:rPr>
        <w:t xml:space="preserve">: around the table, some of those spokespersons represents high atmosphere, others the many lobbies of oil and gas, still others non-governmental organisations, still others represents, in the classical sense, their electors. </w:t>
      </w:r>
      <w:r w:rsidRPr="003720CD">
        <w:rPr>
          <w:rStyle w:val="StyleBoldUnderline"/>
        </w:rPr>
        <w:t>The</w:t>
      </w:r>
      <w:r w:rsidRPr="00C323EB">
        <w:rPr>
          <w:sz w:val="16"/>
        </w:rPr>
        <w:t xml:space="preserve"> sharp </w:t>
      </w:r>
      <w:r w:rsidRPr="003720CD">
        <w:rPr>
          <w:rStyle w:val="StyleBoldUnderline"/>
        </w:rPr>
        <w:t>difference</w:t>
      </w:r>
      <w:r w:rsidRPr="00C323EB">
        <w:rPr>
          <w:sz w:val="16"/>
        </w:rPr>
        <w:t xml:space="preserve"> that seemed so important </w:t>
      </w:r>
      <w:r w:rsidRPr="003720CD">
        <w:rPr>
          <w:rStyle w:val="StyleBoldUnderline"/>
        </w:rPr>
        <w:t>between those who represented things and those who represented people has simply vanished</w:t>
      </w:r>
      <w:r w:rsidRPr="00C323EB">
        <w:rPr>
          <w:sz w:val="16"/>
        </w:rPr>
        <w:t xml:space="preserve">. What counts is that </w:t>
      </w:r>
      <w:r w:rsidRPr="00893FF3">
        <w:rPr>
          <w:rStyle w:val="StyleBoldUnderline"/>
        </w:rPr>
        <w:t>all those spokesperson are in the same room, engaged in the same collective experiment, talking at once about imbroglios of people and things</w:t>
      </w:r>
      <w:r w:rsidRPr="00C323EB">
        <w:rPr>
          <w:sz w:val="16"/>
        </w:rPr>
        <w:t xml:space="preserve">. It does not mean that everything is political, but that </w:t>
      </w:r>
      <w:r w:rsidRPr="008B7A0D">
        <w:rPr>
          <w:rStyle w:val="Emphasis"/>
        </w:rPr>
        <w:t>a new politics certainly has to be devised</w:t>
      </w:r>
      <w:r w:rsidRPr="00C323EB">
        <w:rPr>
          <w:sz w:val="16"/>
        </w:rPr>
        <w:t xml:space="preserve">, as Peter Sloterdijk has so forcefully argued in his vertiginous text Regeln für den Menschenpark. One way to summarize this argument is to </w:t>
      </w:r>
      <w:r w:rsidRPr="003C4195">
        <w:rPr>
          <w:rStyle w:val="StyleBoldUnderline"/>
          <w:szCs w:val="22"/>
        </w:rPr>
        <w:t>remind oneself that the old word for ‘thing’ does not mean what is outside the human realm</w:t>
      </w:r>
      <w:r w:rsidRPr="00C323EB">
        <w:rPr>
          <w:sz w:val="16"/>
        </w:rPr>
        <w:t>, but a case, a controversy, a cause to be collectively decided in the ‘Thing’, the ancient word for assembly or forum in Old English as well as in Old German. And I don’t think it’s a coincidence that Olafur Eliasson is a son of Iceland whose Parliament, the most ancient of Europe, is called precisely the Althing and its members Althingmen. One can say, that things have become ‘things’ again</w:t>
      </w:r>
      <w:proofErr w:type="gramStart"/>
      <w:r w:rsidRPr="00C323EB">
        <w:rPr>
          <w:sz w:val="16"/>
        </w:rPr>
        <w:t>!:</w:t>
      </w:r>
      <w:proofErr w:type="gramEnd"/>
      <w:r w:rsidRPr="00C323EB">
        <w:rPr>
          <w:sz w:val="16"/>
        </w:rPr>
        <w:t xml:space="preserve"> Ein Ding ist Ein Thing.8 Have a look at the scientific as well as in the lay press, there is hardly a thing, a state of affair, which has not also become, through litigation, protestation, also a case, une affaire as we would say in French, res in Latin, aitia in Greek. Hence the expression I have chosen for this new politic</w:t>
      </w:r>
      <w:proofErr w:type="gramStart"/>
      <w:r w:rsidRPr="00C323EB">
        <w:rPr>
          <w:sz w:val="16"/>
        </w:rPr>
        <w:t>!:</w:t>
      </w:r>
      <w:proofErr w:type="gramEnd"/>
      <w:r w:rsidRPr="00C323EB">
        <w:rPr>
          <w:sz w:val="16"/>
        </w:rPr>
        <w:t xml:space="preserve"> how to assemble the Parliament of Things.</w:t>
      </w:r>
    </w:p>
    <w:p w14:paraId="27F7109A" w14:textId="77777777" w:rsidR="00A86569" w:rsidRDefault="00A86569" w:rsidP="00A86569">
      <w:pPr>
        <w:rPr>
          <w:rStyle w:val="StyleStyleBold12pt"/>
        </w:rPr>
      </w:pPr>
    </w:p>
    <w:p w14:paraId="4C44A881" w14:textId="5EB6283A" w:rsidR="00A86569" w:rsidRPr="008B085E" w:rsidRDefault="00841902" w:rsidP="008B085E">
      <w:pPr>
        <w:pStyle w:val="Heading4"/>
        <w:rPr>
          <w:rStyle w:val="StyleStyleBold12pt"/>
          <w:b/>
        </w:rPr>
      </w:pPr>
      <w:r>
        <w:rPr>
          <w:rStyle w:val="StyleStyleBold12pt"/>
          <w:b/>
        </w:rPr>
        <w:t>Rather than a naïve affirmation of science’s neutrality, our politicization of science is necessary to combat climate skepticism. Strategic positivism is not a retreat to technocracy, but instead a strategy for political efficacy.</w:t>
      </w:r>
      <w:bookmarkStart w:id="0" w:name="_GoBack"/>
      <w:bookmarkEnd w:id="0"/>
    </w:p>
    <w:p w14:paraId="01013E6D" w14:textId="77777777" w:rsidR="00A86569" w:rsidRDefault="00A86569" w:rsidP="00A86569">
      <w:pPr>
        <w:rPr>
          <w:rStyle w:val="StyleStyleBold12pt"/>
        </w:rPr>
      </w:pPr>
    </w:p>
    <w:p w14:paraId="27C47BBE" w14:textId="77777777" w:rsidR="00A86569" w:rsidRPr="00551289" w:rsidRDefault="00A86569" w:rsidP="00A86569">
      <w:r>
        <w:rPr>
          <w:rStyle w:val="StyleStyleBold12pt"/>
        </w:rPr>
        <w:t>Latour 13</w:t>
      </w:r>
      <w:r w:rsidRPr="00551289">
        <w:t>(</w:t>
      </w:r>
      <w:r>
        <w:t>Bruno, French sociologist of science and anthropologist. He is especially known for his work in the field of Science and Technology Studies (STS). After teaching at the École des Mines de Paris (Centre de Sociologie de l'Innovation) from 1982 to 2006, he is now Professor at Sciences Po Paris (2006), where he is the scientific director of the Sciences Po Medialab. He has taught at Harvard University and is a Centennial Professor at the London School of Economics, “</w:t>
      </w:r>
      <w:r w:rsidRPr="00551289">
        <w:t>Telling friends from foes in the time of the Anthropocene</w:t>
      </w:r>
      <w:r>
        <w:t>”, online:</w:t>
      </w:r>
      <w:r w:rsidRPr="00C127FE">
        <w:t xml:space="preserve"> http://www.bruno-latour.fr/sites/default/files/131-ANTHROPOCENE-PARIS-11-13.pdf</w:t>
      </w:r>
      <w:r>
        <w:t>)</w:t>
      </w:r>
    </w:p>
    <w:p w14:paraId="37CBFEF1" w14:textId="77777777" w:rsidR="00A86569" w:rsidRDefault="00A86569" w:rsidP="00A86569">
      <w:pPr>
        <w:rPr>
          <w:rStyle w:val="StyleBoldUnderline"/>
        </w:rPr>
      </w:pPr>
      <w:r w:rsidRPr="00C24468">
        <w:rPr>
          <w:rStyle w:val="StyleBoldUnderline"/>
        </w:rPr>
        <w:t>You will never find a library in France that would put a book by Claude Lanzmann on the Shoah side-by-side on a table with a book by an arch negationnist like Faurisson</w:t>
      </w:r>
      <w:r w:rsidRPr="00343711">
        <w:rPr>
          <w:sz w:val="16"/>
        </w:rPr>
        <w:t xml:space="preserve">. A few days ago, however, my friend Clive Hamilton was horrified to see his book, </w:t>
      </w:r>
      <w:r w:rsidRPr="002D220D">
        <w:rPr>
          <w:rStyle w:val="StyleBoldUnderline"/>
        </w:rPr>
        <w:t>Requiem for a Species, together with one of the newest pamphlets by a climate denier “L’innocence du carbone”</w:t>
      </w:r>
      <w:r w:rsidRPr="00343711">
        <w:rPr>
          <w:sz w:val="16"/>
        </w:rPr>
        <w:t xml:space="preserve"> (amazing title, I will come back to that). And the worst is that Clive would have appeared unfair and dogmatic if he had taken the librarian to task for keeping such an absurd and scandalous balance. If he had protested, no doubt the librarian would have answered that this is a rational debate and that both sides have to be heard. </w:t>
      </w:r>
      <w:r w:rsidRPr="00431332">
        <w:rPr>
          <w:rStyle w:val="StyleBoldUnderline"/>
        </w:rPr>
        <w:t>There is a law (in France) against Faurisson</w:t>
      </w:r>
      <w:proofErr w:type="gramStart"/>
      <w:r w:rsidRPr="00431332">
        <w:rPr>
          <w:rStyle w:val="StyleBoldUnderline"/>
        </w:rPr>
        <w:t>;</w:t>
      </w:r>
      <w:proofErr w:type="gramEnd"/>
      <w:r w:rsidRPr="00431332">
        <w:rPr>
          <w:rStyle w:val="StyleBoldUnderline"/>
        </w:rPr>
        <w:t xml:space="preserve"> not against climate negationnism</w:t>
      </w:r>
      <w:r w:rsidRPr="00DF44D0">
        <w:rPr>
          <w:rStyle w:val="StyleBoldUnderline"/>
        </w:rPr>
        <w:t>. And that is one of the problems that paralyze politics in the Anthropocene. This is not a rational debate</w:t>
      </w:r>
      <w:r w:rsidRPr="00343711">
        <w:rPr>
          <w:sz w:val="16"/>
        </w:rPr>
        <w:t>. Or rather</w:t>
      </w:r>
      <w:r w:rsidRPr="00DF44D0">
        <w:rPr>
          <w:rStyle w:val="StyleBoldUnderline"/>
        </w:rPr>
        <w:t>, it is a debate for which the climatologists of the IPCC who would have been considered rational in another climate are being rendered powerless</w:t>
      </w:r>
      <w:r w:rsidRPr="00343711">
        <w:rPr>
          <w:sz w:val="16"/>
        </w:rPr>
        <w:t xml:space="preserve">. They are portrayed as irrational by those who use the power of reason and appeal to the freedom of scientific inquiry to pollute not on only the atmosphere but also the public sphere (to use James Hoggan’s expression). Why? Because </w:t>
      </w:r>
      <w:r w:rsidRPr="00DF44D0">
        <w:rPr>
          <w:rStyle w:val="StyleBoldUnderline"/>
        </w:rPr>
        <w:t>both sides</w:t>
      </w:r>
      <w:r w:rsidRPr="00343711">
        <w:rPr>
          <w:sz w:val="16"/>
        </w:rPr>
        <w:t xml:space="preserve"> — and this is what produces the idea that there are two sides — </w:t>
      </w:r>
      <w:r w:rsidRPr="00DF44D0">
        <w:rPr>
          <w:rStyle w:val="StyleBoldUnderline"/>
        </w:rPr>
        <w:t>use the same science-versus-politics repertoire</w:t>
      </w:r>
      <w:r w:rsidRPr="00343711">
        <w:rPr>
          <w:sz w:val="16"/>
        </w:rPr>
        <w:t xml:space="preserve">. This repertoire is made of two parts. First, </w:t>
      </w:r>
      <w:r w:rsidRPr="00DF44D0">
        <w:rPr>
          <w:rStyle w:val="StyleBoldUnderline"/>
        </w:rPr>
        <w:t>both sides imply that Science is about distant, dispassionate facts of nature while politics is about ideology, passions and interests whose intrusion into Science cannot do anything but distort the plain fact</w:t>
      </w:r>
      <w:r w:rsidRPr="00343711">
        <w:rPr>
          <w:sz w:val="16"/>
        </w:rPr>
        <w:t xml:space="preserve">s. Second, both sides agree that policy 131- </w:t>
      </w:r>
      <w:proofErr w:type="gramStart"/>
      <w:r w:rsidRPr="00343711">
        <w:rPr>
          <w:sz w:val="16"/>
        </w:rPr>
        <w:t>Thinking</w:t>
      </w:r>
      <w:proofErr w:type="gramEnd"/>
      <w:r w:rsidRPr="00343711">
        <w:rPr>
          <w:sz w:val="16"/>
        </w:rPr>
        <w:t xml:space="preserve"> </w:t>
      </w:r>
      <w:r w:rsidRPr="00E46A86">
        <w:rPr>
          <w:rStyle w:val="StyleBoldUnderline"/>
        </w:rPr>
        <w:t xml:space="preserve">the anthropocene </w:t>
      </w:r>
      <w:r w:rsidRPr="00841902">
        <w:t>4</w:t>
      </w:r>
      <w:r w:rsidRPr="00E46A86">
        <w:rPr>
          <w:rStyle w:val="StyleBoldUnderline"/>
        </w:rPr>
        <w:t xml:space="preserve"> should follow scientific expertise and that we cannot make decisions based on uncertain science.</w:t>
      </w:r>
      <w:r w:rsidRPr="00343711">
        <w:rPr>
          <w:sz w:val="16"/>
        </w:rPr>
        <w:t xml:space="preserve"> </w:t>
      </w:r>
      <w:r w:rsidRPr="00E46A86">
        <w:rPr>
          <w:rStyle w:val="StyleBoldUnderline"/>
        </w:rPr>
        <w:t>The difficulty is that this repertoire</w:t>
      </w:r>
      <w:r w:rsidRPr="00343711">
        <w:rPr>
          <w:sz w:val="16"/>
        </w:rPr>
        <w:t xml:space="preserve"> (disproved by fifty years of historical case studies) </w:t>
      </w:r>
      <w:r w:rsidRPr="00E46A86">
        <w:rPr>
          <w:rStyle w:val="StyleBoldUnderline"/>
        </w:rPr>
        <w:t>is shared by most of the public as well</w:t>
      </w:r>
      <w:r w:rsidRPr="00343711">
        <w:rPr>
          <w:sz w:val="16"/>
        </w:rPr>
        <w:t xml:space="preserve">. </w:t>
      </w:r>
      <w:r w:rsidRPr="00E46A86">
        <w:rPr>
          <w:rStyle w:val="StyleBoldUnderline"/>
        </w:rPr>
        <w:t>It means that if any lobbyist paid by the mining or oil industry or any physicist with his own pet version of what the laws of nature tell him, manages to introduce the smallest grain of doubt into the expertise, the whole policy train stops</w:t>
      </w:r>
      <w:r w:rsidRPr="00343711">
        <w:rPr>
          <w:sz w:val="16"/>
        </w:rPr>
        <w:t>. Part one: science is about incontrovertible and indisputable facts; part two: policy follows science. Since this is what all politicians, as well as every onlooker believe, and since it is also the way TV shows organize debates as if they were judges in a courtroom, it is incredibly easy to make two sides emerge even when there is only one. To give credit where credit is due, this should be called the Luntz strategy to honor Frank Luntz’s infamous memo to the Republican party: “</w:t>
      </w:r>
      <w:r w:rsidRPr="00E46A86">
        <w:rPr>
          <w:rStyle w:val="StyleBoldUnderline"/>
        </w:rPr>
        <w:t>Should the public come to believe that the scientific issues are settled, their views about global warming will change accordingly. Therefore, you need to continue to make the lack of scientific certainty a primary issue.” His success speaks volumes about the mass of money spent to foster climate deniers but it also speaks to the fragility of the immunological system of those who use the science-vs-politics repertoire. It appears that the slightest virus is enough to make them doubt and stop policy in its tracks. Because of this weird – though common-sensical – vision of science versus politics, there is no way to immunize the public against such an infectious form of “skepticism” — a grand adjective that has been most maliciously appropriated</w:t>
      </w:r>
      <w:r w:rsidRPr="00343711">
        <w:rPr>
          <w:sz w:val="16"/>
        </w:rPr>
        <w:t xml:space="preserve">. Of course, it would be great if we could imagine that at some point, because of the many public debates about the issue, the two sides would become one. Case settled, let’s now move on to the policy. The apparently innocuous term “skepticism”, used so intently by deniers, might seem to lead in such a direction. </w:t>
      </w:r>
      <w:r w:rsidRPr="007A73F0">
        <w:rPr>
          <w:rStyle w:val="StyleBoldUnderline"/>
        </w:rPr>
        <w:t>Let us have a “fair and balanced” debate, as they say on Fox News. But there is not the slightest chance that this closure will ever occur, since the deniers’ success is not to win any argument, but simply to make sure that the rest of the public is convinced that there is an argument</w:t>
      </w:r>
      <w:r w:rsidRPr="00343711">
        <w:rPr>
          <w:sz w:val="16"/>
        </w:rPr>
        <w:t>. How could the poor helpless climatologists ever win in such a kangaroo court where the point is not to reach a verdict (the verdict has been reached in the IPCC report already anyway)</w:t>
      </w:r>
      <w:proofErr w:type="gramStart"/>
      <w:r w:rsidRPr="00343711">
        <w:rPr>
          <w:sz w:val="16"/>
        </w:rPr>
        <w:t>.</w:t>
      </w:r>
      <w:proofErr w:type="gramEnd"/>
      <w:r w:rsidRPr="00343711">
        <w:rPr>
          <w:sz w:val="16"/>
        </w:rPr>
        <w:t xml:space="preserve"> The new discipline of “agnotology”, to use James Proctor’s expression, is </w:t>
      </w:r>
      <w:r w:rsidRPr="00832D8E">
        <w:rPr>
          <w:rStyle w:val="StyleBoldUnderline"/>
        </w:rPr>
        <w:t>the willful production of ignorance that has functioned marvelously for cigarettes as well as for asbestos and with more resistance for extermination camps</w:t>
      </w:r>
      <w:r w:rsidRPr="00343711">
        <w:rPr>
          <w:sz w:val="16"/>
        </w:rPr>
        <w:t xml:space="preserve">. It will work much better, and for much longer, for climate science, and for one additional reason: it is about 131- </w:t>
      </w:r>
      <w:proofErr w:type="gramStart"/>
      <w:r w:rsidRPr="00343711">
        <w:rPr>
          <w:sz w:val="16"/>
        </w:rPr>
        <w:t>Thinking</w:t>
      </w:r>
      <w:proofErr w:type="gramEnd"/>
      <w:r w:rsidRPr="00343711">
        <w:rPr>
          <w:sz w:val="16"/>
        </w:rPr>
        <w:t xml:space="preserve"> the anthropocene 5 the daily life of billions of people. </w:t>
      </w:r>
      <w:r w:rsidRPr="007A73F0">
        <w:rPr>
          <w:rStyle w:val="StyleBoldUnderline"/>
        </w:rPr>
        <w:t>The chance to ever reach closure is nil. And yet waiting for closure before drafting policy is not an option either.</w:t>
      </w:r>
    </w:p>
    <w:p w14:paraId="28003D81" w14:textId="77777777" w:rsidR="00A86569" w:rsidRDefault="00A86569" w:rsidP="00A86569">
      <w:pPr>
        <w:rPr>
          <w:sz w:val="16"/>
          <w:szCs w:val="16"/>
        </w:rPr>
      </w:pPr>
    </w:p>
    <w:p w14:paraId="2C4446D8" w14:textId="77777777" w:rsidR="00A86569" w:rsidRPr="00392189" w:rsidRDefault="00A86569" w:rsidP="00A86569">
      <w:pPr>
        <w:rPr>
          <w:i/>
          <w:sz w:val="24"/>
        </w:rPr>
      </w:pPr>
      <w:r w:rsidRPr="00392189">
        <w:rPr>
          <w:i/>
          <w:sz w:val="24"/>
        </w:rPr>
        <w:t>[</w:t>
      </w:r>
      <w:r>
        <w:rPr>
          <w:i/>
          <w:sz w:val="24"/>
        </w:rPr>
        <w:t>Latour continues</w:t>
      </w:r>
      <w:r w:rsidRPr="00392189">
        <w:rPr>
          <w:i/>
          <w:sz w:val="24"/>
        </w:rPr>
        <w:t xml:space="preserve"> on the next page]</w:t>
      </w:r>
    </w:p>
    <w:p w14:paraId="525EA329" w14:textId="77777777" w:rsidR="00A86569" w:rsidRDefault="00A86569" w:rsidP="00A86569">
      <w:pPr>
        <w:rPr>
          <w:sz w:val="16"/>
          <w:szCs w:val="16"/>
        </w:rPr>
      </w:pPr>
    </w:p>
    <w:p w14:paraId="13A63BCE" w14:textId="77777777" w:rsidR="00A86569" w:rsidRDefault="00A86569" w:rsidP="00A86569">
      <w:pPr>
        <w:rPr>
          <w:sz w:val="14"/>
        </w:rPr>
      </w:pPr>
      <w:r w:rsidRPr="00DE69B5">
        <w:rPr>
          <w:sz w:val="14"/>
        </w:rPr>
        <w:t xml:space="preserve">To shift from a science-vs-politics to a science-with-politics is of course not without danger. At first glance, climate deniers will have a field day clamoring that their adversaries have finally confessed what they, the deniers, have always said: climate science is politics. To which the only reasonable answer is: “Yes, of course, where have you been? And what are you doing yourself?” After a minute of hesitation because of the loss of the old settlement — </w:t>
      </w:r>
      <w:r w:rsidRPr="00886AC6">
        <w:rPr>
          <w:rStyle w:val="StyleBoldUnderline"/>
        </w:rPr>
        <w:t>it is not easy to lose confidence in the Maginot line of factversus- value</w:t>
      </w:r>
      <w:r w:rsidRPr="00DE69B5">
        <w:rPr>
          <w:sz w:val="14"/>
        </w:rPr>
        <w:t xml:space="preserve">! — </w:t>
      </w:r>
      <w:proofErr w:type="gramStart"/>
      <w:r w:rsidRPr="00886AC6">
        <w:rPr>
          <w:rStyle w:val="StyleBoldUnderline"/>
        </w:rPr>
        <w:t>it</w:t>
      </w:r>
      <w:proofErr w:type="gramEnd"/>
      <w:r w:rsidRPr="00886AC6">
        <w:rPr>
          <w:rStyle w:val="StyleBoldUnderline"/>
        </w:rPr>
        <w:t xml:space="preserve"> quickly appears possible to redraw the lines of conflicts. Not between two sides of an epistemological debate</w:t>
      </w:r>
      <w:r w:rsidRPr="00DE69B5">
        <w:rPr>
          <w:sz w:val="14"/>
        </w:rPr>
        <w:t xml:space="preserve"> (on one side the climate science and, on the other, the climate skeptics</w:t>
      </w:r>
      <w:r w:rsidRPr="00886AC6">
        <w:rPr>
          <w:rStyle w:val="StyleBoldUnderline"/>
        </w:rPr>
        <w:t>), but between two sides — and they will be soon more than two — with a completely different view of what you may expect from science as well as from politics. There is no conflict between science and politics. But there is a conflict between two radically opposite political epistemologies, each with its own definition of what science and politics are, and how they could collaborate.</w:t>
      </w:r>
      <w:r w:rsidRPr="00DE69B5">
        <w:rPr>
          <w:sz w:val="14"/>
        </w:rPr>
        <w:t xml:space="preserve"> Of course, </w:t>
      </w:r>
      <w:r w:rsidRPr="00886AC6">
        <w:rPr>
          <w:rStyle w:val="StyleBoldUnderline"/>
        </w:rPr>
        <w:t>there exist</w:t>
      </w:r>
      <w:r w:rsidRPr="00DE69B5">
        <w:rPr>
          <w:sz w:val="14"/>
        </w:rPr>
        <w:t xml:space="preserve"> plenty of </w:t>
      </w:r>
      <w:r w:rsidRPr="00886AC6">
        <w:rPr>
          <w:rStyle w:val="StyleBoldUnderline"/>
        </w:rPr>
        <w:t>reasons for imitating</w:t>
      </w:r>
      <w:r w:rsidRPr="00DE69B5">
        <w:rPr>
          <w:sz w:val="14"/>
        </w:rPr>
        <w:t xml:space="preserve"> what feminists call </w:t>
      </w:r>
      <w:r w:rsidRPr="00886AC6">
        <w:rPr>
          <w:rStyle w:val="StyleBoldUnderline"/>
        </w:rPr>
        <w:t>“strategic essentialism</w:t>
      </w:r>
      <w:r w:rsidRPr="00DE69B5">
        <w:rPr>
          <w:sz w:val="14"/>
        </w:rPr>
        <w:t xml:space="preserve">” </w:t>
      </w:r>
      <w:r w:rsidRPr="00886AC6">
        <w:rPr>
          <w:rStyle w:val="StyleBoldUnderline"/>
        </w:rPr>
        <w:t xml:space="preserve">and to employ, whenever necessary, a form of “strategic positivism” as if we could confide to a settled science of the climate the task of serving as an incontrovertible premise for </w:t>
      </w:r>
      <w:r w:rsidRPr="00841902">
        <w:rPr>
          <w:rStyle w:val="StyleBoldUnderline"/>
        </w:rPr>
        <w:t>policy</w:t>
      </w:r>
      <w:r w:rsidRPr="00886AC6">
        <w:rPr>
          <w:rStyle w:val="StyleBoldUnderline"/>
        </w:rPr>
        <w:t>. But even if this strategy could succeed</w:t>
      </w:r>
      <w:r w:rsidRPr="00DE69B5">
        <w:rPr>
          <w:sz w:val="14"/>
        </w:rPr>
        <w:t xml:space="preserve"> (and the response to the last IPCC report indicates that it has failed this just the same as all previous attempts to “convince” the public</w:t>
      </w:r>
      <w:r w:rsidRPr="00886AC6">
        <w:rPr>
          <w:rStyle w:val="StyleBoldUnderline"/>
        </w:rPr>
        <w:t>), it would not solve the question because it would remain a pedagogical gain — not a political one. More people would know for sure, which is always good, but they will not be moved an inch out of the situation of just knowing. We are not dealing here with undisputable “matters of fact,” but with “matters of concern” to be disputed. It is a question of knowing “uncomfortable facts” about pressing issues that concern the very soil on which every body resides.</w:t>
      </w:r>
      <w:r w:rsidRPr="00DE69B5">
        <w:rPr>
          <w:sz w:val="14"/>
        </w:rPr>
        <w:t xml:space="preserve"> </w:t>
      </w:r>
      <w:r w:rsidRPr="00886AC6">
        <w:rPr>
          <w:rStyle w:val="StyleBoldUnderline"/>
        </w:rPr>
        <w:t xml:space="preserve">It should have become clear that expressions like: “The innocence of carbon” as well as that of “uncomfortable facts” </w:t>
      </w:r>
      <w:proofErr w:type="gramStart"/>
      <w:r w:rsidRPr="00886AC6">
        <w:rPr>
          <w:rStyle w:val="StyleBoldUnderline"/>
        </w:rPr>
        <w:t>straddle</w:t>
      </w:r>
      <w:proofErr w:type="gramEnd"/>
      <w:r w:rsidRPr="00886AC6">
        <w:rPr>
          <w:rStyle w:val="StyleBoldUnderline"/>
        </w:rPr>
        <w:t xml:space="preserve"> the distinction between facts and values</w:t>
      </w:r>
      <w:r w:rsidRPr="00DE69B5">
        <w:rPr>
          <w:sz w:val="14"/>
        </w:rPr>
        <w:t xml:space="preserve">. How could it be otherwise since we are talking here about conflicts that pit against one another different definitions of the land to which the various polities are attached? How could any one, I beg you, defends one’s territory quietly and dispassionately when it is under attack? The only result of the older settlement of fact-vs-politics is that, in such a conflict, one side fights with all the forces at its power while the other side, the rational and reasonable </w:t>
      </w:r>
      <w:r w:rsidRPr="00886AC6">
        <w:rPr>
          <w:rStyle w:val="StyleBoldUnderline"/>
        </w:rPr>
        <w:t>climatologists, must fight with their hands tied behind their backs by the injunction that they</w:t>
      </w:r>
      <w:r w:rsidRPr="00DE69B5">
        <w:rPr>
          <w:sz w:val="14"/>
        </w:rPr>
        <w:t xml:space="preserve">, and they alone, </w:t>
      </w:r>
      <w:r w:rsidRPr="00886AC6">
        <w:rPr>
          <w:rStyle w:val="StyleBoldUnderline"/>
        </w:rPr>
        <w:t>should protect the sanctity of Science</w:t>
      </w:r>
      <w:r w:rsidRPr="00DE69B5">
        <w:rPr>
          <w:sz w:val="14"/>
        </w:rPr>
        <w:t xml:space="preserve"> (capital S) </w:t>
      </w:r>
      <w:r w:rsidRPr="00886AC6">
        <w:rPr>
          <w:rStyle w:val="StyleBoldUnderline"/>
        </w:rPr>
        <w:t>against any encroachment of ideology and interest</w:t>
      </w:r>
      <w:r w:rsidRPr="00B67E19">
        <w:rPr>
          <w:rStyle w:val="StyleBoldUnderline"/>
        </w:rPr>
        <w:t>. In the old days, such an alternative political epistemology could have smacked of “relativism”. But today it is much clearer that when opponents reach for their guns and mention the “science wars”, it is much fairer, and, once again, more rational to say: “Not a science war, but for sure, a war of the worlds”.</w:t>
      </w:r>
      <w:r w:rsidRPr="00DE69B5">
        <w:rPr>
          <w:sz w:val="14"/>
        </w:rPr>
        <w:t xml:space="preserve"> Or rather, a war for the occupation and definition and composition of what the world, at least this sublunary planet, Gaia, is like</w:t>
      </w:r>
      <w:r w:rsidRPr="00DE69B5">
        <w:rPr>
          <w:rStyle w:val="StyleBoldUnderline"/>
        </w:rPr>
        <w:t>. How could we agree on this composition since, depending on the answer, each of us has to move literally to another place</w:t>
      </w:r>
      <w:r w:rsidRPr="00DE69B5">
        <w:rPr>
          <w:sz w:val="14"/>
        </w:rPr>
        <w:t xml:space="preserve">? </w:t>
      </w:r>
      <w:r w:rsidRPr="00DE69B5">
        <w:rPr>
          <w:rStyle w:val="StyleBoldUnderline"/>
        </w:rPr>
        <w:t>How could we settle the issue when, depending on the response given, we ally with other people and break sides with others</w:t>
      </w:r>
      <w:r w:rsidRPr="00DE69B5">
        <w:rPr>
          <w:sz w:val="14"/>
        </w:rPr>
        <w:t xml:space="preserve">? Paradoxically, capitalists seem to know what it is to grab, to possess and to defend a land more than their space-less adversaries who have to defend Science and its View-from-Nowhere for inhabitants of no place. At least they know to which soil they pertain better than those who keep defending themselves by an appeal to the extraterritorial authority of Science. Remember the Bushists war cry: “Americans are from Mars, Europeans are from Venus”. Well, it seems that those traditionally-defined nations are neither from Mars nor from Venus, </w:t>
      </w:r>
      <w:r w:rsidRPr="00DE69B5">
        <w:rPr>
          <w:rStyle w:val="StyleBoldUnderline"/>
        </w:rPr>
        <w:t xml:space="preserve">but some are from an Earth which has a specific shape and some are from another Earth, or, maybe, from </w:t>
      </w:r>
      <w:proofErr w:type="gramStart"/>
      <w:r w:rsidRPr="00DE69B5">
        <w:rPr>
          <w:rStyle w:val="StyleBoldUnderline"/>
        </w:rPr>
        <w:t>a</w:t>
      </w:r>
      <w:r w:rsidRPr="00DE69B5">
        <w:rPr>
          <w:sz w:val="14"/>
        </w:rPr>
        <w:t xml:space="preserve">  </w:t>
      </w:r>
      <w:r w:rsidRPr="00DE69B5">
        <w:rPr>
          <w:rStyle w:val="StyleBoldUnderline"/>
        </w:rPr>
        <w:t>land</w:t>
      </w:r>
      <w:proofErr w:type="gramEnd"/>
      <w:r w:rsidRPr="00DE69B5">
        <w:rPr>
          <w:rStyle w:val="StyleBoldUnderline"/>
        </w:rPr>
        <w:t xml:space="preserve"> of no land called “utopia”, the utopia that the Moderns have imagined as their only future. A future that now looks just like the destroyed space stations</w:t>
      </w:r>
      <w:r w:rsidRPr="00DE69B5">
        <w:rPr>
          <w:sz w:val="14"/>
        </w:rPr>
        <w:t xml:space="preserve"> from which Ryan Stone tries to escape in Gravity.</w:t>
      </w:r>
    </w:p>
    <w:p w14:paraId="5D6AB255" w14:textId="77777777" w:rsidR="002F75C9" w:rsidRPr="00A86569" w:rsidRDefault="002F75C9" w:rsidP="00A86569"/>
    <w:sectPr w:rsidR="002F75C9" w:rsidRPr="00A8656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628389" w14:textId="77777777" w:rsidR="007068AC" w:rsidRDefault="007068AC" w:rsidP="00E46E7E">
      <w:r>
        <w:separator/>
      </w:r>
    </w:p>
  </w:endnote>
  <w:endnote w:type="continuationSeparator" w:id="0">
    <w:p w14:paraId="5BA8B419" w14:textId="77777777" w:rsidR="007068AC" w:rsidRDefault="007068A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55 Roman">
    <w:altName w:val="Cambria"/>
    <w:panose1 w:val="00000000000000000000"/>
    <w:charset w:val="4D"/>
    <w:family w:val="swiss"/>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6A312" w14:textId="77777777" w:rsidR="007068AC" w:rsidRDefault="007068AC" w:rsidP="00E46E7E">
      <w:r>
        <w:separator/>
      </w:r>
    </w:p>
  </w:footnote>
  <w:footnote w:type="continuationSeparator" w:id="0">
    <w:p w14:paraId="19D113E9" w14:textId="77777777" w:rsidR="007068AC" w:rsidRDefault="007068A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48652D7"/>
    <w:multiLevelType w:val="hybridMultilevel"/>
    <w:tmpl w:val="23D624D2"/>
    <w:lvl w:ilvl="0" w:tplc="9B5485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975"/>
    <w:rsid w:val="000140EC"/>
    <w:rsid w:val="00016A35"/>
    <w:rsid w:val="00034808"/>
    <w:rsid w:val="00041820"/>
    <w:rsid w:val="00064442"/>
    <w:rsid w:val="0007155A"/>
    <w:rsid w:val="00084324"/>
    <w:rsid w:val="00085C07"/>
    <w:rsid w:val="00096008"/>
    <w:rsid w:val="000C16B3"/>
    <w:rsid w:val="000E3E5A"/>
    <w:rsid w:val="000E3EBB"/>
    <w:rsid w:val="000F3714"/>
    <w:rsid w:val="00103C7F"/>
    <w:rsid w:val="0011647D"/>
    <w:rsid w:val="001408C0"/>
    <w:rsid w:val="00140A21"/>
    <w:rsid w:val="00143FD7"/>
    <w:rsid w:val="001463FB"/>
    <w:rsid w:val="001665A8"/>
    <w:rsid w:val="001710E3"/>
    <w:rsid w:val="00186DB7"/>
    <w:rsid w:val="001876EC"/>
    <w:rsid w:val="0019631A"/>
    <w:rsid w:val="001B66AC"/>
    <w:rsid w:val="001C7A30"/>
    <w:rsid w:val="001D595F"/>
    <w:rsid w:val="001D7626"/>
    <w:rsid w:val="001E6C9B"/>
    <w:rsid w:val="0020564B"/>
    <w:rsid w:val="002153C8"/>
    <w:rsid w:val="00241E54"/>
    <w:rsid w:val="002613DA"/>
    <w:rsid w:val="00261DBE"/>
    <w:rsid w:val="00277344"/>
    <w:rsid w:val="0028455D"/>
    <w:rsid w:val="00293A07"/>
    <w:rsid w:val="002B5528"/>
    <w:rsid w:val="002B6353"/>
    <w:rsid w:val="002B68C8"/>
    <w:rsid w:val="002E36D8"/>
    <w:rsid w:val="002E474D"/>
    <w:rsid w:val="002F35F4"/>
    <w:rsid w:val="002F3E28"/>
    <w:rsid w:val="002F40E6"/>
    <w:rsid w:val="002F75C9"/>
    <w:rsid w:val="00303E5B"/>
    <w:rsid w:val="00313226"/>
    <w:rsid w:val="0031425E"/>
    <w:rsid w:val="003222F8"/>
    <w:rsid w:val="00325059"/>
    <w:rsid w:val="0035592E"/>
    <w:rsid w:val="00357719"/>
    <w:rsid w:val="00360E71"/>
    <w:rsid w:val="003720CD"/>
    <w:rsid w:val="00374144"/>
    <w:rsid w:val="003861FB"/>
    <w:rsid w:val="00392189"/>
    <w:rsid w:val="003A4100"/>
    <w:rsid w:val="003B3EC7"/>
    <w:rsid w:val="003C4195"/>
    <w:rsid w:val="003D6044"/>
    <w:rsid w:val="003E3669"/>
    <w:rsid w:val="003F42AF"/>
    <w:rsid w:val="00412F6D"/>
    <w:rsid w:val="0042499C"/>
    <w:rsid w:val="0042635A"/>
    <w:rsid w:val="004532B7"/>
    <w:rsid w:val="004558F2"/>
    <w:rsid w:val="00466B6F"/>
    <w:rsid w:val="004B3188"/>
    <w:rsid w:val="004B3DB3"/>
    <w:rsid w:val="004B4E0E"/>
    <w:rsid w:val="004B58FE"/>
    <w:rsid w:val="004C02C2"/>
    <w:rsid w:val="004C63B5"/>
    <w:rsid w:val="004D461E"/>
    <w:rsid w:val="004F4224"/>
    <w:rsid w:val="004F4EA7"/>
    <w:rsid w:val="004F5FBC"/>
    <w:rsid w:val="0051046E"/>
    <w:rsid w:val="00517479"/>
    <w:rsid w:val="00531975"/>
    <w:rsid w:val="00563F04"/>
    <w:rsid w:val="005A0BE5"/>
    <w:rsid w:val="005C0E1F"/>
    <w:rsid w:val="005C2D9D"/>
    <w:rsid w:val="005D3783"/>
    <w:rsid w:val="005E0D2B"/>
    <w:rsid w:val="005E2C99"/>
    <w:rsid w:val="00672258"/>
    <w:rsid w:val="0067575B"/>
    <w:rsid w:val="00677EC4"/>
    <w:rsid w:val="00692C26"/>
    <w:rsid w:val="00694C08"/>
    <w:rsid w:val="006A5D93"/>
    <w:rsid w:val="006B4382"/>
    <w:rsid w:val="006F2D3D"/>
    <w:rsid w:val="006F421F"/>
    <w:rsid w:val="00700835"/>
    <w:rsid w:val="007068AC"/>
    <w:rsid w:val="007246BF"/>
    <w:rsid w:val="00726F87"/>
    <w:rsid w:val="00731CCA"/>
    <w:rsid w:val="007333B9"/>
    <w:rsid w:val="0074418F"/>
    <w:rsid w:val="00791B7D"/>
    <w:rsid w:val="007921B1"/>
    <w:rsid w:val="007A3515"/>
    <w:rsid w:val="007D7924"/>
    <w:rsid w:val="007E470C"/>
    <w:rsid w:val="007E5F71"/>
    <w:rsid w:val="007F0A5D"/>
    <w:rsid w:val="00806C13"/>
    <w:rsid w:val="00811971"/>
    <w:rsid w:val="00821415"/>
    <w:rsid w:val="00831DED"/>
    <w:rsid w:val="0083768F"/>
    <w:rsid w:val="00841902"/>
    <w:rsid w:val="00842ECB"/>
    <w:rsid w:val="00893FF3"/>
    <w:rsid w:val="008B085E"/>
    <w:rsid w:val="008C5D1A"/>
    <w:rsid w:val="008D4F6B"/>
    <w:rsid w:val="00902651"/>
    <w:rsid w:val="0091595A"/>
    <w:rsid w:val="009165EA"/>
    <w:rsid w:val="00924FA8"/>
    <w:rsid w:val="009353E2"/>
    <w:rsid w:val="00950756"/>
    <w:rsid w:val="00962259"/>
    <w:rsid w:val="0096498C"/>
    <w:rsid w:val="00980787"/>
    <w:rsid w:val="009829F2"/>
    <w:rsid w:val="00993F61"/>
    <w:rsid w:val="00995C95"/>
    <w:rsid w:val="009970AC"/>
    <w:rsid w:val="009A2E3F"/>
    <w:rsid w:val="009B0746"/>
    <w:rsid w:val="009B2760"/>
    <w:rsid w:val="009C198B"/>
    <w:rsid w:val="009C7750"/>
    <w:rsid w:val="009D207E"/>
    <w:rsid w:val="009E5822"/>
    <w:rsid w:val="009E691A"/>
    <w:rsid w:val="009E76E8"/>
    <w:rsid w:val="00A074CB"/>
    <w:rsid w:val="00A30D23"/>
    <w:rsid w:val="00A369C4"/>
    <w:rsid w:val="00A37A39"/>
    <w:rsid w:val="00A4518B"/>
    <w:rsid w:val="00A47986"/>
    <w:rsid w:val="00A86569"/>
    <w:rsid w:val="00A91A24"/>
    <w:rsid w:val="00A97023"/>
    <w:rsid w:val="00AC0E99"/>
    <w:rsid w:val="00AD54BF"/>
    <w:rsid w:val="00AE31C9"/>
    <w:rsid w:val="00AE4DDC"/>
    <w:rsid w:val="00AF1E67"/>
    <w:rsid w:val="00AF5046"/>
    <w:rsid w:val="00AF70D4"/>
    <w:rsid w:val="00B169A1"/>
    <w:rsid w:val="00B32F73"/>
    <w:rsid w:val="00B33E0C"/>
    <w:rsid w:val="00B3769E"/>
    <w:rsid w:val="00B43568"/>
    <w:rsid w:val="00B45FE9"/>
    <w:rsid w:val="00B5313F"/>
    <w:rsid w:val="00B55D49"/>
    <w:rsid w:val="00B65E97"/>
    <w:rsid w:val="00B84180"/>
    <w:rsid w:val="00B92197"/>
    <w:rsid w:val="00B9723C"/>
    <w:rsid w:val="00BB5E45"/>
    <w:rsid w:val="00BB672D"/>
    <w:rsid w:val="00BE2AFD"/>
    <w:rsid w:val="00BE63EA"/>
    <w:rsid w:val="00C106F6"/>
    <w:rsid w:val="00C42A3C"/>
    <w:rsid w:val="00C51642"/>
    <w:rsid w:val="00C52454"/>
    <w:rsid w:val="00C73FC9"/>
    <w:rsid w:val="00C77A5F"/>
    <w:rsid w:val="00C93909"/>
    <w:rsid w:val="00CA39D9"/>
    <w:rsid w:val="00CB1FD6"/>
    <w:rsid w:val="00CD2C6D"/>
    <w:rsid w:val="00CF0CB8"/>
    <w:rsid w:val="00CF1A0F"/>
    <w:rsid w:val="00D12C76"/>
    <w:rsid w:val="00D36252"/>
    <w:rsid w:val="00D4330B"/>
    <w:rsid w:val="00D460F1"/>
    <w:rsid w:val="00D51A4B"/>
    <w:rsid w:val="00D51B44"/>
    <w:rsid w:val="00D6085D"/>
    <w:rsid w:val="00D66D57"/>
    <w:rsid w:val="00D81480"/>
    <w:rsid w:val="00D91CB0"/>
    <w:rsid w:val="00D948B2"/>
    <w:rsid w:val="00D960C1"/>
    <w:rsid w:val="00DA2E40"/>
    <w:rsid w:val="00DA5BF8"/>
    <w:rsid w:val="00DC71AA"/>
    <w:rsid w:val="00DC74E1"/>
    <w:rsid w:val="00DC79D5"/>
    <w:rsid w:val="00DD2FAB"/>
    <w:rsid w:val="00DE627C"/>
    <w:rsid w:val="00DF1850"/>
    <w:rsid w:val="00E02FB9"/>
    <w:rsid w:val="00E166CC"/>
    <w:rsid w:val="00E46E7E"/>
    <w:rsid w:val="00E728DD"/>
    <w:rsid w:val="00E8198B"/>
    <w:rsid w:val="00E87BCA"/>
    <w:rsid w:val="00E95631"/>
    <w:rsid w:val="00EC06A7"/>
    <w:rsid w:val="00EC5681"/>
    <w:rsid w:val="00EF6DC5"/>
    <w:rsid w:val="00F066DD"/>
    <w:rsid w:val="00F0715C"/>
    <w:rsid w:val="00F1173B"/>
    <w:rsid w:val="00F45F2E"/>
    <w:rsid w:val="00F51F65"/>
    <w:rsid w:val="00FA538E"/>
    <w:rsid w:val="00FC2995"/>
    <w:rsid w:val="00FC4266"/>
    <w:rsid w:val="00FD0D4C"/>
    <w:rsid w:val="00FD4A9B"/>
    <w:rsid w:val="00FD50BA"/>
    <w:rsid w:val="00FE4803"/>
    <w:rsid w:val="00FF4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4BDA1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106F6"/>
    <w:rPr>
      <w:rFonts w:ascii="Calibri" w:hAnsi="Calibri"/>
      <w:sz w:val="22"/>
    </w:rPr>
  </w:style>
  <w:style w:type="paragraph" w:styleId="Heading1">
    <w:name w:val="heading 1"/>
    <w:aliases w:val="Pocket"/>
    <w:basedOn w:val="Normal"/>
    <w:next w:val="Normal"/>
    <w:link w:val="Heading1Char"/>
    <w:uiPriority w:val="9"/>
    <w:qFormat/>
    <w:rsid w:val="00C106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106F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9"/>
    <w:unhideWhenUsed/>
    <w:qFormat/>
    <w:rsid w:val="00C106F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C106F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C106F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106F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106F6"/>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9"/>
    <w:qFormat/>
    <w:rsid w:val="00C106F6"/>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9"/>
    <w:rsid w:val="00C106F6"/>
    <w:rPr>
      <w:rFonts w:asciiTheme="majorHAnsi" w:eastAsiaTheme="majorEastAsia" w:hAnsiTheme="majorHAnsi" w:cstheme="majorBidi"/>
      <w:b/>
      <w:bCs/>
      <w:iCs/>
      <w:sz w:val="26"/>
    </w:rPr>
  </w:style>
  <w:style w:type="paragraph" w:styleId="NoSpacing">
    <w:name w:val="No Spacing"/>
    <w:uiPriority w:val="1"/>
    <w:rsid w:val="00C106F6"/>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C106F6"/>
    <w:rPr>
      <w:b/>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6"/>
    <w:qFormat/>
    <w:rsid w:val="00C106F6"/>
    <w:rPr>
      <w:b/>
      <w:sz w:val="22"/>
      <w:u w:val="single"/>
    </w:rPr>
  </w:style>
  <w:style w:type="paragraph" w:styleId="DocumentMap">
    <w:name w:val="Document Map"/>
    <w:basedOn w:val="Normal"/>
    <w:link w:val="DocumentMapChar"/>
    <w:uiPriority w:val="99"/>
    <w:semiHidden/>
    <w:unhideWhenUsed/>
    <w:rsid w:val="00C106F6"/>
    <w:rPr>
      <w:rFonts w:ascii="Lucida Grande" w:hAnsi="Lucida Grande" w:cs="Lucida Grande"/>
    </w:rPr>
  </w:style>
  <w:style w:type="character" w:customStyle="1" w:styleId="DocumentMapChar">
    <w:name w:val="Document Map Char"/>
    <w:basedOn w:val="DefaultParagraphFont"/>
    <w:link w:val="DocumentMap"/>
    <w:uiPriority w:val="99"/>
    <w:semiHidden/>
    <w:rsid w:val="00C106F6"/>
    <w:rPr>
      <w:rFonts w:ascii="Lucida Grande" w:hAnsi="Lucida Grande" w:cs="Lucida Grande"/>
      <w:sz w:val="22"/>
    </w:rPr>
  </w:style>
  <w:style w:type="paragraph" w:styleId="ListParagraph">
    <w:name w:val="List Paragraph"/>
    <w:basedOn w:val="Normal"/>
    <w:uiPriority w:val="34"/>
    <w:rsid w:val="00C106F6"/>
    <w:pPr>
      <w:ind w:left="720"/>
      <w:contextualSpacing/>
    </w:pPr>
  </w:style>
  <w:style w:type="paragraph" w:styleId="Header">
    <w:name w:val="header"/>
    <w:basedOn w:val="Normal"/>
    <w:link w:val="HeaderChar"/>
    <w:uiPriority w:val="99"/>
    <w:unhideWhenUsed/>
    <w:rsid w:val="00C106F6"/>
    <w:pPr>
      <w:tabs>
        <w:tab w:val="center" w:pos="4320"/>
        <w:tab w:val="right" w:pos="8640"/>
      </w:tabs>
    </w:pPr>
  </w:style>
  <w:style w:type="character" w:customStyle="1" w:styleId="HeaderChar">
    <w:name w:val="Header Char"/>
    <w:basedOn w:val="DefaultParagraphFont"/>
    <w:link w:val="Header"/>
    <w:uiPriority w:val="99"/>
    <w:rsid w:val="00C106F6"/>
    <w:rPr>
      <w:rFonts w:ascii="Calibri" w:hAnsi="Calibri"/>
      <w:sz w:val="22"/>
    </w:rPr>
  </w:style>
  <w:style w:type="paragraph" w:styleId="Footer">
    <w:name w:val="footer"/>
    <w:basedOn w:val="Normal"/>
    <w:link w:val="FooterChar"/>
    <w:uiPriority w:val="99"/>
    <w:unhideWhenUsed/>
    <w:rsid w:val="00C106F6"/>
    <w:pPr>
      <w:tabs>
        <w:tab w:val="center" w:pos="4320"/>
        <w:tab w:val="right" w:pos="8640"/>
      </w:tabs>
    </w:pPr>
  </w:style>
  <w:style w:type="character" w:customStyle="1" w:styleId="FooterChar">
    <w:name w:val="Footer Char"/>
    <w:basedOn w:val="DefaultParagraphFont"/>
    <w:link w:val="Footer"/>
    <w:uiPriority w:val="99"/>
    <w:rsid w:val="00C106F6"/>
    <w:rPr>
      <w:rFonts w:ascii="Calibri" w:hAnsi="Calibri"/>
      <w:sz w:val="22"/>
    </w:rPr>
  </w:style>
  <w:style w:type="character" w:styleId="PageNumber">
    <w:name w:val="page number"/>
    <w:basedOn w:val="DefaultParagraphFont"/>
    <w:uiPriority w:val="99"/>
    <w:semiHidden/>
    <w:unhideWhenUsed/>
    <w:rsid w:val="00C106F6"/>
  </w:style>
  <w:style w:type="character" w:styleId="Hyperlink">
    <w:name w:val="Hyperlink"/>
    <w:aliases w:val="heading 1 (block title),Read,Important,Card Text,Internet Link"/>
    <w:basedOn w:val="DefaultParagraphFont"/>
    <w:uiPriority w:val="99"/>
    <w:unhideWhenUsed/>
    <w:rsid w:val="00C106F6"/>
    <w:rPr>
      <w:color w:val="0000FF" w:themeColor="hyperlink"/>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rsid w:val="004B4E0E"/>
    <w:rPr>
      <w:b/>
      <w:sz w:val="24"/>
    </w:rPr>
  </w:style>
  <w:style w:type="character" w:customStyle="1" w:styleId="underline">
    <w:name w:val="underline"/>
    <w:basedOn w:val="DefaultParagraphFont"/>
    <w:link w:val="textbold"/>
    <w:qFormat/>
    <w:rsid w:val="00EC5681"/>
    <w:rPr>
      <w:u w:val="single"/>
    </w:rPr>
  </w:style>
  <w:style w:type="paragraph" w:customStyle="1" w:styleId="textbold">
    <w:name w:val="text bold"/>
    <w:basedOn w:val="Normal"/>
    <w:link w:val="underline"/>
    <w:rsid w:val="00EC5681"/>
    <w:pPr>
      <w:ind w:left="720"/>
      <w:jc w:val="both"/>
    </w:pPr>
    <w:rPr>
      <w:rFonts w:asciiTheme="minorHAnsi" w:hAnsiTheme="minorHAnsi"/>
      <w:sz w:val="24"/>
      <w:u w:val="single"/>
    </w:rPr>
  </w:style>
  <w:style w:type="paragraph" w:customStyle="1" w:styleId="card">
    <w:name w:val="card"/>
    <w:basedOn w:val="Normal"/>
    <w:link w:val="cardChar"/>
    <w:qFormat/>
    <w:rsid w:val="00EC5681"/>
    <w:pPr>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rsid w:val="00EC5681"/>
    <w:rPr>
      <w:rFonts w:ascii="Times New Roman" w:eastAsia="Times New Roman" w:hAnsi="Times New Roman" w:cs="Times New Roman"/>
      <w:kern w:val="32"/>
      <w:sz w:val="20"/>
      <w:szCs w:val="20"/>
    </w:rPr>
  </w:style>
  <w:style w:type="character" w:customStyle="1" w:styleId="verdana">
    <w:name w:val="verdana"/>
    <w:basedOn w:val="DefaultParagraphFont"/>
    <w:rsid w:val="00041820"/>
  </w:style>
  <w:style w:type="paragraph" w:customStyle="1" w:styleId="footnotedescription">
    <w:name w:val="footnote description"/>
    <w:next w:val="Normal"/>
    <w:link w:val="footnotedescriptionChar"/>
    <w:hidden/>
    <w:rsid w:val="001D595F"/>
    <w:pPr>
      <w:spacing w:line="259" w:lineRule="auto"/>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1D595F"/>
    <w:rPr>
      <w:rFonts w:ascii="Times New Roman" w:eastAsia="Times New Roman" w:hAnsi="Times New Roman" w:cs="Times New Roman"/>
      <w:color w:val="000000"/>
      <w:sz w:val="18"/>
      <w:szCs w:val="22"/>
    </w:rPr>
  </w:style>
  <w:style w:type="character" w:customStyle="1" w:styleId="footnotemark">
    <w:name w:val="footnote mark"/>
    <w:hidden/>
    <w:rsid w:val="001D595F"/>
    <w:rPr>
      <w:rFonts w:ascii="Times New Roman" w:eastAsia="Times New Roman" w:hAnsi="Times New Roman" w:cs="Times New Roman"/>
      <w:color w:val="000000"/>
      <w:sz w:val="18"/>
      <w:vertAlign w:val="superscript"/>
    </w:rPr>
  </w:style>
  <w:style w:type="paragraph" w:customStyle="1" w:styleId="Default">
    <w:name w:val="Default"/>
    <w:rsid w:val="00677EC4"/>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677EC4"/>
    <w:rPr>
      <w:rFonts w:cs="Helvetica 55 Roman"/>
      <w:b/>
      <w:bCs/>
      <w:color w:val="000000"/>
      <w:sz w:val="60"/>
      <w:szCs w:val="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106F6"/>
    <w:rPr>
      <w:rFonts w:ascii="Calibri" w:hAnsi="Calibri"/>
      <w:sz w:val="22"/>
    </w:rPr>
  </w:style>
  <w:style w:type="paragraph" w:styleId="Heading1">
    <w:name w:val="heading 1"/>
    <w:aliases w:val="Pocket"/>
    <w:basedOn w:val="Normal"/>
    <w:next w:val="Normal"/>
    <w:link w:val="Heading1Char"/>
    <w:uiPriority w:val="9"/>
    <w:qFormat/>
    <w:rsid w:val="00C106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106F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9"/>
    <w:unhideWhenUsed/>
    <w:qFormat/>
    <w:rsid w:val="00C106F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C106F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C106F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106F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106F6"/>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9"/>
    <w:qFormat/>
    <w:rsid w:val="00C106F6"/>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9"/>
    <w:rsid w:val="00C106F6"/>
    <w:rPr>
      <w:rFonts w:asciiTheme="majorHAnsi" w:eastAsiaTheme="majorEastAsia" w:hAnsiTheme="majorHAnsi" w:cstheme="majorBidi"/>
      <w:b/>
      <w:bCs/>
      <w:iCs/>
      <w:sz w:val="26"/>
    </w:rPr>
  </w:style>
  <w:style w:type="paragraph" w:styleId="NoSpacing">
    <w:name w:val="No Spacing"/>
    <w:uiPriority w:val="1"/>
    <w:rsid w:val="00C106F6"/>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C106F6"/>
    <w:rPr>
      <w:b/>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6"/>
    <w:qFormat/>
    <w:rsid w:val="00C106F6"/>
    <w:rPr>
      <w:b/>
      <w:sz w:val="22"/>
      <w:u w:val="single"/>
    </w:rPr>
  </w:style>
  <w:style w:type="paragraph" w:styleId="DocumentMap">
    <w:name w:val="Document Map"/>
    <w:basedOn w:val="Normal"/>
    <w:link w:val="DocumentMapChar"/>
    <w:uiPriority w:val="99"/>
    <w:semiHidden/>
    <w:unhideWhenUsed/>
    <w:rsid w:val="00C106F6"/>
    <w:rPr>
      <w:rFonts w:ascii="Lucida Grande" w:hAnsi="Lucida Grande" w:cs="Lucida Grande"/>
    </w:rPr>
  </w:style>
  <w:style w:type="character" w:customStyle="1" w:styleId="DocumentMapChar">
    <w:name w:val="Document Map Char"/>
    <w:basedOn w:val="DefaultParagraphFont"/>
    <w:link w:val="DocumentMap"/>
    <w:uiPriority w:val="99"/>
    <w:semiHidden/>
    <w:rsid w:val="00C106F6"/>
    <w:rPr>
      <w:rFonts w:ascii="Lucida Grande" w:hAnsi="Lucida Grande" w:cs="Lucida Grande"/>
      <w:sz w:val="22"/>
    </w:rPr>
  </w:style>
  <w:style w:type="paragraph" w:styleId="ListParagraph">
    <w:name w:val="List Paragraph"/>
    <w:basedOn w:val="Normal"/>
    <w:uiPriority w:val="34"/>
    <w:rsid w:val="00C106F6"/>
    <w:pPr>
      <w:ind w:left="720"/>
      <w:contextualSpacing/>
    </w:pPr>
  </w:style>
  <w:style w:type="paragraph" w:styleId="Header">
    <w:name w:val="header"/>
    <w:basedOn w:val="Normal"/>
    <w:link w:val="HeaderChar"/>
    <w:uiPriority w:val="99"/>
    <w:unhideWhenUsed/>
    <w:rsid w:val="00C106F6"/>
    <w:pPr>
      <w:tabs>
        <w:tab w:val="center" w:pos="4320"/>
        <w:tab w:val="right" w:pos="8640"/>
      </w:tabs>
    </w:pPr>
  </w:style>
  <w:style w:type="character" w:customStyle="1" w:styleId="HeaderChar">
    <w:name w:val="Header Char"/>
    <w:basedOn w:val="DefaultParagraphFont"/>
    <w:link w:val="Header"/>
    <w:uiPriority w:val="99"/>
    <w:rsid w:val="00C106F6"/>
    <w:rPr>
      <w:rFonts w:ascii="Calibri" w:hAnsi="Calibri"/>
      <w:sz w:val="22"/>
    </w:rPr>
  </w:style>
  <w:style w:type="paragraph" w:styleId="Footer">
    <w:name w:val="footer"/>
    <w:basedOn w:val="Normal"/>
    <w:link w:val="FooterChar"/>
    <w:uiPriority w:val="99"/>
    <w:unhideWhenUsed/>
    <w:rsid w:val="00C106F6"/>
    <w:pPr>
      <w:tabs>
        <w:tab w:val="center" w:pos="4320"/>
        <w:tab w:val="right" w:pos="8640"/>
      </w:tabs>
    </w:pPr>
  </w:style>
  <w:style w:type="character" w:customStyle="1" w:styleId="FooterChar">
    <w:name w:val="Footer Char"/>
    <w:basedOn w:val="DefaultParagraphFont"/>
    <w:link w:val="Footer"/>
    <w:uiPriority w:val="99"/>
    <w:rsid w:val="00C106F6"/>
    <w:rPr>
      <w:rFonts w:ascii="Calibri" w:hAnsi="Calibri"/>
      <w:sz w:val="22"/>
    </w:rPr>
  </w:style>
  <w:style w:type="character" w:styleId="PageNumber">
    <w:name w:val="page number"/>
    <w:basedOn w:val="DefaultParagraphFont"/>
    <w:uiPriority w:val="99"/>
    <w:semiHidden/>
    <w:unhideWhenUsed/>
    <w:rsid w:val="00C106F6"/>
  </w:style>
  <w:style w:type="character" w:styleId="Hyperlink">
    <w:name w:val="Hyperlink"/>
    <w:aliases w:val="heading 1 (block title),Read,Important,Card Text,Internet Link"/>
    <w:basedOn w:val="DefaultParagraphFont"/>
    <w:uiPriority w:val="99"/>
    <w:unhideWhenUsed/>
    <w:rsid w:val="00C106F6"/>
    <w:rPr>
      <w:color w:val="0000FF" w:themeColor="hyperlink"/>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rsid w:val="004B4E0E"/>
    <w:rPr>
      <w:b/>
      <w:sz w:val="24"/>
    </w:rPr>
  </w:style>
  <w:style w:type="character" w:customStyle="1" w:styleId="underline">
    <w:name w:val="underline"/>
    <w:basedOn w:val="DefaultParagraphFont"/>
    <w:link w:val="textbold"/>
    <w:qFormat/>
    <w:rsid w:val="00EC5681"/>
    <w:rPr>
      <w:u w:val="single"/>
    </w:rPr>
  </w:style>
  <w:style w:type="paragraph" w:customStyle="1" w:styleId="textbold">
    <w:name w:val="text bold"/>
    <w:basedOn w:val="Normal"/>
    <w:link w:val="underline"/>
    <w:rsid w:val="00EC5681"/>
    <w:pPr>
      <w:ind w:left="720"/>
      <w:jc w:val="both"/>
    </w:pPr>
    <w:rPr>
      <w:rFonts w:asciiTheme="minorHAnsi" w:hAnsiTheme="minorHAnsi"/>
      <w:sz w:val="24"/>
      <w:u w:val="single"/>
    </w:rPr>
  </w:style>
  <w:style w:type="paragraph" w:customStyle="1" w:styleId="card">
    <w:name w:val="card"/>
    <w:basedOn w:val="Normal"/>
    <w:link w:val="cardChar"/>
    <w:qFormat/>
    <w:rsid w:val="00EC5681"/>
    <w:pPr>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rsid w:val="00EC5681"/>
    <w:rPr>
      <w:rFonts w:ascii="Times New Roman" w:eastAsia="Times New Roman" w:hAnsi="Times New Roman" w:cs="Times New Roman"/>
      <w:kern w:val="32"/>
      <w:sz w:val="20"/>
      <w:szCs w:val="20"/>
    </w:rPr>
  </w:style>
  <w:style w:type="character" w:customStyle="1" w:styleId="verdana">
    <w:name w:val="verdana"/>
    <w:basedOn w:val="DefaultParagraphFont"/>
    <w:rsid w:val="00041820"/>
  </w:style>
  <w:style w:type="paragraph" w:customStyle="1" w:styleId="footnotedescription">
    <w:name w:val="footnote description"/>
    <w:next w:val="Normal"/>
    <w:link w:val="footnotedescriptionChar"/>
    <w:hidden/>
    <w:rsid w:val="001D595F"/>
    <w:pPr>
      <w:spacing w:line="259" w:lineRule="auto"/>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1D595F"/>
    <w:rPr>
      <w:rFonts w:ascii="Times New Roman" w:eastAsia="Times New Roman" w:hAnsi="Times New Roman" w:cs="Times New Roman"/>
      <w:color w:val="000000"/>
      <w:sz w:val="18"/>
      <w:szCs w:val="22"/>
    </w:rPr>
  </w:style>
  <w:style w:type="character" w:customStyle="1" w:styleId="footnotemark">
    <w:name w:val="footnote mark"/>
    <w:hidden/>
    <w:rsid w:val="001D595F"/>
    <w:rPr>
      <w:rFonts w:ascii="Times New Roman" w:eastAsia="Times New Roman" w:hAnsi="Times New Roman" w:cs="Times New Roman"/>
      <w:color w:val="000000"/>
      <w:sz w:val="18"/>
      <w:vertAlign w:val="superscript"/>
    </w:rPr>
  </w:style>
  <w:style w:type="paragraph" w:customStyle="1" w:styleId="Default">
    <w:name w:val="Default"/>
    <w:rsid w:val="00677EC4"/>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677EC4"/>
    <w:rPr>
      <w:rFonts w:cs="Helvetica 55 Roman"/>
      <w:b/>
      <w:bCs/>
      <w:color w:val="000000"/>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limate.org/topics/climate-change/ocean-uptake-climate-change.html" TargetMode="External"/><Relationship Id="rId12" Type="http://schemas.openxmlformats.org/officeDocument/2006/relationships/hyperlink" Target="http://www.gsdp.eu/"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rlfitz: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15672</Words>
  <Characters>89333</Characters>
  <Application>Microsoft Macintosh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Carl Fitz</cp:lastModifiedBy>
  <cp:revision>2</cp:revision>
  <dcterms:created xsi:type="dcterms:W3CDTF">2014-07-28T17:10:00Z</dcterms:created>
  <dcterms:modified xsi:type="dcterms:W3CDTF">2014-07-28T17:10:00Z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