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1D8" w:rsidRDefault="00DA51D8" w:rsidP="00984FEB">
      <w:pPr>
        <w:pStyle w:val="Heading1"/>
      </w:pPr>
      <w:r>
        <w:t>2014 NDI 6WS – Fitzmier, Lundberg, Abelkop</w:t>
      </w:r>
    </w:p>
    <w:p w:rsidR="000022F2" w:rsidRDefault="00984FEB" w:rsidP="00984FEB">
      <w:pPr>
        <w:pStyle w:val="Heading1"/>
      </w:pPr>
      <w:r>
        <w:lastRenderedPageBreak/>
        <w:t>DEEP OCEAN NEG</w:t>
      </w:r>
    </w:p>
    <w:p w:rsidR="007C6AC9" w:rsidRDefault="007C6AC9" w:rsidP="007C6AC9">
      <w:pPr>
        <w:pStyle w:val="Heading1"/>
      </w:pPr>
      <w:r>
        <w:lastRenderedPageBreak/>
        <w:t>PRIVATIZATION CP</w:t>
      </w:r>
    </w:p>
    <w:p w:rsidR="007C6AC9" w:rsidRDefault="007C6AC9" w:rsidP="007C6AC9">
      <w:pPr>
        <w:pStyle w:val="Heading2"/>
      </w:pPr>
      <w:r>
        <w:lastRenderedPageBreak/>
        <w:t>Privatization CP Shell</w:t>
      </w:r>
      <w:bookmarkStart w:id="0" w:name="_GoBack"/>
      <w:bookmarkEnd w:id="0"/>
    </w:p>
    <w:p w:rsidR="007C6AC9" w:rsidRDefault="007C6AC9" w:rsidP="007C6AC9">
      <w:pPr>
        <w:pStyle w:val="Heading3"/>
      </w:pPr>
      <w:r>
        <w:lastRenderedPageBreak/>
        <w:t>CP---1NC</w:t>
      </w:r>
    </w:p>
    <w:p w:rsidR="007C6AC9" w:rsidRPr="007C6AC9" w:rsidRDefault="007C6AC9" w:rsidP="007C6AC9">
      <w:pPr>
        <w:pStyle w:val="Heading4"/>
        <w:rPr>
          <w:rFonts w:asciiTheme="minorHAnsi" w:hAnsiTheme="minorHAnsi"/>
          <w:sz w:val="28"/>
        </w:rPr>
      </w:pPr>
      <w:r w:rsidRPr="00C614EC">
        <w:rPr>
          <w:rFonts w:asciiTheme="minorHAnsi" w:hAnsiTheme="minorHAnsi"/>
          <w:sz w:val="28"/>
        </w:rPr>
        <w:t xml:space="preserve">Text: The United States federal government should provide a substantial tax credit to private companies for the purposes of </w:t>
      </w:r>
      <w:r>
        <w:rPr>
          <w:rFonts w:asciiTheme="minorHAnsi" w:hAnsiTheme="minorHAnsi"/>
          <w:sz w:val="28"/>
        </w:rPr>
        <w:t>increasing deep ocean exploration</w:t>
      </w:r>
      <w:r w:rsidRPr="00C614EC">
        <w:rPr>
          <w:rFonts w:asciiTheme="minorHAnsi" w:hAnsiTheme="minorHAnsi"/>
          <w:sz w:val="28"/>
        </w:rPr>
        <w:t xml:space="preserve">. </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 xml:space="preserve">Incentives solve best -- encourages research and development </w:t>
      </w:r>
    </w:p>
    <w:p w:rsidR="007C6AC9" w:rsidRPr="00C614EC" w:rsidRDefault="007C6AC9" w:rsidP="007C6AC9">
      <w:pPr>
        <w:rPr>
          <w:rFonts w:asciiTheme="minorHAnsi" w:hAnsiTheme="minorHAnsi"/>
          <w:sz w:val="16"/>
        </w:rPr>
      </w:pPr>
      <w:r w:rsidRPr="00C614EC">
        <w:rPr>
          <w:rStyle w:val="StyleStyleBold12pt"/>
          <w:rFonts w:asciiTheme="minorHAnsi" w:hAnsiTheme="minorHAnsi"/>
          <w:sz w:val="28"/>
          <w:lang w:val="fr-FR"/>
        </w:rPr>
        <w:t>McNutt et. Al 2k</w:t>
      </w:r>
      <w:r w:rsidRPr="00C614EC">
        <w:rPr>
          <w:rFonts w:asciiTheme="minorHAnsi" w:hAnsiTheme="minorHAnsi"/>
          <w:sz w:val="16"/>
          <w:lang w:val="fr-FR"/>
        </w:rPr>
        <w:t xml:space="preserve"> [DR. </w:t>
      </w:r>
      <w:r w:rsidRPr="00C614EC">
        <w:rPr>
          <w:rFonts w:asciiTheme="minorHAnsi" w:hAnsiTheme="minorHAnsi"/>
          <w:sz w:val="16"/>
        </w:rPr>
        <w:t>MARCIA McNUTT, Monterey Bay Aquarium Research Institute, DR. VERA ALEXANDER University of Alaska, Fairbanks MR. JESSE AUSUBEL Alfred P. Sloan Foundation DR. ROBERT D. BALLARD National Geographic Society, Institute for Exploration MR. THOMAS CHANCE C &amp; C Technologies, Inc. MR. PETER DOUGLAS California Coastal Commission DR. SYLVIA EARLE National Geographic Society, Sustainable Seas Expeditions DR. JAMES ESTES University of California, Santa Cruz DR. DANIEL J. FORNARI Woods Hole Oceanographic Institution DR. ARNOLD L. GORDON Lamont-Doherty Earth Observatory, Columbia University,DR. FRED GRASSLE, Rutgers University DR. SUE HENDRICKSON Underwater Archaeologist MS. PAULA KEENER-CHAVIS National Marine Educators Association DR. LARRY MAYER University of New Hampshire DR. ARTHUR E. MAXWELL University of Texas, Austin DR. WILLIAM J. MERRELL H. John Heinz III Center for Science, Economics, and the Environment DR. JOHN MORRISON North Carolina State University DR. JOHN ORCUTT Scripps Institution of Oceanography DR. ELLEN PIKITCH Wildlife Conservation Society DR. SHIRLEY POMPONI Harbor Branch Oceanographic Institution MS. URSULA SEXTON National Science Teachers Association, Teacher-of-the-Year, DR. JEFFREY STEIN Quorex Pharmaceuticals, Inc. DR. GEORGE BOEHLERT* National Oceanic and Atmospheric Administration DR. JOAN CLEVELAND* United States Navy DR. THOMAS CURTIN* United States Navy DR. ROBERT EMBLEY* National Oceanic and Atmospheric Administration DR. ERIC LINDSTROM* National Aeronautics and Space Administration DR. MICHAEL PURDY* National Science Foundation DR. MICHAEL REEVE* National Science Foundation DR. WILLIAM SCHWAB* United States Geological Survey DR. MICHAEL SISSENWINE* National Oceanic and Atmospheric Adminstration DR. RICHARD SPINRAD* United States Navy, “DISCOVERING EARTH’S FINAL FRONTIER: A U.S. STRATEGY FOR OCEAN EXPLORATION,” Page 53, President’s Panel on Ocean Exploration, http://explore.noaa.gov/sites/OER/Documents/about-oer/program-review/presidents-panel-on-ocean-exploration-report.pdf]</w:t>
      </w:r>
    </w:p>
    <w:p w:rsidR="007C6AC9" w:rsidRPr="007C6AC9" w:rsidRDefault="007C6AC9" w:rsidP="007C6AC9">
      <w:r w:rsidRPr="00C614EC">
        <w:rPr>
          <w:rStyle w:val="StyleBoldUnderline"/>
          <w:rFonts w:asciiTheme="minorHAnsi" w:hAnsiTheme="minorHAnsi"/>
        </w:rPr>
        <w:t>Exploring the world's oceans and discovering new resources</w:t>
      </w:r>
      <w:r w:rsidRPr="00C614EC">
        <w:rPr>
          <w:rFonts w:asciiTheme="minorHAnsi" w:hAnsiTheme="minorHAnsi"/>
          <w:sz w:val="16"/>
        </w:rPr>
        <w:t xml:space="preserve">, both living and non living, </w:t>
      </w:r>
      <w:r w:rsidRPr="00C614EC">
        <w:rPr>
          <w:rStyle w:val="StyleBoldUnderline"/>
          <w:rFonts w:asciiTheme="minorHAnsi" w:hAnsiTheme="minorHAnsi"/>
        </w:rPr>
        <w:t>will</w:t>
      </w:r>
      <w:r w:rsidRPr="00C614EC">
        <w:rPr>
          <w:rFonts w:asciiTheme="minorHAnsi" w:hAnsiTheme="minorHAnsi"/>
          <w:sz w:val="16"/>
        </w:rPr>
        <w:t xml:space="preserve"> lead scientists to further evaluate the potential of these resources to be developed into useful products to </w:t>
      </w:r>
      <w:r w:rsidRPr="00C614EC">
        <w:rPr>
          <w:rStyle w:val="StyleBoldUnderline"/>
          <w:rFonts w:asciiTheme="minorHAnsi" w:hAnsiTheme="minorHAnsi"/>
        </w:rPr>
        <w:t>benefit mankind.</w:t>
      </w:r>
      <w:r w:rsidRPr="00C614EC">
        <w:rPr>
          <w:rFonts w:asciiTheme="minorHAnsi" w:hAnsiTheme="minorHAnsi"/>
          <w:sz w:val="16"/>
        </w:rPr>
        <w:t xml:space="preserve"> Ensuring the identification and subsequent research and development of these discoveries is a necessary follow-up to exploration. Thus, </w:t>
      </w:r>
      <w:r w:rsidRPr="00C614EC">
        <w:rPr>
          <w:rStyle w:val="StyleBoldUnderline"/>
          <w:rFonts w:asciiTheme="minorHAnsi" w:hAnsiTheme="minorHAnsi"/>
        </w:rPr>
        <w:t>important components of</w:t>
      </w:r>
      <w:r w:rsidRPr="00C614EC">
        <w:rPr>
          <w:rFonts w:asciiTheme="minorHAnsi" w:hAnsiTheme="minorHAnsi"/>
          <w:sz w:val="16"/>
        </w:rPr>
        <w:t xml:space="preserve"> a U.S</w:t>
      </w:r>
      <w:r w:rsidRPr="00C614EC">
        <w:rPr>
          <w:rStyle w:val="StyleBoldUnderline"/>
          <w:rFonts w:asciiTheme="minorHAnsi" w:hAnsiTheme="minorHAnsi"/>
        </w:rPr>
        <w:t>. Ocean Exploration</w:t>
      </w:r>
      <w:r w:rsidRPr="00C614EC">
        <w:rPr>
          <w:rFonts w:asciiTheme="minorHAnsi" w:hAnsiTheme="minorHAnsi"/>
          <w:sz w:val="16"/>
        </w:rPr>
        <w:t xml:space="preserve"> Program </w:t>
      </w:r>
      <w:r w:rsidRPr="00C614EC">
        <w:rPr>
          <w:rStyle w:val="StyleBoldUnderline"/>
          <w:rFonts w:asciiTheme="minorHAnsi" w:hAnsiTheme="minorHAnsi"/>
        </w:rPr>
        <w:t>will be the support</w:t>
      </w:r>
      <w:r w:rsidRPr="00C614EC">
        <w:rPr>
          <w:rFonts w:asciiTheme="minorHAnsi" w:hAnsiTheme="minorHAnsi"/>
          <w:sz w:val="16"/>
        </w:rPr>
        <w:t xml:space="preserve"> of research </w:t>
      </w:r>
      <w:r w:rsidRPr="00C614EC">
        <w:rPr>
          <w:rStyle w:val="StyleBoldUnderline"/>
          <w:rFonts w:asciiTheme="minorHAnsi" w:hAnsiTheme="minorHAnsi"/>
        </w:rPr>
        <w:t>by</w:t>
      </w:r>
      <w:r w:rsidRPr="00C614EC">
        <w:rPr>
          <w:rFonts w:asciiTheme="minorHAnsi" w:hAnsiTheme="minorHAnsi"/>
          <w:sz w:val="16"/>
        </w:rPr>
        <w:t xml:space="preserve">: — Enhancing funding initiatives men federal agencies to support early-phase research on discoveries with commercial potential identifying the commercial potential of both /Wing and non frying resources mill/ require a multidisciplinary, coordinated, and integrated approach to exploration. Newly discovered giants; animals; microbes, and minerals must be analyzed using state-of-the-art technology to determine Mei/r usefulness as pharmaceuticals; nutritional supplements; and fine chemicals for research and industrial applkabOns. Relevant federal agencies must ensure support for early-phase research by establishing new programs specifically targeted for research on discoveries from the Ocean Exploration Program in addition to the programs that currently exist to support short-term, high-risk research on the /Wing and non frying 'products" of exploration, federal agencies need to emphasize, prioritize, and fast/rack research initiatives on the 'products" of the Ocean Exploration Program. — </w:t>
      </w:r>
      <w:r w:rsidRPr="00C614EC">
        <w:rPr>
          <w:rStyle w:val="StyleBoldUnderline"/>
          <w:rFonts w:asciiTheme="minorHAnsi" w:hAnsiTheme="minorHAnsi"/>
        </w:rPr>
        <w:t>Providing incentives (such as tax credits; grants, and favorable //tensing terms) to private industry to encourage the funding of research and development of discoveries with commercial potential</w:t>
      </w:r>
      <w:r w:rsidRPr="00C614EC">
        <w:rPr>
          <w:rFonts w:asciiTheme="minorHAnsi" w:hAnsiTheme="minorHAnsi"/>
          <w:sz w:val="16"/>
        </w:rPr>
        <w:t xml:space="preserve"> Private-sector involvement E critical Although mechanisms et/ to smart and encouragepartner-shOs between industry, academia, and government (eg, Small Business /min/an Research ISSYRJ and Sinai/ Technology Transfer Research [STTRJ programs), these programs are not oriented to support the early-phase research that 4- necessary to identik discoveries with commercial potentz-st incentives shouldheprovide/ to industriatponsors of high-rick, early phase, research who are wit/ing to support research directly or through ancillary program support </w:t>
      </w:r>
      <w:r w:rsidRPr="00C614EC">
        <w:rPr>
          <w:rStyle w:val="StyleBoldUnderline"/>
          <w:rFonts w:asciiTheme="minorHAnsi" w:hAnsiTheme="minorHAnsi"/>
        </w:rPr>
        <w:t>These incentives should include, but not be /knifed to, tax credits, giants, and favor-able licensing terms.</w:t>
      </w:r>
      <w:r w:rsidRPr="00C614EC">
        <w:rPr>
          <w:rFonts w:asciiTheme="minorHAnsi" w:hAnsiTheme="minorHAnsi"/>
          <w:sz w:val="16"/>
        </w:rPr>
        <w:t xml:space="preserve"> Specific attention should be given to incentives Mr ocean industries to provide platforms /or data gathering (eg, offshore oil/gas pia/forms, seismic vessels, drill ships) during routine operations and during windows a `oppor-tunity for dedicated data gathering during ocean transits (e.g., mobilization and demobilization from remote areas).</w:t>
      </w:r>
      <w:r w:rsidRPr="00C614EC">
        <w:rPr>
          <w:rFonts w:asciiTheme="minorHAnsi" w:hAnsiTheme="minorHAnsi"/>
          <w:sz w:val="16"/>
        </w:rPr>
        <w:cr/>
      </w:r>
    </w:p>
    <w:p w:rsidR="007C6AC9" w:rsidRDefault="007C6AC9" w:rsidP="007C6AC9">
      <w:pPr>
        <w:pStyle w:val="Heading2"/>
      </w:pPr>
      <w:r>
        <w:lastRenderedPageBreak/>
        <w:t>2NC Solvency</w:t>
      </w:r>
    </w:p>
    <w:p w:rsidR="007C6AC9" w:rsidRPr="00C614EC" w:rsidRDefault="007C6AC9" w:rsidP="007C6AC9">
      <w:pPr>
        <w:pStyle w:val="Heading3"/>
      </w:pPr>
      <w:r w:rsidRPr="00C614EC">
        <w:lastRenderedPageBreak/>
        <w:t>2NC Solvency</w:t>
      </w:r>
      <w:r>
        <w:t xml:space="preserve"> OV</w:t>
      </w:r>
    </w:p>
    <w:p w:rsidR="007C6AC9" w:rsidRPr="00C614EC" w:rsidRDefault="007C6AC9" w:rsidP="007C6AC9">
      <w:pPr>
        <w:pStyle w:val="Heading4"/>
        <w:rPr>
          <w:rFonts w:asciiTheme="minorHAnsi" w:hAnsiTheme="minorHAnsi"/>
          <w:sz w:val="28"/>
          <w:lang w:eastAsia="ko-KR"/>
        </w:rPr>
      </w:pPr>
      <w:r w:rsidRPr="00C614EC">
        <w:rPr>
          <w:rFonts w:asciiTheme="minorHAnsi" w:hAnsiTheme="minorHAnsi"/>
          <w:sz w:val="28"/>
          <w:lang w:eastAsia="ko-KR"/>
        </w:rPr>
        <w:t>Counterplan solves 100% of the case – incentives like tax exemptions uniquely incentivize private sector development – it spurs ingenuity and development. This is better than the aff for TWO reasons:</w:t>
      </w:r>
    </w:p>
    <w:p w:rsidR="007C6AC9" w:rsidRPr="00C614EC" w:rsidRDefault="007C6AC9" w:rsidP="007C6AC9">
      <w:pPr>
        <w:pStyle w:val="Heading4"/>
        <w:rPr>
          <w:rFonts w:asciiTheme="minorHAnsi" w:hAnsiTheme="minorHAnsi"/>
          <w:sz w:val="28"/>
          <w:lang w:eastAsia="ko-KR"/>
        </w:rPr>
      </w:pPr>
      <w:r w:rsidRPr="00C614EC">
        <w:rPr>
          <w:rFonts w:asciiTheme="minorHAnsi" w:hAnsiTheme="minorHAnsi"/>
          <w:sz w:val="28"/>
          <w:lang w:eastAsia="ko-KR"/>
        </w:rPr>
        <w:t xml:space="preserve">A) Long term investment - the only way to sustain long term investment in the plan is to catalyze the private sector. The impacts of the aff are long term – the only way to sustain interest in the project and keep technology current is to incentivize private involvement. </w:t>
      </w:r>
    </w:p>
    <w:p w:rsidR="007C6AC9" w:rsidRPr="00C614EC" w:rsidRDefault="007C6AC9" w:rsidP="007C6AC9">
      <w:pPr>
        <w:pStyle w:val="Heading4"/>
        <w:rPr>
          <w:rFonts w:asciiTheme="minorHAnsi" w:hAnsiTheme="minorHAnsi"/>
          <w:sz w:val="28"/>
          <w:lang w:eastAsia="ko-KR"/>
        </w:rPr>
      </w:pPr>
      <w:r w:rsidRPr="00C614EC">
        <w:rPr>
          <w:rFonts w:asciiTheme="minorHAnsi" w:hAnsiTheme="minorHAnsi"/>
          <w:sz w:val="28"/>
          <w:lang w:eastAsia="ko-KR"/>
        </w:rPr>
        <w:t>B) Best technology – the counterplan spurs companies to create the most cutting edge and effective technology so we will be better prepared to explore the ocean.</w:t>
      </w:r>
    </w:p>
    <w:p w:rsidR="007C6AC9" w:rsidRPr="00C614EC" w:rsidRDefault="007C6AC9" w:rsidP="007C6AC9">
      <w:pPr>
        <w:rPr>
          <w:rFonts w:asciiTheme="minorHAnsi" w:hAnsiTheme="minorHAnsi"/>
          <w:lang w:eastAsia="ko-KR"/>
        </w:rPr>
      </w:pPr>
    </w:p>
    <w:p w:rsidR="007C6AC9" w:rsidRPr="00C614EC" w:rsidRDefault="007C6AC9" w:rsidP="007C6AC9">
      <w:pPr>
        <w:pStyle w:val="Heading4"/>
        <w:rPr>
          <w:rFonts w:asciiTheme="minorHAnsi" w:hAnsiTheme="minorHAnsi"/>
          <w:sz w:val="28"/>
        </w:rPr>
      </w:pPr>
      <w:r w:rsidRPr="00C614EC">
        <w:rPr>
          <w:rFonts w:asciiTheme="minorHAnsi" w:hAnsiTheme="minorHAnsi"/>
          <w:sz w:val="28"/>
        </w:rPr>
        <w:t>Private-public cooperation is key to enhance future exploration</w:t>
      </w:r>
    </w:p>
    <w:p w:rsidR="007C6AC9" w:rsidRPr="00C614EC" w:rsidRDefault="007C6AC9" w:rsidP="007C6AC9">
      <w:pPr>
        <w:rPr>
          <w:rFonts w:asciiTheme="minorHAnsi" w:hAnsiTheme="minorHAnsi"/>
        </w:rPr>
      </w:pPr>
      <w:r w:rsidRPr="00C614EC">
        <w:rPr>
          <w:rStyle w:val="StyleStyleBold12pt"/>
          <w:rFonts w:asciiTheme="minorHAnsi" w:hAnsiTheme="minorHAnsi"/>
          <w:sz w:val="28"/>
        </w:rPr>
        <w:t>USGOP 14</w:t>
      </w:r>
      <w:r w:rsidRPr="00C614EC">
        <w:rPr>
          <w:rFonts w:asciiTheme="minorHAnsi" w:hAnsiTheme="minorHAnsi"/>
        </w:rPr>
        <w:t xml:space="preserve"> [US Government Printing Office, 2014, DEEP SEA CHALLENGE: INNOVATIVE PARTNERSHIPS IN OCEAN OBSERVATION, HEARING before the SUBCOMMITTEE ON OCEANS, ATMOSPHERE, FISHERIES, AND COAST GUARD of the COMMITTEE ON COMMERCE, SCIENCE, AND TRANSPORTATION UNITED STATES SENATE ONE HUNDRED THIRTEENTH CONGRESS FIRST SESSION JUNE 11, 2013, http://www.gpo.gov/fdsys/pkg/CHRG-113shrg87852/html/CHRG-113shrg87852.htm]</w:t>
      </w:r>
    </w:p>
    <w:p w:rsidR="007C6AC9" w:rsidRPr="00C614EC" w:rsidRDefault="007C6AC9" w:rsidP="007C6AC9">
      <w:pPr>
        <w:rPr>
          <w:rStyle w:val="StyleBoldUnderline"/>
          <w:rFonts w:asciiTheme="minorHAnsi" w:hAnsiTheme="minorHAnsi"/>
        </w:rPr>
      </w:pPr>
      <w:r w:rsidRPr="00C614EC">
        <w:rPr>
          <w:rFonts w:asciiTheme="minorHAnsi" w:hAnsiTheme="minorHAnsi"/>
        </w:rPr>
        <w:t xml:space="preserve">Answer. </w:t>
      </w:r>
      <w:r w:rsidRPr="00C614EC">
        <w:rPr>
          <w:rStyle w:val="StyleBoldUnderline"/>
          <w:rFonts w:asciiTheme="minorHAnsi" w:hAnsiTheme="minorHAnsi"/>
        </w:rPr>
        <w:t>Partnerships between government and industry can help to inspire and encourage future explorers by providing them access to data, information, and technology on ocean environments.</w:t>
      </w:r>
      <w:r w:rsidRPr="00C614EC">
        <w:rPr>
          <w:rFonts w:asciiTheme="minorHAnsi" w:hAnsiTheme="minorHAnsi"/>
        </w:rPr>
        <w:t xml:space="preserve"> The key, however, is to not try to prescribe this. What is essential is to have the partnership between government and industry be the type of healthy relationships described here. From these partnerships there will be myriad and excitingly unpredictable pathways to inspire and encourage future explorers. </w:t>
      </w:r>
      <w:r w:rsidRPr="00C614EC">
        <w:rPr>
          <w:rStyle w:val="StyleBoldUnderline"/>
          <w:rFonts w:asciiTheme="minorHAnsi" w:hAnsiTheme="minorHAnsi"/>
        </w:rPr>
        <w:t xml:space="preserve">Creative minds love to educate the others through providing ways to enhance exploration. </w:t>
      </w:r>
      <w:r w:rsidRPr="00C614EC">
        <w:rPr>
          <w:rFonts w:asciiTheme="minorHAnsi" w:hAnsiTheme="minorHAnsi"/>
        </w:rPr>
        <w:t xml:space="preserve">Examples from NANOOS region: A marine sensor company, Nortek USA, is a NANOOS member. They serve on our Governing Council and some of our PIs utilize their sensors on the observing assets, though this is not mandated. However, Nortek benefits from connecting with our PIs. </w:t>
      </w:r>
      <w:r w:rsidRPr="00C614EC">
        <w:rPr>
          <w:rStyle w:val="StyleBoldUnderline"/>
          <w:rFonts w:asciiTheme="minorHAnsi" w:hAnsiTheme="minorHAnsi"/>
        </w:rPr>
        <w:t>While ocean sensor providers are in a for profit industry, most of them found that field because of their excitement to study the ocean and their passion to figure out how to do it better</w:t>
      </w:r>
      <w:r w:rsidRPr="00C614EC">
        <w:rPr>
          <w:rFonts w:asciiTheme="minorHAnsi" w:hAnsiTheme="minorHAnsi"/>
        </w:rPr>
        <w:t xml:space="preserve">. So, </w:t>
      </w:r>
      <w:r w:rsidRPr="00C614EC">
        <w:rPr>
          <w:rStyle w:val="StyleBoldUnderline"/>
          <w:rFonts w:asciiTheme="minorHAnsi" w:hAnsiTheme="minorHAnsi"/>
        </w:rPr>
        <w:t>it was quite befitting that as their industry has survived, in part because of ocean observing programs like IOOS, they have figured out how to give back and entrain others</w:t>
      </w:r>
      <w:r w:rsidRPr="00C614EC">
        <w:rPr>
          <w:rFonts w:asciiTheme="minorHAnsi" w:hAnsiTheme="minorHAnsi"/>
        </w:rPr>
        <w:t xml:space="preserve">. Nortek created a scholarship program for students to use their equipment on research projects and an annual science meeting where students come to present their results. As NANOOS Executive Director, I have been asked to be their keynote speaker in the past; they continue to pull in passionate scientists to this role each year to inspire the next generation of ocean observers. Another example is the Microsoft Research, a NANOOS partner mentioned in my response to question 2, showcased our observational data and ocean model results in a 3-D presentation at the local Pacific Science Center's first ever Seattle Science Festival . . . a wildly successful event with over 20,000 attendees that is now an annual affair. A quote from one of their leads ``Going forward: I'd love to do more with NANOOS, I don't need funds as such but I am always time- limited . . .'' implies that creativity, desire, and, in this case, even funds are not the limitation. </w:t>
      </w:r>
      <w:r w:rsidRPr="00C614EC">
        <w:rPr>
          <w:rStyle w:val="StyleBoldUnderline"/>
          <w:rFonts w:asciiTheme="minorHAnsi" w:hAnsiTheme="minorHAnsi"/>
        </w:rPr>
        <w:t xml:space="preserve">A successful outgrowth of this partnering has </w:t>
      </w:r>
      <w:r w:rsidRPr="00C614EC">
        <w:rPr>
          <w:rStyle w:val="StyleBoldUnderline"/>
          <w:rFonts w:asciiTheme="minorHAnsi" w:hAnsiTheme="minorHAnsi"/>
        </w:rPr>
        <w:lastRenderedPageBreak/>
        <w:t>been engagement of both parties in the desire to display ocean data in more immersive ways</w:t>
      </w:r>
      <w:r w:rsidRPr="00C614EC">
        <w:rPr>
          <w:rFonts w:asciiTheme="minorHAnsi" w:hAnsiTheme="minorHAnsi"/>
        </w:rPr>
        <w:t xml:space="preserve"> . . . t</w:t>
      </w:r>
      <w:r w:rsidRPr="00C614EC">
        <w:rPr>
          <w:rStyle w:val="StyleBoldUnderline"/>
          <w:rFonts w:asciiTheme="minorHAnsi" w:hAnsiTheme="minorHAnsi"/>
        </w:rPr>
        <w:t>he partnership still in its formative stage, shows a good match and how the public,</w:t>
      </w:r>
      <w:r w:rsidRPr="00C614EC">
        <w:rPr>
          <w:rFonts w:asciiTheme="minorHAnsi" w:hAnsiTheme="minorHAnsi"/>
        </w:rPr>
        <w:t xml:space="preserve"> via the Pacific Science Center in Seattle, but also via the web worldwide</w:t>
      </w:r>
      <w:r w:rsidRPr="00C614EC">
        <w:rPr>
          <w:rStyle w:val="StyleBoldUnderline"/>
          <w:rFonts w:asciiTheme="minorHAnsi" w:hAnsiTheme="minorHAnsi"/>
        </w:rPr>
        <w:t>, will benefit</w:t>
      </w:r>
      <w:r w:rsidRPr="00C614EC">
        <w:rPr>
          <w:rFonts w:asciiTheme="minorHAnsi" w:hAnsiTheme="minorHAnsi"/>
        </w:rPr>
        <w:t xml:space="preserve">. I think </w:t>
      </w:r>
      <w:r w:rsidRPr="00C614EC">
        <w:rPr>
          <w:rStyle w:val="StyleBoldUnderline"/>
          <w:rFonts w:asciiTheme="minorHAnsi" w:hAnsiTheme="minorHAnsi"/>
        </w:rPr>
        <w:t>these two examples show that private industry has a wide diversity of ways to inspire and encourage future explorers. The key is to have the partnering infrastructure of humans that can connect locally in a meaningful context.</w:t>
      </w:r>
    </w:p>
    <w:p w:rsidR="007C6AC9" w:rsidRPr="00C614EC" w:rsidRDefault="007C6AC9" w:rsidP="007C6AC9">
      <w:pPr>
        <w:rPr>
          <w:rStyle w:val="StyleBoldUnderline"/>
          <w:rFonts w:asciiTheme="minorHAnsi" w:hAnsiTheme="minorHAnsi"/>
        </w:rPr>
      </w:pPr>
    </w:p>
    <w:p w:rsidR="007C6AC9" w:rsidRPr="00C614EC" w:rsidRDefault="007C6AC9" w:rsidP="007C6AC9">
      <w:pPr>
        <w:pStyle w:val="Heading4"/>
        <w:rPr>
          <w:rFonts w:asciiTheme="minorHAnsi" w:hAnsiTheme="minorHAnsi"/>
          <w:sz w:val="28"/>
        </w:rPr>
      </w:pPr>
      <w:r w:rsidRPr="00C614EC">
        <w:rPr>
          <w:rFonts w:asciiTheme="minorHAnsi" w:hAnsiTheme="minorHAnsi"/>
          <w:sz w:val="28"/>
        </w:rPr>
        <w:t>Private implementation is comparatively better -- fills in for failing public sector -- Christopher Columbus proves</w:t>
      </w:r>
    </w:p>
    <w:p w:rsidR="007C6AC9" w:rsidRPr="00C614EC" w:rsidRDefault="007C6AC9" w:rsidP="007C6AC9">
      <w:pPr>
        <w:rPr>
          <w:rFonts w:asciiTheme="minorHAnsi" w:hAnsiTheme="minorHAnsi"/>
        </w:rPr>
      </w:pPr>
      <w:r w:rsidRPr="00C614EC">
        <w:rPr>
          <w:rStyle w:val="StyleStyleBold12pt"/>
          <w:rFonts w:asciiTheme="minorHAnsi" w:hAnsiTheme="minorHAnsi"/>
          <w:sz w:val="28"/>
        </w:rPr>
        <w:t>Mangu-Ward 13</w:t>
      </w:r>
      <w:r w:rsidRPr="00C614EC">
        <w:rPr>
          <w:rFonts w:asciiTheme="minorHAnsi" w:hAnsiTheme="minorHAnsi"/>
        </w:rPr>
        <w:t xml:space="preserve"> [Is the Ocean the Real Final Frontier? The sea is the underdog, but it has some advantages over space, By Katherine Mangu-Ward, managing editor of Reason magazine and a Future Tense fellow at the New America Foundation, Published in 2013, http://www.slate.com/articles/technology/future_tense/2013/09/sea_vs_space_which_is_the_real_final_frontier.html]</w:t>
      </w:r>
    </w:p>
    <w:p w:rsidR="007C6AC9" w:rsidRPr="00C614EC" w:rsidRDefault="007C6AC9" w:rsidP="007C6AC9">
      <w:pPr>
        <w:rPr>
          <w:rFonts w:asciiTheme="minorHAnsi" w:hAnsiTheme="minorHAnsi"/>
        </w:rPr>
      </w:pPr>
      <w:r w:rsidRPr="00C614EC">
        <w:rPr>
          <w:rFonts w:asciiTheme="minorHAnsi" w:hAnsiTheme="minorHAnsi"/>
        </w:rPr>
        <w:t xml:space="preserve">But the way Söhnlein tells the story, this zero sum mind-set is the result of a relatively recent historical quirk: For most of the history of human exploration, private funding was the order of the day. </w:t>
      </w:r>
      <w:r w:rsidRPr="00C614EC">
        <w:rPr>
          <w:rStyle w:val="StyleBoldUnderline"/>
          <w:rFonts w:asciiTheme="minorHAnsi" w:hAnsiTheme="minorHAnsi"/>
        </w:rPr>
        <w:t>Even some of the most famous examples of state-backed exploration</w:t>
      </w:r>
      <w:r w:rsidRPr="00C614EC">
        <w:rPr>
          <w:rFonts w:asciiTheme="minorHAnsi" w:hAnsiTheme="minorHAnsi"/>
        </w:rPr>
        <w:t>—</w:t>
      </w:r>
      <w:r w:rsidRPr="00C614EC">
        <w:rPr>
          <w:rStyle w:val="StyleBoldUnderline"/>
          <w:rFonts w:asciiTheme="minorHAnsi" w:hAnsiTheme="minorHAnsi"/>
        </w:rPr>
        <w:t>Christopher Columbus’ long petitioning of Ferdinand and Isabella of Spain</w:t>
      </w:r>
      <w:r w:rsidRPr="00C614EC">
        <w:rPr>
          <w:rFonts w:asciiTheme="minorHAnsi" w:hAnsiTheme="minorHAnsi"/>
        </w:rPr>
        <w:t>, for instance, or Sir Edmund Hillary’s quest to climb to the top of Everest—</w:t>
      </w:r>
      <w:r w:rsidRPr="00C614EC">
        <w:rPr>
          <w:rStyle w:val="StyleBoldUnderline"/>
          <w:rFonts w:asciiTheme="minorHAnsi" w:hAnsiTheme="minorHAnsi"/>
        </w:rPr>
        <w:t>were actually funded primarily by private investors or nonprofits.</w:t>
      </w:r>
      <w:r w:rsidRPr="00C614EC">
        <w:rPr>
          <w:rFonts w:asciiTheme="minorHAnsi" w:hAnsiTheme="minorHAnsi"/>
        </w:rPr>
        <w:t xml:space="preserve"> But that changed with the Cold War, when the race to the moon was fueled by government money and gushers of defense spending wound up channeled into submarine development and other oceangoing tech. “That does lead to an either/or mentality. That federal money is taxpayer money which has to be accounted for, and it is a finite pool that you have to draw from against competing needs, against health care, science, welfare,” says Söhnlein. “</w:t>
      </w:r>
      <w:r w:rsidRPr="00C614EC">
        <w:rPr>
          <w:rStyle w:val="StyleBoldUnderline"/>
          <w:rFonts w:asciiTheme="minorHAnsi" w:hAnsiTheme="minorHAnsi"/>
        </w:rPr>
        <w:t>In the last 10 to 15 years, we are seeing a renaissance of private finding of exploration ventures</w:t>
      </w:r>
      <w:r w:rsidRPr="00C614EC">
        <w:rPr>
          <w:rFonts w:asciiTheme="minorHAnsi" w:hAnsiTheme="minorHAnsi"/>
        </w:rPr>
        <w:t>. On the space side we call it New Space, on the ocean side we have similar ventures.” And the austerity of the current moment doesn’t hurt. “</w:t>
      </w:r>
      <w:r w:rsidRPr="00C614EC">
        <w:rPr>
          <w:rStyle w:val="Emphasis"/>
          <w:rFonts w:asciiTheme="minorHAnsi" w:hAnsiTheme="minorHAnsi"/>
        </w:rPr>
        <w:t>The private sector is stepping up as public falls down</w:t>
      </w:r>
      <w:r w:rsidRPr="00C614EC">
        <w:rPr>
          <w:rStyle w:val="StyleBoldUnderline"/>
          <w:rFonts w:asciiTheme="minorHAnsi" w:hAnsiTheme="minorHAnsi"/>
        </w:rPr>
        <w:t>. We’re really returning to the way it always was</w:t>
      </w:r>
      <w:r w:rsidRPr="00C614EC">
        <w:rPr>
          <w:rFonts w:asciiTheme="minorHAnsi" w:hAnsiTheme="minorHAnsi"/>
        </w:rPr>
        <w:t xml:space="preserve">.” </w:t>
      </w:r>
      <w:r w:rsidRPr="00C614EC">
        <w:rPr>
          <w:rStyle w:val="StyleBoldUnderline"/>
          <w:rFonts w:asciiTheme="minorHAnsi" w:hAnsiTheme="minorHAnsi"/>
        </w:rPr>
        <w:t>And when it’s private dough, the whole thing stops being a competition</w:t>
      </w:r>
      <w:r w:rsidRPr="00C614EC">
        <w:rPr>
          <w:rFonts w:asciiTheme="minorHAnsi" w:hAnsiTheme="minorHAnsi"/>
        </w:rPr>
        <w:t>. Instead, it depends on what individuals with deep pockets are pumped about—or what makes for a good sell on a crowdfunding site like Kickstarter.</w:t>
      </w:r>
    </w:p>
    <w:p w:rsidR="007C6AC9" w:rsidRPr="00C614EC" w:rsidRDefault="007C6AC9" w:rsidP="007C6AC9">
      <w:pPr>
        <w:pStyle w:val="Heading4"/>
        <w:rPr>
          <w:rFonts w:asciiTheme="minorHAnsi" w:hAnsiTheme="minorHAnsi" w:cs="Times New Roman"/>
          <w:sz w:val="28"/>
        </w:rPr>
      </w:pPr>
      <w:r w:rsidRPr="00C614EC">
        <w:rPr>
          <w:rFonts w:asciiTheme="minorHAnsi" w:hAnsiTheme="minorHAnsi" w:cs="Times New Roman"/>
          <w:sz w:val="28"/>
        </w:rPr>
        <w:t>Tax incentives are key to ocean energy development</w:t>
      </w:r>
    </w:p>
    <w:p w:rsidR="007C6AC9" w:rsidRPr="00C614EC" w:rsidRDefault="007C6AC9" w:rsidP="007C6AC9">
      <w:pPr>
        <w:rPr>
          <w:rFonts w:asciiTheme="minorHAnsi" w:hAnsiTheme="minorHAnsi"/>
        </w:rPr>
      </w:pPr>
      <w:r w:rsidRPr="00C614EC">
        <w:rPr>
          <w:rStyle w:val="StyleStyleBold12pt"/>
          <w:rFonts w:asciiTheme="minorHAnsi" w:hAnsiTheme="minorHAnsi"/>
          <w:sz w:val="28"/>
        </w:rPr>
        <w:t>Harmon 11</w:t>
      </w:r>
      <w:r w:rsidRPr="00C614EC">
        <w:rPr>
          <w:rFonts w:asciiTheme="minorHAnsi" w:hAnsiTheme="minorHAnsi"/>
        </w:rPr>
        <w:t xml:space="preserve"> [Robert K Harmon, professor of Marketing and Technology Management and Cameron Research Fellow at Portland State University Director of the Strategic Marketing Area, “Incentivizing Ocean Energy,” http://oregonwave.org/oceanic/wp-content/uploads/2013/05/Incentivizing-Ocean-Energy-%E2%80%93-July-2011.pdf]</w:t>
      </w:r>
    </w:p>
    <w:p w:rsidR="007C6AC9" w:rsidRPr="00C614EC" w:rsidRDefault="007C6AC9" w:rsidP="007C6AC9">
      <w:pPr>
        <w:rPr>
          <w:rFonts w:asciiTheme="minorHAnsi" w:hAnsiTheme="minorHAnsi"/>
        </w:rPr>
      </w:pPr>
      <w:r w:rsidRPr="00C614EC">
        <w:rPr>
          <w:sz w:val="16"/>
        </w:rPr>
        <w:t>Within the patchwork of U.S. renewable energy incentives, not all policies and incentives are equally effective for every technology or each stage of project development. With only three states currently generating a combined ocean energy capacity of 0.14 MW,30 the ocean energy industry is rightly focused on launching, testing, piloting and demonstrating projects that may not have significant production or performance certainty.</w:t>
      </w:r>
      <w:r w:rsidRPr="00C614EC">
        <w:rPr>
          <w:rFonts w:asciiTheme="minorHAnsi" w:hAnsiTheme="minorHAnsi" w:cs="Times New Roman"/>
          <w:sz w:val="8"/>
        </w:rPr>
        <w:t xml:space="preserve"> </w:t>
      </w:r>
      <w:r w:rsidRPr="00C614EC">
        <w:rPr>
          <w:rStyle w:val="StyleBoldUnderline"/>
          <w:rFonts w:asciiTheme="minorHAnsi" w:hAnsiTheme="minorHAnsi" w:cs="Times New Roman"/>
        </w:rPr>
        <w:t>Tax incentives that support early-­stage ocean energy development may provide optimal support for moving the industry forward, as they can provide immediate or at least near-­‐term support for an industry that still requires experimentation to determine the most compelling energy extraction designs.</w:t>
      </w:r>
      <w:r w:rsidRPr="00C614EC">
        <w:rPr>
          <w:rFonts w:asciiTheme="minorHAnsi" w:hAnsiTheme="minorHAnsi" w:cs="Times New Roman"/>
        </w:rPr>
        <w:t xml:space="preserve"> </w:t>
      </w:r>
      <w:r w:rsidRPr="00C614EC">
        <w:rPr>
          <w:rStyle w:val="StyleBoldUnderline"/>
          <w:rFonts w:asciiTheme="minorHAnsi" w:hAnsiTheme="minorHAnsi" w:cs="Times New Roman"/>
        </w:rPr>
        <w:t>With upfront or near-­term incentives that are decoupled from performance, the technology developer can put a device in the water at a fraction of its actual costs, quickly gain operational and design experience from pilot-­‐scale testing, and revise the design to be commercially competitive</w:t>
      </w:r>
      <w:r w:rsidRPr="00C614EC">
        <w:rPr>
          <w:rFonts w:asciiTheme="minorHAnsi" w:hAnsiTheme="minorHAnsi" w:cs="Times New Roman"/>
        </w:rPr>
        <w:t xml:space="preserve">. </w:t>
      </w:r>
      <w:r w:rsidRPr="00C614EC">
        <w:rPr>
          <w:sz w:val="16"/>
        </w:rPr>
        <w:t>A number of</w:t>
      </w:r>
      <w:r w:rsidRPr="00C614EC">
        <w:rPr>
          <w:rStyle w:val="StyleBoldUnderline"/>
          <w:rFonts w:asciiTheme="minorHAnsi" w:hAnsiTheme="minorHAnsi" w:cs="Times New Roman"/>
          <w:sz w:val="16"/>
        </w:rPr>
        <w:t xml:space="preserve"> </w:t>
      </w:r>
      <w:r w:rsidRPr="00C614EC">
        <w:rPr>
          <w:rStyle w:val="StyleBoldUnderline"/>
          <w:rFonts w:asciiTheme="minorHAnsi" w:hAnsiTheme="minorHAnsi" w:cs="Times New Roman"/>
        </w:rPr>
        <w:t>tax incentives are specifically beneficial to early-­stage experimentation and pilot-­scale testing. Sales tax exemptions, investment tax credits, and accelerated depreciation schedules are all excellent ways to incent early-­stage ocean energy development</w:t>
      </w:r>
      <w:r w:rsidRPr="00C614EC">
        <w:rPr>
          <w:rFonts w:asciiTheme="minorHAnsi" w:hAnsiTheme="minorHAnsi" w:cs="Times New Roman"/>
        </w:rPr>
        <w:t xml:space="preserve">. </w:t>
      </w:r>
      <w:r w:rsidRPr="00C614EC">
        <w:rPr>
          <w:sz w:val="16"/>
        </w:rPr>
        <w:t xml:space="preserve">Sales tax exemptions directly reduce the cost of ocean devices by exempting sales tax on equipment purchases, while investment tax credits </w:t>
      </w:r>
      <w:r w:rsidRPr="00C614EC">
        <w:rPr>
          <w:sz w:val="16"/>
        </w:rPr>
        <w:lastRenderedPageBreak/>
        <w:t>and accelerated depreciation incentives significantly reduce capital costs by decreasing an ocean energy developer’s total tax burden in the near term. Given the unique features and emerging state of the ocean energy industry, not all tax incentives will impact overall cost. These young technologies, particularly at the device testing and pilot scales, cannot rely on cost reductions from a PTC because their energy production is uncertain. The development of operations and maintenance best practices and the refinement of component design for survivability are the lessons derived from setbacks, such as component failures, which temporarily halt or reduce production. This performance unpredictably lowers the likelihood that current ocean energy technologies can take full advantage of a state or federal PTC. As the industry matures, a PTC will provide the consistent incentive necessary to refine and advance the industry’s most successful designs.</w:t>
      </w:r>
      <w:r w:rsidRPr="00C614EC">
        <w:rPr>
          <w:rStyle w:val="StyleBoldUnderline"/>
        </w:rPr>
        <w:t xml:space="preserve"> In </w:t>
      </w:r>
      <w:r w:rsidRPr="00C614EC">
        <w:rPr>
          <w:rStyle w:val="StyleBoldUnderline"/>
          <w:rFonts w:asciiTheme="minorHAnsi" w:hAnsiTheme="minorHAnsi" w:cs="Times New Roman"/>
        </w:rPr>
        <w:t xml:space="preserve">the meantime, a different incentive structure is needed to lower the cost of testing and demonstrating ocean energy. </w:t>
      </w:r>
    </w:p>
    <w:p w:rsidR="007C6AC9" w:rsidRPr="00C614EC" w:rsidRDefault="007C6AC9" w:rsidP="007C6AC9">
      <w:pPr>
        <w:pStyle w:val="Heading4"/>
        <w:rPr>
          <w:rFonts w:cs="Times New Roman"/>
          <w:sz w:val="28"/>
        </w:rPr>
      </w:pPr>
      <w:r w:rsidRPr="00C614EC">
        <w:rPr>
          <w:rFonts w:cs="Times New Roman"/>
          <w:sz w:val="28"/>
        </w:rPr>
        <w:t>Incentives are enough to solve the aff -- gets companies on board</w:t>
      </w:r>
    </w:p>
    <w:p w:rsidR="007C6AC9" w:rsidRPr="00C614EC" w:rsidRDefault="007C6AC9" w:rsidP="007C6AC9">
      <w:pPr>
        <w:rPr>
          <w:rFonts w:asciiTheme="minorHAnsi" w:hAnsiTheme="minorHAnsi"/>
        </w:rPr>
      </w:pPr>
      <w:r w:rsidRPr="00C614EC">
        <w:rPr>
          <w:rStyle w:val="StyleStyleBold12pt"/>
          <w:rFonts w:asciiTheme="minorHAnsi" w:hAnsiTheme="minorHAnsi"/>
          <w:sz w:val="28"/>
        </w:rPr>
        <w:t>Harmon 11</w:t>
      </w:r>
      <w:r w:rsidRPr="00C614EC">
        <w:rPr>
          <w:rFonts w:asciiTheme="minorHAnsi" w:hAnsiTheme="minorHAnsi"/>
        </w:rPr>
        <w:t xml:space="preserve"> [Robert K Harmon, professor of Marketing and Technology Management and Cameron Research Fellow at Portland State University Director of the Strategic Marketing Area, “Incentivizing Ocean Energy,” http://oregonwave.org/oceanic/wp-content/uploads/2013/05/Incentivizing-Ocean-Energy-%E2%80%93-July-2011.pdf]</w:t>
      </w:r>
    </w:p>
    <w:p w:rsidR="007C6AC9" w:rsidRPr="00C614EC" w:rsidRDefault="007C6AC9" w:rsidP="007C6AC9">
      <w:pPr>
        <w:rPr>
          <w:rFonts w:cs="Times New Roman"/>
          <w:sz w:val="18"/>
        </w:rPr>
      </w:pPr>
      <w:r w:rsidRPr="00C614EC">
        <w:rPr>
          <w:rFonts w:cs="Times New Roman"/>
          <w:sz w:val="18"/>
        </w:rPr>
        <w:t xml:space="preserve">Despite structural barriers, </w:t>
      </w:r>
      <w:r w:rsidRPr="00C614EC">
        <w:rPr>
          <w:rStyle w:val="StyleBoldUnderline"/>
          <w:rFonts w:cs="Times New Roman"/>
        </w:rPr>
        <w:t>there are a clear set of tax incentives and related policies that have the potential to considerably reduce the installed cost of ocean energy</w:t>
      </w:r>
      <w:r w:rsidRPr="00C614EC">
        <w:rPr>
          <w:rFonts w:cs="Times New Roman"/>
          <w:sz w:val="18"/>
        </w:rPr>
        <w:t xml:space="preserve">. Generally, </w:t>
      </w:r>
      <w:r w:rsidRPr="00C614EC">
        <w:rPr>
          <w:rStyle w:val="StyleBoldUnderline"/>
          <w:rFonts w:cs="Times New Roman"/>
        </w:rPr>
        <w:t xml:space="preserve">tax incentives that </w:t>
      </w:r>
      <w:r w:rsidRPr="00C614EC">
        <w:rPr>
          <w:rStyle w:val="StyleBoldUnderline"/>
        </w:rPr>
        <w:t>attract private investors and give developers an incentive that is not tied to production supports early-­‐stage ocean energy technology development</w:t>
      </w:r>
      <w:r w:rsidRPr="00C614EC">
        <w:rPr>
          <w:rStyle w:val="StyleBoldUnderline"/>
          <w:rFonts w:cs="Times New Roman"/>
        </w:rPr>
        <w:t xml:space="preserve"> and the valuable lessons of in-­‐water testing of design concepts without needing long-­‐term production for the full-­‐receipt of their credit. A sales tax exemption, while less generous than the PTC or ITC, can unambiguously lower the cost of a project, and can be effective for tax-­‐exempt entities. Oregon has no sales tax. The extension of existing tax incentive policies to ocean energy technologies is another straightforward method of furthering ocean technology development</w:t>
      </w:r>
      <w:r w:rsidRPr="00C614EC">
        <w:rPr>
          <w:rFonts w:cs="Times New Roman"/>
          <w:sz w:val="18"/>
        </w:rPr>
        <w:t xml:space="preserve">. In Oregon, expanding the Oregon Business Energy Tax Credit (OBETC) to include ocean technologies was an important step. The Oregon BETC has two levels of funding: • Up to $20 million for constructing a manufacturing facility. • Up to $10 million for other direct project costs. </w:t>
      </w:r>
      <w:r w:rsidRPr="00C614EC">
        <w:rPr>
          <w:rStyle w:val="StyleBoldUnderline"/>
          <w:rFonts w:cs="Times New Roman"/>
        </w:rPr>
        <w:t>The $10 million project incentive cap is scaled appropriately to provide meaningful support to pilot-­‐scale ocean energy deployments. The $20 million manufacturing facility incentive could help ensure that pilot devices and future production runs can provide economic benefits to the state</w:t>
      </w:r>
      <w:r w:rsidRPr="00C614EC">
        <w:rPr>
          <w:rFonts w:cs="Times New Roman"/>
          <w:sz w:val="18"/>
        </w:rPr>
        <w:t xml:space="preserve">. The implementation of various tax credits and </w:t>
      </w:r>
      <w:r w:rsidRPr="00C614EC">
        <w:rPr>
          <w:rStyle w:val="StyleBoldUnderline"/>
          <w:rFonts w:cs="Times New Roman"/>
        </w:rPr>
        <w:t>incentives can also be altered to better suit the needs of ocean energy. Three</w:t>
      </w:r>
      <w:r w:rsidRPr="00C614EC">
        <w:rPr>
          <w:rFonts w:cs="Times New Roman"/>
          <w:sz w:val="18"/>
        </w:rPr>
        <w:t xml:space="preserve"> </w:t>
      </w:r>
      <w:r w:rsidRPr="00C614EC">
        <w:rPr>
          <w:rStyle w:val="StyleBoldUnderline"/>
          <w:rFonts w:cs="Times New Roman"/>
        </w:rPr>
        <w:t>tax credit provisions help offset structural barriers associated with these incentives: carry forward, refundability and pass through</w:t>
      </w:r>
      <w:r w:rsidRPr="00C614EC">
        <w:rPr>
          <w:rFonts w:cs="Times New Roman"/>
          <w:sz w:val="18"/>
        </w:rPr>
        <w:t>. When a tax incentive exceeds the recipient’s tax burden, carry forward allows the excess credit to be claimed in later years, within some statutory limit. Conversely, refundability refunds the excess credit to the recipient in cash. Tax credit refunds would be the preferred stipulation for ocean technologies, as they completely remove the issue of tax-­‐burden adequacy. However, tax-­‐exempt entities still would not be able to participate. Pass through enables tax-­‐ exempt entities to “pass” the tax exemption onto a tax-­‐liable partner. This means the tax-­‐exempt entity must find a willing partner with adequate tax revenues. Another option would be to turn existing PTCs into a cash payment performance incentive—this modification would then allow tax-­‐exempt producers to receive the same benefit as their corporate counterparts.</w:t>
      </w:r>
    </w:p>
    <w:p w:rsidR="007C6AC9" w:rsidRPr="00C614EC" w:rsidRDefault="007C6AC9" w:rsidP="007C6AC9">
      <w:pPr>
        <w:pStyle w:val="Heading3"/>
      </w:pPr>
      <w:r w:rsidRPr="00C614EC">
        <w:lastRenderedPageBreak/>
        <w:t>IOOS/Deep Ocean Observation</w:t>
      </w:r>
      <w:r>
        <w:t>---2NC</w:t>
      </w:r>
    </w:p>
    <w:p w:rsidR="007C6AC9" w:rsidRPr="00C614EC" w:rsidRDefault="007C6AC9" w:rsidP="007C6AC9">
      <w:pPr>
        <w:pStyle w:val="Heading4"/>
        <w:rPr>
          <w:rFonts w:cs="Times New Roman"/>
          <w:sz w:val="28"/>
        </w:rPr>
      </w:pPr>
      <w:r w:rsidRPr="00C614EC">
        <w:rPr>
          <w:rFonts w:cs="Times New Roman"/>
          <w:sz w:val="28"/>
        </w:rPr>
        <w:t>Incentives solve best -- allows the public sector to shift the cost to private sector while still getting the satellite data</w:t>
      </w:r>
    </w:p>
    <w:p w:rsidR="007C6AC9" w:rsidRPr="00C614EC" w:rsidRDefault="007C6AC9" w:rsidP="007C6AC9">
      <w:pPr>
        <w:rPr>
          <w:rFonts w:cs="Times New Roman"/>
          <w:sz w:val="18"/>
        </w:rPr>
      </w:pPr>
      <w:r w:rsidRPr="00C614EC">
        <w:rPr>
          <w:rStyle w:val="StyleStyleBold12pt"/>
          <w:rFonts w:cs="Times New Roman"/>
          <w:sz w:val="28"/>
        </w:rPr>
        <w:t xml:space="preserve">Pomerantz 8 </w:t>
      </w:r>
      <w:r w:rsidRPr="00C614EC">
        <w:rPr>
          <w:sz w:val="18"/>
        </w:rPr>
        <w:t>[</w:t>
      </w:r>
      <w:r w:rsidRPr="00C614EC">
        <w:rPr>
          <w:rFonts w:cs="Times New Roman"/>
          <w:sz w:val="18"/>
        </w:rPr>
        <w:t xml:space="preserve">William, “NASA turns to the private sector as China flexes new space muscles”, October 2008, </w:t>
      </w:r>
      <w:hyperlink r:id="rId11" w:history="1">
        <w:r w:rsidRPr="00C614EC">
          <w:rPr>
            <w:rStyle w:val="Hyperlink"/>
            <w:rFonts w:cs="Times New Roman"/>
          </w:rPr>
          <w:t>http://venturebeat.com/2008/10/21/nasa-turns-to-the-private-sector-as-china-flexes-new-space-muscles/</w:t>
        </w:r>
      </w:hyperlink>
      <w:r w:rsidRPr="00C614EC">
        <w:rPr>
          <w:rFonts w:cs="Times New Roman"/>
          <w:sz w:val="18"/>
        </w:rPr>
        <w:t>]</w:t>
      </w:r>
    </w:p>
    <w:p w:rsidR="007C6AC9" w:rsidRPr="00C614EC" w:rsidRDefault="007C6AC9" w:rsidP="007C6AC9">
      <w:pPr>
        <w:rPr>
          <w:rFonts w:cs="Times New Roman"/>
          <w:sz w:val="18"/>
        </w:rPr>
      </w:pPr>
      <w:r w:rsidRPr="00C614EC">
        <w:rPr>
          <w:rStyle w:val="StyleBoldUnderline"/>
          <w:rFonts w:cs="Times New Roman"/>
        </w:rPr>
        <w:t>Private spaceflight is booming. Just look at the Ansari X PRIZE winning flights of SpaceShipOne, the subsequent rollout of Virgin Galactic’s SpaceShipTwo system, and the initial flight of Falcon 1, a commercial orbital launch vehicle funded by PayPal founder Elon Musk.</w:t>
      </w:r>
      <w:r w:rsidRPr="00C614EC">
        <w:rPr>
          <w:rFonts w:cs="Times New Roman"/>
          <w:sz w:val="18"/>
        </w:rPr>
        <w:t xml:space="preserve"> You might think, hey, isn’t Virgin a UK effort? It’s actually headquartered in the U.S., with the technology being designed, the vehicles manufactured, and the launch taking place all within domestic borders. </w:t>
      </w:r>
      <w:r w:rsidRPr="00C614EC">
        <w:rPr>
          <w:rStyle w:val="StyleBoldUnderline"/>
          <w:rFonts w:cs="Times New Roman"/>
        </w:rPr>
        <w:t xml:space="preserve">And the trend looks to continue with the popularization of programs like Google’s Lunar X PRIZE, which promises to do for robotic exploration what the Ansari X PRIZE did for human spaceflight. </w:t>
      </w:r>
      <w:r w:rsidRPr="00C614EC">
        <w:rPr>
          <w:rFonts w:cs="Times New Roman"/>
          <w:sz w:val="18"/>
        </w:rPr>
        <w:t xml:space="preserve">This upcoming weekend, the Northrop Grumman Lunar Lander Challenge will be held in New Mexico. The $2 million competition will pit nine teams against each other to launch and precisely land a rocket on a simulated lunar surface. </w:t>
      </w:r>
      <w:r w:rsidRPr="00C614EC">
        <w:rPr>
          <w:rStyle w:val="StyleBoldUnderline"/>
          <w:rFonts w:cs="Times New Roman"/>
        </w:rPr>
        <w:t>Buzz-generating prizes aside, there’s a long list of private firms getting in on the action. Names like SpaceX, Bigelow Aerospace and XCOR Aerospace are hard at work developing the technology that could lead to commercial manned spaceflight in the not too distant future.</w:t>
      </w:r>
      <w:r w:rsidRPr="00C614EC">
        <w:rPr>
          <w:rFonts w:cs="Times New Roman"/>
          <w:sz w:val="18"/>
        </w:rPr>
        <w:t xml:space="preserve"> Small Texas company Armadillo Aerospace is building reusable-rocket powered vehicles with an eye toward eventual passengered voyages. And Blue Origin, an even smaller startup funded by Amazon founder Jeff Bezos, has already flown its New Shephard spacecraft, designed for sub-orbital transport. They hope to be marketing it to tourists within the next two years. </w:t>
      </w:r>
      <w:r w:rsidRPr="00C614EC">
        <w:rPr>
          <w:rStyle w:val="StyleBoldUnderline"/>
          <w:rFonts w:cs="Times New Roman"/>
        </w:rPr>
        <w:t>Believe me, NASA is taking note. Officials know that in order to accomplish their goal</w:t>
      </w:r>
      <w:r w:rsidRPr="00C614EC">
        <w:rPr>
          <w:rFonts w:cs="Times New Roman"/>
          <w:sz w:val="18"/>
        </w:rPr>
        <w:t xml:space="preserve">s –- to retire the Shuttle, to maintain the Space Station, to send humans to the Moon and beyond, and to maintain a high caliber of research throughout the solar system (on what is likely to remain a fixed budget) — </w:t>
      </w:r>
      <w:r w:rsidRPr="00C614EC">
        <w:rPr>
          <w:rStyle w:val="StyleBoldUnderline"/>
          <w:rFonts w:cs="Times New Roman"/>
        </w:rPr>
        <w:t>they’re going to need to get creative about cutting costs</w:t>
      </w:r>
      <w:r w:rsidRPr="00C614EC">
        <w:rPr>
          <w:rFonts w:cs="Times New Roman"/>
          <w:sz w:val="18"/>
        </w:rPr>
        <w:t xml:space="preserve">. </w:t>
      </w:r>
      <w:r w:rsidRPr="00C614EC">
        <w:rPr>
          <w:rStyle w:val="StyleBoldUnderline"/>
          <w:rFonts w:cs="Times New Roman"/>
        </w:rPr>
        <w:t>Offloading financial risk to the private markets and taking advantage of lower prices offered by lean entrepreneurial firms could be just the ticket. One interesting example is Orbital Sciences, a publically-traded company that constructs satellites and rockets for commercial and government purposes. Just yesterday it launched a satellite that it built</w:t>
      </w:r>
      <w:r w:rsidRPr="00C614EC">
        <w:rPr>
          <w:rFonts w:cs="Times New Roman"/>
          <w:sz w:val="18"/>
        </w:rPr>
        <w:t xml:space="preserve"> — </w:t>
      </w:r>
      <w:r w:rsidRPr="00C614EC">
        <w:rPr>
          <w:rStyle w:val="StyleBoldUnderline"/>
          <w:rFonts w:cs="Times New Roman"/>
        </w:rPr>
        <w:t>on a rocket it built — but the satellite itself, intended to map out the border between our solar system and interstellar space, will be used for NASA-funded research. Orbital is also playing an important role in the Commercial Orbital Transportation Services (COTS) program to help resupply the International Space Station.</w:t>
      </w:r>
      <w:r w:rsidRPr="00C614EC">
        <w:rPr>
          <w:rFonts w:cs="Times New Roman"/>
          <w:sz w:val="18"/>
        </w:rPr>
        <w:t xml:space="preserve"> NASA has earmarked $500 million for contracts with firms like Orbital and SpaceX to deliver and return cargo, and eventually even crew members.</w:t>
      </w:r>
    </w:p>
    <w:p w:rsidR="007C6AC9" w:rsidRPr="00C614EC" w:rsidRDefault="007C6AC9" w:rsidP="007C6AC9">
      <w:pPr>
        <w:pStyle w:val="Heading4"/>
        <w:rPr>
          <w:rFonts w:cs="Times New Roman"/>
          <w:sz w:val="28"/>
        </w:rPr>
      </w:pPr>
      <w:r w:rsidRPr="00C614EC">
        <w:rPr>
          <w:rFonts w:cs="Times New Roman"/>
          <w:sz w:val="28"/>
        </w:rPr>
        <w:t xml:space="preserve">Incentives spur private funding and implementation of ocean observing technology </w:t>
      </w:r>
    </w:p>
    <w:p w:rsidR="007C6AC9" w:rsidRPr="00C614EC" w:rsidRDefault="007C6AC9" w:rsidP="007C6AC9">
      <w:pPr>
        <w:rPr>
          <w:rFonts w:cs="Times New Roman"/>
          <w:sz w:val="18"/>
        </w:rPr>
      </w:pPr>
      <w:r w:rsidRPr="00C614EC">
        <w:rPr>
          <w:rStyle w:val="StyleStyleBold12pt"/>
          <w:rFonts w:cs="Times New Roman"/>
          <w:sz w:val="28"/>
        </w:rPr>
        <w:t>OSTP 14</w:t>
      </w:r>
      <w:r w:rsidRPr="00C614EC">
        <w:rPr>
          <w:rFonts w:cs="Times New Roman"/>
          <w:sz w:val="18"/>
        </w:rPr>
        <w:t xml:space="preserve"> [OSTP, Office of science and technology policy, “Implementation of Federal Prize Authority: Fiscal Year 2013 Progress Report,” Published in 2014, </w:t>
      </w:r>
      <w:hyperlink r:id="rId12" w:history="1">
        <w:r w:rsidRPr="00C614EC">
          <w:rPr>
            <w:rStyle w:val="Hyperlink"/>
            <w:rFonts w:cs="Times New Roman"/>
          </w:rPr>
          <w:t>http://www.whitehouse.gov/sites/default/files/microsites/ostp/competes_prizesreport_fy13_final.pdf</w:t>
        </w:r>
      </w:hyperlink>
      <w:r w:rsidRPr="00C614EC">
        <w:rPr>
          <w:rFonts w:cs="Times New Roman"/>
          <w:sz w:val="18"/>
        </w:rPr>
        <w:t>]</w:t>
      </w:r>
    </w:p>
    <w:p w:rsidR="007C6AC9" w:rsidRPr="00C614EC" w:rsidRDefault="007C6AC9" w:rsidP="007C6AC9">
      <w:pPr>
        <w:rPr>
          <w:rFonts w:cs="Times New Roman"/>
          <w:sz w:val="18"/>
        </w:rPr>
      </w:pPr>
      <w:r w:rsidRPr="00C614EC">
        <w:rPr>
          <w:rStyle w:val="StyleBoldUnderline"/>
          <w:rFonts w:cs="Times New Roman"/>
        </w:rPr>
        <w:t>NASA Climate Modeling Challenge. NASA’s Climate Modeling Challenge25 was a call to identify new sources of high-quality observational data for climate modeling to obtain solutions needed to augment NASA’s efforts to assemble climate analysis data from daily observations collected by satellites</w:t>
      </w:r>
      <w:r w:rsidRPr="00C614EC">
        <w:rPr>
          <w:rFonts w:cs="Times New Roman"/>
          <w:sz w:val="18"/>
        </w:rPr>
        <w:t xml:space="preserve">, surface devices, buoys, and other devices from 1979 to today. </w:t>
      </w:r>
      <w:r w:rsidRPr="00C614EC">
        <w:rPr>
          <w:rStyle w:val="StyleBoldUnderline"/>
          <w:rFonts w:cs="Times New Roman"/>
        </w:rPr>
        <w:t>For a total prize purse of less than $7,000 , NASA obtained solutions and learned about a highly applicable and relevant climate data source formerly completely unknown to NASA climate scientists, as well as novel suggestions for the use of previously examined datasets.</w:t>
      </w:r>
      <w:r w:rsidRPr="00C614EC">
        <w:rPr>
          <w:rFonts w:cs="Times New Roman"/>
          <w:sz w:val="18"/>
        </w:rPr>
        <w:t xml:space="preserve"> </w:t>
      </w:r>
      <w:r w:rsidRPr="00C614EC">
        <w:rPr>
          <w:rStyle w:val="StyleBoldUnderline"/>
          <w:rFonts w:cs="Times New Roman"/>
        </w:rPr>
        <w:t>This challenge demonstrated the capacity of out-of-discipline perspectives to yield outstanding and unique results.</w:t>
      </w:r>
      <w:r w:rsidRPr="00C614EC">
        <w:rPr>
          <w:rFonts w:cs="Times New Roman"/>
          <w:sz w:val="18"/>
        </w:rPr>
        <w:t xml:space="preserve"> </w:t>
      </w:r>
      <w:r w:rsidRPr="00C614EC">
        <w:rPr>
          <w:rFonts w:cs="Times New Roman"/>
          <w:sz w:val="18"/>
        </w:rPr>
        <w:t xml:space="preserve"> Increase cost-effectiveness to maximize the return on taxpayer dollars </w:t>
      </w:r>
      <w:r w:rsidRPr="00C614EC">
        <w:rPr>
          <w:rStyle w:val="StyleBoldUnderline"/>
          <w:rFonts w:cs="Times New Roman"/>
        </w:rPr>
        <w:t xml:space="preserve">Prizes can be more efficient and cost-effective </w:t>
      </w:r>
      <w:r w:rsidRPr="00C614EC">
        <w:rPr>
          <w:rStyle w:val="StyleBoldUnderline"/>
          <w:rFonts w:cs="Times New Roman"/>
        </w:rPr>
        <w:lastRenderedPageBreak/>
        <w:t>approaches to identifying solutions from the private sector than other procurement mechanisms</w:t>
      </w:r>
      <w:r w:rsidRPr="00C614EC">
        <w:rPr>
          <w:rFonts w:cs="Times New Roman"/>
          <w:sz w:val="18"/>
        </w:rPr>
        <w:t xml:space="preserve">. For example, challenge managers can run series of discrete competitions, allowing the agency to learn from earlier challenges and redefine requirements for subsequent challenges if desired. </w:t>
      </w:r>
      <w:r w:rsidRPr="00C614EC">
        <w:rPr>
          <w:rStyle w:val="StyleBoldUnderline"/>
          <w:rFonts w:cs="Times New Roman"/>
        </w:rPr>
        <w:t>NASA challenge managers describe this serial challenge process as “more nimble and flexible” than traditional procurement methods.</w:t>
      </w:r>
      <w:r w:rsidRPr="00C614EC">
        <w:rPr>
          <w:rFonts w:cs="Times New Roman"/>
          <w:sz w:val="18"/>
        </w:rPr>
        <w:t xml:space="preserve"> </w:t>
      </w:r>
      <w:r w:rsidRPr="00C614EC">
        <w:rPr>
          <w:rStyle w:val="StyleBoldUnderline"/>
          <w:rFonts w:cs="Times New Roman"/>
        </w:rPr>
        <w:t>27 In addition, in prize competitions teams compete not just for the cash purse, but also for the associated validation, prestige, and satisfaction that result from solving important problems. Therefore, prizes can incentivize significant additional private-sector and philanthropic investment, leveraging the prize purse’s impact</w:t>
      </w:r>
      <w:r w:rsidRPr="00C614EC">
        <w:rPr>
          <w:rFonts w:cs="Times New Roman"/>
          <w:sz w:val="18"/>
        </w:rPr>
        <w:t xml:space="preserve">. In the Orteig Prize won by Charles Lindbergh in 1927, nine teams spent a cumulative $400,000 to win the $25,000 prize purse.28 </w:t>
      </w:r>
      <w:r w:rsidRPr="00C614EC">
        <w:rPr>
          <w:rStyle w:val="StyleBoldUnderline"/>
          <w:rFonts w:cs="Times New Roman"/>
        </w:rPr>
        <w:t>More recently, the $10 Million Ansari X PRIZE was won in 2004 by Burt Rutan and SpaceShipOne, after the 26 competing teams spent more than $100 million to win the prize.</w:t>
      </w:r>
      <w:r w:rsidRPr="00C614EC">
        <w:rPr>
          <w:rFonts w:cs="Times New Roman"/>
          <w:sz w:val="18"/>
        </w:rPr>
        <w:t>29</w:t>
      </w:r>
    </w:p>
    <w:p w:rsidR="007C6AC9" w:rsidRPr="00C614EC" w:rsidRDefault="007C6AC9" w:rsidP="007C6AC9">
      <w:pPr>
        <w:rPr>
          <w:rFonts w:cs="Times New Roman"/>
          <w:sz w:val="18"/>
        </w:rPr>
      </w:pPr>
      <w:r w:rsidRPr="00C614EC">
        <w:rPr>
          <w:rFonts w:cs="Times New Roman"/>
          <w:sz w:val="18"/>
        </w:rPr>
        <w:t xml:space="preserve"> </w:t>
      </w:r>
    </w:p>
    <w:p w:rsidR="007C6AC9" w:rsidRPr="00C614EC" w:rsidRDefault="007C6AC9" w:rsidP="007C6AC9">
      <w:pPr>
        <w:rPr>
          <w:sz w:val="18"/>
        </w:rPr>
      </w:pPr>
    </w:p>
    <w:p w:rsidR="007C6AC9" w:rsidRPr="00C614EC" w:rsidRDefault="007C6AC9" w:rsidP="007C6AC9">
      <w:pPr>
        <w:pStyle w:val="Heading3"/>
      </w:pPr>
      <w:r w:rsidRPr="00C614EC">
        <w:lastRenderedPageBreak/>
        <w:t>Science Diplomacy</w:t>
      </w:r>
      <w:r>
        <w:t>---2NC</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Solves the science leadership advantage -- increased funding for R&amp;D</w:t>
      </w:r>
    </w:p>
    <w:p w:rsidR="007C6AC9" w:rsidRPr="00C614EC" w:rsidRDefault="007C6AC9" w:rsidP="007C6AC9">
      <w:pPr>
        <w:rPr>
          <w:rFonts w:asciiTheme="minorHAnsi" w:hAnsiTheme="minorHAnsi"/>
        </w:rPr>
      </w:pPr>
      <w:r w:rsidRPr="00C614EC">
        <w:rPr>
          <w:rStyle w:val="StyleStyleBold12pt"/>
          <w:rFonts w:asciiTheme="minorHAnsi" w:hAnsiTheme="minorHAnsi"/>
          <w:sz w:val="28"/>
        </w:rPr>
        <w:t>USGOP 14</w:t>
      </w:r>
      <w:r w:rsidRPr="00C614EC">
        <w:rPr>
          <w:rFonts w:asciiTheme="minorHAnsi" w:hAnsiTheme="minorHAnsi"/>
        </w:rPr>
        <w:t xml:space="preserve"> [US Government Printing Office, 2014, DEEP SEA CHALLENGE: INNOVATIVE PARTNERSHIPS IN OCEAN OBSERVATION, HEARING before the SUBCOMMITTEE ON OCEANS, ATMOSPHERE, FISHERIES, AND COAST GUARD of the COMMITTEE ON COMMERCE, SCIENCE, AND TRANSPORTATION UNITED STATES SENATE ONE HUNDRED THIRTEENTH CONGRESS FIRST SESSION JUNE 11, 2013, http://www.gpo.gov/fdsys/pkg/CHRG-113shrg87852/html/CHRG-113shrg87852.htm]</w:t>
      </w:r>
    </w:p>
    <w:p w:rsidR="007C6AC9" w:rsidRPr="00C614EC" w:rsidRDefault="007C6AC9" w:rsidP="007C6AC9">
      <w:pPr>
        <w:rPr>
          <w:rFonts w:asciiTheme="minorHAnsi" w:hAnsiTheme="minorHAnsi"/>
        </w:rPr>
      </w:pPr>
      <w:r w:rsidRPr="00C614EC">
        <w:rPr>
          <w:rFonts w:asciiTheme="minorHAnsi" w:hAnsiTheme="minorHAnsi"/>
        </w:rPr>
        <w:t>It should also be noted that DEEPSEA CHALLENGER was built by a joint American/Australian team, with approximately one-third of the work done in the U.S., by engineering companies in the Bay Area, and two-thirds of the work done by a start-up company in Sydney. The Australian government provides generous rebates to encourage research and development, and this was a strong driver in my choice to site the project primarily in Australia</w:t>
      </w:r>
      <w:r w:rsidRPr="00C614EC">
        <w:rPr>
          <w:rStyle w:val="StyleBoldUnderline"/>
          <w:rFonts w:asciiTheme="minorHAnsi" w:hAnsiTheme="minorHAnsi"/>
        </w:rPr>
        <w:t>. I</w:t>
      </w:r>
      <w:r w:rsidRPr="00C614EC">
        <w:rPr>
          <w:rFonts w:asciiTheme="minorHAnsi" w:hAnsiTheme="minorHAnsi"/>
        </w:rPr>
        <w:t xml:space="preserve"> would</w:t>
      </w:r>
      <w:r w:rsidRPr="00C614EC">
        <w:rPr>
          <w:rStyle w:val="StyleBoldUnderline"/>
          <w:rFonts w:asciiTheme="minorHAnsi" w:hAnsiTheme="minorHAnsi"/>
        </w:rPr>
        <w:t xml:space="preserve"> strongly urge Congress to establish new incentives, as well as enhancing existing ones, to encourage R&amp;D among</w:t>
      </w:r>
      <w:r w:rsidRPr="00C614EC">
        <w:rPr>
          <w:rFonts w:asciiTheme="minorHAnsi" w:hAnsiTheme="minorHAnsi"/>
        </w:rPr>
        <w:t xml:space="preserve"> </w:t>
      </w:r>
      <w:r w:rsidRPr="00C614EC">
        <w:rPr>
          <w:rStyle w:val="StyleBoldUnderline"/>
          <w:rFonts w:asciiTheme="minorHAnsi" w:hAnsiTheme="minorHAnsi"/>
        </w:rPr>
        <w:t>small companies in the U.</w:t>
      </w:r>
      <w:r w:rsidRPr="00C614EC">
        <w:rPr>
          <w:rFonts w:asciiTheme="minorHAnsi" w:hAnsiTheme="minorHAnsi"/>
        </w:rPr>
        <w:t>S</w:t>
      </w:r>
      <w:r w:rsidRPr="00C614EC">
        <w:rPr>
          <w:rStyle w:val="StyleBoldUnderline"/>
          <w:rFonts w:asciiTheme="minorHAnsi" w:hAnsiTheme="minorHAnsi"/>
        </w:rPr>
        <w:t xml:space="preserve">., thus </w:t>
      </w:r>
      <w:r w:rsidRPr="00C614EC">
        <w:rPr>
          <w:rStyle w:val="Emphasis"/>
          <w:rFonts w:asciiTheme="minorHAnsi" w:hAnsiTheme="minorHAnsi"/>
        </w:rPr>
        <w:t>maintaining this Nation's critical lead in</w:t>
      </w:r>
      <w:r w:rsidRPr="00C614EC">
        <w:rPr>
          <w:rStyle w:val="StyleBoldUnderline"/>
          <w:rFonts w:asciiTheme="minorHAnsi" w:hAnsiTheme="minorHAnsi"/>
        </w:rPr>
        <w:t xml:space="preserve"> engineering and </w:t>
      </w:r>
      <w:r w:rsidRPr="00C614EC">
        <w:rPr>
          <w:rStyle w:val="Emphasis"/>
          <w:rFonts w:asciiTheme="minorHAnsi" w:hAnsiTheme="minorHAnsi"/>
        </w:rPr>
        <w:t>science</w:t>
      </w:r>
      <w:r w:rsidRPr="00C614EC">
        <w:rPr>
          <w:rFonts w:asciiTheme="minorHAnsi" w:hAnsiTheme="minorHAnsi"/>
        </w:rPr>
        <w:t xml:space="preserve">. Now, the scientists and engineers at Woods Hole Oceanographic Institution and ocean research centers across the Nation are poised to take the technologies developed for DEEPSEA CHALLENGER submersible and science platform to the next level, so that the knowledge gained in this project can help advance ocean science. </w:t>
      </w:r>
      <w:r w:rsidRPr="00C614EC">
        <w:rPr>
          <w:rStyle w:val="StyleBoldUnderline"/>
          <w:rFonts w:asciiTheme="minorHAnsi" w:hAnsiTheme="minorHAnsi"/>
        </w:rPr>
        <w:t>This public/private collaboration is one of many that signal a new path to supporting the R&amp;D and education initiatives that are critical to the future of the U.S. and global economies.</w:t>
      </w:r>
      <w:r w:rsidRPr="00C614EC">
        <w:rPr>
          <w:rFonts w:asciiTheme="minorHAnsi" w:hAnsiTheme="minorHAnsi"/>
        </w:rPr>
        <w:t xml:space="preserve"> I believe that </w:t>
      </w:r>
      <w:r w:rsidRPr="00C614EC">
        <w:rPr>
          <w:rStyle w:val="Emphasis"/>
          <w:rFonts w:asciiTheme="minorHAnsi" w:hAnsiTheme="minorHAnsi"/>
        </w:rPr>
        <w:t>advances in ocean science and technology</w:t>
      </w:r>
      <w:r w:rsidRPr="00C614EC">
        <w:rPr>
          <w:rStyle w:val="StyleBoldUnderline"/>
          <w:rFonts w:asciiTheme="minorHAnsi" w:hAnsiTheme="minorHAnsi"/>
        </w:rPr>
        <w:t xml:space="preserve"> must be at the forefront of this effort,</w:t>
      </w:r>
      <w:r w:rsidRPr="00C614EC">
        <w:rPr>
          <w:rFonts w:asciiTheme="minorHAnsi" w:hAnsiTheme="minorHAnsi"/>
        </w:rPr>
        <w:t xml:space="preserve"> given the growing recognition of the importance of ocean processes and their influence on weather and climate and economic and national security. Woods Hole's expertise in this area is part of the reason I have agreed to join one of its new initiatives, the Center for Marine Robotics, which aims to spur collaborations across government, industry, and academia to advance ocean science and exploration through the development and integration of new marine robotic vehicles and technologies. </w:t>
      </w:r>
      <w:r w:rsidRPr="00C614EC">
        <w:rPr>
          <w:rStyle w:val="StyleBoldUnderline"/>
          <w:rFonts w:asciiTheme="minorHAnsi" w:hAnsiTheme="minorHAnsi"/>
        </w:rPr>
        <w:t>Despite our best efforts, the ocean remains aqua incognita to us</w:t>
      </w:r>
      <w:r w:rsidRPr="00C614EC">
        <w:rPr>
          <w:rFonts w:asciiTheme="minorHAnsi" w:hAnsiTheme="minorHAnsi"/>
        </w:rPr>
        <w:t>--</w:t>
      </w:r>
      <w:r w:rsidRPr="00C614EC">
        <w:rPr>
          <w:rStyle w:val="StyleBoldUnderline"/>
          <w:rFonts w:asciiTheme="minorHAnsi" w:hAnsiTheme="minorHAnsi"/>
        </w:rPr>
        <w:t>much the way the ground we're sitting on now was once considered terra incognita by early explorer</w:t>
      </w:r>
      <w:r w:rsidRPr="00C614EC">
        <w:rPr>
          <w:rFonts w:asciiTheme="minorHAnsi" w:hAnsiTheme="minorHAnsi"/>
        </w:rPr>
        <w:t xml:space="preserve">s. There's much more we need to know about how the ocean operates. </w:t>
      </w:r>
      <w:r w:rsidRPr="00C614EC">
        <w:rPr>
          <w:rStyle w:val="StyleBoldUnderline"/>
          <w:rFonts w:asciiTheme="minorHAnsi" w:hAnsiTheme="minorHAnsi"/>
        </w:rPr>
        <w:t>We haven't invested nearly enough in ocean research</w:t>
      </w:r>
      <w:r w:rsidRPr="00C614EC">
        <w:rPr>
          <w:rFonts w:asciiTheme="minorHAnsi" w:hAnsiTheme="minorHAnsi"/>
        </w:rPr>
        <w:t xml:space="preserve">. And I think it's going to come back to bite us at this moment in history when we know that the ocean is rapidly changing. </w:t>
      </w:r>
      <w:r w:rsidRPr="00C614EC">
        <w:rPr>
          <w:rStyle w:val="StyleBoldUnderline"/>
          <w:rFonts w:asciiTheme="minorHAnsi" w:hAnsiTheme="minorHAnsi"/>
        </w:rPr>
        <w:t>The only way we can learn about this vast and crucial part of our planet is to submerge ourselves in it</w:t>
      </w:r>
      <w:r w:rsidRPr="00C614EC">
        <w:rPr>
          <w:rFonts w:asciiTheme="minorHAnsi" w:hAnsiTheme="minorHAnsi"/>
        </w:rPr>
        <w:t xml:space="preserve">, </w:t>
      </w:r>
      <w:r w:rsidRPr="00C614EC">
        <w:rPr>
          <w:rStyle w:val="StyleBoldUnderline"/>
          <w:rFonts w:asciiTheme="minorHAnsi" w:hAnsiTheme="minorHAnsi"/>
        </w:rPr>
        <w:t>using</w:t>
      </w:r>
      <w:r w:rsidRPr="00C614EC">
        <w:rPr>
          <w:rFonts w:asciiTheme="minorHAnsi" w:hAnsiTheme="minorHAnsi"/>
        </w:rPr>
        <w:t xml:space="preserve"> both </w:t>
      </w:r>
      <w:r w:rsidRPr="00C614EC">
        <w:rPr>
          <w:rStyle w:val="StyleBoldUnderline"/>
          <w:rFonts w:asciiTheme="minorHAnsi" w:hAnsiTheme="minorHAnsi"/>
        </w:rPr>
        <w:t>human and remote</w:t>
      </w:r>
      <w:r w:rsidRPr="00C614EC">
        <w:rPr>
          <w:rFonts w:asciiTheme="minorHAnsi" w:hAnsiTheme="minorHAnsi"/>
        </w:rPr>
        <w:t xml:space="preserve"> automated </w:t>
      </w:r>
      <w:r w:rsidRPr="00C614EC">
        <w:rPr>
          <w:rStyle w:val="StyleBoldUnderline"/>
          <w:rFonts w:asciiTheme="minorHAnsi" w:hAnsiTheme="minorHAnsi"/>
        </w:rPr>
        <w:t>tech</w:t>
      </w:r>
      <w:r w:rsidRPr="00C614EC">
        <w:rPr>
          <w:rFonts w:asciiTheme="minorHAnsi" w:hAnsiTheme="minorHAnsi"/>
        </w:rPr>
        <w:t xml:space="preserve">nology, which </w:t>
      </w:r>
      <w:r w:rsidRPr="00C614EC">
        <w:rPr>
          <w:rStyle w:val="StyleBoldUnderline"/>
          <w:rFonts w:asciiTheme="minorHAnsi" w:hAnsiTheme="minorHAnsi"/>
        </w:rPr>
        <w:t>requires adequate funding, given the difficulties of operating in the ocean, from the surface to the trenches</w:t>
      </w:r>
      <w:r w:rsidRPr="00C614EC">
        <w:rPr>
          <w:rFonts w:asciiTheme="minorHAnsi" w:hAnsiTheme="minorHAnsi"/>
        </w:rPr>
        <w:t>.</w:t>
      </w:r>
    </w:p>
    <w:p w:rsidR="007C6AC9" w:rsidRPr="00C614EC" w:rsidRDefault="007C6AC9" w:rsidP="007C6AC9">
      <w:pPr>
        <w:rPr>
          <w:rFonts w:asciiTheme="minorHAnsi" w:hAnsiTheme="minorHAnsi"/>
        </w:rPr>
      </w:pPr>
    </w:p>
    <w:p w:rsidR="007C6AC9" w:rsidRDefault="007C6AC9" w:rsidP="007C6AC9">
      <w:pPr>
        <w:pStyle w:val="Heading4"/>
      </w:pPr>
      <w:r>
        <w:t>Privatization creates comprehensive approach to US science leadership</w:t>
      </w:r>
    </w:p>
    <w:p w:rsidR="007C6AC9" w:rsidRPr="00F9283A" w:rsidRDefault="007C6AC9" w:rsidP="007C6AC9">
      <w:r w:rsidRPr="00F9283A">
        <w:rPr>
          <w:rStyle w:val="StyleStyleBold12pt"/>
        </w:rPr>
        <w:t>Gentile 13</w:t>
      </w:r>
      <w:r>
        <w:t xml:space="preserve"> [James M. Gentile, Dean for the Natural &amp; Applied Sciences, Hope College, Holland, MI, A Private Sector Initiative to Bolster U.S. Science, 05/20/2013, http://www.huffingtonpost.com/james-m-gentile/a-private-sector-initiati_b_3294021.html]</w:t>
      </w:r>
    </w:p>
    <w:p w:rsidR="007C6AC9" w:rsidRPr="00F9283A" w:rsidRDefault="007C6AC9" w:rsidP="007C6AC9">
      <w:pPr>
        <w:rPr>
          <w:sz w:val="18"/>
        </w:rPr>
      </w:pPr>
      <w:r w:rsidRPr="00F9283A">
        <w:rPr>
          <w:sz w:val="18"/>
        </w:rPr>
        <w:t xml:space="preserve">President Obama, in a speech to the U.S. National Academy of Sciences just a few weeks ago, spoke about the importance and positive added value of science to the nation. He correctly noted that </w:t>
      </w:r>
      <w:r w:rsidRPr="00F9283A">
        <w:rPr>
          <w:rStyle w:val="StyleBoldUnderline"/>
        </w:rPr>
        <w:t>science is a key to U.S. economic growth</w:t>
      </w:r>
      <w:r w:rsidRPr="00F9283A">
        <w:rPr>
          <w:sz w:val="18"/>
        </w:rPr>
        <w:t xml:space="preserve">. Outcomes of scientific research provide the base for innovations that are responsible for roughly one-half of productivity gains measured every year by economists. </w:t>
      </w:r>
      <w:r w:rsidRPr="00F9283A">
        <w:rPr>
          <w:rStyle w:val="StyleBoldUnderline"/>
        </w:rPr>
        <w:t>The annual investment from federal agencies in the U.S. in both science, and the development of scientists, is roughly $30-35 billion</w:t>
      </w:r>
      <w:r w:rsidRPr="00F9283A">
        <w:rPr>
          <w:sz w:val="18"/>
        </w:rPr>
        <w:t xml:space="preserve">. Indeed, this is a lot of money. But </w:t>
      </w:r>
      <w:r w:rsidRPr="00F9283A">
        <w:rPr>
          <w:rStyle w:val="StyleBoldUnderline"/>
        </w:rPr>
        <w:t xml:space="preserve">the distribution of these resources is often such that it leaves </w:t>
      </w:r>
      <w:r w:rsidRPr="00F9283A">
        <w:rPr>
          <w:rStyle w:val="StyleBoldUnderline"/>
        </w:rPr>
        <w:lastRenderedPageBreak/>
        <w:t>much of the seed corn of science, young scientists, lacking the support they need not just to undertake their research</w:t>
      </w:r>
      <w:r w:rsidRPr="00F9283A">
        <w:rPr>
          <w:sz w:val="18"/>
        </w:rPr>
        <w:t xml:space="preserve">, but also to advance their careers. And, without support, the innovative and potentially transformative ideas from this future generation of scientists fall by the wayside. At a recent national meeting supported by the American Association for the Advancement for the Advancement of Science (AAAS), Robert Conn, president of the prestigious, California-based Kavli Foundation, remarked that the struggle of young scientists is not a new situation. Conn noted that Albert Einstein, for example, following the publication of his landmark studies in 1905, went three years before he found a permanent job. He also reminded us, however, that while the U.S. university system ultimately sheltered Einstein before World War II, today's innovators and scientific explorers might not fare as well. Why? </w:t>
      </w:r>
      <w:r w:rsidRPr="00F9283A">
        <w:rPr>
          <w:rStyle w:val="StyleBoldUnderline"/>
        </w:rPr>
        <w:t>The culprit is the flattening of federal science funding that has occurred in recent years and the difficult issues involved in the fair and equitable dissemination of those dollars</w:t>
      </w:r>
      <w:r w:rsidRPr="00F9283A">
        <w:rPr>
          <w:sz w:val="18"/>
        </w:rPr>
        <w:t xml:space="preserve">. For example, the reduced amount of federal research dollars is compounded by the fact that the significant majority of grant awards made established labs run by senior researchers as opposed to individuals at earlier stages of their careers (about 7 percent of the awards go to researchers 65 years or older while only about 3 percent go to scientists younger than 36). The challenge to support more scientists at diverse career stages (including graduate students and postdoctoral fellows -- two groups that provide the lifeblood for future science discoveries) will deepen, according to the AAAS, with estimates that </w:t>
      </w:r>
      <w:r w:rsidRPr="00F9283A">
        <w:rPr>
          <w:rStyle w:val="StyleBoldUnderline"/>
        </w:rPr>
        <w:t>there will be a reduction of an additional $54 billion out of federal science research funding over the next five years</w:t>
      </w:r>
      <w:r w:rsidRPr="00F9283A">
        <w:rPr>
          <w:sz w:val="18"/>
        </w:rPr>
        <w:t xml:space="preserve">. In reaction to this diminished funding, and potential reduction in the science workforce, a new coalition of private science foundations that fund science has recently been announced. This coalition includes the Kavli Foundation, the Gordon and Betty Moore Foundation, the Alfred P. Sloan Foundation, the W.M Keck Foundation, the Simons Foundation, the Howard Hughes Medical Institute, and the Research Corporation for Science Advancement. These organizations have jointly pledged to lead a drive to double philanthropic foundation donations to $4 billion annually, concomitant with a similar doubling by wealthy donors for an additional $4 billion a year, in the next 10 to 15 years. Contributions from wealthy donors for an imitative such as proposed here is not a very big stretch. First, and foremost, all of the foundations in this consortium were founded by the vision, commitment, and wealth of just such individuals, and therefore provide remarkably successful models of how private dollars can catalyze science. Warren Buffet made the news not long ago with a $31 billion gift to the Gates Foundation -- not just because he was friends with Bill and Melinda Gates, but because he believed in the mission of the foundation. Thus, Mr. Buffett's decision was important not so much that he was giving his wealth away, but that he was asking someone else to pursue philanthropy on his behalf, in a structured and organized manner, for a cause in which he believed. This is not unexpected and not necessarily unique. More recently, for example, The Giving Pledge community formed. This constituted a commitment by the world's wealthiest individuals and families to dedicate the majority of their wealth to philanthropy. It has evolved with well more than 400 individuals signing the pledge. While not all of these philanthropists see science research and/or education as their main interest, scientific advancement for the betterment of our understanding of complex problems such as climate change, microorganisms that can affect human health with pandemic potential and the delicate balance between GMO's and feeding the world, is at the forefront of interest for many. More important than just the money, however, is that </w:t>
      </w:r>
      <w:r w:rsidRPr="00F9283A">
        <w:rPr>
          <w:rStyle w:val="StyleBoldUnderline"/>
        </w:rPr>
        <w:t>private-sector foundations can afford to fund more high-risk, high-return research</w:t>
      </w:r>
      <w:r w:rsidRPr="00F9283A">
        <w:rPr>
          <w:sz w:val="18"/>
        </w:rPr>
        <w:t xml:space="preserve"> (which often comes from the genius of scientists early in their career) </w:t>
      </w:r>
      <w:r w:rsidRPr="00F9283A">
        <w:rPr>
          <w:rStyle w:val="StyleBoldUnderline"/>
        </w:rPr>
        <w:t>without the badgering and bickering that too often comes from Congress as well as a sometimes constipated and overly cumbersome conservative peer-review mechanism when tax dollars are at stake</w:t>
      </w:r>
      <w:r w:rsidRPr="00F9283A">
        <w:rPr>
          <w:sz w:val="18"/>
        </w:rPr>
        <w:t xml:space="preserve">. They can follow the advice of Nobel Prize winner Enrico Fermi, who once said that an experiment with an 80 percent chance of working as predicted is hardly worth doing. He noted that "....you should try something you don't know will work. We need someone to support the wildest and most creative ideas. We can't tell you which ones will change the world, but we know one of them will." There are select innovation awards, and monies targeted to early-career scientists, available in the NSF and NIH that, though relatively few, are important and need to be retained and expanded. And certainly the Department of Defense DARPA (Defense Advanced Research Projects Agency) and the Department of Energy ARPAe (Advanced Research Projects Agency-Energy) initiatives are effective and critically important efforts to promote and fund innovation. But </w:t>
      </w:r>
      <w:r w:rsidRPr="00F9283A">
        <w:rPr>
          <w:rStyle w:val="Emphasis"/>
        </w:rPr>
        <w:t>more is needed, and the private sector can go a long way to meet, complement, and enhance those efforts</w:t>
      </w:r>
      <w:r w:rsidRPr="00F9283A">
        <w:rPr>
          <w:sz w:val="18"/>
        </w:rPr>
        <w:t xml:space="preserve">. Bold examples of what private dollars can do to support the vision of Fermi include the Kavli Institutes, which are embedded in universities around the nation, and dedicated private research endeavors such as Janelia Farm, built on a site outside of Washington, D.C., and supported by the Howard Hughes Medical Institute, and the Van Andel Institute in Grand Rapids, MI. </w:t>
      </w:r>
      <w:r w:rsidRPr="00F9283A">
        <w:rPr>
          <w:rStyle w:val="StyleBoldUnderline"/>
        </w:rPr>
        <w:t xml:space="preserve">Not only do such institutes and investments provide space and resources for higher risk, </w:t>
      </w:r>
      <w:r w:rsidRPr="00F9283A">
        <w:rPr>
          <w:rStyle w:val="Emphasis"/>
        </w:rPr>
        <w:t>innovative</w:t>
      </w:r>
      <w:r w:rsidRPr="00F9283A">
        <w:rPr>
          <w:rStyle w:val="StyleBoldUnderline"/>
        </w:rPr>
        <w:t xml:space="preserve"> research, they provide a much-</w:t>
      </w:r>
      <w:r w:rsidRPr="00F9283A">
        <w:rPr>
          <w:rStyle w:val="Emphasis"/>
        </w:rPr>
        <w:t>longer research</w:t>
      </w:r>
      <w:r w:rsidRPr="00F9283A">
        <w:rPr>
          <w:rStyle w:val="StyleBoldUnderline"/>
        </w:rPr>
        <w:t xml:space="preserve"> and planning horizon than embraced by most federal agencies</w:t>
      </w:r>
      <w:r w:rsidRPr="00F9283A">
        <w:rPr>
          <w:sz w:val="18"/>
        </w:rPr>
        <w:t xml:space="preserve">. And, as evidenced by the recently launched Brain mapping initiative, </w:t>
      </w:r>
      <w:r w:rsidRPr="00F9283A">
        <w:rPr>
          <w:rStyle w:val="StyleBoldUnderline"/>
        </w:rPr>
        <w:t>public/private partnerships can come into play such that federal agencies and private foundations</w:t>
      </w:r>
      <w:r w:rsidRPr="00F9283A">
        <w:rPr>
          <w:sz w:val="18"/>
        </w:rPr>
        <w:t xml:space="preserve"> (and businesses) </w:t>
      </w:r>
      <w:r w:rsidRPr="00F9283A">
        <w:rPr>
          <w:rStyle w:val="StyleBoldUnderline"/>
        </w:rPr>
        <w:t xml:space="preserve">can join forces to drive </w:t>
      </w:r>
      <w:r w:rsidRPr="00F9283A">
        <w:rPr>
          <w:rStyle w:val="StyleBoldUnderline"/>
        </w:rPr>
        <w:lastRenderedPageBreak/>
        <w:t>major initiatives that will significantly benefit humankind</w:t>
      </w:r>
      <w:r w:rsidRPr="00F9283A">
        <w:rPr>
          <w:sz w:val="18"/>
        </w:rPr>
        <w:t xml:space="preserve">. What the foundation consortium is building, in my opinion, is a much-needed, aggressive and innovative venture philanthropic approach to the funding of science. It takes concepts and techniques from venture capital finance and high technology business management and applies them to achieving philanthropic goals. It is characterized by: a willingness to experiment and "try new approaches"; focus on measurable results; the readiness and latitude to shift funds between organizations and goals, or between programs within a given foundation or "cluster" of foundations. To do so it must be based on tracking measurable results; giving intellectual, infrastructural (when needed) and human capital as well as financial support; funding on a multi-year basis; a focus on capacity building, instead of isolated programs or general operating expenses; and a unique high, collaborative involvement by foundations and donors with their grantees. </w:t>
      </w:r>
      <w:r w:rsidRPr="00F9283A">
        <w:rPr>
          <w:rStyle w:val="StyleBoldUnderline"/>
        </w:rPr>
        <w:t>The collaboration, partnering, and philanthropic outreach evidenced by this group of foundations, and its catalytic impact on federal dollars, is going to pay huge dividends in the future</w:t>
      </w:r>
      <w:r w:rsidRPr="00F9283A">
        <w:rPr>
          <w:sz w:val="18"/>
        </w:rPr>
        <w:t xml:space="preserve"> not just </w:t>
      </w:r>
      <w:r w:rsidRPr="00F9283A">
        <w:rPr>
          <w:rStyle w:val="StyleBoldUnderline"/>
        </w:rPr>
        <w:t>to the cause of science itself, and the budding careers of the next generation of scientists, but importantly to the benefit and continued science and technology leadership of our nation.</w:t>
      </w:r>
      <w:r w:rsidRPr="00F9283A">
        <w:rPr>
          <w:sz w:val="18"/>
        </w:rPr>
        <w:t xml:space="preserve"> As the former president of a private science foundation, as an academic dean committed to helping all academic researchers (and their students) succeed in their careers, and as a research scientist, I am thankful for, and praise, the vision and leadership exhibited by this consortium.</w:t>
      </w:r>
    </w:p>
    <w:p w:rsidR="007C6AC9" w:rsidRPr="00C614EC" w:rsidRDefault="007C6AC9" w:rsidP="007C6AC9">
      <w:pPr>
        <w:pStyle w:val="Heading3"/>
      </w:pPr>
      <w:r w:rsidRPr="00C614EC">
        <w:lastRenderedPageBreak/>
        <w:t>Overfishing</w:t>
      </w:r>
      <w:r>
        <w:t>---2NC</w:t>
      </w:r>
    </w:p>
    <w:p w:rsidR="007C6AC9" w:rsidRPr="00C614EC" w:rsidRDefault="007C6AC9" w:rsidP="007C6AC9">
      <w:pPr>
        <w:pStyle w:val="Heading4"/>
        <w:rPr>
          <w:rFonts w:cs="Times New Roman"/>
          <w:sz w:val="28"/>
        </w:rPr>
      </w:pPr>
      <w:r w:rsidRPr="00C614EC">
        <w:rPr>
          <w:rFonts w:cs="Times New Roman"/>
          <w:sz w:val="28"/>
        </w:rPr>
        <w:t>Privatization solves overfishing</w:t>
      </w:r>
    </w:p>
    <w:p w:rsidR="007C6AC9" w:rsidRPr="00C614EC" w:rsidRDefault="007C6AC9" w:rsidP="007C6AC9">
      <w:pPr>
        <w:rPr>
          <w:rFonts w:cs="Times New Roman"/>
          <w:sz w:val="18"/>
        </w:rPr>
      </w:pPr>
      <w:r w:rsidRPr="00C614EC">
        <w:rPr>
          <w:rStyle w:val="StyleStyleBold12pt"/>
          <w:rFonts w:cs="Times New Roman"/>
          <w:sz w:val="28"/>
        </w:rPr>
        <w:t>Mitchell 8</w:t>
      </w:r>
      <w:r w:rsidRPr="00C614EC">
        <w:rPr>
          <w:rFonts w:cs="Times New Roman"/>
          <w:sz w:val="18"/>
        </w:rPr>
        <w:t xml:space="preserve"> [Sara Mitchell, Professor and Department Chair Political Science University of Iowa, “Ruling the Sea: Institutionalization and Privatization of the Global Ocean Commons, Published Jan 1</w:t>
      </w:r>
      <w:r w:rsidRPr="00C614EC">
        <w:rPr>
          <w:rFonts w:cs="Times New Roman"/>
          <w:vertAlign w:val="superscript"/>
        </w:rPr>
        <w:t>st</w:t>
      </w:r>
      <w:r w:rsidRPr="00C614EC">
        <w:rPr>
          <w:rFonts w:cs="Times New Roman"/>
          <w:sz w:val="18"/>
        </w:rPr>
        <w:t xml:space="preserve"> 2008, </w:t>
      </w:r>
      <w:hyperlink r:id="rId13" w:history="1">
        <w:r w:rsidRPr="00C614EC">
          <w:rPr>
            <w:rStyle w:val="Hyperlink"/>
            <w:rFonts w:cs="Times New Roman"/>
          </w:rPr>
          <w:t>http://ir.uiowa.edu/cgi/viewcontent.cgi?article=1003&amp;context=polisci_pubs</w:t>
        </w:r>
      </w:hyperlink>
      <w:r w:rsidRPr="00C614EC">
        <w:rPr>
          <w:rFonts w:cs="Times New Roman"/>
          <w:sz w:val="18"/>
        </w:rPr>
        <w:t>]</w:t>
      </w:r>
    </w:p>
    <w:p w:rsidR="007C6AC9" w:rsidRPr="00C614EC" w:rsidRDefault="007C6AC9" w:rsidP="007C6AC9">
      <w:pPr>
        <w:rPr>
          <w:rStyle w:val="StyleBoldUnderline"/>
          <w:rFonts w:cs="Times New Roman"/>
        </w:rPr>
      </w:pPr>
      <w:r w:rsidRPr="00C614EC">
        <w:rPr>
          <w:rFonts w:cs="Times New Roman"/>
          <w:sz w:val="18"/>
        </w:rPr>
        <w:t>Advocates of a second solution to CPR problems suggest that “</w:t>
      </w:r>
      <w:r w:rsidRPr="00C614EC">
        <w:rPr>
          <w:rStyle w:val="StyleBoldUnderline"/>
          <w:rFonts w:cs="Times New Roman"/>
        </w:rPr>
        <w:t>the only way to avoid the tragedy of the commons in natural resources…is to end the common property system by creating a system of private property rights</w:t>
      </w:r>
      <w:r w:rsidRPr="00C614EC">
        <w:rPr>
          <w:rFonts w:cs="Times New Roman"/>
          <w:sz w:val="18"/>
        </w:rPr>
        <w:t xml:space="preserve">.” (Ostrom, 1990: 12) At a domestic level, this has led to the creation of property and title rights, or enclosure of the commons (Wijkman, 1982). </w:t>
      </w:r>
      <w:r w:rsidRPr="00C614EC">
        <w:rPr>
          <w:rStyle w:val="StyleBoldUnderline"/>
          <w:rFonts w:cs="Times New Roman"/>
        </w:rPr>
        <w:t xml:space="preserve">Allocating the resource through ownership principles focuses the harm of “negative externalities” from the The ISA may also be a mechanism for dealing with the increasing problem of illegal fishing, largely in response to moves to privatize large areas of the sea. </w:t>
      </w:r>
      <w:r w:rsidRPr="00C614EC">
        <w:rPr>
          <w:rFonts w:cs="Times New Roman"/>
          <w:sz w:val="18"/>
        </w:rPr>
        <w:t xml:space="preserve">For example, more than $1.6 billion of illegal seafood enters the European market each year, which has resulted in surging fish prices in the European market. </w:t>
      </w:r>
      <w:r w:rsidRPr="00C614EC">
        <w:rPr>
          <w:rStyle w:val="StyleBoldUnderline"/>
          <w:rFonts w:cs="Times New Roman"/>
        </w:rPr>
        <w:t xml:space="preserve">Diffuse users of a common property resource to the single owner of a resource. As a result, owners devote greater resources and interest to the preservation and maintenance of their individual allocation. In terms of fisheries, this can be seen by the partial enclosure of the commons through the creation of Exclusive Economic Zones (EEZs). </w:t>
      </w:r>
    </w:p>
    <w:p w:rsidR="007C6AC9" w:rsidRPr="00C614EC" w:rsidRDefault="007C6AC9" w:rsidP="007C6AC9">
      <w:pPr>
        <w:pStyle w:val="Heading4"/>
        <w:rPr>
          <w:rFonts w:cs="Times New Roman"/>
          <w:sz w:val="28"/>
        </w:rPr>
      </w:pPr>
      <w:r w:rsidRPr="00C614EC">
        <w:rPr>
          <w:rFonts w:cs="Times New Roman"/>
          <w:sz w:val="28"/>
        </w:rPr>
        <w:t>Private sector solves best in the long term -- data proves</w:t>
      </w:r>
    </w:p>
    <w:p w:rsidR="007C6AC9" w:rsidRPr="00C614EC" w:rsidRDefault="007C6AC9" w:rsidP="007C6AC9">
      <w:pPr>
        <w:rPr>
          <w:rFonts w:cs="Times New Roman"/>
          <w:sz w:val="18"/>
        </w:rPr>
      </w:pPr>
      <w:r w:rsidRPr="00C614EC">
        <w:rPr>
          <w:rStyle w:val="StyleStyleBold12pt"/>
          <w:rFonts w:cs="Times New Roman"/>
          <w:sz w:val="28"/>
        </w:rPr>
        <w:t>Mitchell 8</w:t>
      </w:r>
      <w:r w:rsidRPr="00C614EC">
        <w:rPr>
          <w:rFonts w:cs="Times New Roman"/>
          <w:sz w:val="18"/>
        </w:rPr>
        <w:t xml:space="preserve"> [Sara Mitchell, Professor and Department Chair Political Science University of Iowa, “Ruling the Sea: Institutionalization and Privatization of the Global Ocean Commons, Published Jan 1</w:t>
      </w:r>
      <w:r w:rsidRPr="00C614EC">
        <w:rPr>
          <w:rFonts w:cs="Times New Roman"/>
          <w:vertAlign w:val="superscript"/>
        </w:rPr>
        <w:t>st</w:t>
      </w:r>
      <w:r w:rsidRPr="00C614EC">
        <w:rPr>
          <w:rFonts w:cs="Times New Roman"/>
          <w:sz w:val="18"/>
        </w:rPr>
        <w:t xml:space="preserve"> 2008, </w:t>
      </w:r>
      <w:hyperlink r:id="rId14" w:history="1">
        <w:r w:rsidRPr="00C614EC">
          <w:rPr>
            <w:rStyle w:val="Hyperlink"/>
            <w:rFonts w:cs="Times New Roman"/>
          </w:rPr>
          <w:t>http://ir.uiowa.edu/cgi/viewcontent.cgi?article=1003&amp;context=polisci_pubs</w:t>
        </w:r>
      </w:hyperlink>
      <w:r w:rsidRPr="00C614EC">
        <w:rPr>
          <w:rFonts w:cs="Times New Roman"/>
          <w:sz w:val="18"/>
        </w:rPr>
        <w:t>]</w:t>
      </w:r>
    </w:p>
    <w:p w:rsidR="007C6AC9" w:rsidRPr="00C614EC" w:rsidRDefault="007C6AC9" w:rsidP="007C6AC9">
      <w:pPr>
        <w:rPr>
          <w:rStyle w:val="StyleBoldUnderline"/>
          <w:rFonts w:cs="Times New Roman"/>
        </w:rPr>
      </w:pPr>
      <w:r w:rsidRPr="00C614EC">
        <w:rPr>
          <w:rStyle w:val="StyleBoldUnderline"/>
          <w:rFonts w:cs="Times New Roman"/>
        </w:rPr>
        <w:t>Our final analyses consider the effects of EEZs and UNCLOS on marine fish catches in order to determine if these policies have any serious implications for the health of oceanic resources. Hypothesis 5 predicts a U-shaped relationship between</w:t>
      </w:r>
      <w:r w:rsidRPr="00C614EC">
        <w:rPr>
          <w:rFonts w:cs="Times New Roman"/>
          <w:sz w:val="18"/>
        </w:rPr>
        <w:t xml:space="preserve"> the duration for </w:t>
      </w:r>
      <w:r w:rsidRPr="00C614EC">
        <w:rPr>
          <w:rStyle w:val="StyleBoldUnderline"/>
          <w:rFonts w:cs="Times New Roman"/>
        </w:rPr>
        <w:t>EEZ/UNCLOS commitments and changes in marine catches.</w:t>
      </w:r>
      <w:r w:rsidRPr="00C614EC">
        <w:rPr>
          <w:rFonts w:cs="Times New Roman"/>
          <w:sz w:val="18"/>
        </w:rPr>
        <w:t xml:space="preserve"> We evaluate this hypothesis in table 6, entering the number of years for EEZs and UNCLOS for each state in a given year, as well as the squared values of these variables. Beginning with the privatization solution (Model 1), we find support for a U-shaped relationship between the establishment of EEZs and changes in marine catches; the coefficient for EEZ years is negative, while the coefficient for EEZ years squared is positive. </w:t>
      </w:r>
      <w:r w:rsidRPr="00C614EC">
        <w:rPr>
          <w:rStyle w:val="StyleBoldUnderline"/>
          <w:rFonts w:cs="Times New Roman"/>
        </w:rPr>
        <w:t>The relationship is plotted in Figure 1; we can see that it takes about 23 years for fish catches to experience positive growth, a finding consistent with the biological literature on the recovery of fish stocks</w:t>
      </w:r>
      <w:r w:rsidRPr="00C614EC">
        <w:rPr>
          <w:rFonts w:cs="Times New Roman"/>
          <w:sz w:val="18"/>
        </w:rPr>
        <w:t xml:space="preserve"> (Hutchings and Reynolds 2004). </w:t>
      </w:r>
      <w:r w:rsidRPr="00C614EC">
        <w:rPr>
          <w:rStyle w:val="StyleBoldUnderline"/>
          <w:rFonts w:cs="Times New Roman"/>
        </w:rPr>
        <w:t>We find a similar U-shaped relationship between UNCLOS and changes in marine catches (Model 2). The conservation efforts in UNCLOS seem to be quite effective, as it takes only 15 years for a growth in marine catches to occur. These finding provide renewed optimism for political solutions to CPR problems.</w:t>
      </w:r>
    </w:p>
    <w:p w:rsidR="007C6AC9" w:rsidRPr="00C614EC" w:rsidRDefault="007C6AC9" w:rsidP="007C6AC9">
      <w:pPr>
        <w:rPr>
          <w:sz w:val="18"/>
        </w:rPr>
      </w:pPr>
    </w:p>
    <w:p w:rsidR="007C6AC9" w:rsidRPr="007B5B6E" w:rsidRDefault="007C6AC9" w:rsidP="007C6AC9">
      <w:pPr>
        <w:pStyle w:val="Heading3"/>
      </w:pPr>
      <w:r>
        <w:lastRenderedPageBreak/>
        <w:t>STEM---2NC</w:t>
      </w:r>
    </w:p>
    <w:p w:rsidR="007C6AC9" w:rsidRPr="00743D0B" w:rsidRDefault="007C6AC9" w:rsidP="007C6AC9">
      <w:pPr>
        <w:pStyle w:val="Heading4"/>
        <w:rPr>
          <w:rFonts w:cs="Times New Roman"/>
        </w:rPr>
      </w:pPr>
      <w:r>
        <w:rPr>
          <w:rFonts w:cs="Times New Roman"/>
        </w:rPr>
        <w:t>Private sector solves STEM Innovation</w:t>
      </w:r>
    </w:p>
    <w:p w:rsidR="007C6AC9" w:rsidRPr="00743D0B" w:rsidRDefault="007C6AC9" w:rsidP="007C6AC9">
      <w:pPr>
        <w:rPr>
          <w:rFonts w:cs="Times New Roman"/>
        </w:rPr>
      </w:pPr>
      <w:r w:rsidRPr="00743D0B">
        <w:rPr>
          <w:rStyle w:val="StyleStyleBold12pt"/>
          <w:rFonts w:cs="Times New Roman"/>
        </w:rPr>
        <w:t>Kaufman 12</w:t>
      </w:r>
      <w:r w:rsidRPr="007B5B6E">
        <w:rPr>
          <w:rFonts w:cs="Times New Roman"/>
          <w:sz w:val="20"/>
        </w:rPr>
        <w:t xml:space="preserve"> [Erik Kaufman, Hutchinson Herald Editor, “Camerons Bold Entrepreneurship Fuels Continued Exploration,” Published in 2012, </w:t>
      </w:r>
      <w:hyperlink r:id="rId15" w:history="1">
        <w:r w:rsidRPr="007B5B6E">
          <w:rPr>
            <w:rStyle w:val="Hyperlink"/>
            <w:rFonts w:cs="Times New Roman"/>
            <w:sz w:val="20"/>
          </w:rPr>
          <w:t>http://www.smalltownnews.com/article.php?pid=166&amp;aid=139199</w:t>
        </w:r>
      </w:hyperlink>
      <w:r w:rsidRPr="007B5B6E">
        <w:rPr>
          <w:rFonts w:cs="Times New Roman"/>
          <w:sz w:val="20"/>
        </w:rPr>
        <w:t>]</w:t>
      </w:r>
    </w:p>
    <w:p w:rsidR="007C6AC9" w:rsidRPr="00743D0B" w:rsidRDefault="007C6AC9" w:rsidP="007C6AC9">
      <w:pPr>
        <w:rPr>
          <w:rStyle w:val="StyleBoldUnderline"/>
          <w:rFonts w:cs="Times New Roman"/>
        </w:rPr>
      </w:pPr>
      <w:r w:rsidRPr="00743D0B">
        <w:rPr>
          <w:rStyle w:val="StyleBoldUnderline"/>
          <w:rFonts w:cs="Times New Roman"/>
        </w:rPr>
        <w:t>The recent success of a one-man submarine into the Mariana Trench in the Pacific Ocean is keeping man's exploratory spirit alive and well in the face of continued funding cuts</w:t>
      </w:r>
      <w:r w:rsidRPr="00743D0B">
        <w:rPr>
          <w:rFonts w:cs="Times New Roman"/>
        </w:rPr>
        <w:t xml:space="preserve"> for space exploration. </w:t>
      </w:r>
      <w:r w:rsidRPr="00743D0B">
        <w:rPr>
          <w:rStyle w:val="StyleBoldUnderline"/>
          <w:rFonts w:cs="Times New Roman"/>
        </w:rPr>
        <w:t>James Cameron</w:t>
      </w:r>
      <w:r w:rsidRPr="00743D0B">
        <w:rPr>
          <w:rFonts w:cs="Times New Roman"/>
        </w:rPr>
        <w:t xml:space="preserve">, a well-known movie director and producer, Sunday </w:t>
      </w:r>
      <w:r w:rsidRPr="00743D0B">
        <w:rPr>
          <w:rStyle w:val="StyleBoldUnderline"/>
          <w:rFonts w:cs="Times New Roman"/>
        </w:rPr>
        <w:t xml:space="preserve">became just the third person to touch down in the deepest part of the ocean nearly seven miles beneath the surface of the water in a specially-designed submarine designed to handle the extreme pressure of operating at such intense depths. </w:t>
      </w:r>
      <w:r w:rsidRPr="00743D0B">
        <w:rPr>
          <w:rFonts w:cs="Times New Roman"/>
        </w:rPr>
        <w:t xml:space="preserve">The previous two explorers to visit the trench did so in 1960 aboard a United States Navy submersible named Trieste. That crew spent just 20 minutes on the ocean floor and could not observe much due to the amount of silt that was stirred up as the craft landed. It was the last time human observers have traveled to the lowest point on the planet. </w:t>
      </w:r>
      <w:r w:rsidRPr="00743D0B">
        <w:rPr>
          <w:rStyle w:val="StyleBoldUnderline"/>
          <w:rFonts w:cs="Times New Roman"/>
        </w:rPr>
        <w:t>Cameron</w:t>
      </w:r>
      <w:r w:rsidRPr="00743D0B">
        <w:rPr>
          <w:rFonts w:cs="Times New Roman"/>
        </w:rPr>
        <w:t xml:space="preserve">, who has shown a fascination with the oceans through film productions like The Abyss and Titanic, </w:t>
      </w:r>
      <w:r w:rsidRPr="00743D0B">
        <w:rPr>
          <w:rStyle w:val="StyleBoldUnderline"/>
          <w:rFonts w:cs="Times New Roman"/>
        </w:rPr>
        <w:t xml:space="preserve">took about two and a half hours to complete the decent in his craft, the Deepsea Challenger, a vertically-oriented submarine that Cameron designed himself and was built with the assistance of the National Geographic Society and watchmaker Rolex. </w:t>
      </w:r>
      <w:r w:rsidRPr="00743D0B">
        <w:rPr>
          <w:rFonts w:cs="Times New Roman"/>
        </w:rPr>
        <w:t xml:space="preserve">Cameron returned safely to the surface, but his stay on the ocean floor lasted less than half as long as planned due to mechanical issues with the craft. Cameron is, without doubt, a dreamer. His vision of alien worlds and penchant for telling futuristic stories has made him one of the most successful directors in Hollywood history. </w:t>
      </w:r>
      <w:r w:rsidRPr="00743D0B">
        <w:rPr>
          <w:rStyle w:val="StyleBoldUnderline"/>
          <w:rFonts w:cs="Times New Roman"/>
        </w:rPr>
        <w:t xml:space="preserve">The difference here is that he is making that a reality after realizing that few were taking the reins when it came to ocean exploration. </w:t>
      </w:r>
      <w:r w:rsidRPr="00743D0B">
        <w:rPr>
          <w:rFonts w:cs="Times New Roman"/>
        </w:rPr>
        <w:t xml:space="preserve">Much like space exploration, deep-sea exploration is dangerous and expensive. As mentioned before, the United States government has not sent a live human to where Cameron visited this weekend in 52 years. With </w:t>
      </w:r>
      <w:r w:rsidRPr="00743D0B">
        <w:rPr>
          <w:rStyle w:val="StyleBoldUnderline"/>
          <w:rFonts w:cs="Times New Roman"/>
        </w:rPr>
        <w:t>recent government cuts in space exploration funding, several private entrepreneurs have attempted to fill the gap with private sector technology. To some extent, they've had success. But not as much success as Cameron did this weekend. By returning to the deepest part of the ocean, Cameron attempts to remind people that exploration, in arguably its most pure form, is something best undertaken live by people themselves.</w:t>
      </w:r>
      <w:r w:rsidRPr="00743D0B">
        <w:rPr>
          <w:rFonts w:cs="Times New Roman"/>
        </w:rPr>
        <w:t xml:space="preserve"> While the robotic rovers on Mars have more than surpassed expectations in terms of lifespan and flexibility, their presence will never be a substitute for a pair of human eyes and human a brain studying an environment from within. Here's hoping </w:t>
      </w:r>
      <w:r w:rsidRPr="00743D0B">
        <w:rPr>
          <w:rStyle w:val="StyleBoldUnderline"/>
          <w:rFonts w:cs="Times New Roman"/>
        </w:rPr>
        <w:t>Cameron's success continues to drive other deep sea explorers to continue to push the envelope and seek out the farthest reaches of our planet and remind us all why exploration of the unknown continues to be an important pursuit.</w:t>
      </w:r>
    </w:p>
    <w:p w:rsidR="007C6AC9" w:rsidRPr="007B5B6E" w:rsidRDefault="007C6AC9" w:rsidP="007C6AC9"/>
    <w:p w:rsidR="007C6AC9" w:rsidRDefault="007C6AC9" w:rsidP="007C6AC9">
      <w:pPr>
        <w:pStyle w:val="Heading3"/>
      </w:pPr>
      <w:r>
        <w:lastRenderedPageBreak/>
        <w:t>AUVs---2NC</w:t>
      </w:r>
    </w:p>
    <w:p w:rsidR="007C6AC9" w:rsidRPr="00743D0B" w:rsidRDefault="007C6AC9" w:rsidP="007C6AC9">
      <w:pPr>
        <w:pStyle w:val="Heading4"/>
        <w:rPr>
          <w:rFonts w:cs="Times New Roman"/>
        </w:rPr>
      </w:pPr>
      <w:r w:rsidRPr="00743D0B">
        <w:rPr>
          <w:rFonts w:cs="Times New Roman"/>
        </w:rPr>
        <w:t>Tax credits are key to AUV development</w:t>
      </w:r>
    </w:p>
    <w:p w:rsidR="007C6AC9" w:rsidRPr="00743D0B" w:rsidRDefault="007C6AC9" w:rsidP="007C6AC9">
      <w:pPr>
        <w:rPr>
          <w:rFonts w:cs="Times New Roman"/>
        </w:rPr>
      </w:pPr>
      <w:r w:rsidRPr="00743D0B">
        <w:rPr>
          <w:rStyle w:val="StyleStyleBold12pt"/>
          <w:rFonts w:cs="Times New Roman"/>
        </w:rPr>
        <w:t>Bluefin 12</w:t>
      </w:r>
      <w:r>
        <w:rPr>
          <w:rFonts w:cs="Times New Roman"/>
        </w:rPr>
        <w:t xml:space="preserve"> </w:t>
      </w:r>
      <w:r w:rsidRPr="00743D0B">
        <w:rPr>
          <w:rFonts w:cs="Times New Roman"/>
        </w:rPr>
        <w:t xml:space="preserve"> </w:t>
      </w:r>
      <w:r>
        <w:rPr>
          <w:rFonts w:cs="Times New Roman"/>
        </w:rPr>
        <w:t>[</w:t>
      </w:r>
      <w:r w:rsidRPr="00743D0B">
        <w:rPr>
          <w:rFonts w:cs="Times New Roman"/>
        </w:rPr>
        <w:t>Bluefin Robotics, private AUVs company</w:t>
      </w:r>
      <w:r>
        <w:rPr>
          <w:rFonts w:cs="Times New Roman"/>
        </w:rPr>
        <w:t>,</w:t>
      </w:r>
      <w:r w:rsidRPr="00743D0B">
        <w:rPr>
          <w:rFonts w:cs="Times New Roman"/>
        </w:rPr>
        <w:t xml:space="preserve"> “Governor Patrick Visits Bluefin Robotic</w:t>
      </w:r>
      <w:r>
        <w:rPr>
          <w:rFonts w:cs="Times New Roman"/>
        </w:rPr>
        <w:t>s, Promotes Innovation Economy,” Published in 2012,</w:t>
      </w:r>
      <w:r w:rsidRPr="00743D0B">
        <w:rPr>
          <w:rFonts w:cs="Times New Roman"/>
        </w:rPr>
        <w:t xml:space="preserve"> </w:t>
      </w:r>
      <w:hyperlink r:id="rId16" w:history="1">
        <w:r w:rsidRPr="00743D0B">
          <w:rPr>
            <w:rStyle w:val="Hyperlink"/>
            <w:rFonts w:cs="Times New Roman"/>
          </w:rPr>
          <w:t>http://www.bluefinrobotics.com/news-and-downloads/press/governor-patrick-visits-bluefin-robotics-promotes-innovation-economy/</w:t>
        </w:r>
      </w:hyperlink>
      <w:r>
        <w:rPr>
          <w:rFonts w:cs="Times New Roman"/>
        </w:rPr>
        <w:t>]</w:t>
      </w:r>
    </w:p>
    <w:p w:rsidR="007C6AC9" w:rsidRPr="00743D0B" w:rsidRDefault="007C6AC9" w:rsidP="007C6AC9">
      <w:pPr>
        <w:rPr>
          <w:rStyle w:val="StyleBoldUnderline"/>
          <w:rFonts w:cs="Times New Roman"/>
        </w:rPr>
      </w:pPr>
      <w:r w:rsidRPr="00743D0B">
        <w:rPr>
          <w:rFonts w:cs="Times New Roman"/>
        </w:rPr>
        <w:t xml:space="preserve">Governor Deval Patrick today joined </w:t>
      </w:r>
      <w:r w:rsidRPr="00743D0B">
        <w:rPr>
          <w:rStyle w:val="StyleBoldUnderline"/>
          <w:rFonts w:cs="Times New Roman"/>
        </w:rPr>
        <w:t xml:space="preserve">Bluefin CEO David Kelly and employees at the company’s Quincy location for a tour of the facility, highlighting the Patrick-Murray Administration’s support of the Commonwealth’s thriving innovation economy. </w:t>
      </w:r>
      <w:r w:rsidRPr="00743D0B">
        <w:rPr>
          <w:rFonts w:cs="Times New Roman"/>
        </w:rPr>
        <w:t>“</w:t>
      </w:r>
      <w:r w:rsidRPr="00743D0B">
        <w:rPr>
          <w:rStyle w:val="StyleBoldUnderline"/>
          <w:rFonts w:cs="Times New Roman"/>
        </w:rPr>
        <w:t>We are committed to growing our innovation sectors because that's where the future lies and it creates great jobs</w:t>
      </w:r>
      <w:r w:rsidRPr="00743D0B">
        <w:rPr>
          <w:rFonts w:cs="Times New Roman"/>
        </w:rPr>
        <w:t xml:space="preserve">,” said Governor Patrick. “Companies like Bluefin Robotics are clear examples of our growing leadership in the world's innovation economy.” Founded in 1997 by a core group of engineers from the Massachusetts Institute of Technology Autonomous Underwater Vehicle (AUV) Laboratory, </w:t>
      </w:r>
      <w:r w:rsidRPr="00743D0B">
        <w:rPr>
          <w:rStyle w:val="StyleBoldUnderline"/>
          <w:rFonts w:cs="Times New Roman"/>
        </w:rPr>
        <w:t xml:space="preserve">Bluefin manufactures AUVs for scientific research, naval mine warfare and offshore oil field seafloor surveys, particularly for deep-water installations. </w:t>
      </w:r>
      <w:r w:rsidRPr="00743D0B">
        <w:rPr>
          <w:rFonts w:cs="Times New Roman"/>
        </w:rPr>
        <w:t xml:space="preserve">In 2005, Bluefin became a wholly-owned subsidiary of the Battelle Memorial Institute, a global science and technology enterprise that develops and commercializes technology and manages laboratories for customers. </w:t>
      </w:r>
      <w:r w:rsidRPr="00743D0B">
        <w:rPr>
          <w:rStyle w:val="StyleBoldUnderline"/>
          <w:rFonts w:cs="Times New Roman"/>
        </w:rPr>
        <w:t>Battelle oversees a staff of 22,000 scientists, engineers and support specialists and conducts $6.2 billion in annual research and development. In 2008, Bluefin started looking for a new facility to consolidate its engineering, manufacturing and marine operations teams and soon chose the Quincy Fore River Shipyard, which has access to a harbor, essential to the company’s product testing and development.</w:t>
      </w:r>
      <w:r w:rsidRPr="00743D0B">
        <w:rPr>
          <w:rFonts w:cs="Times New Roman"/>
        </w:rPr>
        <w:t xml:space="preserve"> The Patrick-Murray Administration’s Massachusetts Office of Business Development (MOBD) met with Bluefin Robotics in the spring of 2009 to discuss assistance for the expansion of the company’s facility. </w:t>
      </w:r>
      <w:r w:rsidRPr="00743D0B">
        <w:rPr>
          <w:rStyle w:val="StyleBoldUnderline"/>
          <w:rFonts w:cs="Times New Roman"/>
        </w:rPr>
        <w:t xml:space="preserve">After working with MOBD, Bluefin, which at the time had 75 employees, was awarded a </w:t>
      </w:r>
      <w:r w:rsidRPr="00743D0B">
        <w:rPr>
          <w:rStyle w:val="Emphasis"/>
          <w:rFonts w:cs="Times New Roman"/>
        </w:rPr>
        <w:t>Tax Increment Financing</w:t>
      </w:r>
      <w:r w:rsidRPr="00743D0B">
        <w:rPr>
          <w:rStyle w:val="StyleBoldUnderline"/>
          <w:rFonts w:cs="Times New Roman"/>
        </w:rPr>
        <w:t xml:space="preserve"> (TIF) package from the city of Quincy and an </w:t>
      </w:r>
      <w:r w:rsidRPr="00743D0B">
        <w:rPr>
          <w:rStyle w:val="Emphasis"/>
          <w:rFonts w:cs="Times New Roman"/>
        </w:rPr>
        <w:t>Investment Tax Credit</w:t>
      </w:r>
      <w:r w:rsidRPr="00743D0B">
        <w:rPr>
          <w:rStyle w:val="StyleBoldUnderline"/>
          <w:rFonts w:cs="Times New Roman"/>
        </w:rPr>
        <w:t xml:space="preserve"> (ITC) from the Commonwealth’s Economic Development Incentive Program. The ITC is equal to 5 percent of the company’s $4.5 million investment, which is $225,000. Today, Bluefin is comfortably operating from their 55,000 square foot facility in Quincy and employs over 90 people. The company continues to hire skilled engineers and technicians in order to fulfill current contracts and position itself for future business. </w:t>
      </w:r>
      <w:r w:rsidRPr="00743D0B">
        <w:rPr>
          <w:rFonts w:cs="Times New Roman"/>
        </w:rPr>
        <w:t>“We are proud to be recognized by the Patrick-Murray Administration as having a positive economic impact on the area,” said Bluefin Robotics CEO Kelly. “</w:t>
      </w:r>
      <w:r w:rsidRPr="00743D0B">
        <w:rPr>
          <w:rStyle w:val="StyleBoldUnderline"/>
          <w:rFonts w:cs="Times New Roman"/>
        </w:rPr>
        <w:t>Moving to Quincy was a critical move that has allowed the company to take on more business and grow the company—</w:t>
      </w:r>
      <w:r w:rsidRPr="00743D0B">
        <w:rPr>
          <w:rStyle w:val="Emphasis"/>
          <w:rFonts w:cs="Times New Roman"/>
        </w:rPr>
        <w:t>the MOBD was a key component in making that possible.</w:t>
      </w:r>
      <w:r w:rsidRPr="00743D0B">
        <w:rPr>
          <w:rFonts w:cs="Times New Roman"/>
        </w:rPr>
        <w:t xml:space="preserve">” The Patrick-Murray Administration has made growing the Massachusetts economy through supporting small businesses a top priority. Recently, Governor Patrick announced that the Administration is streamlining and rescinding state regulations to improve government efficiencies and reduce extra burdens on small businesses, helping small businesses continue to thrive and create jobs through a systematic review of state regulations. Also, no new regulation will be issued without serious consideration of impact and input of small businesses. </w:t>
      </w:r>
      <w:r w:rsidRPr="00743D0B">
        <w:rPr>
          <w:rStyle w:val="StyleBoldUnderline"/>
          <w:rFonts w:cs="Times New Roman"/>
        </w:rPr>
        <w:t xml:space="preserve">Growing the innovation economy is one of the five main initiatives included in an economic development plan, “Choosing to Compete in the 21st Century,” filed by the Administration in December 2011. </w:t>
      </w:r>
      <w:r w:rsidRPr="00743D0B">
        <w:rPr>
          <w:rFonts w:cs="Times New Roman"/>
        </w:rPr>
        <w:t>Beyond previous achievements like creating a 10-year, $1 billion life sciences initiative and creating the world’s largest global start-up competition and accelerator program in MassChallenge, “</w:t>
      </w:r>
      <w:r w:rsidRPr="00743D0B">
        <w:rPr>
          <w:rStyle w:val="StyleBoldUnderline"/>
          <w:rFonts w:cs="Times New Roman"/>
        </w:rPr>
        <w:t>Choosing to Compete” sets goals of increasing state funding for early-stage entrepreneurs,</w:t>
      </w:r>
      <w:r w:rsidRPr="00743D0B">
        <w:rPr>
          <w:rFonts w:cs="Times New Roman"/>
        </w:rPr>
        <w:t xml:space="preserve"> </w:t>
      </w:r>
      <w:r w:rsidRPr="00743D0B">
        <w:rPr>
          <w:rStyle w:val="StyleBoldUnderline"/>
          <w:rFonts w:cs="Times New Roman"/>
        </w:rPr>
        <w:t xml:space="preserve">identifying up to five emerging areas of global innovation </w:t>
      </w:r>
      <w:r w:rsidRPr="00743D0B">
        <w:rPr>
          <w:rStyle w:val="StyleBoldUnderline"/>
          <w:rFonts w:cs="Times New Roman"/>
        </w:rPr>
        <w:lastRenderedPageBreak/>
        <w:t>excellence and supporting those areas through public-private collaborations, and improving talent retention for the innovation economy.</w:t>
      </w:r>
    </w:p>
    <w:p w:rsidR="007C6AC9" w:rsidRPr="00D47733" w:rsidRDefault="007C6AC9" w:rsidP="007C6AC9"/>
    <w:p w:rsidR="007C6AC9" w:rsidRDefault="007C6AC9" w:rsidP="007C6AC9">
      <w:pPr>
        <w:rPr>
          <w:lang w:eastAsia="ko-KR"/>
        </w:rPr>
      </w:pPr>
    </w:p>
    <w:p w:rsidR="0017246A" w:rsidRDefault="0017246A" w:rsidP="0017246A">
      <w:pPr>
        <w:pStyle w:val="Heading2"/>
        <w:rPr>
          <w:lang w:eastAsia="ko-KR"/>
        </w:rPr>
      </w:pPr>
      <w:r>
        <w:rPr>
          <w:lang w:eastAsia="ko-KR"/>
        </w:rPr>
        <w:lastRenderedPageBreak/>
        <w:t>2NC---AT</w:t>
      </w:r>
    </w:p>
    <w:p w:rsidR="007C6AC9" w:rsidRPr="00C614EC" w:rsidRDefault="007C6AC9" w:rsidP="007C6AC9">
      <w:pPr>
        <w:pStyle w:val="Heading3"/>
        <w:rPr>
          <w:lang w:eastAsia="ko-KR"/>
        </w:rPr>
      </w:pPr>
      <w:r>
        <w:rPr>
          <w:lang w:eastAsia="ko-KR"/>
        </w:rPr>
        <w:lastRenderedPageBreak/>
        <w:t>AT: Links to Politics---2NC</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 xml:space="preserve">Private funding avoids politics -- financially feasible </w:t>
      </w:r>
    </w:p>
    <w:p w:rsidR="007C6AC9" w:rsidRPr="00C614EC" w:rsidRDefault="007C6AC9" w:rsidP="007C6AC9">
      <w:pPr>
        <w:rPr>
          <w:rFonts w:asciiTheme="minorHAnsi" w:hAnsiTheme="minorHAnsi"/>
        </w:rPr>
      </w:pPr>
      <w:r w:rsidRPr="00C614EC">
        <w:rPr>
          <w:rStyle w:val="StyleStyleBold12pt"/>
          <w:rFonts w:asciiTheme="minorHAnsi" w:hAnsiTheme="minorHAnsi"/>
          <w:sz w:val="28"/>
        </w:rPr>
        <w:t>Cooper 12</w:t>
      </w:r>
      <w:r w:rsidRPr="00C614EC">
        <w:rPr>
          <w:rFonts w:asciiTheme="minorHAnsi" w:hAnsiTheme="minorHAnsi"/>
        </w:rPr>
        <w:t xml:space="preserve"> </w:t>
      </w:r>
      <w:r w:rsidRPr="00C614EC">
        <w:rPr>
          <w:rFonts w:asciiTheme="minorHAnsi" w:hAnsiTheme="minorHAnsi"/>
          <w:sz w:val="20"/>
        </w:rPr>
        <w:t>[Donna Cooper is a Senior Fellow with the Economic Policy team at the Center for American Progress, “Meeting the Infrastructure Imperative”, 2/16, http://www.americanprogress.org/issues/2012/02/infrastructure.html]</w:t>
      </w:r>
    </w:p>
    <w:p w:rsidR="007C6AC9" w:rsidRPr="00C614EC" w:rsidRDefault="007C6AC9" w:rsidP="007C6AC9">
      <w:pPr>
        <w:rPr>
          <w:rFonts w:asciiTheme="minorHAnsi" w:hAnsiTheme="minorHAnsi"/>
          <w:sz w:val="16"/>
        </w:rPr>
      </w:pPr>
      <w:r w:rsidRPr="00C614EC">
        <w:rPr>
          <w:rStyle w:val="StyleBoldUnderline"/>
          <w:rFonts w:asciiTheme="minorHAnsi" w:hAnsiTheme="minorHAnsi"/>
        </w:rPr>
        <w:t>Private investors have partnered with state or local governments to build roads</w:t>
      </w:r>
      <w:r w:rsidRPr="00C614EC">
        <w:rPr>
          <w:rFonts w:asciiTheme="minorHAnsi" w:hAnsiTheme="minorHAnsi"/>
          <w:sz w:val="16"/>
        </w:rPr>
        <w:t xml:space="preserve">, expand highway systems, and build or repair bridges. Typically in this case </w:t>
      </w:r>
      <w:r w:rsidRPr="00C614EC">
        <w:rPr>
          <w:rStyle w:val="StyleBoldUnderline"/>
          <w:rFonts w:asciiTheme="minorHAnsi" w:hAnsiTheme="minorHAnsi"/>
        </w:rPr>
        <w:t>the private investor pays the public entity upfront an estimated market value for the transportation asset, and then is required under an agreement to cover the cost of improving the asset</w:t>
      </w:r>
      <w:r w:rsidRPr="00C614EC">
        <w:rPr>
          <w:rFonts w:asciiTheme="minorHAnsi" w:hAnsiTheme="minorHAnsi"/>
          <w:sz w:val="16"/>
        </w:rPr>
        <w:t xml:space="preserve">.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C614EC">
        <w:rPr>
          <w:rStyle w:val="StyleBoldUnderline"/>
          <w:rFonts w:asciiTheme="minorHAnsi" w:hAnsiTheme="minorHAnsi"/>
        </w:rPr>
        <w:t xml:space="preserve">which then has the positive results of making a project </w:t>
      </w:r>
      <w:r w:rsidRPr="00C614EC">
        <w:rPr>
          <w:rStyle w:val="Emphasis"/>
          <w:rFonts w:asciiTheme="minorHAnsi" w:hAnsiTheme="minorHAnsi"/>
        </w:rPr>
        <w:t>more politically and financially feasible</w:t>
      </w:r>
      <w:r w:rsidRPr="00C614EC">
        <w:rPr>
          <w:rFonts w:asciiTheme="minorHAnsi" w:hAnsiTheme="minorHAnsi"/>
          <w:sz w:val="16"/>
        </w:rPr>
        <w:t>.</w:t>
      </w:r>
    </w:p>
    <w:p w:rsidR="007C6AC9" w:rsidRPr="00C614EC" w:rsidRDefault="007C6AC9" w:rsidP="007C6AC9">
      <w:pPr>
        <w:pStyle w:val="Heading4"/>
        <w:rPr>
          <w:rFonts w:cs="Times New Roman"/>
          <w:sz w:val="28"/>
        </w:rPr>
      </w:pPr>
      <w:r w:rsidRPr="00C614EC">
        <w:rPr>
          <w:rFonts w:cs="Times New Roman"/>
          <w:sz w:val="28"/>
        </w:rPr>
        <w:t>Tax credits are extremely popular -- perceived as economically beneficial</w:t>
      </w:r>
    </w:p>
    <w:p w:rsidR="007C6AC9" w:rsidRPr="00C614EC" w:rsidRDefault="007C6AC9" w:rsidP="007C6AC9">
      <w:pPr>
        <w:rPr>
          <w:rFonts w:cs="Times New Roman"/>
          <w:sz w:val="18"/>
        </w:rPr>
      </w:pPr>
      <w:r w:rsidRPr="00C614EC">
        <w:rPr>
          <w:rStyle w:val="StyleStyleBold12pt"/>
          <w:rFonts w:cs="Times New Roman"/>
          <w:sz w:val="28"/>
        </w:rPr>
        <w:t xml:space="preserve">Ohlemacher 14 </w:t>
      </w:r>
      <w:r w:rsidRPr="00C614EC">
        <w:rPr>
          <w:sz w:val="18"/>
        </w:rPr>
        <w:t>[Stephen</w:t>
      </w:r>
      <w:r w:rsidRPr="00C614EC">
        <w:rPr>
          <w:rFonts w:cs="Times New Roman"/>
          <w:sz w:val="18"/>
        </w:rPr>
        <w:t xml:space="preserve"> Ohlemacher, writer for the Associated Press, “HOUSE VOTES TO MAKE RESEARCH TAX CREDIT PERMANENT,” </w:t>
      </w:r>
      <w:hyperlink r:id="rId17" w:history="1">
        <w:r w:rsidRPr="00C614EC">
          <w:rPr>
            <w:rStyle w:val="Hyperlink"/>
            <w:rFonts w:cs="Times New Roman"/>
          </w:rPr>
          <w:t>http://bigstory.ap.org/article/house-votes-make-research-tax-credit-permanent</w:t>
        </w:r>
      </w:hyperlink>
      <w:r w:rsidRPr="00C614EC">
        <w:rPr>
          <w:rFonts w:cs="Times New Roman"/>
          <w:sz w:val="18"/>
        </w:rPr>
        <w:t>]</w:t>
      </w:r>
    </w:p>
    <w:p w:rsidR="007C6AC9" w:rsidRPr="00C614EC" w:rsidRDefault="007C6AC9" w:rsidP="007C6AC9">
      <w:pPr>
        <w:rPr>
          <w:rFonts w:cs="Times New Roman"/>
          <w:sz w:val="18"/>
        </w:rPr>
      </w:pPr>
      <w:r w:rsidRPr="00C614EC">
        <w:rPr>
          <w:rStyle w:val="StyleBoldUnderline"/>
          <w:rFonts w:cs="Times New Roman"/>
        </w:rPr>
        <w:t>The House voted Friday to make permanent a tax credit that rewards businesses for investing in research and development, pushing Congress toward an election-year showdown over a series of expired tax breaks that are popular back home</w:t>
      </w:r>
      <w:r w:rsidRPr="00C614EC">
        <w:rPr>
          <w:rFonts w:cs="Times New Roman"/>
          <w:sz w:val="18"/>
        </w:rPr>
        <w:t xml:space="preserve"> but add billions to the budget deficit. The research tax credit expired at the beginning of the year, along with more than 50 other temporary tax breaks that Congress routinely extends. </w:t>
      </w:r>
      <w:r w:rsidRPr="00C614EC">
        <w:rPr>
          <w:rStyle w:val="StyleBoldUnderline"/>
          <w:rFonts w:cs="Times New Roman"/>
        </w:rPr>
        <w:t>House Republicans said Friday's vote was the beginning of a broader effort to add more certainty to the tax code. In the coming weeks, they hope to vote on bills to make more temporary tax breaks permanent</w:t>
      </w:r>
      <w:r w:rsidRPr="00C614EC">
        <w:rPr>
          <w:rFonts w:cs="Times New Roman"/>
          <w:sz w:val="18"/>
        </w:rPr>
        <w:t xml:space="preserve">, though they have yet to decide on which ones. "Beyond having the dubious distinction of the highest corporate rate in the world, </w:t>
      </w:r>
      <w:r w:rsidRPr="00C614EC">
        <w:rPr>
          <w:rStyle w:val="StyleBoldUnderline"/>
          <w:rFonts w:cs="Times New Roman"/>
        </w:rPr>
        <w:t>the United States is also the only country that allows important pieces of its tax code, like the research and development tax credit, to expire on a regular basis</w:t>
      </w:r>
      <w:r w:rsidRPr="00C614EC">
        <w:rPr>
          <w:rFonts w:cs="Times New Roman"/>
          <w:sz w:val="18"/>
        </w:rPr>
        <w:t>," said Rep. Dave Camp, R-Mich., chairman of the tax-writing House Ways and Means Committee. "</w:t>
      </w:r>
      <w:r w:rsidRPr="00C614EC">
        <w:rPr>
          <w:rStyle w:val="StyleBoldUnderline"/>
          <w:rFonts w:cs="Times New Roman"/>
        </w:rPr>
        <w:t>Businesses cannot grow and invest when the tax code is riddled with instability and uncertainty.</w:t>
      </w:r>
      <w:r w:rsidRPr="00C614EC">
        <w:rPr>
          <w:rFonts w:cs="Times New Roman"/>
          <w:sz w:val="18"/>
        </w:rPr>
        <w:t xml:space="preserve">" Camp noted that the research credit has been around since 1981 and has been renewed many times with broad bipartisan support. </w:t>
      </w:r>
      <w:r w:rsidRPr="00C614EC">
        <w:rPr>
          <w:rStyle w:val="StyleBoldUnderline"/>
          <w:rFonts w:cs="Times New Roman"/>
        </w:rPr>
        <w:t xml:space="preserve">Friday's bill passed by a vote of 274 to 131, with 62 Democrats joining nearly every Republican in support. </w:t>
      </w:r>
      <w:r w:rsidRPr="00C614EC">
        <w:rPr>
          <w:rFonts w:cs="Times New Roman"/>
          <w:sz w:val="18"/>
        </w:rPr>
        <w:t xml:space="preserve">Some House Democrats called Friday's vote a corporate giveaway that would add $156 billion to the budget deficit over the next decade. They goaded Republicans for calling themselves fiscal conservatives while adding so much to the nation's long-term debt. "It's not only fiscally irresponsible, it's also hypocritical," said Rep. Sander Levin of Michigan, the senior Democrat on the Ways and Means Committee. </w:t>
      </w:r>
      <w:r w:rsidRPr="00C614EC">
        <w:rPr>
          <w:rStyle w:val="StyleBoldUnderline"/>
          <w:rFonts w:cs="Times New Roman"/>
        </w:rPr>
        <w:t xml:space="preserve">President Barack Obama supports making the research and development tax credit permanent. </w:t>
      </w:r>
      <w:r w:rsidRPr="00C614EC">
        <w:rPr>
          <w:rFonts w:cs="Times New Roman"/>
          <w:sz w:val="18"/>
        </w:rPr>
        <w:t>But the White House threatened to veto the House bill because it isn't offset by other tax increases. The veto message noted that if all the 50-plus temporary tax breaks were made permanent, it would "add $500 billion or more" to the deficit. "</w:t>
      </w:r>
      <w:r w:rsidRPr="00C614EC">
        <w:rPr>
          <w:rStyle w:val="StyleBoldUnderline"/>
          <w:rFonts w:cs="Times New Roman"/>
        </w:rPr>
        <w:t>The administration wants to work with Congress to make progress on measures that strengthen the economy and help middle-class families, including pro-growth business tax reform</w:t>
      </w:r>
      <w:r w:rsidRPr="00C614EC">
        <w:rPr>
          <w:rFonts w:cs="Times New Roman"/>
          <w:sz w:val="18"/>
        </w:rPr>
        <w:t xml:space="preserve">," the White House said in a statement. "However, making traditional tax extenders permanent without offsets represents the wrong approach." Almost every year, Congress allows a package of more than 50 temporary tax breaks for businesses and individuals to expire, only to renew most of them in time for taxpayers to claim them on their returns. </w:t>
      </w:r>
      <w:r w:rsidRPr="00C614EC">
        <w:rPr>
          <w:rStyle w:val="StyleBoldUnderline"/>
          <w:rFonts w:cs="Times New Roman"/>
        </w:rPr>
        <w:t xml:space="preserve">The research and development tax credit is among the most popular. A wide variety of industries claim the credit, including manufacturers, aerospace companies, drugmakers and software developers, said Christina Crooks, director of tax policy for the National Association of Manufacturers. </w:t>
      </w:r>
      <w:r w:rsidRPr="00C614EC">
        <w:rPr>
          <w:rFonts w:cs="Times New Roman"/>
          <w:sz w:val="18"/>
        </w:rPr>
        <w:t xml:space="preserve">Most of the tax credit goes to help pay the salaries of engineers, scientists, software developers and others who work to develop new and improved products, Crooks said. The Senate is moving to extend nearly all the </w:t>
      </w:r>
      <w:r w:rsidRPr="00C614EC">
        <w:rPr>
          <w:rFonts w:cs="Times New Roman"/>
          <w:sz w:val="18"/>
        </w:rPr>
        <w:lastRenderedPageBreak/>
        <w:t xml:space="preserve">temporary tax breaks through 2015, putting off the debate over which ones to make permanent. The Senate could vote its package as early as next week, setting up a showdown with the House that might not get settled until after congressional elections in November. </w:t>
      </w:r>
      <w:r w:rsidRPr="00C614EC">
        <w:rPr>
          <w:rStyle w:val="StyleBoldUnderline"/>
          <w:rFonts w:cs="Times New Roman"/>
        </w:rPr>
        <w:t>The Senate Finance Committee passed a bill in April that would extend the tax breaks through 2015,</w:t>
      </w:r>
      <w:r w:rsidRPr="00C614EC">
        <w:rPr>
          <w:rFonts w:cs="Times New Roman"/>
          <w:sz w:val="18"/>
        </w:rPr>
        <w:t xml:space="preserve"> adding about $85 billion to the debt. Sen. Ron Wyden, D-Ore., chairman of the Finance Committee, said the bill would give lawmakers time to work on a comprehensive plan to overhaul the entire tax code. </w:t>
      </w:r>
      <w:r w:rsidRPr="00C614EC">
        <w:rPr>
          <w:rStyle w:val="StyleBoldUnderline"/>
          <w:rFonts w:cs="Times New Roman"/>
        </w:rPr>
        <w:t xml:space="preserve">To generate support in Congress, lawmakers routinely pair tax breaks that affect millions with more narrow ones that don't. </w:t>
      </w:r>
      <w:r w:rsidRPr="00C614EC">
        <w:rPr>
          <w:rFonts w:cs="Times New Roman"/>
          <w:sz w:val="18"/>
        </w:rPr>
        <w:t>Among the biggest of the tax breaks allowed to expire at the beginning of the year: an exemption that allows financial companies to shield foreign profits from being taxed by the U.S., and several provisions that allow businesses to write off capital investments more quickly. There is also a generous tax credit for using wind farms and other renewable energy sources to produce electricity. The biggest tax break for individuals allows people who live in states without an income tax to deduct state and local sales taxes on their federal returns. Another protects struggling homeowners who get their mortgages reduced from paying income taxes on the amount of debt that was forgiven. Among the more narrow ones: tax breaks for film producers, motorsport race track owners, the makers of electric motorcycles and teachers who buy classroom supplies with their own money. "</w:t>
      </w:r>
      <w:r w:rsidRPr="00C614EC">
        <w:rPr>
          <w:rStyle w:val="StyleBoldUnderline"/>
          <w:rFonts w:cs="Times New Roman"/>
        </w:rPr>
        <w:t>What one person thinks is pork and misguided tax policy is someone else's critical economic development program</w:t>
      </w:r>
      <w:r w:rsidRPr="00C614EC">
        <w:rPr>
          <w:rFonts w:cs="Times New Roman"/>
          <w:sz w:val="18"/>
        </w:rPr>
        <w:t>," said Jon Traub, a former Camp aide who is now a managing principal at Deloitte Tax LLP.</w:t>
      </w:r>
    </w:p>
    <w:p w:rsidR="007C6AC9" w:rsidRPr="00C614EC" w:rsidRDefault="007C6AC9" w:rsidP="007C6AC9">
      <w:pPr>
        <w:pStyle w:val="Heading4"/>
        <w:rPr>
          <w:rFonts w:cs="Times New Roman"/>
          <w:sz w:val="28"/>
        </w:rPr>
      </w:pPr>
      <w:r w:rsidRPr="00C614EC">
        <w:rPr>
          <w:rFonts w:cs="Times New Roman"/>
          <w:sz w:val="28"/>
        </w:rPr>
        <w:t>Tax credits are popular -- particularly GOP</w:t>
      </w:r>
    </w:p>
    <w:p w:rsidR="007C6AC9" w:rsidRPr="00C614EC" w:rsidRDefault="007C6AC9" w:rsidP="007C6AC9">
      <w:pPr>
        <w:rPr>
          <w:rFonts w:cs="Times New Roman"/>
          <w:sz w:val="18"/>
        </w:rPr>
      </w:pPr>
      <w:r w:rsidRPr="00C614EC">
        <w:rPr>
          <w:rStyle w:val="StyleStyleBold12pt"/>
          <w:rFonts w:cs="Times New Roman"/>
          <w:sz w:val="28"/>
        </w:rPr>
        <w:t xml:space="preserve">Malakoff 14 </w:t>
      </w:r>
      <w:r w:rsidRPr="00C614EC">
        <w:rPr>
          <w:rFonts w:cs="Times New Roman"/>
          <w:sz w:val="18"/>
        </w:rPr>
        <w:t xml:space="preserve">[David Malakoff, editor for AAAS, sciencemag contributor, “U.S. House Passes Permanent R&amp;D Tax Credit,” </w:t>
      </w:r>
      <w:hyperlink r:id="rId18" w:history="1">
        <w:r w:rsidRPr="00C614EC">
          <w:rPr>
            <w:rStyle w:val="Hyperlink"/>
            <w:rFonts w:cs="Times New Roman"/>
          </w:rPr>
          <w:t>http://news.sciencemag.org/policy/2014/05/u.s.-house-passes-permanent-rd-tax-credit</w:t>
        </w:r>
      </w:hyperlink>
      <w:r w:rsidRPr="00C614EC">
        <w:rPr>
          <w:rStyle w:val="Hyperlink"/>
          <w:rFonts w:cs="Times New Roman"/>
        </w:rPr>
        <w:t>]</w:t>
      </w:r>
    </w:p>
    <w:p w:rsidR="007C6AC9" w:rsidRPr="00C614EC" w:rsidRDefault="007C6AC9" w:rsidP="007C6AC9">
      <w:pPr>
        <w:rPr>
          <w:rFonts w:cs="Times New Roman"/>
          <w:sz w:val="18"/>
        </w:rPr>
      </w:pPr>
      <w:r w:rsidRPr="00C614EC">
        <w:rPr>
          <w:rStyle w:val="StyleBoldUnderline"/>
          <w:rFonts w:cs="Times New Roman"/>
        </w:rPr>
        <w:t>The U.S. House of Representatives has passed a bill that would permanently extend a popular tax break for companies investing in research. Despite strong bipartisan support, however, the proposal appears unlikely to become law</w:t>
      </w:r>
      <w:r w:rsidRPr="00C614EC">
        <w:rPr>
          <w:rFonts w:cs="Times New Roman"/>
          <w:sz w:val="18"/>
        </w:rPr>
        <w:t>—at least not this year.</w:t>
      </w:r>
      <w:r w:rsidRPr="00C614EC">
        <w:rPr>
          <w:rStyle w:val="StyleBoldUnderline"/>
          <w:rFonts w:cs="Times New Roman"/>
        </w:rPr>
        <w:t xml:space="preserve"> The 274 to 131 vote</w:t>
      </w:r>
      <w:r w:rsidRPr="00C614EC">
        <w:rPr>
          <w:rFonts w:cs="Times New Roman"/>
          <w:sz w:val="18"/>
        </w:rPr>
        <w:t xml:space="preserve"> ended several days of sniping over the bill, which </w:t>
      </w:r>
      <w:r w:rsidRPr="00C614EC">
        <w:rPr>
          <w:rStyle w:val="StyleBoldUnderline"/>
          <w:rFonts w:cs="Times New Roman"/>
        </w:rPr>
        <w:t>would permanently renew the so-called R&amp;D tax credit, which expired at the end of last year. Although both Democrats and Republicans sponsored the legislation, it had drawn a veto threat from the White House</w:t>
      </w:r>
      <w:r w:rsidRPr="00C614EC">
        <w:rPr>
          <w:rFonts w:cs="Times New Roman"/>
          <w:sz w:val="18"/>
        </w:rPr>
        <w:t xml:space="preserve"> because it didn’t provide a way to offset the $156 billion that the tax break is expected to cost over the next decade. </w:t>
      </w:r>
      <w:r w:rsidRPr="00C614EC">
        <w:rPr>
          <w:rStyle w:val="StyleBoldUnderline"/>
          <w:rFonts w:cs="Times New Roman"/>
        </w:rPr>
        <w:t>Republican leaders in the House argued that Congress has a long history of extending the R&amp;D tax break—it’s been renewed 15 times since it was first adopted in 1981</w:t>
      </w:r>
      <w:r w:rsidRPr="00C614EC">
        <w:rPr>
          <w:rFonts w:cs="Times New Roman"/>
          <w:sz w:val="18"/>
        </w:rPr>
        <w:t xml:space="preserve">—without finding a way to pay for it. But Democratic leaders said Republican supporters were guilty of hypocrisy because they typically insist that any new program not add to federal spending deficits. “All of the </w:t>
      </w:r>
      <w:r w:rsidRPr="00C614EC">
        <w:rPr>
          <w:rFonts w:cs="Times New Roman"/>
          <w:u w:val="single"/>
        </w:rPr>
        <w:t>wringing</w:t>
      </w:r>
      <w:r w:rsidRPr="00C614EC">
        <w:rPr>
          <w:rFonts w:cs="Times New Roman"/>
          <w:sz w:val="18"/>
        </w:rPr>
        <w:t xml:space="preserve"> of hands and gnashing of teeth with reference to the deficit seems to go by the boards when the Republicans talk of tax cuts,” said Representative Steny Hoyer (D-MD), the second-ranking Democrat in the House, at press conference earlier this week. </w:t>
      </w:r>
      <w:r w:rsidRPr="00C614EC">
        <w:rPr>
          <w:rStyle w:val="StyleBoldUnderline"/>
          <w:rFonts w:cs="Times New Roman"/>
        </w:rPr>
        <w:t>In a private meeting before this morning’s vote, Hoyer and other Democratic leaders asked members of their party not to vote for the bill, according to media reports. But despite the plea, 62 Democrats joined 212 Republicans to approve the legislation. Just one Republican opposed the measure. One Democrat who supported the bill, Representative Earl Blumenauer (D-OR), told CQ Roll Call that it would have been inconsistent to vote against a measure he has long supported, and that Congress typically extends the R&amp;D tax credit</w:t>
      </w:r>
      <w:r w:rsidRPr="00C614EC">
        <w:rPr>
          <w:rFonts w:cs="Times New Roman"/>
          <w:sz w:val="18"/>
        </w:rPr>
        <w:t xml:space="preserve"> without a dedicated spending offset. “It has been extended unpaid for 10 times,” he said. Blumenauer also suggested that the vote “does not matter as much because the tax credit will not pass in this form in the Senate.” The Senate is working on its own version of the legislation which would extend the credit for just 2 years. But Congress is not expected to agree on any fix, permanent or temporary, until after the elections in November.</w:t>
      </w:r>
    </w:p>
    <w:p w:rsidR="007C6AC9" w:rsidRPr="00C614EC" w:rsidRDefault="007C6AC9" w:rsidP="007C6AC9">
      <w:pPr>
        <w:rPr>
          <w:sz w:val="18"/>
        </w:rPr>
      </w:pPr>
    </w:p>
    <w:p w:rsidR="007C6AC9" w:rsidRPr="00C614EC" w:rsidRDefault="007C6AC9" w:rsidP="007C6AC9">
      <w:pPr>
        <w:pStyle w:val="Heading4"/>
        <w:rPr>
          <w:rFonts w:cs="Times New Roman"/>
          <w:sz w:val="28"/>
        </w:rPr>
      </w:pPr>
      <w:r w:rsidRPr="00C614EC">
        <w:rPr>
          <w:rFonts w:cs="Times New Roman"/>
          <w:sz w:val="28"/>
        </w:rPr>
        <w:t>Energy tax credits are bipartisan</w:t>
      </w:r>
    </w:p>
    <w:p w:rsidR="007C6AC9" w:rsidRPr="00C614EC" w:rsidRDefault="007C6AC9" w:rsidP="007C6AC9">
      <w:pPr>
        <w:rPr>
          <w:sz w:val="18"/>
        </w:rPr>
      </w:pPr>
      <w:r w:rsidRPr="00C614EC">
        <w:rPr>
          <w:rStyle w:val="StyleStyleBold12pt"/>
          <w:sz w:val="28"/>
        </w:rPr>
        <w:t xml:space="preserve">Casteel 10 </w:t>
      </w:r>
      <w:r w:rsidRPr="00C614EC">
        <w:rPr>
          <w:sz w:val="18"/>
        </w:rPr>
        <w:t>[Chris Casteel, reporter, Published in 2010, “Sen. Jim Inhofe praises bipartisan opposition to removing energy tax credits and deductions,” http://newsok.com/sen.-jim-inhofe-praises-bipartisan-opposition-to-removing-energy-tax-credits-and-deductions/article/3469106]</w:t>
      </w:r>
    </w:p>
    <w:p w:rsidR="007C6AC9" w:rsidRPr="00C614EC" w:rsidRDefault="007C6AC9" w:rsidP="007C6AC9">
      <w:pPr>
        <w:rPr>
          <w:rFonts w:cs="Times New Roman"/>
          <w:sz w:val="18"/>
        </w:rPr>
      </w:pPr>
      <w:r w:rsidRPr="00C614EC">
        <w:rPr>
          <w:rFonts w:cs="Times New Roman"/>
          <w:sz w:val="18"/>
        </w:rPr>
        <w:t xml:space="preserve">WASHINGTON </w:t>
      </w:r>
      <w:r w:rsidRPr="00C614EC">
        <w:rPr>
          <w:rStyle w:val="StyleBoldUnderline"/>
          <w:rFonts w:cs="Times New Roman"/>
        </w:rPr>
        <w:t>— A strong Senate vote against raising taxes on the oil and gas industry was a bipartisan message</w:t>
      </w:r>
      <w:r w:rsidRPr="00C614EC">
        <w:rPr>
          <w:rFonts w:cs="Times New Roman"/>
          <w:sz w:val="18"/>
        </w:rPr>
        <w:t xml:space="preserve"> that lawmakers don't want to punish all companies for the BP oil spill, Sen. Jim Inhofe said Wednesday. </w:t>
      </w:r>
      <w:r w:rsidRPr="00C614EC">
        <w:rPr>
          <w:rStyle w:val="StyleBoldUnderline"/>
          <w:rFonts w:cs="Times New Roman"/>
        </w:rPr>
        <w:t>Inhofe</w:t>
      </w:r>
      <w:r w:rsidRPr="00C614EC">
        <w:rPr>
          <w:rFonts w:cs="Times New Roman"/>
          <w:sz w:val="18"/>
        </w:rPr>
        <w:t xml:space="preserve">, R-Tulsa, </w:t>
      </w:r>
      <w:r w:rsidRPr="00C614EC">
        <w:rPr>
          <w:rStyle w:val="StyleBoldUnderline"/>
          <w:rFonts w:cs="Times New Roman"/>
        </w:rPr>
        <w:t>made the comment a day after he led the fight against a proposal to eliminate some of the tax credits and deductions available to exploration companies.</w:t>
      </w:r>
      <w:r w:rsidRPr="00C614EC">
        <w:rPr>
          <w:rFonts w:cs="Times New Roman"/>
          <w:sz w:val="18"/>
        </w:rPr>
        <w:t xml:space="preserve"> The proposal </w:t>
      </w:r>
      <w:r w:rsidRPr="00C614EC">
        <w:rPr>
          <w:rFonts w:cs="Times New Roman"/>
          <w:sz w:val="18"/>
        </w:rPr>
        <w:lastRenderedPageBreak/>
        <w:t xml:space="preserve">was made by Sen. Bernard Sanders, a Vermont independent, as an amendment to a hodgepodge of a bill that would extend some current tax breaks as well as unemployment benefits. Sanders' </w:t>
      </w:r>
      <w:r w:rsidRPr="00C614EC">
        <w:rPr>
          <w:rStyle w:val="StyleBoldUnderline"/>
          <w:rFonts w:cs="Times New Roman"/>
        </w:rPr>
        <w:t>amendment would have repealed the tax credits that allow exploration companies to write off some of their expenses and depreciation.</w:t>
      </w:r>
      <w:r w:rsidRPr="00C614EC">
        <w:rPr>
          <w:rFonts w:cs="Times New Roman"/>
          <w:sz w:val="18"/>
        </w:rPr>
        <w:t xml:space="preserve"> The proposal, which mirrors one made by President Barack Obama the last two years, </w:t>
      </w:r>
      <w:r w:rsidRPr="00C614EC">
        <w:rPr>
          <w:rStyle w:val="StyleBoldUnderline"/>
          <w:rFonts w:cs="Times New Roman"/>
        </w:rPr>
        <w:t>would also have excluded energy exploration companies from the deduction available to U.S. manufacturers</w:t>
      </w:r>
      <w:r w:rsidRPr="00C614EC">
        <w:rPr>
          <w:rFonts w:cs="Times New Roman"/>
          <w:sz w:val="18"/>
        </w:rPr>
        <w:t xml:space="preserve">. Sanders' </w:t>
      </w:r>
      <w:r w:rsidRPr="00C614EC">
        <w:rPr>
          <w:rStyle w:val="StyleBoldUnderline"/>
          <w:rFonts w:cs="Times New Roman"/>
        </w:rPr>
        <w:t xml:space="preserve">proposal was defeated </w:t>
      </w:r>
      <w:r w:rsidRPr="00C614EC">
        <w:rPr>
          <w:rFonts w:cs="Times New Roman"/>
          <w:sz w:val="18"/>
        </w:rPr>
        <w:t xml:space="preserve">by a vote of 61 to 35 on Tuesday, </w:t>
      </w:r>
      <w:r w:rsidRPr="00C614EC">
        <w:rPr>
          <w:rStyle w:val="StyleBoldUnderline"/>
          <w:rFonts w:cs="Times New Roman"/>
        </w:rPr>
        <w:t>as Democrats from all over the country joined Republicans in opposition</w:t>
      </w:r>
      <w:r w:rsidRPr="00C614EC">
        <w:rPr>
          <w:rFonts w:cs="Times New Roman"/>
          <w:sz w:val="18"/>
        </w:rPr>
        <w:t xml:space="preserve">. "With the vote on the Sanders amendment, </w:t>
      </w:r>
      <w:r w:rsidRPr="00C614EC">
        <w:rPr>
          <w:rStyle w:val="StyleBoldUnderline"/>
          <w:rFonts w:cs="Times New Roman"/>
        </w:rPr>
        <w:t>the Senate has clearly spoken with a strong bipartisan message that the entire oil and gas industry as a whole — especially small independent producers like many of those in Oklahoma — should not be penalized</w:t>
      </w:r>
      <w:r w:rsidRPr="00C614EC">
        <w:rPr>
          <w:rFonts w:cs="Times New Roman"/>
          <w:sz w:val="18"/>
        </w:rPr>
        <w:t xml:space="preserve"> for BP's catastrophe in the Gulf,” Inhofe said Wednesday. "</w:t>
      </w:r>
      <w:r w:rsidRPr="00C614EC">
        <w:rPr>
          <w:rStyle w:val="StyleBoldUnderline"/>
          <w:rFonts w:cs="Times New Roman"/>
        </w:rPr>
        <w:t>The Senate understands the value of our nation's domestic energy producers, the needs they meet, the jobs they create, the fact that they fund many state and local initiatives and the payments they make to landowners</w:t>
      </w:r>
      <w:r w:rsidRPr="00C614EC">
        <w:rPr>
          <w:rFonts w:cs="Times New Roman"/>
          <w:sz w:val="18"/>
        </w:rPr>
        <w:t xml:space="preserve">.” </w:t>
      </w:r>
    </w:p>
    <w:p w:rsidR="007C6AC9" w:rsidRPr="00C614EC" w:rsidRDefault="007C6AC9" w:rsidP="007C6AC9">
      <w:pPr>
        <w:rPr>
          <w:sz w:val="18"/>
        </w:rPr>
      </w:pPr>
    </w:p>
    <w:p w:rsidR="007C6AC9" w:rsidRPr="00C614EC" w:rsidRDefault="007C6AC9" w:rsidP="007C6AC9">
      <w:pPr>
        <w:pStyle w:val="Heading3"/>
        <w:rPr>
          <w:lang w:eastAsia="ko-KR"/>
        </w:rPr>
      </w:pPr>
      <w:r>
        <w:rPr>
          <w:lang w:eastAsia="ko-KR"/>
        </w:rPr>
        <w:lastRenderedPageBreak/>
        <w:t>AT: Spending/Tradeoff Links---2NC</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 xml:space="preserve">Private funding avoids the link to spending -- perceived financially feasible </w:t>
      </w:r>
    </w:p>
    <w:p w:rsidR="007C6AC9" w:rsidRPr="00C614EC" w:rsidRDefault="007C6AC9" w:rsidP="007C6AC9">
      <w:pPr>
        <w:rPr>
          <w:rFonts w:asciiTheme="minorHAnsi" w:hAnsiTheme="minorHAnsi"/>
        </w:rPr>
      </w:pPr>
      <w:r w:rsidRPr="00C614EC">
        <w:rPr>
          <w:rStyle w:val="StyleStyleBold12pt"/>
          <w:rFonts w:asciiTheme="minorHAnsi" w:hAnsiTheme="minorHAnsi"/>
          <w:sz w:val="28"/>
        </w:rPr>
        <w:t>Cooper 12</w:t>
      </w:r>
      <w:r w:rsidRPr="00C614EC">
        <w:rPr>
          <w:rFonts w:asciiTheme="minorHAnsi" w:hAnsiTheme="minorHAnsi"/>
        </w:rPr>
        <w:t xml:space="preserve"> </w:t>
      </w:r>
      <w:r w:rsidRPr="00C614EC">
        <w:rPr>
          <w:rFonts w:asciiTheme="minorHAnsi" w:hAnsiTheme="minorHAnsi"/>
          <w:sz w:val="20"/>
        </w:rPr>
        <w:t>[Donna Cooper is a Senior Fellow with the Economic Policy team at the Center for American Progress, “Meeting the Infrastructure Imperative”, 2/16, http://www.americanprogress.org/issues/2012/02/infrastructure.html]</w:t>
      </w:r>
    </w:p>
    <w:p w:rsidR="007C6AC9" w:rsidRPr="00D608D6" w:rsidRDefault="007C6AC9" w:rsidP="007C6AC9">
      <w:pPr>
        <w:rPr>
          <w:rFonts w:asciiTheme="minorHAnsi" w:hAnsiTheme="minorHAnsi"/>
          <w:sz w:val="16"/>
        </w:rPr>
      </w:pPr>
      <w:r w:rsidRPr="00C614EC">
        <w:rPr>
          <w:rStyle w:val="StyleBoldUnderline"/>
          <w:rFonts w:asciiTheme="minorHAnsi" w:hAnsiTheme="minorHAnsi"/>
        </w:rPr>
        <w:t>Private investors have partnered with state or local governments to build roads</w:t>
      </w:r>
      <w:r w:rsidRPr="00C614EC">
        <w:rPr>
          <w:rFonts w:asciiTheme="minorHAnsi" w:hAnsiTheme="minorHAnsi"/>
          <w:sz w:val="16"/>
        </w:rPr>
        <w:t xml:space="preserve">, expand highway systems, and build or repair bridges. Typically in this case </w:t>
      </w:r>
      <w:r w:rsidRPr="00C614EC">
        <w:rPr>
          <w:rStyle w:val="StyleBoldUnderline"/>
          <w:rFonts w:asciiTheme="minorHAnsi" w:hAnsiTheme="minorHAnsi"/>
        </w:rPr>
        <w:t>the private investor pays the public entity upfront an estimated market value for the transportation asset, and then is required under an agreement to cover the cost of improving the asset</w:t>
      </w:r>
      <w:r w:rsidRPr="00C614EC">
        <w:rPr>
          <w:rFonts w:asciiTheme="minorHAnsi" w:hAnsiTheme="minorHAnsi"/>
          <w:sz w:val="16"/>
        </w:rPr>
        <w:t xml:space="preserve">.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C614EC">
        <w:rPr>
          <w:rStyle w:val="StyleBoldUnderline"/>
          <w:rFonts w:asciiTheme="minorHAnsi" w:hAnsiTheme="minorHAnsi"/>
        </w:rPr>
        <w:t xml:space="preserve">which then has the positive results of making a project </w:t>
      </w:r>
      <w:r w:rsidRPr="00C614EC">
        <w:rPr>
          <w:rStyle w:val="Emphasis"/>
          <w:rFonts w:asciiTheme="minorHAnsi" w:hAnsiTheme="minorHAnsi"/>
        </w:rPr>
        <w:t>more politically and financially feasible</w:t>
      </w:r>
      <w:r w:rsidRPr="00C614EC">
        <w:rPr>
          <w:rFonts w:asciiTheme="minorHAnsi" w:hAnsiTheme="minorHAnsi"/>
          <w:sz w:val="16"/>
        </w:rPr>
        <w:t>.</w:t>
      </w:r>
    </w:p>
    <w:p w:rsidR="007C6AC9" w:rsidRPr="00C614EC" w:rsidRDefault="007C6AC9" w:rsidP="007C6AC9">
      <w:pPr>
        <w:pStyle w:val="Heading4"/>
        <w:rPr>
          <w:rFonts w:cs="Times New Roman"/>
          <w:sz w:val="28"/>
        </w:rPr>
      </w:pPr>
      <w:r w:rsidRPr="00C614EC">
        <w:rPr>
          <w:rFonts w:cs="Times New Roman"/>
          <w:sz w:val="28"/>
        </w:rPr>
        <w:t>Tax credits are more cost efficient and are independent of agency funding</w:t>
      </w:r>
    </w:p>
    <w:p w:rsidR="007C6AC9" w:rsidRPr="00C614EC" w:rsidRDefault="007C6AC9" w:rsidP="007C6AC9">
      <w:pPr>
        <w:rPr>
          <w:rFonts w:cs="Times New Roman"/>
          <w:sz w:val="18"/>
        </w:rPr>
      </w:pPr>
      <w:r w:rsidRPr="00C614EC">
        <w:rPr>
          <w:rStyle w:val="StyleStyleBold12pt"/>
          <w:rFonts w:cs="Times New Roman"/>
          <w:sz w:val="28"/>
        </w:rPr>
        <w:t>NSF 12</w:t>
      </w:r>
      <w:r w:rsidRPr="00C614EC">
        <w:rPr>
          <w:rFonts w:cs="Times New Roman"/>
          <w:sz w:val="18"/>
        </w:rPr>
        <w:t xml:space="preserve"> [National Science Foundation, Published in 2012, “Chapter 4. R&amp;D: National Trends and International Comparisons,” </w:t>
      </w:r>
      <w:hyperlink r:id="rId19" w:history="1">
        <w:r w:rsidRPr="00C614EC">
          <w:rPr>
            <w:rStyle w:val="Hyperlink"/>
            <w:rFonts w:cs="Times New Roman"/>
          </w:rPr>
          <w:t>http://www.nsf.gov/statistics/seind12/c4/c4s6.htm</w:t>
        </w:r>
      </w:hyperlink>
      <w:r w:rsidRPr="00C614EC">
        <w:rPr>
          <w:rFonts w:cs="Times New Roman"/>
          <w:sz w:val="18"/>
        </w:rPr>
        <w:t>]</w:t>
      </w:r>
    </w:p>
    <w:p w:rsidR="007C6AC9" w:rsidRPr="00C614EC" w:rsidRDefault="007C6AC9" w:rsidP="007C6AC9">
      <w:pPr>
        <w:rPr>
          <w:rFonts w:cs="Times New Roman"/>
          <w:sz w:val="14"/>
        </w:rPr>
      </w:pPr>
      <w:r w:rsidRPr="00C614EC">
        <w:rPr>
          <w:rStyle w:val="StyleBoldUnderline"/>
          <w:rFonts w:cs="Times New Roman"/>
        </w:rPr>
        <w:t>Federal support for the nation's R&amp;D spans a range of broad objectives</w:t>
      </w:r>
      <w:r w:rsidRPr="00C614EC">
        <w:rPr>
          <w:rFonts w:cs="Times New Roman"/>
          <w:sz w:val="14"/>
        </w:rPr>
        <w:t xml:space="preserve">, including defense, health, space, energy, natural resources/environment, general science, and various other categories. </w:t>
      </w:r>
      <w:r w:rsidRPr="00C614EC">
        <w:rPr>
          <w:rStyle w:val="StyleBoldUnderline"/>
          <w:rFonts w:cs="Times New Roman"/>
        </w:rPr>
        <w:t xml:space="preserve">To assist the president and Congress in planning and setting the federal budget and its components, the Office of Management and Budget classifies agency budget requests into specific categories called budget functions. </w:t>
      </w:r>
      <w:r w:rsidRPr="00C614EC">
        <w:rPr>
          <w:rFonts w:cs="Times New Roman"/>
          <w:sz w:val="14"/>
        </w:rPr>
        <w:t xml:space="preserve">These functions include a number of categories that distinguish the various R&amp;D objectives. </w:t>
      </w:r>
      <w:r w:rsidRPr="00C614EC">
        <w:rPr>
          <w:rStyle w:val="StyleBoldUnderline"/>
          <w:rFonts w:cs="Times New Roman"/>
        </w:rPr>
        <w:t xml:space="preserve">Descriptions of the budget authority provided annually to federal agencies in terms of these R&amp;D budget functions afford a useful picture of the present priorities and trends in federal support for U.S. R&amp;D. </w:t>
      </w:r>
      <w:r w:rsidRPr="00C614EC">
        <w:rPr>
          <w:rFonts w:cs="Times New Roman"/>
          <w:sz w:val="14"/>
          <w:szCs w:val="12"/>
        </w:rPr>
        <w:t xml:space="preserve">In FY 2009, budget authority for federal agency spending on R&amp;D totaled an estimated $156.0 billion, including a one-time $15.1 billion increase provided under the American Recovery and Investment Act of 2009 (appendix tables 4-28 and 4-29). As in previous years, defense was the largest of the R&amp;D budget functions, accounting for 55% ($85.2 billion) of the total. Defense R&amp;D is supported primarily by the Department of Defense (DOD), but also includes some R&amp;D by the Department of Energy (DOE) and the Department of Justice (where some R&amp;D by the Federal Bureau of Investigation comes under a defense category). Defense has accounted for the majority of R&amp;D budget authority throughout the last two decades (figure 4-10, appendix table 4-28); the share has fluctuated year to year in the 50%–70% range. In FY 1980, it roughly equaled nondefense R&amp;D, but by FY 1985 it was more than double. From 1986 to 2001, nondefense R&amp;D surged, and the share of defense R&amp;D shrank to 53%. After September 11, 2001, defense R&amp;D became more prominent, accounting for 59% of the federal R&amp;D budget in FY 2008. The drop to 55% in FY 2009 reflects chiefly the effect of the one-time ARRA spending authority that expanded health, energy, and general science research. Nondefense R&amp;D Budget authority for nondefense R&amp;D totaled $70.8 billion in FY 2009, or about 45% of the total that year (appendix table 4-28). Nondefense R&amp;D includes health, space research/technology, energy, general science, natural resources/environment, transportation, agriculture, education, international affairs, veterans' benefits, and a number of other small categories related to economic and governance matters. The most striking change in federal R&amp;D priorities over the past two decades has been the considerable increase in health-related R&amp;D—which now accounts for well over half of all nondefense R&amp;D (figure 4-10). Health R&amp;D has risen from about 12% of total federal R&amp;D budget authority in FY 1980 to 21% in FY 2008 and 26% in FY 2009 because of the ARRA increment. The increase in share accelerated after 1998, when policymakers set the National Institutes of Health (NIH) budget on course to double by FY 2003. The budget allocation for space-related R&amp;D peaked in the 1960s, during the height of the nation's efforts to surpass the Soviet Union in space exploration. It stood at 10%–11% of total R&amp;D authority throughout the 1990s. The loss of the space shuttle Columbia and its entire crew in February 2003 prompted curtailment of manned space missions. In FY 2005, the space R&amp;D share was down to about 6%; by FY 2009, it had declined to around 4%. Federal nondefense R&amp;D classified as general science had about a 4% share of total federal R&amp;D in the mid 1990s, growing to 8% in FY 2009. However, this change reflected chiefly a reclassification, starting in FY 1998, of several DOE programs from energy to general science. Federal Budget for Basic Research In FY 2009, federal budget authority for all basic research totaled $36.4 billion (appendix table 4-29). This represented some 23% of the $156.0 billion of total federal budget authority for R&amp;D that year. The vast majority of basic research reflects the budgets of agencies with nondefense objectives, such as general science (notably NSF), health (NIH), and space research and technology (NASA). Over the past several years, budget authority levels for basic research have been mostly flat, after adjusting for inflation, excepting the 2009 ARRA boost. In FY 2002, basic research budget authority was $25.8 billion (constant 2005 dollars); in FY 2008, $26.4 billion; and $33.0 billion in FY 2009. Back to top Federal Spending on R&amp;D by Agency Budget authority, discussed above, lays out the themes of the broad federal spending plan. Federal obligations reflect federal dollars as they are spent, that is, the implementation of the plan by federal agencies (see appendix tables 4-30 and 4-31). In FY 2009, federal obligations for R&amp;D and R&amp;D plant together totaled an estimated $137.0 billion: $133.3 billion for R&amp;D and an additional $3.6 billion for R&amp;D plant (table 4-16). Federal obligations for R&amp;D have, in general, increased annually on a current-dollar basis since the mid-1990s (figure 4-11). Earlier figures are $68.2 billion for R&amp;D in FY 1995 and an additional $2.3 billion for R&amp;D plant, $75.9 billion and $4.5 billion in FY 2000, $118.9 billion and $3.8 billion in FY 2005 (appendix table 4-30). When adjusted for inflation, however, the growth has been slower after FY 2005. NSF's latest statistics indicate that the boost to R&amp;D from the ARRA appropriations translated to an additional $10.1 billion of federal R&amp;D obligations in FY 2009—$8.7 billion for R&amp;D, another $1.4 billion for R&amp;D plant, with the main recipients the Department of Health and Human Services (HHS), NSF, and DOE (table 4-16). (The figures for federal funding of U.S. R&amp;D cited in table 4-1 earlier in this chapter are somewhat lower. These earlier figures are based on performers' reports of their R&amp;D expenditures from federal funds. This difference between performer and source of funding reports of the level of R&amp;D expenditures has been present in the U.S. data for more than 15 years and reflects various technical issues. See sidebar, "Tracking R&amp;D: The Gap between Performer- and </w:t>
      </w:r>
      <w:r w:rsidRPr="00C614EC">
        <w:rPr>
          <w:rFonts w:cs="Times New Roman"/>
          <w:sz w:val="14"/>
          <w:szCs w:val="12"/>
        </w:rPr>
        <w:lastRenderedPageBreak/>
        <w:t xml:space="preserve">Source-Reported Expenditures.") Fifteen federal departments and a dozen other agencies engage in and/or fund R&amp;D in the U.S.[21] Seven departments/agencies that reported spending on R&amp;D in excess of $1 billion annually accounted for 97% of the total (table 4-16). Another eight of the departments/agencies reported spending above $100 million annually. Department of Defense In FY 2009, DOD obligated a total of $68.2 billion for R&amp;D and R&amp;D plant (table 4-16)—which represented half (50%) of all federal spending on R&amp;D and R&amp;D plant that year. Nearly the entire DOD total was R&amp;D spending ($68.1 billion) with the remainder spent on R&amp;D plant. Twenty-seven percent ($18.7 billion) of the total was spending by the department's intramural labs, related agency R&amp;D program activities, and FFRDCs (table 4-16). Extramural performers—private businesses, universities/colleges, state/local governments, other nonprofit organizations, and foreign performers—accounted for 73% ($49.5 billion) of the obligations, with the bulk going to business firms ($46.3 billion). Considering just the R&amp;D component, relatively small amounts were spent on basic research ($1.7 billion, 3%) and applied research ($5.1 billion, 7%) in FY 2009 (table 4-17). The vast majority of obligations, $61.3 billion (90%), went to development. Furthermore, the bulk of this DOD development ($54.9 billion) was allocated for "major systems development," which includes the main activities in developing, testing, and evaluating combat systems (figure 4-12). The remaining DOD development ($6.4 billion) was allocated for "advanced technology development," which is more similar to other agencies' development obligations. Department of Health and Human Services HHS is the main federal source of spending for health-related R&amp;D. In FY 2009, the department obligated an estimated $35.7 billion for R&amp;D and R&amp;D plant, or 26% of the total of federal obligations that year. Nearly all of this was for R&amp;D ($35.6 billion). Furthermore, much of the total, $34.6 billion, represented the R&amp;D activities of the NIH. Obligations from the ARRA-appropriated funds totaled $4.9 billion for HHS in FY 2009, the largest by far of all the federal agencies (table 4-16). Again, nearly all of this was NIH R&amp;D. For the department as a whole, R&amp;D and R&amp;D plant obligations for agency intramural activities and FFRDCs accounted for 21% ($7.5 billion) of the total. Extramural performers accounted for 79% ($28.2 billion). Universities and colleges ($20.5 billion) and other nonprofit organizations ($5.3 billion) conducted the most sizable of these extramural activities (appendix table 4-31). Nearly all of HHS R&amp;D funding is allocated to research—almost 53% for basic research and 47% for applied research (table 4-17). Department of Energy DOE obligated an estimated $11.6 billion for R&amp;D and R&amp;D plant in FY 2009, about 8% of the federal obligations total that year. Of this amount, $9.9 billion was for R&amp;D and $1.7 billion for R&amp;D plant. Obligations this year stemming from the ARRA appropriation totaled $2.2 billion, the third largest among the agencies (behind HHS and NSF). The department's intramural laboratories and FFRDCs accounted for 77% of the total obligations. Many of DOE's research activities require specialized equipment and facilities available only at its intramural laboratories and FFRDCs. Accordingly, DOE invests more resources in its intramural laboratories and FFRDCs than other federal agencies. The 23% of obligations to extramural performers were chiefly to businesses and universities/colleges. For the $9.9 billion obligated to R&amp;D, basic research accounted for 41%, applied research 32%, and development 27%. DOE R&amp;D activities are rather evenly distributed among defense (much of it funded by the department's National Nuclear Security Administration), energy, and general science (much of which is funded by the department's Office of Science). National Science Foundation NSF obligated $6.9 billion for R&amp;D and R&amp;D plant in FY 2009, or 5% of the federal total. Extramural performers, chiefly universities and colleges ($6.6 billion), represented 96% of this total. ARRA-related obligations were $2.2 billion (R&amp;D and R&amp;D plant), the second largest among the agencies. Basic research accounted for about 92% of the R&amp;D component. NSF is the federal government's primary source of funding for academic basic science and engineering research and the second-largest federal source (after HHS) of R&amp;D funds for universities and colleges. National Aeronautics and Space Administration NASA obligated an estimated $5.9 billion to R&amp;D in FY 2009, 4% of the federal total. Sixty-seven percent of these obligations were for extramural R&amp;D, given chiefly to industry performers. Agency intramural R&amp;D and that by FFRDCs represented 33% of the NASA obligations total. By character of work, 71% of the NASA R&amp;D obligations funded development activities; 17%, basic research; and 12%, applied research. Department of Agriculture USDA obligated an estimated $2.3 billion for R&amp;D in FY 2009, with the main focus on life sciences. The agency is also one of the largest research funders in the social sciences, particularly agricultural economics. Of USDA's total obligations for FY 2009, about 67% ($1.6 billion) funded R&amp;D by agency intramural performers, chiefly the Agricultural Research Service. Basic research accounts for about 41%; applied research, 51%; and development, 8%. Department of Commerce DOC obligated an estimated $1.5 billion for R&amp;D in FY 2009, most of which represented the R&amp;D and R&amp;D plant spending of the National Oceanic and Atmospheric Administration (NOAA) and the National Institute of Standards and Technology (NIST). Seventy-seven percent of this total was for agency intramural R&amp;D; 23% went to extramural performers, primarily businesses and universities/colleges. For the R&amp;D component, 12% was basic research; 72%, applied research; and 16%, development. Department of Homeland Security DHS obligated an estimated $1.0 billion for R&amp;D and R&amp;D plant in FY 2009, nearly all of which was for activities by the department's Science and Technology Directorate. Sixty-one percent of this obligations total was for agency intramural and FFRDC activities. Just over 39% was conducted by extramural performers—mainly businesses, but also universities/colleges and other nonprofit organizations. Of the obligations for R&amp;D, 15% was basic research; 37%, applied research; and 48%, development. Other Agencies The eight other departments/agencies obligating more than $100 million annually for R&amp;D in FY 2009 were the Departments of Education, Interior, Justice, Transportation, and Veterans Affairs; and the Environmental Protection Agency, Agency for International Development, and Smithsonian Institution (tables 4-16 and 4-17). These agencies varied with respect to the character of the research and the roles of intramural, FFRDC, and extramural performers. Back to top Federal Spending on Research by Field Federal agencies' research covers the whole range of science and engineering fields. These fields vary in their funding levels and have different growth paths (see appendix tables 4-34 and 4-35). Funding for basic and applied research combined accounted for $63.7 billion (about 48%) of the $133.3 billion total of federal obligations for R&amp;D in FY 2009 (table 4-17). Of this amount, $33.3 billion (52% of $63.7 billion) supported research in the life sciences (figure 4-13; appendix table 4-34). The fields with the next-largest amounts were engineering ($10.3 billion, 16%) and the physical sciences ($5.8 billion, 9%), followed by environmental sciences ($3.8 billion, 6%), and mathematics and computer sciences ($3.6 billion, 6%). The balance of federal obligations for research in FY 2009 supported psychology, the social sciences, and all other sciences ($7.0 billion overall, or 11% of the total for research). HHS accounted for the largest share (56%) of federal obligations for research in FY 2009 (appendix table 4-34). Most of this amount funded research in medical and related life sciences, primarily through NIH. The five next-largest federal agencies for research funding that year were DOE (11%), DOD (11%), NSF (10%), USDA (3%), and NASA (3%). DOE's $7.2 billion in research obligations provided funding for research in the physical sciences ($2.6 billion) and engineering ($2.5 billion), along with mathematics and computer sciences ($1.0 billion). DOD's $6.8 billion of research funding emphasized engineering ($3.5 billion), but also included mathematics and computer sciences ($0.9 billion), physical sciences ($0.8 billion) and life sciences ($0.9 billion). NSF—not a mission agency in the traditional sense—is charged with "promoting the health of science." Consequently, it had a relatively diverse $6.1 billion research portfolio that allocated about $1.0 billion to $1.3 billion in each of the following fields: environmental, life, mathematics/computer, and physical sciences; and engineering. Lesser amounts were allocated to psychology and the social and other sciences. USDA's $2.1 billion was directed primarily at the life (agricultural) sciences ($1.7 billion). NASA's $1.7 billion for research emphasized engineering ($0.6 billion), followed by the physical sciences ($0.5 billion) and environmental sciences ($0.4 billion). Growth in federal research obligations has slowed since 2004. Federal obligations for research in all S&amp;E fields expanded on average at 3.6% annually (in current dollars) over the last 5 years (FY 2004–09), a much higher 6.6% over the last 10 years, and 5.8% over the last 20 years (appendix table 4-35). Adjusted for inflation, the 2004–09 average growth turns into an average annual increase of only 0.9%, which contrasts with a 10-year real growth of 4.1% and 3.3% over the last 20 years. Since the late 1990s, growth in federal research obligations in the life sciences and psychology has exceeded the S&amp;E average, leading to growing shares for these fields. Growth for the mathematics and computer sciences was just below the S&amp;E average. The shares of research funding going to physical sciences, behavioral and other social sciences, and engineering, declined. Environmental sciences grew slower than both total research and inflation. </w:t>
      </w:r>
      <w:r w:rsidRPr="00C614EC">
        <w:rPr>
          <w:rStyle w:val="StyleBoldUnderline"/>
          <w:rFonts w:cs="Times New Roman"/>
        </w:rPr>
        <w:t>The federal government makes available tax credits for companies that expand their R&amp;D activities, as a way of counteracting potential business underinvestment in R&amp;D. Governments stimulate the conduct of R&amp;D through tax incentives</w:t>
      </w:r>
      <w:r w:rsidRPr="00C614EC">
        <w:rPr>
          <w:rFonts w:cs="Times New Roman"/>
          <w:sz w:val="14"/>
        </w:rPr>
        <w:t>—allowances, exemptions, deductions, or tax credits—</w:t>
      </w:r>
      <w:r w:rsidRPr="00C614EC">
        <w:rPr>
          <w:rStyle w:val="StyleBoldUnderline"/>
          <w:rFonts w:cs="Times New Roman"/>
        </w:rPr>
        <w:t>each of which can be designed with differing criteria for eligibility, allowable expenses, and baselines</w:t>
      </w:r>
      <w:r w:rsidRPr="00C614EC">
        <w:rPr>
          <w:rFonts w:cs="Times New Roman"/>
          <w:sz w:val="14"/>
        </w:rPr>
        <w:t xml:space="preserve"> (OECD 2003). In the United States, </w:t>
      </w:r>
      <w:r w:rsidRPr="00C614EC">
        <w:rPr>
          <w:rStyle w:val="StyleBoldUnderline"/>
          <w:rFonts w:cs="Times New Roman"/>
        </w:rPr>
        <w:t>federal tax incentives for qualified business R&amp;D expenditures include a deduction under Internal Revenue Code (IRC) Section 174</w:t>
      </w:r>
      <w:r w:rsidRPr="00C614EC">
        <w:rPr>
          <w:rFonts w:cs="Times New Roman"/>
          <w:sz w:val="14"/>
        </w:rPr>
        <w:t xml:space="preserve"> (C.F.R. Title 26) </w:t>
      </w:r>
      <w:r w:rsidRPr="00C614EC">
        <w:rPr>
          <w:rStyle w:val="StyleBoldUnderline"/>
          <w:rFonts w:cs="Times New Roman"/>
        </w:rPr>
        <w:t>and a research and experimentation (R&amp;E) tax credit under Section 41.</w:t>
      </w:r>
      <w:r w:rsidRPr="00C614EC">
        <w:rPr>
          <w:rFonts w:cs="Times New Roman"/>
          <w:sz w:val="14"/>
        </w:rPr>
        <w:t xml:space="preserve">[22] The latter was established in 1981 by the Economic </w:t>
      </w:r>
      <w:r w:rsidRPr="00C614EC">
        <w:rPr>
          <w:rFonts w:cs="Times New Roman"/>
          <w:sz w:val="14"/>
        </w:rPr>
        <w:lastRenderedPageBreak/>
        <w:t xml:space="preserve">Recovery Tax Act (Public Law 97-34). It was last renewed by the Tax Relief, Unemployment Insurance Reauthorization, and Job Creation Act of 2010, through 31 December 2011.[23] The Obama administration has proposed making this credit permanent (U.S Department of Treasury 2011). Along with the United States, over 20 OECD countries offer fiscal incentives for business R&amp;D (OECD 2011b). </w:t>
      </w:r>
      <w:r w:rsidRPr="00C614EC">
        <w:rPr>
          <w:rStyle w:val="StyleBoldUnderline"/>
          <w:rFonts w:cs="Times New Roman"/>
        </w:rPr>
        <w:t>Fiscal incentives for R&amp;D are typically predicated on R&amp;D's role in economic growth along with the recognition that R&amp;D can generate social benefits well beyond those captured by companies investing in such activitie</w:t>
      </w:r>
      <w:r w:rsidRPr="00C614EC">
        <w:rPr>
          <w:rFonts w:cs="Times New Roman"/>
          <w:sz w:val="14"/>
        </w:rPr>
        <w:t xml:space="preserve">s (see Hemphill 2009 and references therein). In the United States there were about $8.3 billion in business R&amp;E tax credit claims both in 2007 and in 2008 (see appendix table 4-36).[24] Five industries accounted for 75% of these claims in 2008: computer and electronic products; chemicals, including pharmaceuticals, and medicines; transportation equipment, including motor vehicles and aerospace; information, including software; and professional, scientific, and technical services, including computer and R&amp;D services. Since 1998, R&amp;E credit claims have grown at about the same average annual rate as has company-funded domestic R&amp;D, keeping the ratio of R&amp;E credit claims to company-funded domestic R&amp;D in a narrow range (3.3% in 2008).[25] In 2008, more than 12,700 corporate returns claimed at least one component of the R&amp;E tax credit (appendix table 4-37). Corporations with more than $250 million in business receipts accounted for 14% of returns claiming the credit in 2008 and 82% of the dollar value of all claims. In 2001, they had accounted for 9% of returns and 73% of dollar claims.[26] </w:t>
      </w:r>
      <w:r w:rsidRPr="00C614EC">
        <w:rPr>
          <w:rStyle w:val="StyleBoldUnderline"/>
          <w:rFonts w:cs="Times New Roman"/>
        </w:rPr>
        <w:t xml:space="preserve">The federal R&amp;E tax credit encompasses a regular credit and as many as two forms of alternative credit formulas </w:t>
      </w:r>
      <w:r w:rsidRPr="00C614EC">
        <w:rPr>
          <w:rFonts w:cs="Times New Roman"/>
          <w:sz w:val="14"/>
        </w:rPr>
        <w:t xml:space="preserve">since 1996.[27] Under the regular credit, companies can take a 20% credit for qualified research above a base amount for activities undertaken in the United States (IRC section 41(a)(1)). </w:t>
      </w:r>
      <w:r w:rsidRPr="00C614EC">
        <w:rPr>
          <w:rStyle w:val="StyleBoldUnderline"/>
          <w:rFonts w:cs="Times New Roman"/>
        </w:rPr>
        <w:t>Thus, the regular credit is characterized as a fixed-base incremental credit. An incremental design is intended to encourage firms to spend more on R&amp;D than they otherwise would by lowering after-tax costs</w:t>
      </w:r>
      <w:r w:rsidRPr="00C614EC">
        <w:rPr>
          <w:rFonts w:cs="Times New Roman"/>
          <w:sz w:val="14"/>
        </w:rPr>
        <w:t xml:space="preserve"> (Guenther forthcoming). </w:t>
      </w:r>
      <w:r w:rsidRPr="00C614EC">
        <w:rPr>
          <w:rStyle w:val="StyleBoldUnderline"/>
          <w:rFonts w:cs="Times New Roman"/>
        </w:rPr>
        <w:t>Expenses paid or incurred for qualified research include company-funded expenses for wages paid, supplies used in the conduct of qualified research, and certain contract expenses</w:t>
      </w:r>
      <w:r w:rsidRPr="00C614EC">
        <w:rPr>
          <w:rFonts w:cs="Times New Roman"/>
          <w:sz w:val="14"/>
        </w:rPr>
        <w:t xml:space="preserve">. Further, research "must be undertaken for discovering information that is technological in nature, and its application must be intended for use in developing a new or improved business component."[28] </w:t>
      </w:r>
      <w:r w:rsidRPr="00C614EC">
        <w:rPr>
          <w:rStyle w:val="StyleBoldUnderline"/>
          <w:rFonts w:cs="Times New Roman"/>
        </w:rPr>
        <w:t>The credit covers U.S.-performed R&amp;D by both domestic and foreign-owned firms and excludes R&amp;D conducted abroad by U.S. companies</w:t>
      </w:r>
      <w:r w:rsidRPr="00C614EC">
        <w:rPr>
          <w:rFonts w:cs="Times New Roman"/>
          <w:sz w:val="14"/>
        </w:rPr>
        <w:t>. Activities generally disallowed for the purposes of the credit include those conducted after the beginning of commercial production and adapting an existing product or process. Research in the social sciences, arts, or humanities and research funded by another entity is also excluded.</w:t>
      </w:r>
    </w:p>
    <w:p w:rsidR="007C6AC9" w:rsidRPr="00C614EC" w:rsidRDefault="007C6AC9" w:rsidP="007C6AC9">
      <w:pPr>
        <w:rPr>
          <w:rFonts w:cs="Times New Roman"/>
          <w:sz w:val="18"/>
        </w:rPr>
      </w:pPr>
    </w:p>
    <w:p w:rsidR="007C6AC9" w:rsidRPr="00C614EC" w:rsidRDefault="007C6AC9" w:rsidP="007C6AC9">
      <w:pPr>
        <w:pStyle w:val="Heading4"/>
        <w:rPr>
          <w:rFonts w:cs="Times New Roman"/>
          <w:sz w:val="28"/>
        </w:rPr>
      </w:pPr>
      <w:r w:rsidRPr="00C614EC">
        <w:rPr>
          <w:rFonts w:cs="Times New Roman"/>
          <w:sz w:val="28"/>
        </w:rPr>
        <w:t xml:space="preserve">Doesn’t link to tradeoff – doesn’t add to the deficit </w:t>
      </w:r>
    </w:p>
    <w:p w:rsidR="007C6AC9" w:rsidRPr="00C614EC" w:rsidRDefault="007C6AC9" w:rsidP="007C6AC9">
      <w:pPr>
        <w:rPr>
          <w:rFonts w:cs="Times New Roman"/>
          <w:sz w:val="20"/>
        </w:rPr>
      </w:pPr>
      <w:r w:rsidRPr="00C614EC">
        <w:rPr>
          <w:rStyle w:val="StyleStyleBold12pt"/>
          <w:rFonts w:cs="Times New Roman"/>
          <w:sz w:val="28"/>
        </w:rPr>
        <w:t>Weisman 14</w:t>
      </w:r>
      <w:r w:rsidRPr="00C614EC">
        <w:rPr>
          <w:rFonts w:cs="Times New Roman"/>
          <w:sz w:val="20"/>
        </w:rPr>
        <w:t xml:space="preserve"> </w:t>
      </w:r>
      <w:r w:rsidRPr="00C614EC">
        <w:rPr>
          <w:sz w:val="20"/>
        </w:rPr>
        <w:t>[Jonathan Weisman, NYT journalist, “In a Shift From Deficit Concerns, the Senate Will Take Up Tax Breaks,” Published May 13</w:t>
      </w:r>
      <w:r w:rsidRPr="00C614EC">
        <w:rPr>
          <w:sz w:val="20"/>
          <w:vertAlign w:val="superscript"/>
        </w:rPr>
        <w:t>th</w:t>
      </w:r>
      <w:r w:rsidRPr="00C614EC">
        <w:rPr>
          <w:sz w:val="20"/>
        </w:rPr>
        <w:t xml:space="preserve">, 2014, </w:t>
      </w:r>
      <w:hyperlink r:id="rId20" w:history="1">
        <w:r w:rsidRPr="00C614EC">
          <w:rPr>
            <w:rStyle w:val="Hyperlink"/>
            <w:sz w:val="20"/>
          </w:rPr>
          <w:t>http://www.nytimes.com/2014/05/14/us/politics/senate-will-take-up-tax-breaks-for-business.html?_r=0</w:t>
        </w:r>
      </w:hyperlink>
      <w:r w:rsidRPr="00C614EC">
        <w:rPr>
          <w:sz w:val="20"/>
        </w:rPr>
        <w:t>]</w:t>
      </w:r>
    </w:p>
    <w:p w:rsidR="007C6AC9" w:rsidRPr="00C614EC" w:rsidRDefault="007C6AC9" w:rsidP="007C6AC9">
      <w:pPr>
        <w:rPr>
          <w:rFonts w:cs="Times New Roman"/>
          <w:sz w:val="18"/>
        </w:rPr>
      </w:pPr>
      <w:r w:rsidRPr="00C614EC">
        <w:rPr>
          <w:rStyle w:val="StyleBoldUnderline"/>
          <w:rFonts w:cs="Times New Roman"/>
        </w:rPr>
        <w:t>The Senate on Tuesday shrugged off the deficit concerns that were once an animating force on Capitol Hill, voting 96-3 to take up a package of business tax breaks without offering any way to pay for them. The procedural vote presaged final passage as early as this week and followed the House’s overwhelming approval last week of legislation that would make permanent the research-and-development tax credit for businesses and raise the deficit by $156 billion</w:t>
      </w:r>
      <w:r w:rsidRPr="00C614EC">
        <w:rPr>
          <w:rFonts w:cs="Times New Roman"/>
          <w:sz w:val="18"/>
        </w:rPr>
        <w:t xml:space="preserve"> over the next 10 years. On that vote, </w:t>
      </w:r>
      <w:r w:rsidRPr="00C614EC">
        <w:rPr>
          <w:rStyle w:val="StyleBoldUnderline"/>
          <w:rFonts w:cs="Times New Roman"/>
        </w:rPr>
        <w:t>62 House Democrats joined virtually every Republican in ignoring President Obama’s veto threat because of the deficit implications. “It’s pretty remarkable,”</w:t>
      </w:r>
      <w:r w:rsidRPr="00C614EC">
        <w:rPr>
          <w:rFonts w:cs="Times New Roman"/>
          <w:sz w:val="18"/>
        </w:rPr>
        <w:t xml:space="preserve"> said Maya MacGuineas, president of the Committee for a Responsible Federal Budget, a deficit watchdog group. “</w:t>
      </w:r>
      <w:r w:rsidRPr="00C614EC">
        <w:rPr>
          <w:rStyle w:val="StyleBoldUnderline"/>
          <w:rFonts w:cs="Times New Roman"/>
        </w:rPr>
        <w:t xml:space="preserve">It’s a shift from, ‘This is a huge problem’ </w:t>
      </w:r>
      <w:r w:rsidRPr="00C614EC">
        <w:rPr>
          <w:rFonts w:cs="Times New Roman"/>
          <w:sz w:val="18"/>
        </w:rPr>
        <w:t xml:space="preserve">— and if anyone looks at the long-term problems, it clearly still is — </w:t>
      </w:r>
      <w:r w:rsidRPr="00C614EC">
        <w:rPr>
          <w:rStyle w:val="StyleBoldUnderline"/>
          <w:rFonts w:cs="Times New Roman"/>
        </w:rPr>
        <w:t>to ‘We’ve made so much progress on the budget deficit’ to doing things that actually hurt the debt.</w:t>
      </w:r>
      <w:r w:rsidRPr="00C614EC">
        <w:rPr>
          <w:rFonts w:cs="Times New Roman"/>
          <w:sz w:val="18"/>
        </w:rPr>
        <w:t xml:space="preserve"> It’s as though members of Congress tried out fiscal discipline, didn’t like how it felt and are falling back to bad habits.” Senator Ron Wyden, right, the Oregon Democrat who heads the Senate Finance Committee, with reporters after the vote. Credit Gabriella Demczuk/The New York Times </w:t>
      </w:r>
      <w:r w:rsidRPr="00C614EC">
        <w:rPr>
          <w:rStyle w:val="StyleBoldUnderline"/>
          <w:rFonts w:cs="Times New Roman"/>
        </w:rPr>
        <w:t xml:space="preserve">As the deficit continues to fall, it loosens the policy reins in Washington for the first time since Mr. Obama rammed through his stimulus law in the opening weeks of his presidency. </w:t>
      </w:r>
      <w:r w:rsidRPr="00C614EC">
        <w:rPr>
          <w:rFonts w:cs="Times New Roman"/>
          <w:sz w:val="18"/>
        </w:rPr>
        <w:t>Last week, the nonpartisan Congressional Budget Office reported that tax receipts were up 8 percent over the first seven months of the fiscal year, which began in October. Spending was down around 3 percent, and at $301 billion, the federal budget deficit is $187 billion lower than at this time last year. “</w:t>
      </w:r>
      <w:r w:rsidRPr="00C614EC">
        <w:rPr>
          <w:rStyle w:val="StyleBoldUnderline"/>
          <w:rFonts w:cs="Times New Roman"/>
        </w:rPr>
        <w:t>We will not pull the plug before our nation’s recovery is complete</w:t>
      </w:r>
      <w:r w:rsidRPr="00C614EC">
        <w:rPr>
          <w:rFonts w:cs="Times New Roman"/>
          <w:sz w:val="18"/>
        </w:rPr>
        <w:t>,” said Senator Harry Reid, Democrat of Nevada, the majority leader. “</w:t>
      </w:r>
      <w:r w:rsidRPr="00C614EC">
        <w:rPr>
          <w:rStyle w:val="StyleBoldUnderline"/>
          <w:rFonts w:cs="Times New Roman"/>
        </w:rPr>
        <w:t>Let’s work together to give America’s families a fair shot</w:t>
      </w:r>
      <w:r w:rsidRPr="00C614EC">
        <w:rPr>
          <w:rFonts w:cs="Times New Roman"/>
          <w:sz w:val="18"/>
        </w:rPr>
        <w:t xml:space="preserve">.” </w:t>
      </w:r>
      <w:r w:rsidRPr="00C614EC">
        <w:rPr>
          <w:rStyle w:val="StyleBoldUnderline"/>
          <w:rFonts w:cs="Times New Roman"/>
        </w:rPr>
        <w:t>The Senate’s Expiring Provisions Improvement Reform and Efficiency Act</w:t>
      </w:r>
      <w:r w:rsidRPr="00C614EC">
        <w:rPr>
          <w:rFonts w:cs="Times New Roman"/>
          <w:sz w:val="18"/>
        </w:rPr>
        <w:t xml:space="preserve">, or Expire, </w:t>
      </w:r>
      <w:r w:rsidRPr="00C614EC">
        <w:rPr>
          <w:rStyle w:val="StyleBoldUnderline"/>
          <w:rFonts w:cs="Times New Roman"/>
        </w:rPr>
        <w:t>renews more than 50 tax credits through 2015, including the research and development tax credit</w:t>
      </w:r>
      <w:r w:rsidRPr="00C614EC">
        <w:rPr>
          <w:rFonts w:cs="Times New Roman"/>
          <w:sz w:val="18"/>
        </w:rPr>
        <w:t xml:space="preserve">, tax credits for investments in depressed areas, tax breaks for energy-efficient home improvements and tax breaks for higher education expenses. Senator Ron Wyden, Democrat of Oregon, the new chairman of the Senate Finance Committee, had pledged to pare back the routinely extended tax breaks as a dry run for a broader overhaul of the tax code. In the end, nothing was pared back, not the “temporary” tax break for rum producers in Puerto Rico and the Virgin Islands, not the ability for </w:t>
      </w:r>
      <w:r w:rsidRPr="00C614EC">
        <w:rPr>
          <w:rFonts w:cs="Times New Roman"/>
          <w:sz w:val="18"/>
        </w:rPr>
        <w:lastRenderedPageBreak/>
        <w:t xml:space="preserve">moviemakers to write off the first $15 million of film production costs for films made in the United States, not the much maligned but longstanding tax breaks for racehorses and Nascar racetracks. Heritage Action, the political arm of the conservative Heritage Foundation, called it “one of the most egregious examples of Washington using its power to prop up well-connected interests.” </w:t>
      </w:r>
      <w:r w:rsidRPr="00C614EC">
        <w:rPr>
          <w:rStyle w:val="StyleBoldUnderline"/>
          <w:rFonts w:cs="Times New Roman"/>
        </w:rPr>
        <w:t>Yet only the staunchest deficit hawks</w:t>
      </w:r>
      <w:r w:rsidRPr="00C614EC">
        <w:rPr>
          <w:rFonts w:cs="Times New Roman"/>
          <w:sz w:val="18"/>
        </w:rPr>
        <w:t xml:space="preserve">, Republican Senators Tom Coburn of Oklahoma, Jeff Flake of Arizona and Mike Lee of Utah, </w:t>
      </w:r>
      <w:r w:rsidRPr="00C614EC">
        <w:rPr>
          <w:rStyle w:val="StyleBoldUnderline"/>
          <w:rFonts w:cs="Times New Roman"/>
        </w:rPr>
        <w:t>voted against beginning debate on the bill. And Congress’s actions over the last few days are only the beginning. In the coming weeks, the House is likely to make permanent five more corporate tax cuts</w:t>
      </w:r>
      <w:r w:rsidRPr="00C614EC">
        <w:rPr>
          <w:rFonts w:cs="Times New Roman"/>
          <w:sz w:val="18"/>
        </w:rPr>
        <w:t>, costing $301 billion through 2024. That would virtually wipe out all the deficit reduction last year, when Bush-era tax cuts were allowed to expire on upper-income households. The White House noted that the House’s expanded and permanent tax credit for research and development would cost more than 15 times as much as renewing and extending unemployment benefits, which Republicans insist must be paid for. “The administration wants to work with Congress to make progress on measures that strengthen the economy and help middle-class families, including pro-growth business tax reform. However, making traditional tax extenders permanent without offsets represents the wrong approach,” the White House said in extending a veto threat. A large majority in Congress appears to disagree, potentially setting up the first veto of consequence of the Obama presidency.</w:t>
      </w:r>
    </w:p>
    <w:p w:rsidR="007C6AC9" w:rsidRPr="00C614EC" w:rsidRDefault="007C6AC9" w:rsidP="007C6AC9">
      <w:pPr>
        <w:rPr>
          <w:sz w:val="18"/>
        </w:rPr>
      </w:pPr>
    </w:p>
    <w:p w:rsidR="007C6AC9" w:rsidRPr="00C614EC" w:rsidRDefault="007C6AC9" w:rsidP="007C6AC9">
      <w:pPr>
        <w:pStyle w:val="Heading3"/>
        <w:rPr>
          <w:lang w:eastAsia="ko-KR"/>
        </w:rPr>
      </w:pPr>
      <w:r>
        <w:rPr>
          <w:lang w:eastAsia="ko-KR"/>
        </w:rPr>
        <w:lastRenderedPageBreak/>
        <w:t>AT: Perm Do CP---2NC</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The plan commits to federal investment -- the counterplan only does 50% or less of that investment.  The permutation severs half of the plan and that’s a voting issue -- makes the aff a moving target destroying neg ground -- reject the team</w:t>
      </w:r>
    </w:p>
    <w:p w:rsidR="007C6AC9" w:rsidRPr="00C614EC" w:rsidRDefault="007C6AC9" w:rsidP="007C6AC9">
      <w:pPr>
        <w:rPr>
          <w:rFonts w:asciiTheme="minorHAnsi" w:hAnsiTheme="minorHAnsi"/>
        </w:rPr>
      </w:pPr>
    </w:p>
    <w:p w:rsidR="007C6AC9" w:rsidRPr="00C614EC" w:rsidRDefault="007C6AC9" w:rsidP="007C6AC9">
      <w:pPr>
        <w:pStyle w:val="Heading4"/>
        <w:rPr>
          <w:rFonts w:asciiTheme="minorHAnsi" w:hAnsiTheme="minorHAnsi"/>
          <w:sz w:val="28"/>
        </w:rPr>
      </w:pPr>
      <w:r w:rsidRPr="00C614EC">
        <w:rPr>
          <w:rFonts w:asciiTheme="minorHAnsi" w:hAnsiTheme="minorHAnsi"/>
          <w:sz w:val="28"/>
        </w:rPr>
        <w:t>They sever “federal government” – Government investment excludes corporations</w:t>
      </w:r>
    </w:p>
    <w:p w:rsidR="007C6AC9" w:rsidRPr="00C614EC" w:rsidRDefault="007C6AC9" w:rsidP="007C6AC9">
      <w:pPr>
        <w:rPr>
          <w:rFonts w:asciiTheme="minorHAnsi" w:hAnsiTheme="minorHAnsi"/>
        </w:rPr>
      </w:pPr>
      <w:r w:rsidRPr="00C614EC">
        <w:rPr>
          <w:rStyle w:val="StyleStyleBold12pt"/>
          <w:rFonts w:asciiTheme="minorHAnsi" w:hAnsiTheme="minorHAnsi"/>
          <w:sz w:val="28"/>
        </w:rPr>
        <w:t>Chan 9</w:t>
      </w:r>
      <w:r w:rsidRPr="00C614EC">
        <w:rPr>
          <w:rFonts w:asciiTheme="minorHAnsi" w:hAnsiTheme="minorHAnsi"/>
        </w:rPr>
        <w:t xml:space="preserve"> </w:t>
      </w:r>
      <w:r w:rsidRPr="00C614EC">
        <w:rPr>
          <w:rFonts w:asciiTheme="minorHAnsi" w:hAnsiTheme="minorHAnsi"/>
          <w:sz w:val="16"/>
        </w:rPr>
        <w:t>[Chris Chan, part of the Productivity Commission, the Australian Government’s independent research and advisory body on a range of economic, social and environmental issues affecting</w:t>
      </w:r>
      <w:r w:rsidRPr="00C614EC">
        <w:rPr>
          <w:rFonts w:asciiTheme="minorHAnsi" w:hAnsiTheme="minorHAnsi"/>
          <w:sz w:val="6"/>
        </w:rPr>
        <w:t xml:space="preserve"> </w:t>
      </w:r>
      <w:r w:rsidRPr="00C614EC">
        <w:rPr>
          <w:rFonts w:asciiTheme="minorHAnsi" w:hAnsiTheme="minorHAnsi"/>
          <w:sz w:val="16"/>
        </w:rPr>
        <w:t xml:space="preserve">the welfare of Australians, et al., Danny Forwood Heather Roper Chris Sayers, 3-09,“Public Infrastructure Financing: An International Perspective,” Commonwealth of Australia , </w:t>
      </w:r>
      <w:hyperlink r:id="rId21" w:history="1">
        <w:r w:rsidRPr="00C614EC">
          <w:rPr>
            <w:rStyle w:val="Hyperlink"/>
            <w:rFonts w:asciiTheme="minorHAnsi" w:hAnsiTheme="minorHAnsi"/>
            <w:sz w:val="16"/>
          </w:rPr>
          <w:t>http://ssrn.com/abstract=1565073</w:t>
        </w:r>
      </w:hyperlink>
      <w:r w:rsidRPr="00C614EC">
        <w:rPr>
          <w:rFonts w:asciiTheme="minorHAnsi" w:hAnsiTheme="minorHAnsi"/>
          <w:sz w:val="16"/>
        </w:rPr>
        <w:t>]</w:t>
      </w:r>
    </w:p>
    <w:p w:rsidR="007C6AC9" w:rsidRDefault="007C6AC9" w:rsidP="007C6AC9">
      <w:pPr>
        <w:rPr>
          <w:rFonts w:asciiTheme="minorHAnsi" w:hAnsiTheme="minorHAnsi"/>
        </w:rPr>
      </w:pPr>
      <w:r w:rsidRPr="00C614EC">
        <w:rPr>
          <w:rFonts w:asciiTheme="minorHAnsi" w:hAnsiTheme="minorHAnsi"/>
        </w:rPr>
        <w:t xml:space="preserve">• </w:t>
      </w:r>
      <w:r w:rsidRPr="00C614EC">
        <w:rPr>
          <w:rStyle w:val="StyleBoldUnderline"/>
          <w:rFonts w:asciiTheme="minorHAnsi" w:hAnsiTheme="minorHAnsi"/>
        </w:rPr>
        <w:t>General government investment (which excludes public corporations</w:t>
      </w:r>
      <w:r w:rsidRPr="00C614EC">
        <w:rPr>
          <w:rFonts w:asciiTheme="minorHAnsi" w:hAnsiTheme="minorHAnsi"/>
        </w:rPr>
        <w:t xml:space="preserve">) as a proportion of GDP has fallen in most countries over the past four decades. In Australia it stood at 2.4 per cent of GDP in 2005-06. This could reflect the pattern of corporatisation of GTEs as well as privatisation over the period. </w:t>
      </w:r>
    </w:p>
    <w:p w:rsidR="0017246A" w:rsidRPr="00656EBC" w:rsidRDefault="0017246A" w:rsidP="0017246A">
      <w:pPr>
        <w:pStyle w:val="Heading4"/>
        <w:rPr>
          <w:rFonts w:cs="Times New Roman"/>
          <w:sz w:val="28"/>
        </w:rPr>
      </w:pPr>
      <w:r w:rsidRPr="00656EBC">
        <w:rPr>
          <w:rFonts w:cs="Times New Roman"/>
          <w:sz w:val="28"/>
        </w:rPr>
        <w:t>The federal government d</w:t>
      </w:r>
      <w:r>
        <w:rPr>
          <w:rFonts w:cs="Times New Roman"/>
          <w:sz w:val="28"/>
        </w:rPr>
        <w:t>oesn’t actually own the product of the tax incentive---it’s distinct from government property</w:t>
      </w:r>
    </w:p>
    <w:p w:rsidR="0017246A" w:rsidRPr="00656EBC" w:rsidRDefault="0017246A" w:rsidP="0017246A">
      <w:pPr>
        <w:rPr>
          <w:rFonts w:cs="Times New Roman"/>
          <w:sz w:val="20"/>
        </w:rPr>
      </w:pPr>
      <w:r w:rsidRPr="00656EBC">
        <w:rPr>
          <w:rStyle w:val="StyleStyleBold12pt"/>
          <w:rFonts w:cs="Times New Roman"/>
          <w:sz w:val="28"/>
        </w:rPr>
        <w:t xml:space="preserve">Kalil 6 </w:t>
      </w:r>
      <w:r w:rsidRPr="00656EBC">
        <w:rPr>
          <w:sz w:val="20"/>
        </w:rPr>
        <w:t>[Thomas Kalil, Deputy Director for Policy for the White House Office of Science and Technology Policy,</w:t>
      </w:r>
      <w:r w:rsidRPr="00656EBC">
        <w:rPr>
          <w:rFonts w:cs="Times New Roman"/>
          <w:sz w:val="20"/>
        </w:rPr>
        <w:t xml:space="preserve"> “Prizes for Technological Innovation,” Brookings Institute, http://www.brookings.edu/~/media/research/files/papers/2006/12/healthcare%20kalil/200612kalil.pdf]</w:t>
      </w:r>
    </w:p>
    <w:p w:rsidR="0017246A" w:rsidRPr="00656EBC" w:rsidRDefault="0017246A" w:rsidP="0017246A">
      <w:pPr>
        <w:rPr>
          <w:rFonts w:cs="Times New Roman"/>
          <w:sz w:val="14"/>
        </w:rPr>
      </w:pPr>
      <w:r w:rsidRPr="00656EBC">
        <w:rPr>
          <w:rFonts w:cs="Times New Roman"/>
          <w:sz w:val="14"/>
        </w:rPr>
        <w:t>Science, technology, and innovation are central</w:t>
      </w:r>
      <w:r w:rsidRPr="00656EBC">
        <w:rPr>
          <w:rFonts w:cs="Times New Roman"/>
          <w:sz w:val="12"/>
        </w:rPr>
        <w:t xml:space="preserve"> </w:t>
      </w:r>
      <w:r w:rsidRPr="00656EBC">
        <w:rPr>
          <w:rFonts w:cs="Times New Roman"/>
          <w:sz w:val="14"/>
        </w:rPr>
        <w:t>to America’s continued economic growth. As</w:t>
      </w:r>
      <w:r w:rsidRPr="00656EBC">
        <w:rPr>
          <w:rFonts w:cs="Times New Roman"/>
          <w:sz w:val="12"/>
        </w:rPr>
        <w:t xml:space="preserve"> </w:t>
      </w:r>
      <w:r w:rsidRPr="00656EBC">
        <w:rPr>
          <w:rFonts w:cs="Times New Roman"/>
          <w:sz w:val="14"/>
        </w:rPr>
        <w:t>policy analysts and economists have long recognized,</w:t>
      </w:r>
      <w:r w:rsidRPr="00656EBC">
        <w:rPr>
          <w:rFonts w:cs="Times New Roman"/>
          <w:sz w:val="12"/>
        </w:rPr>
        <w:t xml:space="preserve"> </w:t>
      </w:r>
      <w:r w:rsidRPr="00656EBC">
        <w:rPr>
          <w:rStyle w:val="IntenseEmphasis"/>
          <w:rFonts w:cs="Times New Roman"/>
        </w:rPr>
        <w:t>private sector firms and the government</w:t>
      </w:r>
      <w:r w:rsidRPr="00656EBC">
        <w:rPr>
          <w:rStyle w:val="IntenseEmphasis"/>
          <w:rFonts w:cs="Times New Roman"/>
          <w:sz w:val="12"/>
        </w:rPr>
        <w:t xml:space="preserve"> </w:t>
      </w:r>
      <w:r w:rsidRPr="00656EBC">
        <w:rPr>
          <w:rStyle w:val="IntenseEmphasis"/>
          <w:rFonts w:cs="Times New Roman"/>
        </w:rPr>
        <w:t>play essential and complementary roles in innovation,</w:t>
      </w:r>
      <w:r w:rsidRPr="00656EBC">
        <w:rPr>
          <w:rStyle w:val="IntenseEmphasis"/>
          <w:rFonts w:cs="Times New Roman"/>
          <w:sz w:val="12"/>
        </w:rPr>
        <w:t xml:space="preserve"> </w:t>
      </w:r>
      <w:r w:rsidRPr="00656EBC">
        <w:rPr>
          <w:rStyle w:val="IntenseEmphasis"/>
          <w:rFonts w:cs="Times New Roman"/>
        </w:rPr>
        <w:t>including the development of new technology.</w:t>
      </w:r>
      <w:r w:rsidRPr="00656EBC">
        <w:rPr>
          <w:rStyle w:val="IntenseEmphasis"/>
          <w:rFonts w:cs="Times New Roman"/>
          <w:sz w:val="12"/>
        </w:rPr>
        <w:t xml:space="preserve"> </w:t>
      </w:r>
      <w:r w:rsidRPr="00656EBC">
        <w:rPr>
          <w:rFonts w:cs="Times New Roman"/>
          <w:sz w:val="14"/>
        </w:rPr>
        <w:t xml:space="preserve">Broadly speaking, </w:t>
      </w:r>
      <w:r w:rsidRPr="00656EBC">
        <w:rPr>
          <w:rStyle w:val="IntenseEmphasis"/>
          <w:rFonts w:cs="Times New Roman"/>
        </w:rPr>
        <w:t>the government creates an institutional</w:t>
      </w:r>
      <w:r w:rsidRPr="00656EBC">
        <w:rPr>
          <w:rStyle w:val="IntenseEmphasis"/>
          <w:rFonts w:cs="Times New Roman"/>
          <w:sz w:val="12"/>
        </w:rPr>
        <w:t xml:space="preserve"> </w:t>
      </w:r>
      <w:r w:rsidRPr="00656EBC">
        <w:rPr>
          <w:rStyle w:val="IntenseEmphasis"/>
          <w:rFonts w:cs="Times New Roman"/>
        </w:rPr>
        <w:t>setting and sponsors a knowledge base that</w:t>
      </w:r>
      <w:r w:rsidRPr="00656EBC">
        <w:rPr>
          <w:rStyle w:val="IntenseEmphasis"/>
          <w:rFonts w:cs="Times New Roman"/>
          <w:sz w:val="12"/>
        </w:rPr>
        <w:t xml:space="preserve"> </w:t>
      </w:r>
      <w:r w:rsidRPr="00656EBC">
        <w:rPr>
          <w:rStyle w:val="IntenseEmphasis"/>
          <w:rFonts w:cs="Times New Roman"/>
        </w:rPr>
        <w:t>makes innovation possible</w:t>
      </w:r>
      <w:r w:rsidRPr="00656EBC">
        <w:rPr>
          <w:rFonts w:cs="Times New Roman"/>
          <w:sz w:val="14"/>
        </w:rPr>
        <w:t xml:space="preserve">, whereas </w:t>
      </w:r>
      <w:r w:rsidRPr="00656EBC">
        <w:rPr>
          <w:rStyle w:val="IntenseEmphasis"/>
          <w:rFonts w:cs="Times New Roman"/>
        </w:rPr>
        <w:t xml:space="preserve">private </w:t>
      </w:r>
      <w:r w:rsidRPr="00656EBC">
        <w:rPr>
          <w:rStyle w:val="StyleBoldUnderline"/>
        </w:rPr>
        <w:t>sector firms take the lead on deciding what innovative</w:t>
      </w:r>
      <w:r w:rsidRPr="00656EBC">
        <w:rPr>
          <w:rStyle w:val="IntenseEmphasis"/>
          <w:rFonts w:cs="Times New Roman"/>
        </w:rPr>
        <w:t xml:space="preserve"> new</w:t>
      </w:r>
      <w:r w:rsidRPr="00656EBC">
        <w:rPr>
          <w:rStyle w:val="IntenseEmphasis"/>
          <w:rFonts w:cs="Times New Roman"/>
          <w:sz w:val="12"/>
        </w:rPr>
        <w:t xml:space="preserve"> </w:t>
      </w:r>
      <w:r w:rsidRPr="00656EBC">
        <w:rPr>
          <w:rStyle w:val="IntenseEmphasis"/>
          <w:rFonts w:cs="Times New Roman"/>
        </w:rPr>
        <w:t>products and services should actually be produced.</w:t>
      </w:r>
      <w:r w:rsidRPr="00656EBC">
        <w:rPr>
          <w:rStyle w:val="IntenseEmphasis"/>
          <w:rFonts w:cs="Times New Roman"/>
          <w:sz w:val="12"/>
        </w:rPr>
        <w:t xml:space="preserve"> </w:t>
      </w:r>
      <w:r w:rsidRPr="00656EBC">
        <w:rPr>
          <w:rFonts w:cs="Times New Roman"/>
          <w:sz w:val="14"/>
        </w:rPr>
        <w:t>Government efforts to promote research and development</w:t>
      </w:r>
      <w:r w:rsidRPr="00656EBC">
        <w:rPr>
          <w:rFonts w:cs="Times New Roman"/>
          <w:sz w:val="12"/>
        </w:rPr>
        <w:t xml:space="preserve"> </w:t>
      </w:r>
      <w:r w:rsidRPr="00656EBC">
        <w:rPr>
          <w:rFonts w:cs="Times New Roman"/>
          <w:sz w:val="14"/>
        </w:rPr>
        <w:t>(R&amp;D) rest on three pillars: funding,</w:t>
      </w:r>
      <w:r w:rsidRPr="00656EBC">
        <w:rPr>
          <w:rFonts w:cs="Times New Roman"/>
          <w:sz w:val="12"/>
        </w:rPr>
        <w:t xml:space="preserve"> </w:t>
      </w:r>
      <w:r w:rsidRPr="00656EBC">
        <w:rPr>
          <w:rFonts w:cs="Times New Roman"/>
          <w:sz w:val="14"/>
        </w:rPr>
        <w:t>intellectual property rights, and education. First,</w:t>
      </w:r>
      <w:r w:rsidRPr="00656EBC">
        <w:rPr>
          <w:rFonts w:cs="Times New Roman"/>
          <w:sz w:val="12"/>
        </w:rPr>
        <w:t xml:space="preserve"> </w:t>
      </w:r>
      <w:r w:rsidRPr="00656EBC">
        <w:rPr>
          <w:rStyle w:val="IntenseEmphasis"/>
          <w:rFonts w:cs="Times New Roman"/>
        </w:rPr>
        <w:t xml:space="preserve">the federal government </w:t>
      </w:r>
      <w:r w:rsidRPr="00656EBC">
        <w:rPr>
          <w:rFonts w:cs="Times New Roman"/>
          <w:sz w:val="14"/>
        </w:rPr>
        <w:t>uses grants, contracts, and appropriations to fund research efforts by private institutions, academic institutions, national laboratories, and other federally funded facilities; and</w:t>
      </w:r>
      <w:r w:rsidRPr="00656EBC">
        <w:rPr>
          <w:rStyle w:val="IntenseEmphasis"/>
          <w:rFonts w:cs="Times New Roman"/>
          <w:sz w:val="12"/>
        </w:rPr>
        <w:t xml:space="preserve"> </w:t>
      </w:r>
      <w:r w:rsidRPr="00656EBC">
        <w:rPr>
          <w:rStyle w:val="IntenseEmphasis"/>
          <w:rFonts w:cs="Times New Roman"/>
        </w:rPr>
        <w:t>uses tax incentives to encourage private firms to</w:t>
      </w:r>
      <w:r w:rsidRPr="00656EBC">
        <w:rPr>
          <w:rStyle w:val="IntenseEmphasis"/>
          <w:rFonts w:cs="Times New Roman"/>
          <w:sz w:val="12"/>
        </w:rPr>
        <w:t xml:space="preserve"> </w:t>
      </w:r>
      <w:r w:rsidRPr="00656EBC">
        <w:rPr>
          <w:rStyle w:val="IntenseEmphasis"/>
          <w:rFonts w:cs="Times New Roman"/>
        </w:rPr>
        <w:t>carry out R&amp;D.</w:t>
      </w:r>
      <w:r w:rsidRPr="00656EBC">
        <w:rPr>
          <w:rFonts w:cs="Times New Roman"/>
          <w:sz w:val="14"/>
        </w:rPr>
        <w:t xml:space="preserve"> Second, </w:t>
      </w:r>
      <w:r w:rsidRPr="00656EBC">
        <w:rPr>
          <w:rStyle w:val="IntenseEmphasis"/>
          <w:rFonts w:cs="Times New Roman"/>
        </w:rPr>
        <w:t>the</w:t>
      </w:r>
      <w:r w:rsidRPr="00656EBC">
        <w:rPr>
          <w:rFonts w:cs="Times New Roman"/>
          <w:sz w:val="14"/>
        </w:rPr>
        <w:t xml:space="preserve"> federal </w:t>
      </w:r>
      <w:r w:rsidRPr="00656EBC">
        <w:rPr>
          <w:rStyle w:val="IntenseEmphasis"/>
          <w:rFonts w:cs="Times New Roman"/>
        </w:rPr>
        <w:t>government</w:t>
      </w:r>
      <w:r w:rsidRPr="00656EBC">
        <w:rPr>
          <w:rFonts w:cs="Times New Roman"/>
          <w:sz w:val="12"/>
        </w:rPr>
        <w:t xml:space="preserve"> </w:t>
      </w:r>
      <w:r w:rsidRPr="00656EBC">
        <w:rPr>
          <w:rFonts w:cs="Times New Roman"/>
          <w:sz w:val="14"/>
        </w:rPr>
        <w:t xml:space="preserve">legislates and </w:t>
      </w:r>
      <w:r w:rsidRPr="00656EBC">
        <w:rPr>
          <w:rStyle w:val="StyleBoldUnderline"/>
        </w:rPr>
        <w:t>enforces intellectual property rights</w:t>
      </w:r>
      <w:r w:rsidRPr="00656EBC">
        <w:rPr>
          <w:rStyle w:val="IntenseEmphasis"/>
          <w:rFonts w:cs="Times New Roman"/>
        </w:rPr>
        <w:t>,</w:t>
      </w:r>
      <w:r w:rsidRPr="00656EBC">
        <w:rPr>
          <w:rStyle w:val="IntenseEmphasis"/>
          <w:rFonts w:cs="Times New Roman"/>
          <w:sz w:val="12"/>
        </w:rPr>
        <w:t xml:space="preserve"> </w:t>
      </w:r>
      <w:r w:rsidRPr="00656EBC">
        <w:rPr>
          <w:rFonts w:cs="Times New Roman"/>
          <w:sz w:val="14"/>
        </w:rPr>
        <w:t>such as those embodied in patents and trade secrets,</w:t>
      </w:r>
      <w:r w:rsidRPr="00656EBC">
        <w:rPr>
          <w:rFonts w:cs="Times New Roman"/>
          <w:sz w:val="12"/>
        </w:rPr>
        <w:t xml:space="preserve"> </w:t>
      </w:r>
      <w:r w:rsidRPr="00656EBC">
        <w:rPr>
          <w:rFonts w:cs="Times New Roman"/>
          <w:sz w:val="14"/>
        </w:rPr>
        <w:t>so that private sector innovators have less reason to fear that other firms will copy their discoveries in the short term. Third, federal and state governments support higher education, which helps create the workforce that is needed for research-intensive</w:t>
      </w:r>
      <w:r w:rsidRPr="00656EBC">
        <w:rPr>
          <w:rFonts w:cs="Times New Roman"/>
          <w:sz w:val="12"/>
        </w:rPr>
        <w:t xml:space="preserve"> </w:t>
      </w:r>
      <w:r w:rsidRPr="00656EBC">
        <w:rPr>
          <w:rFonts w:cs="Times New Roman"/>
          <w:sz w:val="14"/>
        </w:rPr>
        <w:t>science and engineering firms.</w:t>
      </w:r>
    </w:p>
    <w:p w:rsidR="007C6AC9" w:rsidRPr="00475FF1" w:rsidRDefault="007C6AC9" w:rsidP="007C6AC9">
      <w:pPr>
        <w:rPr>
          <w:rFonts w:asciiTheme="minorHAnsi" w:hAnsiTheme="minorHAnsi"/>
        </w:rPr>
      </w:pPr>
    </w:p>
    <w:p w:rsidR="007C6AC9" w:rsidRPr="00C614EC" w:rsidRDefault="007C6AC9" w:rsidP="007C6AC9">
      <w:pPr>
        <w:pStyle w:val="Heading4"/>
        <w:rPr>
          <w:rFonts w:asciiTheme="minorHAnsi" w:hAnsiTheme="minorHAnsi"/>
          <w:sz w:val="28"/>
        </w:rPr>
      </w:pPr>
      <w:r w:rsidRPr="00C614EC">
        <w:rPr>
          <w:rFonts w:asciiTheme="minorHAnsi" w:hAnsiTheme="minorHAnsi"/>
          <w:sz w:val="28"/>
        </w:rPr>
        <w:t xml:space="preserve">The CP isn’t federal investment – they either sever the plan or aren’t topical </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‘Its’ is possessive</w:t>
      </w:r>
    </w:p>
    <w:p w:rsidR="007C6AC9" w:rsidRPr="00C614EC" w:rsidRDefault="007C6AC9" w:rsidP="007C6AC9">
      <w:pPr>
        <w:rPr>
          <w:rFonts w:asciiTheme="minorHAnsi" w:hAnsiTheme="minorHAnsi"/>
        </w:rPr>
      </w:pPr>
      <w:r w:rsidRPr="00C614EC">
        <w:rPr>
          <w:rStyle w:val="StyleStyleBold12pt"/>
          <w:rFonts w:asciiTheme="minorHAnsi" w:hAnsiTheme="minorHAnsi"/>
          <w:sz w:val="28"/>
        </w:rPr>
        <w:t>Encarta, 9</w:t>
      </w:r>
      <w:r w:rsidRPr="00C614EC">
        <w:rPr>
          <w:rFonts w:asciiTheme="minorHAnsi" w:hAnsiTheme="minorHAnsi"/>
        </w:rPr>
        <w:t xml:space="preserve"> (Encarta World English Dictionary, http://encarta.msn.com/encnet/features/dictionary/DictionaryResults.aspx?refid=1861622735)</w:t>
      </w:r>
    </w:p>
    <w:p w:rsidR="007C6AC9" w:rsidRDefault="007C6AC9" w:rsidP="007C6AC9">
      <w:pPr>
        <w:rPr>
          <w:rStyle w:val="resultbodysmallitalic"/>
          <w:rFonts w:asciiTheme="minorHAnsi" w:hAnsiTheme="minorHAnsi"/>
        </w:rPr>
      </w:pPr>
      <w:r w:rsidRPr="00C614EC">
        <w:rPr>
          <w:rStyle w:val="StyleBoldUnderline"/>
          <w:rFonts w:asciiTheme="minorHAnsi" w:hAnsiTheme="minorHAnsi"/>
        </w:rPr>
        <w:t>its</w:t>
      </w:r>
      <w:r w:rsidRPr="00C614EC">
        <w:rPr>
          <w:rStyle w:val="resultbody"/>
          <w:rFonts w:asciiTheme="minorHAnsi" w:hAnsiTheme="minorHAnsi"/>
        </w:rPr>
        <w:t xml:space="preserve"> [ </w:t>
      </w:r>
      <w:r w:rsidRPr="00C614EC">
        <w:rPr>
          <w:rFonts w:asciiTheme="minorHAnsi" w:hAnsiTheme="minorHAnsi"/>
        </w:rPr>
        <w:t>its</w:t>
      </w:r>
      <w:r w:rsidRPr="00C614EC">
        <w:rPr>
          <w:rStyle w:val="resultbody"/>
          <w:rFonts w:asciiTheme="minorHAnsi" w:hAnsiTheme="minorHAnsi"/>
        </w:rPr>
        <w:t xml:space="preserve"> ]</w:t>
      </w:r>
      <w:r w:rsidRPr="00C614EC">
        <w:rPr>
          <w:rFonts w:asciiTheme="minorHAnsi" w:hAnsiTheme="minorHAnsi"/>
        </w:rPr>
        <w:t xml:space="preserve"> adjective Definition: </w:t>
      </w:r>
      <w:r w:rsidRPr="00C614EC">
        <w:rPr>
          <w:rStyle w:val="StyleBoldUnderline"/>
          <w:rFonts w:asciiTheme="minorHAnsi" w:hAnsiTheme="minorHAnsi"/>
        </w:rPr>
        <w:t>indicating possession</w:t>
      </w:r>
      <w:r w:rsidRPr="00C614EC">
        <w:rPr>
          <w:rFonts w:asciiTheme="minorHAnsi" w:hAnsiTheme="minorHAnsi"/>
        </w:rPr>
        <w:t xml:space="preserve">: used to indicate that something belongs </w:t>
      </w:r>
      <w:r w:rsidRPr="00C614EC">
        <w:rPr>
          <w:rStyle w:val="resultbody"/>
          <w:rFonts w:asciiTheme="minorHAnsi" w:hAnsiTheme="minorHAnsi"/>
        </w:rPr>
        <w:t xml:space="preserve">or relates </w:t>
      </w:r>
      <w:r w:rsidRPr="00C614EC">
        <w:rPr>
          <w:rFonts w:asciiTheme="minorHAnsi" w:hAnsiTheme="minorHAnsi"/>
        </w:rPr>
        <w:t xml:space="preserve">to something </w:t>
      </w:r>
      <w:r w:rsidRPr="00C614EC">
        <w:rPr>
          <w:rFonts w:asciiTheme="minorHAnsi" w:hAnsiTheme="minorHAnsi"/>
          <w:noProof/>
        </w:rPr>
        <w:drawing>
          <wp:inline distT="0" distB="0" distL="0" distR="0" wp14:anchorId="0C4B18D7" wp14:editId="38049D96">
            <wp:extent cx="85725" cy="76200"/>
            <wp:effectExtent l="0" t="0" r="9525" b="0"/>
            <wp:docPr id="2" name="Picture 2" descr="Description: Description: 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http://encarta.msn.com/xImages/dictionary/bullet.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C614EC">
        <w:rPr>
          <w:rFonts w:asciiTheme="minorHAnsi" w:hAnsiTheme="minorHAnsi"/>
          <w:noProof/>
        </w:rPr>
        <w:drawing>
          <wp:inline distT="0" distB="0" distL="0" distR="0" wp14:anchorId="241E6726" wp14:editId="3D67E69C">
            <wp:extent cx="85725" cy="85725"/>
            <wp:effectExtent l="0" t="0" r="0" b="0"/>
            <wp:docPr id="1" name="Picture 1" descr="Description: Description: 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ttp://encarta.msn.com/xImages/trans.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C614EC">
        <w:rPr>
          <w:rStyle w:val="resultbodysmallitalic"/>
          <w:rFonts w:asciiTheme="minorHAnsi" w:hAnsiTheme="minorHAnsi"/>
        </w:rPr>
        <w:t>The park changed its policy.</w:t>
      </w:r>
    </w:p>
    <w:p w:rsidR="007C6AC9" w:rsidRPr="00C614EC" w:rsidRDefault="007C6AC9" w:rsidP="007C6AC9"/>
    <w:p w:rsidR="007C6AC9" w:rsidRPr="00743D0B" w:rsidRDefault="007C6AC9" w:rsidP="007C6AC9">
      <w:pPr>
        <w:pStyle w:val="Heading4"/>
        <w:rPr>
          <w:rFonts w:cs="Times New Roman"/>
        </w:rPr>
      </w:pPr>
      <w:r w:rsidRPr="00743D0B">
        <w:rPr>
          <w:rFonts w:cs="Times New Roman"/>
        </w:rPr>
        <w:lastRenderedPageBreak/>
        <w:t xml:space="preserve">The counterplan is </w:t>
      </w:r>
      <w:r w:rsidRPr="00743D0B">
        <w:rPr>
          <w:rFonts w:cs="Times New Roman"/>
          <w:u w:val="single"/>
        </w:rPr>
        <w:t>plan-minus</w:t>
      </w:r>
      <w:r w:rsidRPr="00743D0B">
        <w:rPr>
          <w:rFonts w:cs="Times New Roman"/>
        </w:rPr>
        <w:t xml:space="preserve"> – the private sector maintains </w:t>
      </w:r>
      <w:r w:rsidRPr="00743D0B">
        <w:rPr>
          <w:rFonts w:cs="Times New Roman"/>
          <w:u w:val="single"/>
        </w:rPr>
        <w:t>ownership</w:t>
      </w:r>
      <w:r w:rsidRPr="00743D0B">
        <w:rPr>
          <w:rFonts w:cs="Times New Roman"/>
        </w:rPr>
        <w:t xml:space="preserve"> which severs “its”</w:t>
      </w:r>
    </w:p>
    <w:p w:rsidR="007C6AC9" w:rsidRPr="00743D0B" w:rsidRDefault="007C6AC9" w:rsidP="007C6AC9">
      <w:pPr>
        <w:rPr>
          <w:rFonts w:cs="Times New Roman"/>
        </w:rPr>
      </w:pPr>
      <w:r w:rsidRPr="00743D0B">
        <w:rPr>
          <w:rStyle w:val="StyleStyleBold12pt"/>
          <w:rFonts w:cs="Times New Roman"/>
        </w:rPr>
        <w:t>Harrold 11</w:t>
      </w:r>
      <w:r w:rsidRPr="00743D0B">
        <w:rPr>
          <w:rFonts w:cs="Times New Roman"/>
        </w:rPr>
        <w:t xml:space="preserve"> – Esq., brief to the Supreme Court of Indiana</w:t>
      </w:r>
    </w:p>
    <w:p w:rsidR="007C6AC9" w:rsidRPr="00743D0B" w:rsidRDefault="007C6AC9" w:rsidP="007C6AC9">
      <w:pPr>
        <w:rPr>
          <w:rFonts w:cs="Times New Roman"/>
        </w:rPr>
      </w:pPr>
      <w:r w:rsidRPr="00743D0B">
        <w:rPr>
          <w:rFonts w:cs="Times New Roman"/>
        </w:rPr>
        <w:t>(Dennis, “HAIRE v. PARKER, 2011 IN S. Ct. Briefs LEXIS 350,” Lexis)//BB</w:t>
      </w:r>
    </w:p>
    <w:p w:rsidR="007C6AC9" w:rsidRPr="00743D0B" w:rsidRDefault="007C6AC9" w:rsidP="007C6AC9">
      <w:pPr>
        <w:rPr>
          <w:rFonts w:cs="Times New Roman"/>
        </w:rPr>
      </w:pPr>
      <w:r w:rsidRPr="00743D0B">
        <w:rPr>
          <w:rFonts w:cs="Times New Roman"/>
        </w:rPr>
        <w:t xml:space="preserve">However, simply stating that Haspin Acres is released cannot afford enough protection because - under Indiana's law of agency or various theories of derivative liability - Haspin Acres would nevertheless face significant liability exposure for the negligent acts of its agents and affiliates. Under the doctrine of respondeat superior, a principal is liable for the negligent acts of his agent. See Comer-Marquardt v. A-l Glassworks, LLC, 806 N.E.2d 883, 887 (Ind. Ct. App. 2004). This explains the use of the language: "its officers, trustees, employees and agents, meet [15]  officials, promoters, sponsors, motorcycle riders, mechanics and pit crew." (App. 26) Haspin Acres included this list of possible agents and affiliates to further reduce liability exposure. </w:t>
      </w:r>
      <w:r w:rsidRPr="00743D0B">
        <w:rPr>
          <w:rStyle w:val="StyleBoldUnderline"/>
          <w:rFonts w:cs="Times New Roman"/>
        </w:rPr>
        <w:t xml:space="preserve">This list of categories is </w:t>
      </w:r>
      <w:r w:rsidRPr="00743D0B">
        <w:rPr>
          <w:rStyle w:val="Emphasis"/>
          <w:rFonts w:cs="Times New Roman"/>
        </w:rPr>
        <w:t>controlled</w:t>
      </w:r>
      <w:r w:rsidRPr="00743D0B">
        <w:rPr>
          <w:rStyle w:val="StyleBoldUnderline"/>
          <w:rFonts w:cs="Times New Roman"/>
        </w:rPr>
        <w:t xml:space="preserve"> by the </w:t>
      </w:r>
      <w:r w:rsidRPr="00743D0B">
        <w:rPr>
          <w:rStyle w:val="Emphasis"/>
          <w:rFonts w:cs="Times New Roman"/>
        </w:rPr>
        <w:t>possessive</w:t>
      </w:r>
      <w:r w:rsidRPr="00743D0B">
        <w:rPr>
          <w:rStyle w:val="StyleBoldUnderline"/>
          <w:rFonts w:cs="Times New Roman"/>
        </w:rPr>
        <w:t xml:space="preserve"> "its",</w:t>
      </w:r>
      <w:r w:rsidRPr="00743D0B">
        <w:rPr>
          <w:rFonts w:cs="Times New Roman"/>
        </w:rPr>
        <w:t xml:space="preserve"> referring to Haspin Acres. Thus, </w:t>
      </w:r>
      <w:r w:rsidRPr="00743D0B">
        <w:rPr>
          <w:rStyle w:val="StyleBoldUnderline"/>
          <w:rFonts w:cs="Times New Roman"/>
        </w:rPr>
        <w:t>each category is subject to the same possessive</w:t>
      </w:r>
      <w:r w:rsidRPr="00743D0B">
        <w:rPr>
          <w:rFonts w:cs="Times New Roman"/>
        </w:rPr>
        <w:t xml:space="preserve">. Therefore, the entities released are Haspin Acres and "its officers", "its .. . trustees", "its .. . employees and agents", "its .. . riders", etc. (App. 26) </w:t>
      </w:r>
      <w:r w:rsidRPr="00743D0B">
        <w:rPr>
          <w:rStyle w:val="StyleBoldUnderline"/>
          <w:rFonts w:cs="Times New Roman"/>
        </w:rPr>
        <w:t>The effect of the possessive "its" controls the entire list</w:t>
      </w:r>
      <w:r w:rsidRPr="00743D0B">
        <w:rPr>
          <w:rFonts w:cs="Times New Roman"/>
        </w:rPr>
        <w:t>, including "riders". The express provision states "its . . . riders," not all riders.</w:t>
      </w:r>
    </w:p>
    <w:p w:rsidR="0017246A" w:rsidRDefault="0017246A" w:rsidP="0017246A">
      <w:pPr>
        <w:pStyle w:val="Heading3"/>
      </w:pPr>
      <w:r>
        <w:lastRenderedPageBreak/>
        <w:t>Competition Cards</w:t>
      </w:r>
    </w:p>
    <w:p w:rsidR="0017246A" w:rsidRPr="00656EBC" w:rsidRDefault="0017246A" w:rsidP="0017246A">
      <w:pPr>
        <w:pStyle w:val="Heading4"/>
        <w:rPr>
          <w:rFonts w:cs="Times New Roman"/>
          <w:sz w:val="28"/>
        </w:rPr>
      </w:pPr>
      <w:r w:rsidRPr="00656EBC">
        <w:rPr>
          <w:rFonts w:cs="Times New Roman"/>
          <w:sz w:val="28"/>
        </w:rPr>
        <w:t>Tax incentives encourage private development</w:t>
      </w:r>
    </w:p>
    <w:p w:rsidR="0017246A" w:rsidRPr="00656EBC" w:rsidRDefault="0017246A" w:rsidP="0017246A">
      <w:pPr>
        <w:rPr>
          <w:rFonts w:cs="Times New Roman"/>
          <w:sz w:val="14"/>
        </w:rPr>
      </w:pPr>
      <w:r w:rsidRPr="00656EBC">
        <w:rPr>
          <w:rStyle w:val="StyleStyleBold12pt"/>
          <w:rFonts w:cs="Times New Roman"/>
          <w:sz w:val="28"/>
        </w:rPr>
        <w:t>Eyler 13</w:t>
      </w:r>
      <w:r w:rsidRPr="00656EBC">
        <w:rPr>
          <w:rFonts w:cs="Times New Roman"/>
          <w:sz w:val="14"/>
        </w:rPr>
        <w:t xml:space="preserve"> [Deborah Eyler, Judge in the Court of Special Appeals of Maryland, “Edgewood Mgmt. Corp. v. Jackson,” 212 Md. App. 177, Lexis]</w:t>
      </w:r>
    </w:p>
    <w:p w:rsidR="0017246A" w:rsidRPr="00656EBC" w:rsidRDefault="0017246A" w:rsidP="0017246A">
      <w:pPr>
        <w:rPr>
          <w:rFonts w:cs="Times New Roman"/>
          <w:sz w:val="14"/>
        </w:rPr>
      </w:pPr>
      <w:r w:rsidRPr="00656EBC">
        <w:rPr>
          <w:rFonts w:cs="Times New Roman"/>
          <w:sz w:val="14"/>
        </w:rPr>
        <w:t xml:space="preserve">In 2007, Triton began the process of transitioning Glenview from a Section 236 property to a Low Income Housing Tax Credit ("LIHTC") property. LIHTC is </w:t>
      </w:r>
      <w:r w:rsidRPr="001C031A">
        <w:rPr>
          <w:rStyle w:val="StyleBoldUnderline"/>
        </w:rPr>
        <w:t>a federal tax-incentive program</w:t>
      </w:r>
      <w:r w:rsidRPr="00656EBC">
        <w:rPr>
          <w:rStyle w:val="IntenseEmphasis"/>
          <w:rFonts w:cs="Times New Roman"/>
        </w:rPr>
        <w:t xml:space="preserve"> </w:t>
      </w:r>
      <w:r w:rsidRPr="001C031A">
        <w:rPr>
          <w:rStyle w:val="StyleBoldUnderline"/>
        </w:rPr>
        <w:t>designed to encourage private development</w:t>
      </w:r>
      <w:r w:rsidRPr="00656EBC">
        <w:rPr>
          <w:rFonts w:cs="Times New Roman"/>
          <w:sz w:val="14"/>
        </w:rPr>
        <w:t xml:space="preserve"> of low income properties. See Carter v. Maryland Mgmt. Co., 377 Md. 596, 603, 835 A.2d 158 (2003). Under this program, a property owner will receive a tax credit if a certain minimum number of residential units in the property are rent-restricted and occupied by people whose incomes do not exceed "sixty percent of the area median income," as determined by HUD. The property owner then can sell the tax credit to investors to raise capital for improvements to the property.</w:t>
      </w:r>
    </w:p>
    <w:p w:rsidR="0017246A" w:rsidRPr="00656EBC" w:rsidRDefault="0017246A" w:rsidP="0017246A">
      <w:pPr>
        <w:pStyle w:val="Heading4"/>
        <w:rPr>
          <w:rFonts w:cs="Times New Roman"/>
          <w:sz w:val="28"/>
        </w:rPr>
      </w:pPr>
      <w:r>
        <w:rPr>
          <w:rFonts w:cs="Times New Roman"/>
          <w:sz w:val="28"/>
        </w:rPr>
        <w:t>The private sector</w:t>
      </w:r>
      <w:r w:rsidRPr="00656EBC">
        <w:rPr>
          <w:rFonts w:cs="Times New Roman"/>
          <w:sz w:val="28"/>
        </w:rPr>
        <w:t xml:space="preserve"> would </w:t>
      </w:r>
      <w:r w:rsidRPr="00656EBC">
        <w:rPr>
          <w:rFonts w:cs="Times New Roman"/>
          <w:sz w:val="28"/>
          <w:u w:val="single"/>
        </w:rPr>
        <w:t>possess</w:t>
      </w:r>
      <w:r w:rsidRPr="00656EBC">
        <w:rPr>
          <w:rFonts w:cs="Times New Roman"/>
          <w:sz w:val="28"/>
        </w:rPr>
        <w:t xml:space="preserve"> and </w:t>
      </w:r>
      <w:r w:rsidRPr="00656EBC">
        <w:rPr>
          <w:rFonts w:cs="Times New Roman"/>
          <w:sz w:val="28"/>
          <w:u w:val="single"/>
        </w:rPr>
        <w:t>maintain</w:t>
      </w:r>
      <w:r w:rsidRPr="00656EBC">
        <w:rPr>
          <w:rFonts w:cs="Times New Roman"/>
          <w:sz w:val="28"/>
        </w:rPr>
        <w:t xml:space="preserve"> the development projects – that violates the core meaning of “its”</w:t>
      </w:r>
    </w:p>
    <w:p w:rsidR="0017246A" w:rsidRPr="00656EBC" w:rsidRDefault="0017246A" w:rsidP="0017246A">
      <w:pPr>
        <w:rPr>
          <w:rFonts w:cs="Times New Roman"/>
          <w:b/>
          <w:bCs/>
          <w:sz w:val="28"/>
        </w:rPr>
      </w:pPr>
      <w:r w:rsidRPr="00656EBC">
        <w:rPr>
          <w:rStyle w:val="StyleStyleBold12pt"/>
          <w:rFonts w:cs="Times New Roman"/>
          <w:sz w:val="28"/>
        </w:rPr>
        <w:t>Appelate Court of Illinois 80</w:t>
      </w:r>
      <w:r>
        <w:rPr>
          <w:rStyle w:val="StyleStyleBold12pt"/>
          <w:rFonts w:cs="Times New Roman"/>
          <w:sz w:val="28"/>
        </w:rPr>
        <w:t xml:space="preserve"> </w:t>
      </w:r>
      <w:r w:rsidRPr="00656EBC">
        <w:t>[</w:t>
      </w:r>
      <w:r w:rsidRPr="00656EBC">
        <w:rPr>
          <w:rFonts w:cs="Times New Roman"/>
        </w:rPr>
        <w:t>“Hulett v. Central Illinois Light Co.,”</w:t>
      </w:r>
      <w:r>
        <w:rPr>
          <w:rFonts w:cs="Times New Roman"/>
        </w:rPr>
        <w:t xml:space="preserve"> 83 Ill. App. 3d 195, Lexis]</w:t>
      </w:r>
    </w:p>
    <w:p w:rsidR="0017246A" w:rsidRDefault="0017246A" w:rsidP="0017246A">
      <w:pPr>
        <w:rPr>
          <w:rFonts w:cs="Times New Roman"/>
          <w:sz w:val="14"/>
        </w:rPr>
      </w:pPr>
      <w:r w:rsidRPr="00656EBC">
        <w:rPr>
          <w:rFonts w:cs="Times New Roman"/>
          <w:sz w:val="14"/>
        </w:rPr>
        <w:t xml:space="preserve">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 "9. General Maintenance Requirements. </w:t>
      </w:r>
      <w:r w:rsidRPr="00656EBC">
        <w:rPr>
          <w:rStyle w:val="IntenseEmphasis"/>
          <w:rFonts w:cs="Times New Roman"/>
        </w:rPr>
        <w:t>Each public utility</w:t>
      </w:r>
      <w:r w:rsidRPr="00656EBC">
        <w:rPr>
          <w:rFonts w:cs="Times New Roman"/>
          <w:sz w:val="14"/>
        </w:rPr>
        <w:t xml:space="preserve"> operating a system of power or communication lines </w:t>
      </w:r>
      <w:r w:rsidRPr="00656EBC">
        <w:rPr>
          <w:rStyle w:val="IntenseEmphasis"/>
          <w:rFonts w:cs="Times New Roman"/>
        </w:rPr>
        <w:t xml:space="preserve">shall maintain </w:t>
      </w:r>
      <w:r w:rsidRPr="00656EBC">
        <w:rPr>
          <w:rStyle w:val="IntenseEmphasis"/>
          <w:rFonts w:cs="Times New Roman"/>
          <w:i/>
        </w:rPr>
        <w:t>its</w:t>
      </w:r>
      <w:r w:rsidRPr="00656EBC">
        <w:rPr>
          <w:rStyle w:val="IntenseEmphasis"/>
          <w:rFonts w:cs="Times New Roman"/>
        </w:rPr>
        <w:t xml:space="preserve"> [italics in original] system</w:t>
      </w:r>
      <w:r w:rsidRPr="00656EBC">
        <w:rPr>
          <w:rFonts w:cs="Times New Roman"/>
          <w:sz w:val="14"/>
        </w:rPr>
        <w:t xml:space="preserve"> of lines in such condition as will enable it to furnish safe, adequate and dependable service. 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 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counteraffidavit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meaning and effect of General Order 160. We have set forth the pertinent provisions of the order and </w:t>
      </w:r>
      <w:r w:rsidRPr="00656EBC">
        <w:rPr>
          <w:rStyle w:val="IntenseEmphasis"/>
          <w:rFonts w:cs="Times New Roman"/>
        </w:rPr>
        <w:t xml:space="preserve">attention should be directed to the word </w:t>
      </w:r>
      <w:r w:rsidRPr="00656EBC">
        <w:rPr>
          <w:rStyle w:val="Emphasis"/>
        </w:rPr>
        <w:t>its</w:t>
      </w:r>
      <w:r w:rsidRPr="00656EBC">
        <w:rPr>
          <w:rStyle w:val="IntenseEmphasis"/>
          <w:rFonts w:cs="Times New Roman"/>
        </w:rPr>
        <w:t xml:space="preserve"> located in the first paragraph and which we have emphasized. The word its as used is a pronoun and is being used in its </w:t>
      </w:r>
      <w:r w:rsidRPr="00656EBC">
        <w:rPr>
          <w:rStyle w:val="Emphasis"/>
        </w:rPr>
        <w:t>possessive</w:t>
      </w:r>
      <w:r w:rsidRPr="00656EBC">
        <w:rPr>
          <w:rStyle w:val="IntenseEmphasis"/>
          <w:rFonts w:cs="Times New Roman"/>
        </w:rPr>
        <w:t xml:space="preserve"> form. By the use of the word it is clear that each public utility</w:t>
      </w:r>
      <w:r w:rsidRPr="00656EBC">
        <w:rPr>
          <w:rFonts w:cs="Times New Roman"/>
          <w:sz w:val="14"/>
        </w:rPr>
        <w:t xml:space="preserve"> system </w:t>
      </w:r>
      <w:r w:rsidRPr="00656EBC">
        <w:rPr>
          <w:rStyle w:val="IntenseEmphasis"/>
          <w:rFonts w:cs="Times New Roman"/>
        </w:rPr>
        <w:t>shall</w:t>
      </w:r>
      <w:r w:rsidRPr="00656EBC">
        <w:rPr>
          <w:rFonts w:cs="Times New Roman"/>
          <w:sz w:val="14"/>
        </w:rPr>
        <w:t xml:space="preserve"> </w:t>
      </w:r>
      <w:r w:rsidRPr="00656EBC">
        <w:rPr>
          <w:rStyle w:val="Emphasis"/>
          <w:rFonts w:cs="Times New Roman"/>
        </w:rPr>
        <w:t>maintain</w:t>
      </w:r>
      <w:r w:rsidRPr="00656EBC">
        <w:rPr>
          <w:rFonts w:cs="Times New Roman"/>
          <w:sz w:val="14"/>
        </w:rPr>
        <w:t xml:space="preserve"> the power </w:t>
      </w:r>
      <w:r w:rsidRPr="00656EBC">
        <w:rPr>
          <w:rStyle w:val="IntenseEmphasis"/>
          <w:rFonts w:cs="Times New Roman"/>
        </w:rPr>
        <w:t xml:space="preserve">lines which it </w:t>
      </w:r>
      <w:r w:rsidRPr="00656EBC">
        <w:rPr>
          <w:rStyle w:val="Emphasis"/>
          <w:rFonts w:cs="Times New Roman"/>
        </w:rPr>
        <w:t>owns</w:t>
      </w:r>
      <w:r w:rsidRPr="00656EBC">
        <w:rPr>
          <w:rFonts w:cs="Times New Roman"/>
          <w:sz w:val="14"/>
        </w:rPr>
        <w:t xml:space="preserve">. </w:t>
      </w:r>
    </w:p>
    <w:p w:rsidR="0017246A" w:rsidRDefault="0017246A" w:rsidP="0017246A">
      <w:pPr>
        <w:rPr>
          <w:rFonts w:cs="Times New Roman"/>
          <w:sz w:val="14"/>
        </w:rPr>
      </w:pPr>
    </w:p>
    <w:p w:rsidR="0017246A" w:rsidRDefault="0017246A" w:rsidP="0017246A">
      <w:pPr>
        <w:pStyle w:val="Heading4"/>
      </w:pPr>
      <w:r>
        <w:t>Federal investment is distinct from its private sector incentives – different mechanisms</w:t>
      </w:r>
    </w:p>
    <w:p w:rsidR="0017246A" w:rsidRPr="00BD0198" w:rsidRDefault="0017246A" w:rsidP="0017246A">
      <w:pPr>
        <w:rPr>
          <w:sz w:val="16"/>
          <w:szCs w:val="16"/>
        </w:rPr>
      </w:pPr>
      <w:r w:rsidRPr="00BD0198">
        <w:rPr>
          <w:rStyle w:val="StyleStyleBold12pt"/>
        </w:rPr>
        <w:t>CBO 13</w:t>
      </w:r>
      <w:r w:rsidRPr="00BD0198">
        <w:rPr>
          <w:sz w:val="16"/>
          <w:szCs w:val="16"/>
        </w:rPr>
        <w:t xml:space="preserve"> (Congressional Budget Office, “Federal Investment”, 12/18/13, http://www.cbo.gov/publication/44974)</w:t>
      </w:r>
    </w:p>
    <w:p w:rsidR="0017246A" w:rsidRPr="00BD0198" w:rsidRDefault="0017246A" w:rsidP="0017246A">
      <w:pPr>
        <w:rPr>
          <w:sz w:val="16"/>
          <w:szCs w:val="16"/>
        </w:rPr>
      </w:pPr>
      <w:r w:rsidRPr="00BD0198">
        <w:rPr>
          <w:rStyle w:val="StyleBoldUnderline"/>
        </w:rPr>
        <w:t>The federal government pays for a wide range of goods and services that are expected to be useful some years in the future. Those purchases, called investment, fall into three categories: physical capital, research and development (R&amp;D), and education and training</w:t>
      </w:r>
      <w:r w:rsidRPr="00BD0198">
        <w:rPr>
          <w:sz w:val="16"/>
          <w:szCs w:val="16"/>
        </w:rPr>
        <w:t xml:space="preserve">. There are several economic rationales for federal investment. It can provide public goods that the private sector and state and local governments would not provide efficiently, such as national defense and basic scientific research. It can promote long-term economic growth—as education spending does by developing a skilled workforce, as R&amp;D spending does by prompting innovation, or as infrastructure spending does by facilitating commerce. And it can support the work of the federal government by, for instance, providing the structures and equipment necessary to perform federal activities. In 2012, the federal government spent $531 billion on investment, representing 15 percent of federal spending and 3 percent of gross domestic product (GDP). As discussed in this publication (shown below), those shares have remained roughly stable over the past 20 years, though investment by the federal government approached 4 percent of GDP in 2010 and 2011 after the American Recovery and Reinvestment Act of 2009 (ARRA, Public Law 111-5) temporarily expanded funding for a number of investment programs. Earlier, in the 1960s, federal investment represented more than 30 percent of federal spending and averaged nearly 6 percent of GDP. </w:t>
      </w:r>
      <w:r w:rsidRPr="00BD0198">
        <w:rPr>
          <w:rStyle w:val="StyleBoldUnderline"/>
        </w:rPr>
        <w:t>Nearly all federal investment takes place through discretionary spending, which is controlled by annual appropriation acts</w:t>
      </w:r>
      <w:r w:rsidRPr="00BD0198">
        <w:rPr>
          <w:sz w:val="16"/>
          <w:szCs w:val="16"/>
        </w:rPr>
        <w:t xml:space="preserve">. Federal investment </w:t>
      </w:r>
      <w:r w:rsidRPr="00BD0198">
        <w:rPr>
          <w:sz w:val="16"/>
          <w:szCs w:val="16"/>
        </w:rPr>
        <w:lastRenderedPageBreak/>
        <w:t xml:space="preserve">has gradually declined as a proportion of discretionary spending, from roughly 50 percent in the 1960s to about 40 percent today, and discretionary spending as a whole has fallen as a share of total federal spending since the 1960s. Caps on appropriations put in place by the Budget Control Act of 2011 will decrease future discretionary spending through 2021 relative to what it would have been if annual appropriations had grown at the rate of inflation after 2011. Sixty percent of total federal investment in 2012—or $318 billion, which represented 2 percent of GDP—was for purposes other than national defense. Of that nondefense investment, 40 percent provided funding for physical capital, another 40 percent for education and training, and 20 percent for R&amp;D. (Some of the nondefense investment was the result of ARRA’s funding increases for such activities as highway construction and elementary and secondary education, though the resulting spending had started to abate by 2012.) Defense activities accounted for the remaining 40 percent of federal investment and totaled $213 billion, which represented a little over 1 percent of GDP. About two-thirds of federal investment for defense purposes was devoted to physical capital and the rest to R&amp;D. </w:t>
      </w:r>
      <w:r w:rsidRPr="00BD0198">
        <w:rPr>
          <w:rStyle w:val="StyleBoldUnderline"/>
        </w:rPr>
        <w:t>How Does the Federal Government Support Investment? The federal government supports public and private investment through several different mechanisms</w:t>
      </w:r>
      <w:r w:rsidRPr="00BD0198">
        <w:rPr>
          <w:sz w:val="16"/>
          <w:szCs w:val="16"/>
        </w:rPr>
        <w:t xml:space="preserve">. In many cases, it makes the investment directly, such as when the Army Corps of Engineers constructs a dam or when a federal agency purchases computer equipment from the private sector. </w:t>
      </w:r>
      <w:r w:rsidRPr="00BD0198">
        <w:rPr>
          <w:rStyle w:val="StyleBoldUnderline"/>
        </w:rPr>
        <w:t>In other cases, the federal government makes grants to individuals or private-sector organizations, which then use the funds to make investments</w:t>
      </w:r>
      <w:r w:rsidRPr="00BD0198">
        <w:rPr>
          <w:sz w:val="16"/>
          <w:szCs w:val="16"/>
        </w:rPr>
        <w:t>. Examples include the Federal Pell Grant Program for postsecondary education and the National Science Foundation’s research grants.</w:t>
      </w:r>
    </w:p>
    <w:p w:rsidR="0017246A" w:rsidRDefault="0017246A" w:rsidP="0017246A">
      <w:pPr>
        <w:pStyle w:val="Heading4"/>
      </w:pPr>
      <w:r>
        <w:t>Tax incentives lead to private development</w:t>
      </w:r>
    </w:p>
    <w:p w:rsidR="0017246A" w:rsidRPr="00BD0198" w:rsidRDefault="0017246A" w:rsidP="0017246A">
      <w:pPr>
        <w:rPr>
          <w:sz w:val="16"/>
          <w:szCs w:val="16"/>
        </w:rPr>
      </w:pPr>
      <w:r w:rsidRPr="00BD0198">
        <w:rPr>
          <w:rStyle w:val="StyleStyleBold12pt"/>
        </w:rPr>
        <w:t>TPC 09</w:t>
      </w:r>
      <w:r w:rsidRPr="00BD0198">
        <w:rPr>
          <w:sz w:val="16"/>
          <w:szCs w:val="16"/>
        </w:rPr>
        <w:t xml:space="preserve"> (Tax Policy Center, “Tax Incentives for Economic Development: What are tax incentives for economic development?”, Urban Institute and Brookings Institution, 4/17/09, http://www.taxpolicycenter.org/briefing-book/key-elements/economic-development/what-is.cfm)</w:t>
      </w:r>
    </w:p>
    <w:p w:rsidR="0017246A" w:rsidRDefault="0017246A" w:rsidP="0017246A">
      <w:pPr>
        <w:rPr>
          <w:sz w:val="16"/>
          <w:szCs w:val="16"/>
        </w:rPr>
      </w:pPr>
      <w:r w:rsidRPr="00BD0198">
        <w:rPr>
          <w:rStyle w:val="StyleBoldUnderline"/>
        </w:rPr>
        <w:t>The Federal Government has often used the tax system to partner with the private sector for economic development initiatives. A variety of tax</w:t>
      </w:r>
      <w:r w:rsidRPr="00BD0198">
        <w:rPr>
          <w:sz w:val="16"/>
          <w:szCs w:val="16"/>
        </w:rPr>
        <w:t xml:space="preserve"> </w:t>
      </w:r>
      <w:r w:rsidRPr="00BD0198">
        <w:rPr>
          <w:rStyle w:val="StyleBoldUnderline"/>
        </w:rPr>
        <w:t>expenditures aim to lure or keep companies and sectors within the United States</w:t>
      </w:r>
      <w:r w:rsidRPr="00BD0198">
        <w:rPr>
          <w:sz w:val="16"/>
          <w:szCs w:val="16"/>
        </w:rPr>
        <w:t>. In addition, a more coherent set of incentives supports private investments in specific communities. Traditionally, these tax incentives have been tied to low-income communities, with few restrictions on the type of business claiming them. Often, they subsidize property development in targeted areas or the employment of those living there.</w:t>
      </w:r>
    </w:p>
    <w:p w:rsidR="0017246A" w:rsidRDefault="0017246A" w:rsidP="0017246A">
      <w:pPr>
        <w:pStyle w:val="Heading4"/>
      </w:pPr>
      <w:r>
        <w:t>Government incentives create private development – they’re distinct</w:t>
      </w:r>
    </w:p>
    <w:p w:rsidR="0017246A" w:rsidRPr="00BD0198" w:rsidRDefault="0017246A" w:rsidP="0017246A">
      <w:pPr>
        <w:rPr>
          <w:sz w:val="16"/>
          <w:szCs w:val="16"/>
        </w:rPr>
      </w:pPr>
      <w:r w:rsidRPr="00BD0198">
        <w:rPr>
          <w:rStyle w:val="StyleStyleBold12pt"/>
        </w:rPr>
        <w:t>James 10</w:t>
      </w:r>
      <w:r w:rsidRPr="00BD0198">
        <w:rPr>
          <w:sz w:val="16"/>
          <w:szCs w:val="16"/>
        </w:rPr>
        <w:t xml:space="preserve"> (Sebastian, “Incentives and Investments: Evidence and Policy Implications”, January 2010, World Bank Group, https://www.wbginvestmentclimate.org/advisory-services/investment-generation/investment-policy-and-promotion/upload/Incentives-and-Investments-Evidence-and-Policy-Implications.pdf)</w:t>
      </w:r>
    </w:p>
    <w:p w:rsidR="0017246A" w:rsidRPr="00CC2F05" w:rsidRDefault="0017246A" w:rsidP="0017246A">
      <w:r w:rsidRPr="00CC2F05">
        <w:t xml:space="preserve">This paper analyzes how </w:t>
      </w:r>
      <w:r w:rsidRPr="00CC2F05">
        <w:rPr>
          <w:rStyle w:val="StyleBoldUnderline"/>
        </w:rPr>
        <w:t>government incentives can be used to foster private investment,</w:t>
      </w:r>
      <w:r w:rsidRPr="00CC2F05">
        <w:t xml:space="preserve"> particularly in developing countries. What makes such incentives effective? How much should they cost? And how are they linked to policymaking and political economy? The assessment draws on existing literature as well as several case studies and surveys c</w:t>
      </w:r>
      <w:r>
        <w:t xml:space="preserve">onducted for this paper. </w:t>
      </w:r>
    </w:p>
    <w:p w:rsidR="0017246A" w:rsidRDefault="0017246A" w:rsidP="0017246A">
      <w:pPr>
        <w:pStyle w:val="Heading4"/>
      </w:pPr>
      <w:r>
        <w:t>Businesses claim the tax incentive</w:t>
      </w:r>
    </w:p>
    <w:p w:rsidR="0017246A" w:rsidRPr="00CC2F05" w:rsidRDefault="0017246A" w:rsidP="0017246A">
      <w:pPr>
        <w:shd w:val="clear" w:color="auto" w:fill="FFFFFF"/>
      </w:pPr>
      <w:r w:rsidRPr="00CC2F05">
        <w:rPr>
          <w:rStyle w:val="StyleStyleBold12pt"/>
        </w:rPr>
        <w:t>Duncan et al 09</w:t>
      </w:r>
      <w:r>
        <w:rPr>
          <w:rStyle w:val="apple-converted-space"/>
          <w:rFonts w:ascii="Arial" w:hAnsi="Arial" w:cs="Arial"/>
          <w:color w:val="222222"/>
          <w:sz w:val="20"/>
          <w:szCs w:val="20"/>
        </w:rPr>
        <w:t> </w:t>
      </w:r>
      <w:r w:rsidRPr="00CC2F05">
        <w:t>(Paul Duncan is a manager at Ernst &amp; Young, Carol Rosenberg and Kim Reuben are directors of the State and Local Finance Initiative, 4/17/09, “Tax Incentives for Economic Development: What are tax incentives for economic development?”, </w:t>
      </w:r>
      <w:r w:rsidR="00DA51D8">
        <w:fldChar w:fldCharType="begin"/>
      </w:r>
      <w:r w:rsidR="00DA51D8">
        <w:instrText xml:space="preserve"> HYPERLINK "http://www.taxpolicycenter.org/briefing-book/key-elements/economic-development/what-is.cfm" \t "_blank</w:instrText>
      </w:r>
      <w:r w:rsidR="00DA51D8">
        <w:instrText xml:space="preserve">" </w:instrText>
      </w:r>
      <w:r w:rsidR="00DA51D8">
        <w:fldChar w:fldCharType="separate"/>
      </w:r>
      <w:r w:rsidRPr="00CC2F05">
        <w:rPr>
          <w:rStyle w:val="Hyperlink"/>
        </w:rPr>
        <w:t>http://www.taxpolicycenter.org/briefing-book/key-elements/economic-development/what-is.cfm</w:t>
      </w:r>
      <w:r w:rsidR="00DA51D8">
        <w:rPr>
          <w:rStyle w:val="Hyperlink"/>
        </w:rPr>
        <w:fldChar w:fldCharType="end"/>
      </w:r>
      <w:r w:rsidRPr="00CC2F05">
        <w:t> )</w:t>
      </w:r>
    </w:p>
    <w:p w:rsidR="0017246A" w:rsidRDefault="0017246A" w:rsidP="0017246A">
      <w:pPr>
        <w:rPr>
          <w:sz w:val="20"/>
          <w:szCs w:val="20"/>
        </w:rPr>
      </w:pPr>
      <w:r w:rsidRPr="00CC2F05">
        <w:rPr>
          <w:rStyle w:val="StyleBoldUnderline"/>
        </w:rPr>
        <w:t>The Federal Government has often used the tax system to partner with the private sector for economic development initiatives</w:t>
      </w:r>
      <w:r>
        <w:rPr>
          <w:sz w:val="14"/>
          <w:szCs w:val="14"/>
        </w:rPr>
        <w:t>. A variety of tax expenditures aim to lure or keep companies and sectors within the United States. In addition</w:t>
      </w:r>
      <w:r>
        <w:rPr>
          <w:sz w:val="20"/>
          <w:szCs w:val="20"/>
        </w:rPr>
        <w:t xml:space="preserve">, </w:t>
      </w:r>
      <w:r w:rsidRPr="00CC2F05">
        <w:rPr>
          <w:rStyle w:val="StyleBoldUnderline"/>
        </w:rPr>
        <w:t>a more coherent set of incentives supports private investments in specific communitie</w:t>
      </w:r>
      <w:r>
        <w:rPr>
          <w:sz w:val="20"/>
          <w:szCs w:val="20"/>
        </w:rPr>
        <w:t>s.</w:t>
      </w:r>
      <w:r>
        <w:rPr>
          <w:rStyle w:val="apple-converted-space"/>
          <w:rFonts w:ascii="Arial" w:hAnsi="Arial" w:cs="Arial"/>
          <w:color w:val="222222"/>
          <w:sz w:val="20"/>
          <w:szCs w:val="20"/>
        </w:rPr>
        <w:t> </w:t>
      </w:r>
      <w:r>
        <w:rPr>
          <w:sz w:val="14"/>
          <w:szCs w:val="14"/>
        </w:rPr>
        <w:t>Traditionally</w:t>
      </w:r>
      <w:r>
        <w:rPr>
          <w:sz w:val="20"/>
          <w:szCs w:val="20"/>
        </w:rPr>
        <w:t xml:space="preserve">, </w:t>
      </w:r>
      <w:r w:rsidRPr="00CC2F05">
        <w:rPr>
          <w:rStyle w:val="StyleBoldUnderline"/>
        </w:rPr>
        <w:t>these tax incentives have</w:t>
      </w:r>
      <w:r>
        <w:rPr>
          <w:rStyle w:val="apple-converted-space"/>
          <w:rFonts w:ascii="Arial" w:hAnsi="Arial" w:cs="Arial"/>
          <w:color w:val="222222"/>
          <w:sz w:val="20"/>
          <w:szCs w:val="20"/>
        </w:rPr>
        <w:t> </w:t>
      </w:r>
      <w:r>
        <w:rPr>
          <w:sz w:val="14"/>
          <w:szCs w:val="14"/>
        </w:rPr>
        <w:t>been tied to low-income communities,</w:t>
      </w:r>
      <w:r>
        <w:rPr>
          <w:rStyle w:val="apple-converted-space"/>
          <w:rFonts w:ascii="Arial" w:hAnsi="Arial" w:cs="Arial"/>
          <w:color w:val="222222"/>
          <w:sz w:val="20"/>
          <w:szCs w:val="20"/>
        </w:rPr>
        <w:t> </w:t>
      </w:r>
      <w:r>
        <w:rPr>
          <w:sz w:val="14"/>
          <w:szCs w:val="14"/>
        </w:rPr>
        <w:t>with few restrictions on the type of</w:t>
      </w:r>
      <w:r>
        <w:rPr>
          <w:rStyle w:val="apple-converted-space"/>
          <w:rFonts w:ascii="Arial" w:hAnsi="Arial" w:cs="Arial"/>
          <w:color w:val="222222"/>
          <w:sz w:val="20"/>
          <w:szCs w:val="20"/>
        </w:rPr>
        <w:t> </w:t>
      </w:r>
      <w:r w:rsidRPr="00CC2F05">
        <w:rPr>
          <w:rStyle w:val="StyleBoldUnderline"/>
        </w:rPr>
        <w:t>business claiming them</w:t>
      </w:r>
      <w:r>
        <w:rPr>
          <w:sz w:val="20"/>
          <w:szCs w:val="20"/>
        </w:rPr>
        <w:t>.</w:t>
      </w:r>
      <w:r>
        <w:rPr>
          <w:rStyle w:val="apple-converted-space"/>
          <w:rFonts w:ascii="Arial" w:hAnsi="Arial" w:cs="Arial"/>
          <w:color w:val="222222"/>
          <w:sz w:val="20"/>
          <w:szCs w:val="20"/>
        </w:rPr>
        <w:t> </w:t>
      </w:r>
      <w:r>
        <w:rPr>
          <w:sz w:val="14"/>
          <w:szCs w:val="14"/>
        </w:rPr>
        <w:t>Often, they subsidize property development in targeted areas or the employment of those living there.</w:t>
      </w:r>
    </w:p>
    <w:p w:rsidR="0017246A" w:rsidRDefault="0017246A" w:rsidP="0017246A">
      <w:pPr>
        <w:pStyle w:val="Heading4"/>
      </w:pPr>
      <w:r>
        <w:t>Federal and private investment are distinct – federal R&amp;D is direct and private is through tax preferencing</w:t>
      </w:r>
    </w:p>
    <w:p w:rsidR="0017246A" w:rsidRPr="000C7E56" w:rsidRDefault="0017246A" w:rsidP="0017246A">
      <w:pPr>
        <w:rPr>
          <w:sz w:val="16"/>
          <w:szCs w:val="16"/>
        </w:rPr>
      </w:pPr>
      <w:r w:rsidRPr="000C7E56">
        <w:rPr>
          <w:rStyle w:val="StyleStyleBold12pt"/>
        </w:rPr>
        <w:t>CBO 07</w:t>
      </w:r>
      <w:r w:rsidRPr="000C7E56">
        <w:rPr>
          <w:sz w:val="16"/>
          <w:szCs w:val="16"/>
        </w:rPr>
        <w:t xml:space="preserve"> (Congressional Budget Office, “Federal Support for Research and Development”, June 2007, http://www.cbo.gov/sites/default/files/cbofiles/ftpdocs/82xx/doc8221/06-18-research.pdf)</w:t>
      </w:r>
    </w:p>
    <w:p w:rsidR="0017246A" w:rsidRPr="000C7E56" w:rsidRDefault="0017246A" w:rsidP="0017246A">
      <w:pPr>
        <w:rPr>
          <w:sz w:val="16"/>
          <w:szCs w:val="16"/>
        </w:rPr>
      </w:pPr>
      <w:r w:rsidRPr="000C7E56">
        <w:rPr>
          <w:rStyle w:val="StyleBoldUnderline"/>
        </w:rPr>
        <w:t>For fiscal year 2007, lawmakers have provided about $137 billion in budget authority to support federal research and development (RSCD) activities. In</w:t>
      </w:r>
      <w:r w:rsidRPr="000C7E56">
        <w:rPr>
          <w:sz w:val="16"/>
          <w:szCs w:val="16"/>
        </w:rPr>
        <w:t xml:space="preserve"> </w:t>
      </w:r>
      <w:r w:rsidRPr="000C7E56">
        <w:rPr>
          <w:rStyle w:val="StyleBoldUnderline"/>
        </w:rPr>
        <w:t xml:space="preserve">addition, tax preferences are in place to </w:t>
      </w:r>
      <w:r w:rsidRPr="000C7E56">
        <w:rPr>
          <w:rStyle w:val="StyleBoldUnderline"/>
        </w:rPr>
        <w:lastRenderedPageBreak/>
        <w:t>encourage the pr</w:t>
      </w:r>
      <w:r>
        <w:rPr>
          <w:rStyle w:val="StyleBoldUnderline"/>
        </w:rPr>
        <w:t>ivate sector to increase its R&amp;</w:t>
      </w:r>
      <w:r w:rsidRPr="000C7E56">
        <w:rPr>
          <w:rStyle w:val="StyleBoldUnderline"/>
        </w:rPr>
        <w:t>D spending</w:t>
      </w:r>
      <w:r w:rsidRPr="000C7E56">
        <w:rPr>
          <w:sz w:val="16"/>
          <w:szCs w:val="16"/>
        </w:rPr>
        <w:t>. (Under one such prefer- ence, the research and experimentation tax credit, firms in 2004 claimed $5.6 billion.) This Congressional Budget Office (CBO) study, prepared at the request of the Ranking Member of the Senate Committee on the Budget, examines recent trends in federal support for research and development and the current state of knowledge about the economic effects of that sup- port. In keeping with CBO's mandate to provide objective, impartial analysis, the report con- tains no recommendations.</w:t>
      </w:r>
    </w:p>
    <w:p w:rsidR="0017246A" w:rsidRPr="00BD0198" w:rsidRDefault="0017246A" w:rsidP="0017246A">
      <w:pPr>
        <w:rPr>
          <w:sz w:val="16"/>
          <w:szCs w:val="16"/>
        </w:rPr>
      </w:pPr>
    </w:p>
    <w:p w:rsidR="0017246A" w:rsidRPr="000B3F5F" w:rsidRDefault="0017246A" w:rsidP="0017246A">
      <w:pPr>
        <w:pStyle w:val="Heading4"/>
      </w:pPr>
      <w:r w:rsidRPr="000B3F5F">
        <w:t>Projects done through tax incentives are privately owned</w:t>
      </w:r>
    </w:p>
    <w:p w:rsidR="0017246A" w:rsidRPr="000B3F5F" w:rsidRDefault="0017246A" w:rsidP="0017246A">
      <w:r w:rsidRPr="000B3F5F">
        <w:rPr>
          <w:rStyle w:val="StyleStyleBold12pt"/>
        </w:rPr>
        <w:t>Hoffman and Lowder 10</w:t>
      </w:r>
      <w:r w:rsidRPr="000B3F5F">
        <w:t xml:space="preserve"> (R. Thomas Hoffmann is a partner at the Washington, D.C., office of national law firm Ballard Spahr LLP, Darin M. Lowder is an associate at the Washington, D.C., office of Ballard Spahr, “Public-Private Partnerships¶ For Solar Development:¶ Notes From The Field,” </w:t>
      </w:r>
      <w:hyperlink r:id="rId24" w:history="1">
        <w:r w:rsidRPr="000B3F5F">
          <w:rPr>
            <w:rStyle w:val="Hyperlink"/>
          </w:rPr>
          <w:t>http://www.ballardspahr.com/alertspublications/articles/~/media/Files/Articles/2010-09_PublicPrivatePartnershipsForSolarDev.ashx</w:t>
        </w:r>
      </w:hyperlink>
      <w:r w:rsidRPr="000B3F5F">
        <w:t>, accessed 7/15/14)</w:t>
      </w:r>
    </w:p>
    <w:p w:rsidR="0017246A" w:rsidRDefault="0017246A" w:rsidP="0017246A">
      <w:pPr>
        <w:rPr>
          <w:sz w:val="16"/>
        </w:rPr>
      </w:pPr>
      <w:r w:rsidRPr="003A4689">
        <w:rPr>
          <w:rStyle w:val="StyleBoldUnderline"/>
        </w:rPr>
        <w:t xml:space="preserve">The </w:t>
      </w:r>
      <w:r w:rsidRPr="003A4689">
        <w:rPr>
          <w:sz w:val="16"/>
        </w:rPr>
        <w:t>financing</w:t>
      </w:r>
      <w:r w:rsidRPr="003A4689">
        <w:rPr>
          <w:rStyle w:val="StyleBoldUnderline"/>
        </w:rPr>
        <w:t xml:space="preserve"> study, </w:t>
      </w:r>
      <w:r w:rsidRPr="003A4689">
        <w:rPr>
          <w:sz w:val="16"/>
        </w:rPr>
        <w:t xml:space="preserve">conducted during summer 2008, </w:t>
      </w:r>
      <w:r w:rsidRPr="003A4689">
        <w:rPr>
          <w:rStyle w:val="StyleBoldUnderline"/>
        </w:rPr>
        <w:t>outlined the benefits of private ownership and related tax incentives</w:t>
      </w:r>
      <w:r w:rsidRPr="003A4689">
        <w:rPr>
          <w:sz w:val="16"/>
        </w:rPr>
        <w:t>. The study determined that the cost of providing solar power to the county varied depending on the ownership and financing structure, with the following results.</w:t>
      </w:r>
      <w:r w:rsidRPr="003A4689">
        <w:rPr>
          <w:sz w:val="12"/>
        </w:rPr>
        <w:t>¶</w:t>
      </w:r>
      <w:r w:rsidRPr="003A4689">
        <w:rPr>
          <w:sz w:val="16"/>
        </w:rPr>
        <w:t xml:space="preserve"> Under a public ownership structure - with financing through Clean Renewable Energy Bonds - the levelized net costs were $0.17/ kWh. Levelized net costs with tax- exempt bond financing - also under a public ownership structure - were $0.23/kWh.</w:t>
      </w:r>
      <w:r w:rsidRPr="003A4689">
        <w:rPr>
          <w:sz w:val="12"/>
        </w:rPr>
        <w:t>¶</w:t>
      </w:r>
      <w:r w:rsidRPr="003A4689">
        <w:rPr>
          <w:sz w:val="16"/>
        </w:rPr>
        <w:t xml:space="preserve"> </w:t>
      </w:r>
      <w:r w:rsidRPr="003A4689">
        <w:rPr>
          <w:rStyle w:val="StyleBoldUnderline"/>
        </w:rPr>
        <w:t>Under private ownership, with a financing structure combining the ITC</w:t>
      </w:r>
      <w:r w:rsidRPr="003A4689">
        <w:rPr>
          <w:sz w:val="16"/>
        </w:rPr>
        <w:t xml:space="preserve"> with depreciation benefits financed with equity and commercial debt, the levelized net costs declined to $0.13/kWh. Finally, a private ownership structure involving the ITC and depreciation benefits financed with new-market tax credit financing reduced levelized net costs to $0.10/ kWh.</w:t>
      </w:r>
      <w:r w:rsidRPr="003A4689">
        <w:rPr>
          <w:sz w:val="12"/>
        </w:rPr>
        <w:t>¶</w:t>
      </w:r>
      <w:r w:rsidRPr="003A4689">
        <w:rPr>
          <w:sz w:val="16"/>
        </w:rPr>
        <w:t xml:space="preserve"> Given </w:t>
      </w:r>
      <w:r w:rsidRPr="003A4689">
        <w:rPr>
          <w:rStyle w:val="StyleBoldUnderline"/>
        </w:rPr>
        <w:t>the results</w:t>
      </w:r>
      <w:r w:rsidRPr="003A4689">
        <w:rPr>
          <w:sz w:val="16"/>
        </w:rPr>
        <w:t xml:space="preserve"> of the study, the county decided to </w:t>
      </w:r>
      <w:r w:rsidRPr="003A4689">
        <w:rPr>
          <w:rStyle w:val="StyleBoldUnderline"/>
        </w:rPr>
        <w:t xml:space="preserve">pursue the private development </w:t>
      </w:r>
      <w:r w:rsidRPr="003A4689">
        <w:rPr>
          <w:sz w:val="16"/>
        </w:rPr>
        <w:t xml:space="preserve">of the solar project </w:t>
      </w:r>
      <w:r w:rsidRPr="003A4689">
        <w:rPr>
          <w:rStyle w:val="StyleBoldUnderline"/>
        </w:rPr>
        <w:t>and incorporate new-market tax-credit financing</w:t>
      </w:r>
      <w:r w:rsidRPr="003A4689">
        <w:rPr>
          <w:sz w:val="16"/>
        </w:rPr>
        <w:t>. New-market tax credits are generated by investment in businesses located in low- income areas, and the county has a number of properties that qualify as low-income areas for purposes of the tax credit. The result is typically below-market debt and possible forgiveness of a portion of the loans.</w:t>
      </w:r>
    </w:p>
    <w:p w:rsidR="0017246A" w:rsidRPr="00656EBC" w:rsidRDefault="0017246A" w:rsidP="0017246A">
      <w:pPr>
        <w:rPr>
          <w:sz w:val="14"/>
        </w:rPr>
      </w:pPr>
    </w:p>
    <w:p w:rsidR="0017246A" w:rsidRPr="00DD258B" w:rsidRDefault="0017246A" w:rsidP="0017246A"/>
    <w:p w:rsidR="007C6AC9" w:rsidRPr="00C614EC" w:rsidRDefault="007C6AC9" w:rsidP="007C6AC9">
      <w:pPr>
        <w:pStyle w:val="Heading3"/>
        <w:rPr>
          <w:lang w:eastAsia="ko-KR"/>
        </w:rPr>
      </w:pPr>
      <w:r>
        <w:rPr>
          <w:lang w:eastAsia="ko-KR"/>
        </w:rPr>
        <w:lastRenderedPageBreak/>
        <w:t>AT: Perm Do Both</w:t>
      </w:r>
      <w:r w:rsidR="0017246A">
        <w:rPr>
          <w:lang w:eastAsia="ko-KR"/>
        </w:rPr>
        <w:t>---2NC</w:t>
      </w:r>
    </w:p>
    <w:p w:rsidR="007C6AC9" w:rsidRPr="00C614EC" w:rsidRDefault="007C6AC9" w:rsidP="007C6AC9">
      <w:pPr>
        <w:pStyle w:val="Heading4"/>
        <w:rPr>
          <w:rFonts w:asciiTheme="minorHAnsi" w:hAnsiTheme="minorHAnsi"/>
          <w:sz w:val="28"/>
        </w:rPr>
      </w:pPr>
      <w:r w:rsidRPr="00C614EC">
        <w:rPr>
          <w:rFonts w:asciiTheme="minorHAnsi" w:hAnsiTheme="minorHAnsi"/>
          <w:sz w:val="28"/>
        </w:rPr>
        <w:t xml:space="preserve">No benefit to the permutation -- incentives are not </w:t>
      </w:r>
      <w:r w:rsidRPr="00C614EC">
        <w:rPr>
          <w:rFonts w:asciiTheme="minorHAnsi" w:hAnsiTheme="minorHAnsi"/>
          <w:sz w:val="28"/>
          <w:u w:val="single"/>
        </w:rPr>
        <w:t>perceived</w:t>
      </w:r>
      <w:r w:rsidRPr="00C614EC">
        <w:rPr>
          <w:rFonts w:asciiTheme="minorHAnsi" w:hAnsiTheme="minorHAnsi"/>
          <w:sz w:val="28"/>
        </w:rPr>
        <w:t xml:space="preserve"> as spending and the revenue gained from the activity would offset government losses</w:t>
      </w:r>
    </w:p>
    <w:p w:rsidR="007C6AC9" w:rsidRDefault="007C6AC9" w:rsidP="007C6AC9">
      <w:pPr>
        <w:pStyle w:val="Heading3"/>
      </w:pPr>
      <w:r>
        <w:lastRenderedPageBreak/>
        <w:t>AT:</w:t>
      </w:r>
      <w:r w:rsidRPr="00C614EC">
        <w:t xml:space="preserve"> Private fiat</w:t>
      </w:r>
    </w:p>
    <w:p w:rsidR="007C6AC9" w:rsidRDefault="007C6AC9" w:rsidP="007C6AC9">
      <w:pPr>
        <w:pStyle w:val="Heading4"/>
      </w:pPr>
      <w:r>
        <w:t>No link to the private fiat args -- CP text mandates USFG action not private sector action</w:t>
      </w:r>
    </w:p>
    <w:p w:rsidR="007C6AC9" w:rsidRDefault="007C6AC9" w:rsidP="007C6AC9"/>
    <w:p w:rsidR="007C6AC9" w:rsidRDefault="007C6AC9" w:rsidP="007C6AC9"/>
    <w:p w:rsidR="000757CC" w:rsidRDefault="007C6AC9" w:rsidP="000757CC">
      <w:pPr>
        <w:pStyle w:val="Heading1"/>
      </w:pPr>
      <w:r>
        <w:lastRenderedPageBreak/>
        <w:t xml:space="preserve">ADVANTAGE </w:t>
      </w:r>
      <w:r w:rsidR="000757CC">
        <w:t>COUNTERPLANS</w:t>
      </w:r>
    </w:p>
    <w:p w:rsidR="0017246A" w:rsidRPr="00F85F44" w:rsidRDefault="0017246A" w:rsidP="0017246A">
      <w:pPr>
        <w:pStyle w:val="Heading2"/>
      </w:pPr>
      <w:r>
        <w:lastRenderedPageBreak/>
        <w:t>Biofeuls Adv CP</w:t>
      </w:r>
    </w:p>
    <w:p w:rsidR="0017246A" w:rsidRDefault="0017246A" w:rsidP="0017246A">
      <w:pPr>
        <w:pStyle w:val="Heading3"/>
      </w:pPr>
      <w:r>
        <w:lastRenderedPageBreak/>
        <w:t>Solar CP---1NC</w:t>
      </w:r>
    </w:p>
    <w:p w:rsidR="0017246A" w:rsidRPr="00393BBE" w:rsidRDefault="0017246A" w:rsidP="0017246A">
      <w:pPr>
        <w:rPr>
          <w:b/>
          <w:sz w:val="24"/>
          <w:szCs w:val="24"/>
        </w:rPr>
      </w:pPr>
      <w:r w:rsidRPr="00393BBE">
        <w:rPr>
          <w:b/>
          <w:sz w:val="24"/>
          <w:szCs w:val="24"/>
        </w:rPr>
        <w:t>CP text: the United States federal government should substantially increase its investment in solar energy technology</w:t>
      </w:r>
    </w:p>
    <w:p w:rsidR="0017246A" w:rsidRPr="00393BBE" w:rsidRDefault="0017246A" w:rsidP="0017246A">
      <w:pPr>
        <w:rPr>
          <w:b/>
          <w:sz w:val="24"/>
          <w:szCs w:val="24"/>
        </w:rPr>
      </w:pPr>
      <w:r w:rsidRPr="00393BBE">
        <w:rPr>
          <w:b/>
          <w:sz w:val="24"/>
          <w:szCs w:val="24"/>
        </w:rPr>
        <w:t>OR</w:t>
      </w:r>
    </w:p>
    <w:p w:rsidR="0017246A" w:rsidRPr="00393BBE" w:rsidRDefault="0017246A" w:rsidP="0017246A">
      <w:pPr>
        <w:rPr>
          <w:b/>
          <w:sz w:val="24"/>
          <w:szCs w:val="24"/>
        </w:rPr>
      </w:pPr>
      <w:r w:rsidRPr="00393BBE">
        <w:rPr>
          <w:b/>
          <w:sz w:val="24"/>
          <w:szCs w:val="24"/>
        </w:rPr>
        <w:t>CP text: the United States federal government should implement a carbon tax of 0.5c/</w:t>
      </w:r>
      <w:r>
        <w:rPr>
          <w:b/>
          <w:sz w:val="24"/>
          <w:szCs w:val="24"/>
        </w:rPr>
        <w:t>kilowatt-hour</w:t>
      </w:r>
      <w:r w:rsidRPr="00393BBE">
        <w:rPr>
          <w:b/>
          <w:sz w:val="24"/>
          <w:szCs w:val="24"/>
        </w:rPr>
        <w:t xml:space="preserve"> and use the proceeds to fund solar energy</w:t>
      </w:r>
    </w:p>
    <w:p w:rsidR="0017246A" w:rsidRPr="00393BBE" w:rsidRDefault="0017246A" w:rsidP="0017246A">
      <w:pPr>
        <w:rPr>
          <w:b/>
          <w:sz w:val="24"/>
          <w:szCs w:val="24"/>
        </w:rPr>
      </w:pPr>
      <w:r w:rsidRPr="00393BBE">
        <w:rPr>
          <w:b/>
          <w:sz w:val="24"/>
          <w:szCs w:val="24"/>
        </w:rPr>
        <w:t>OR</w:t>
      </w:r>
    </w:p>
    <w:p w:rsidR="0017246A" w:rsidRDefault="0017246A" w:rsidP="0017246A">
      <w:pPr>
        <w:rPr>
          <w:b/>
          <w:sz w:val="24"/>
          <w:szCs w:val="24"/>
        </w:rPr>
      </w:pPr>
      <w:r w:rsidRPr="00393BBE">
        <w:rPr>
          <w:b/>
          <w:sz w:val="24"/>
          <w:szCs w:val="24"/>
        </w:rPr>
        <w:t>CP text: the United States federal government should invest $420 billion in solar energy over the next 40 years</w:t>
      </w:r>
    </w:p>
    <w:p w:rsidR="0017246A" w:rsidRDefault="0017246A" w:rsidP="0017246A">
      <w:pPr>
        <w:rPr>
          <w:b/>
          <w:sz w:val="24"/>
          <w:szCs w:val="24"/>
        </w:rPr>
      </w:pPr>
      <w:r>
        <w:rPr>
          <w:b/>
          <w:sz w:val="24"/>
          <w:szCs w:val="24"/>
        </w:rPr>
        <w:t>OR</w:t>
      </w:r>
    </w:p>
    <w:p w:rsidR="0017246A" w:rsidRDefault="0017246A" w:rsidP="0017246A">
      <w:pPr>
        <w:rPr>
          <w:b/>
          <w:sz w:val="24"/>
          <w:szCs w:val="24"/>
        </w:rPr>
      </w:pPr>
      <w:r>
        <w:rPr>
          <w:b/>
          <w:sz w:val="24"/>
          <w:szCs w:val="24"/>
        </w:rPr>
        <w:t xml:space="preserve">CP text: the United States federal government should implement a national renewable energy program with subsidies for solar energy funded by </w:t>
      </w:r>
      <w:r w:rsidRPr="00393BBE">
        <w:rPr>
          <w:b/>
          <w:sz w:val="24"/>
          <w:szCs w:val="24"/>
        </w:rPr>
        <w:t>a carbon tax of 0.5c/</w:t>
      </w:r>
      <w:r>
        <w:rPr>
          <w:b/>
          <w:sz w:val="24"/>
          <w:szCs w:val="24"/>
        </w:rPr>
        <w:t>kilowatt-hour</w:t>
      </w:r>
    </w:p>
    <w:p w:rsidR="0017246A" w:rsidRDefault="0017246A" w:rsidP="0017246A">
      <w:pPr>
        <w:rPr>
          <w:b/>
          <w:sz w:val="24"/>
          <w:szCs w:val="24"/>
        </w:rPr>
      </w:pPr>
      <w:r>
        <w:rPr>
          <w:b/>
          <w:sz w:val="24"/>
          <w:szCs w:val="24"/>
        </w:rPr>
        <w:t>OR</w:t>
      </w:r>
    </w:p>
    <w:p w:rsidR="0017246A" w:rsidRPr="00393BBE" w:rsidRDefault="0017246A" w:rsidP="0017246A">
      <w:pPr>
        <w:rPr>
          <w:b/>
          <w:sz w:val="24"/>
          <w:szCs w:val="24"/>
        </w:rPr>
      </w:pPr>
      <w:r>
        <w:rPr>
          <w:b/>
          <w:sz w:val="24"/>
          <w:szCs w:val="24"/>
        </w:rPr>
        <w:t>any combination of the above</w:t>
      </w:r>
    </w:p>
    <w:p w:rsidR="0017246A" w:rsidRDefault="0017246A" w:rsidP="0017246A">
      <w:pPr>
        <w:pStyle w:val="Heading4"/>
      </w:pPr>
      <w:r>
        <w:t>Solar investment solves oil dependence and global warming – it’s the only viable solution</w:t>
      </w:r>
    </w:p>
    <w:p w:rsidR="0017246A" w:rsidRPr="00D033BF" w:rsidRDefault="0017246A" w:rsidP="0017246A">
      <w:pPr>
        <w:rPr>
          <w:sz w:val="16"/>
          <w:szCs w:val="16"/>
        </w:rPr>
      </w:pPr>
      <w:r w:rsidRPr="00D033BF">
        <w:rPr>
          <w:rStyle w:val="StyleStyleBold12pt"/>
        </w:rPr>
        <w:t>Zweibel et al. 07</w:t>
      </w:r>
      <w:r w:rsidRPr="00D033BF">
        <w:rPr>
          <w:sz w:val="16"/>
          <w:szCs w:val="16"/>
        </w:rPr>
        <w:t xml:space="preserve"> ( Ken Zweibel, James Mason and Vasilis Fthenakis, “By 2050 solar power could end U.S. dependence on foreign oil and slash greenhouse gas emissions”, Scientific American, 2007, http://isites.harvard.edu/fs/docs/icb.topic541736.files/Zweibel_SciAm2008.pdf)</w:t>
      </w:r>
    </w:p>
    <w:p w:rsidR="0017246A" w:rsidRPr="00D033BF" w:rsidRDefault="0017246A" w:rsidP="0017246A">
      <w:pPr>
        <w:rPr>
          <w:rStyle w:val="StyleBoldUnderline"/>
        </w:rPr>
      </w:pPr>
      <w:r w:rsidRPr="00D033BF">
        <w:rPr>
          <w:rStyle w:val="StyleBoldUnderline"/>
        </w:rPr>
        <w:t>High prices for gasoline and home heating oil are here to stay. The U.S. is at war in the Middle East at least in part to protect its foreign oil interests. And as China, India and other nations rapidly increase their demand for fossil fuels, future fighting over energy looms large</w:t>
      </w:r>
      <w:r w:rsidRPr="00D033BF">
        <w:rPr>
          <w:sz w:val="16"/>
          <w:szCs w:val="16"/>
        </w:rPr>
        <w:t xml:space="preserve">. ln the meantime, power plants that burn coal, oil and natural gas, as well as vehicles everywhere, continue to pour millions of tons of pollutants and greenhouse gases into the atmo- sphere annually, threatening the planet. </w:t>
      </w:r>
      <w:r w:rsidRPr="00D033BF">
        <w:rPr>
          <w:rStyle w:val="StyleBoldUnderline"/>
        </w:rPr>
        <w:t>Well-meaning scientists, engineers, economists and politicians have proposed various steps that could slightly reduce fossil-fuel use and emissions. These steps are not enough. The U.S. needs a bold plan to free itself from fossil fuels</w:t>
      </w:r>
      <w:r w:rsidRPr="00D033BF">
        <w:rPr>
          <w:sz w:val="16"/>
          <w:szCs w:val="16"/>
        </w:rPr>
        <w:t xml:space="preserve">. Our analysis convinces us that </w:t>
      </w:r>
      <w:r w:rsidRPr="00D033BF">
        <w:rPr>
          <w:rStyle w:val="StyleBoldUnderline"/>
        </w:rPr>
        <w:t>a massive switch to solar power is the logical answer</w:t>
      </w:r>
      <w:r w:rsidRPr="00D033BF">
        <w:rPr>
          <w:sz w:val="16"/>
          <w:szCs w:val="16"/>
        </w:rPr>
        <w:t xml:space="preserve">. </w:t>
      </w:r>
      <w:r w:rsidRPr="00D033BF">
        <w:rPr>
          <w:rStyle w:val="StyleBoldUnderline"/>
        </w:rPr>
        <w:t>Solar energy's potential is off the chart. The energy in sunlight striking the earth for 40 minutes is equivalent to global energy con- sumption for a year</w:t>
      </w:r>
      <w:r w:rsidRPr="00D033BF">
        <w:rPr>
          <w:sz w:val="16"/>
          <w:szCs w:val="16"/>
        </w:rPr>
        <w:t xml:space="preserve">. </w:t>
      </w:r>
      <w:r w:rsidRPr="00D033BF">
        <w:rPr>
          <w:rStyle w:val="StyleBoldUnderline"/>
        </w:rPr>
        <w:t>The U.S. is lucky to be endowed with a vast re- source; at least 250,000 square miles of land in the Southwest alone are suitable for constructing solar power plants, and that land receives more than 4,500 quadrillion British thermal units (Btu) of solar ra- diation a year</w:t>
      </w:r>
      <w:r w:rsidRPr="00D033BF">
        <w:rPr>
          <w:sz w:val="16"/>
          <w:szCs w:val="16"/>
        </w:rPr>
        <w:t xml:space="preserve">. Converting only 2.5 percent of that radiation into elec- tricity would match the nation's total energy consumption in 2006. To convert the country to solar power, huge tracts of land would have to be covered with photovoltaic panels and solar heating troughs. A direct-current (DC) transmission backbone would also have to be erected to send that energy efficiently across the nation. </w:t>
      </w:r>
      <w:r w:rsidRPr="00D033BF">
        <w:rPr>
          <w:rStyle w:val="StyleBoldUnderline"/>
        </w:rPr>
        <w:t>The technology is ready. On the following pages we present a grand plan that could provide 69 percent of the U.S.'s electricity and 35 percent of its total energy</w:t>
      </w:r>
      <w:r w:rsidRPr="00D033BF">
        <w:rPr>
          <w:sz w:val="16"/>
          <w:szCs w:val="16"/>
        </w:rPr>
        <w:t xml:space="preserve"> (which includes transportation) </w:t>
      </w:r>
      <w:r w:rsidRPr="00D033BF">
        <w:rPr>
          <w:rStyle w:val="StyleBoldUnderline"/>
        </w:rPr>
        <w:t>with solar power by 2050</w:t>
      </w:r>
      <w:r w:rsidRPr="00D033BF">
        <w:rPr>
          <w:sz w:val="16"/>
          <w:szCs w:val="16"/>
        </w:rPr>
        <w:t xml:space="preserve">. We project that </w:t>
      </w:r>
      <w:r w:rsidRPr="00D033BF">
        <w:rPr>
          <w:rStyle w:val="StyleBoldUnderline"/>
        </w:rPr>
        <w:t>this energy could be sold to consumers at rates equivalent to today's rates for conventional pow- er sources</w:t>
      </w:r>
      <w:r w:rsidRPr="00D033BF">
        <w:rPr>
          <w:sz w:val="16"/>
          <w:szCs w:val="16"/>
        </w:rPr>
        <w:t xml:space="preserve">, about live cents per kilowatt-hour (kWh). If wind, bio- mass and geothermal sources were also developed, renewable ener- gy could provide 100 percent of the nation's electricity and 90 per- cent of its energy by 2100. </w:t>
      </w:r>
      <w:r w:rsidRPr="00D033BF">
        <w:rPr>
          <w:rStyle w:val="StyleBoldUnderline"/>
        </w:rPr>
        <w:t>The federal government would ha</w:t>
      </w:r>
      <w:r>
        <w:rPr>
          <w:rStyle w:val="StyleBoldUnderline"/>
        </w:rPr>
        <w:t>ve to invest more than $400 bil</w:t>
      </w:r>
      <w:r w:rsidRPr="00D033BF">
        <w:rPr>
          <w:rStyle w:val="StyleBoldUnderline"/>
        </w:rPr>
        <w:t>lion over the next 40 years</w:t>
      </w:r>
      <w:r w:rsidRPr="00D033BF">
        <w:rPr>
          <w:sz w:val="16"/>
          <w:szCs w:val="16"/>
        </w:rPr>
        <w:t xml:space="preserve"> to complete the 2050 plan. </w:t>
      </w:r>
      <w:r w:rsidRPr="00D033BF">
        <w:rPr>
          <w:rStyle w:val="StyleBoldUnderline"/>
        </w:rPr>
        <w:t>That invest- ment is substantial, but the payoff is greater. Solar plants consume little or no fuel, saving billions of dollars year after year</w:t>
      </w:r>
      <w:r w:rsidRPr="00D033BF">
        <w:rPr>
          <w:sz w:val="16"/>
          <w:szCs w:val="16"/>
        </w:rPr>
        <w:t xml:space="preserve">. The infra- structure would displace 300 large coal-fired power plants and 300 more large natural gas plants and all the fuels they consume. </w:t>
      </w:r>
      <w:r w:rsidRPr="00D033BF">
        <w:rPr>
          <w:rStyle w:val="StyleBoldUnderline"/>
        </w:rPr>
        <w:t>The plan would effectively eliminate all imported oil, fundamentally cut- ting U.S. trade deficits and easing political tension in the Middle East and elsewhere</w:t>
      </w:r>
      <w:r w:rsidRPr="00D033BF">
        <w:rPr>
          <w:sz w:val="16"/>
          <w:szCs w:val="16"/>
        </w:rPr>
        <w:t xml:space="preserve">. </w:t>
      </w:r>
      <w:r w:rsidRPr="00D033BF">
        <w:rPr>
          <w:rStyle w:val="StyleBoldUnderline"/>
        </w:rPr>
        <w:t xml:space="preserve">Because solar technologies are almost pollution-free, the plan would also re- duce greenhouse gas emissions from power plants by 1.7 billion tons a year, and another 1.9 billion tons from gasoline vehicles would be dis- placed by plug-in hybrids refueled by the solar power grid. In </w:t>
      </w:r>
      <w:r w:rsidRPr="00D033BF">
        <w:rPr>
          <w:rStyle w:val="StyleBoldUnderline"/>
        </w:rPr>
        <w:lastRenderedPageBreak/>
        <w:t>2050 U.S. carbon dioxide emis- sions would be 62 percent below 2005 levels, putting a major brake on global warming.</w:t>
      </w:r>
    </w:p>
    <w:p w:rsidR="0017246A" w:rsidRPr="00393BBE" w:rsidRDefault="0017246A" w:rsidP="0017246A">
      <w:pPr>
        <w:pStyle w:val="Heading4"/>
      </w:pPr>
      <w:r w:rsidRPr="00393BBE">
        <w:t>Small carbon tax and subsidies solve – make solar long-term viable and solve energy independence</w:t>
      </w:r>
    </w:p>
    <w:p w:rsidR="0017246A" w:rsidRPr="00D033BF" w:rsidRDefault="0017246A" w:rsidP="0017246A">
      <w:pPr>
        <w:rPr>
          <w:sz w:val="16"/>
          <w:szCs w:val="16"/>
        </w:rPr>
      </w:pPr>
      <w:r w:rsidRPr="00D033BF">
        <w:rPr>
          <w:rStyle w:val="StyleStyleBold12pt"/>
        </w:rPr>
        <w:t>Zweibel et al. 07</w:t>
      </w:r>
      <w:r w:rsidRPr="00D033BF">
        <w:rPr>
          <w:sz w:val="16"/>
          <w:szCs w:val="16"/>
        </w:rPr>
        <w:t xml:space="preserve"> ( Ken Zweibel, James Mason and Vasilis Fthenakis, “By 2050 solar power could end U.S. dependence on foreign oil and slash greenhouse gas emissions”, Scientific American, 2007, http://isites.harvard.edu/fs/docs/icb.topic541736.files/Zweibel_SciAm2008.pdf)</w:t>
      </w:r>
    </w:p>
    <w:p w:rsidR="0017246A" w:rsidRPr="00393BBE" w:rsidRDefault="0017246A" w:rsidP="0017246A">
      <w:pPr>
        <w:rPr>
          <w:sz w:val="16"/>
          <w:szCs w:val="16"/>
        </w:rPr>
      </w:pPr>
      <w:r w:rsidRPr="00393BBE">
        <w:rPr>
          <w:rStyle w:val="StyleBoldUnderline"/>
        </w:rPr>
        <w:t>Our model is not an austerity plan, because it includes a 1 percent annual increase in demand, which would sustain lifestyles similar to those today with expected efficiency improvements in energy generation</w:t>
      </w:r>
      <w:r w:rsidRPr="00393BBE">
        <w:rPr>
          <w:sz w:val="16"/>
          <w:szCs w:val="16"/>
        </w:rPr>
        <w:t xml:space="preserve"> and use. Perhaps </w:t>
      </w:r>
      <w:r w:rsidRPr="00393BBE">
        <w:rPr>
          <w:rStyle w:val="StyleBoldUnderline"/>
        </w:rPr>
        <w:t>the biggest question is how to pay for a $420-billion over- haul of the nation's energy infrastructure</w:t>
      </w:r>
      <w:r w:rsidRPr="00393BBE">
        <w:rPr>
          <w:sz w:val="16"/>
          <w:szCs w:val="16"/>
        </w:rPr>
        <w:t xml:space="preserve">. </w:t>
      </w:r>
      <w:r w:rsidRPr="00393BBE">
        <w:rPr>
          <w:rStyle w:val="StyleBoldUnderline"/>
        </w:rPr>
        <w:t>One of the most common ideas is a carbon tax</w:t>
      </w:r>
      <w:r w:rsidRPr="00393BBE">
        <w:rPr>
          <w:sz w:val="16"/>
          <w:szCs w:val="16"/>
        </w:rPr>
        <w:t xml:space="preserve">. </w:t>
      </w:r>
      <w:r w:rsidRPr="00393BBE">
        <w:rPr>
          <w:rStyle w:val="StyleBoldUnderline"/>
        </w:rPr>
        <w:t xml:space="preserve">The International Energy Agency suggests that a car- bon tax of $40 to $90 per ton of coal </w:t>
      </w:r>
      <w:r w:rsidRPr="00393BBE">
        <w:rPr>
          <w:sz w:val="16"/>
          <w:szCs w:val="16"/>
        </w:rPr>
        <w:t xml:space="preserve">will be required to induce electricity generators to adopt carbon capture and storage systems to reduce carbon dioxide emissions. This tax is equivalent to raising the price of electricity by one to two cents per kWh. </w:t>
      </w:r>
      <w:r w:rsidRPr="00393BBE">
        <w:rPr>
          <w:rStyle w:val="StyleBoldUnderline"/>
        </w:rPr>
        <w:t>But our plan is less expensive. The $420 billion could be generated with a carbon tax of 0.5 cent per kWh. Given that electricity today generally sells for six to 10 cents per kWh, adding 0.5 cent per kWh seems reasonable</w:t>
      </w:r>
      <w:r w:rsidRPr="00393BBE">
        <w:rPr>
          <w:sz w:val="16"/>
          <w:szCs w:val="16"/>
        </w:rPr>
        <w:t xml:space="preserve">. </w:t>
      </w:r>
      <w:r w:rsidRPr="00393BBE">
        <w:rPr>
          <w:rStyle w:val="StyleBoldUnderline"/>
        </w:rPr>
        <w:t>Congress could establish the financial incen- tives by adopting a national renewable energy plan.</w:t>
      </w:r>
      <w:r w:rsidRPr="00393BBE">
        <w:rPr>
          <w:sz w:val="16"/>
          <w:szCs w:val="16"/>
        </w:rPr>
        <w:t xml:space="preserve"> Consider the U.S. Farm Price Support pro- gram, which has been justified in terms of na- tional security. </w:t>
      </w:r>
      <w:r w:rsidRPr="00393BBE">
        <w:rPr>
          <w:rStyle w:val="StyleBoldUnderline"/>
        </w:rPr>
        <w:t>A solar price support program would secure the nation's energy future, vital to the country's long-term health. Subsidies would b</w:t>
      </w:r>
      <w:r>
        <w:rPr>
          <w:rStyle w:val="StyleBoldUnderline"/>
        </w:rPr>
        <w:t xml:space="preserve">e gradually deployed from 2010 </w:t>
      </w:r>
      <w:r w:rsidRPr="00393BBE">
        <w:rPr>
          <w:rStyle w:val="StyleBoldUnderline"/>
        </w:rPr>
        <w:t>to 2020. With a standard 30-year payoff interval, the subsi- dies would end from 2041 to 2050</w:t>
      </w:r>
      <w:r w:rsidRPr="00393BBE">
        <w:rPr>
          <w:sz w:val="16"/>
          <w:szCs w:val="16"/>
        </w:rPr>
        <w:t xml:space="preserve">. The HVDC transmission companies would not have to be subsidized, because they would finance con- struction of lines and converter stations just as they now finance AC lines, earning revenues by delivering electricity. </w:t>
      </w:r>
      <w:r w:rsidRPr="00393BBE">
        <w:rPr>
          <w:rStyle w:val="StyleBoldUnderline"/>
        </w:rPr>
        <w:t>Although $420 billion is substantial, the an- nual expense would be less than the current U.S. Farm Price Support program. It is also less than the tax subsidies that have been levied to build the country's high-speed telecommunications infrastructure over the past 35 years</w:t>
      </w:r>
      <w:r w:rsidRPr="00393BBE">
        <w:rPr>
          <w:sz w:val="16"/>
          <w:szCs w:val="16"/>
        </w:rPr>
        <w:t xml:space="preserve">. </w:t>
      </w:r>
      <w:r w:rsidRPr="00393BBE">
        <w:rPr>
          <w:rStyle w:val="StyleBoldUnderline"/>
        </w:rPr>
        <w:t>And it frees the U.S. from policy and budget issues driven by international energy conflicts. Without subsidies, the solar grand plan is im- possible</w:t>
      </w:r>
      <w:r w:rsidRPr="00393BBE">
        <w:rPr>
          <w:sz w:val="16"/>
          <w:szCs w:val="16"/>
        </w:rPr>
        <w:t xml:space="preserve">. Other countries have reached similar conclusions: japan is already building a large, subsidized solar infrastructure, and Germany has embarked on a nationwide program. Al- though the investment is high, </w:t>
      </w:r>
      <w:r w:rsidRPr="00393BBE">
        <w:rPr>
          <w:rStyle w:val="StyleBoldUnderline"/>
        </w:rPr>
        <w:t>it is important to remember that the energy source, sunlight, is free. There are no annual fuel or pollution-control costs like those for coal, oil or nuclear powe</w:t>
      </w:r>
      <w:r w:rsidRPr="00393BBE">
        <w:rPr>
          <w:sz w:val="16"/>
          <w:szCs w:val="16"/>
        </w:rPr>
        <w:t xml:space="preserve">r, and only a slight cost for natural gas in compressed- air systems, although hydrogen or biofuels could displace that, too. </w:t>
      </w:r>
      <w:r w:rsidRPr="00393BBE">
        <w:rPr>
          <w:rStyle w:val="StyleBoldUnderline"/>
        </w:rPr>
        <w:t>When fuel savings are factored in, thc cost of solar would be a bargain in coming decades. But we cannot wait until then to begin scaling up</w:t>
      </w:r>
      <w:r w:rsidRPr="00393BBE">
        <w:rPr>
          <w:sz w:val="16"/>
          <w:szCs w:val="16"/>
        </w:rPr>
        <w:t xml:space="preserve">. </w:t>
      </w:r>
      <w:r>
        <w:rPr>
          <w:sz w:val="16"/>
          <w:szCs w:val="16"/>
        </w:rPr>
        <w:t>Critics have raised other con</w:t>
      </w:r>
      <w:r w:rsidRPr="00393BBE">
        <w:rPr>
          <w:sz w:val="16"/>
          <w:szCs w:val="16"/>
        </w:rPr>
        <w:t>cerns, such as whether material constraints could stifle large-scale</w:t>
      </w:r>
      <w:r>
        <w:rPr>
          <w:sz w:val="16"/>
          <w:szCs w:val="16"/>
        </w:rPr>
        <w:t xml:space="preserve"> installation. With rapid deploy</w:t>
      </w:r>
      <w:r w:rsidRPr="00393BBE">
        <w:rPr>
          <w:sz w:val="16"/>
          <w:szCs w:val="16"/>
        </w:rPr>
        <w:t>ment, temporary shortages are possible. But several types of cells old solar cells can largely be recycled into new solar cells, changing our energy supply picture com ing decades. But we cannot wait un- Critics have raised other con- installation. With rapid deploy- exist that use different material com- binations. Better processing and recy- cling a re also reducing the amount of ma- terials that cells require. And in the long term, old solar cells can largely be recycled into new solar cells, changing our energy supply picture from depletable fuels to recyclable materials.</w:t>
      </w:r>
    </w:p>
    <w:p w:rsidR="0017246A" w:rsidRPr="00D033BF" w:rsidRDefault="0017246A" w:rsidP="0017246A"/>
    <w:p w:rsidR="0017246A" w:rsidRPr="005C5DBA" w:rsidRDefault="0017246A" w:rsidP="0017246A">
      <w:pPr>
        <w:pStyle w:val="Heading3"/>
      </w:pPr>
      <w:r>
        <w:lastRenderedPageBreak/>
        <w:t>Biofuel-Comparative Solvency---2NC</w:t>
      </w:r>
    </w:p>
    <w:p w:rsidR="0017246A" w:rsidRDefault="0017246A" w:rsidP="0017246A">
      <w:pPr>
        <w:pStyle w:val="Heading4"/>
      </w:pPr>
      <w:r>
        <w:t>Solar is orders of magnitude more efficient than biofuels – solves energy and warming</w:t>
      </w:r>
    </w:p>
    <w:p w:rsidR="0017246A" w:rsidRPr="003A5899" w:rsidRDefault="0017246A" w:rsidP="0017246A">
      <w:pPr>
        <w:rPr>
          <w:sz w:val="16"/>
          <w:szCs w:val="16"/>
        </w:rPr>
      </w:pPr>
      <w:r w:rsidRPr="003A5899">
        <w:rPr>
          <w:rStyle w:val="StyleStyleBold12pt"/>
        </w:rPr>
        <w:t>Hill 13</w:t>
      </w:r>
      <w:r w:rsidRPr="003A5899">
        <w:rPr>
          <w:sz w:val="16"/>
          <w:szCs w:val="16"/>
        </w:rPr>
        <w:t xml:space="preserve"> (Joshua S., “Are Photovoltaics Or Biofuels Better At Energy Conversion?”, Clean Technica, 1/18/13, http://cleantechnica.com/2013/01/18/are-photovoltaics-or-biofuels-better-at-energy-conversion/)</w:t>
      </w:r>
    </w:p>
    <w:p w:rsidR="0017246A" w:rsidRPr="005C5DBA" w:rsidRDefault="0017246A" w:rsidP="0017246A">
      <w:pPr>
        <w:rPr>
          <w:rStyle w:val="StyleBoldUnderline"/>
        </w:rPr>
      </w:pPr>
      <w:r w:rsidRPr="005C5DBA">
        <w:rPr>
          <w:rStyle w:val="StyleBoldUnderline"/>
        </w:rPr>
        <w:t xml:space="preserve">“The energy source for biofuels is the sun, through photosynthesis. The energy source for solar power is also the sun. Which is better?” This is the question posed by </w:t>
      </w:r>
      <w:r w:rsidR="00DA51D8">
        <w:fldChar w:fldCharType="begin"/>
      </w:r>
      <w:r w:rsidR="00DA51D8">
        <w:instrText xml:space="preserve"> HYPERLINK "http://phys.org/partners/university-of-california---santa-barbara/" \t "_blank" \o "University of California – Santa Barbara" </w:instrText>
      </w:r>
      <w:r w:rsidR="00DA51D8">
        <w:fldChar w:fldCharType="separate"/>
      </w:r>
      <w:r w:rsidRPr="005C5DBA">
        <w:rPr>
          <w:rStyle w:val="StyleBoldUnderline"/>
        </w:rPr>
        <w:t>University of California – Santa Barbara</w:t>
      </w:r>
      <w:r w:rsidR="00DA51D8">
        <w:rPr>
          <w:rStyle w:val="StyleBoldUnderline"/>
        </w:rPr>
        <w:fldChar w:fldCharType="end"/>
      </w:r>
      <w:r w:rsidRPr="005C5DBA">
        <w:rPr>
          <w:rStyle w:val="StyleBoldUnderline"/>
        </w:rPr>
        <w:t xml:space="preserve"> Bren School of Environmental Science &amp; Management Professor and life cycle assessments (LCA) expert Roland Geyer.</w:t>
      </w:r>
      <w:r w:rsidRPr="003A5899">
        <w:rPr>
          <w:sz w:val="16"/>
          <w:szCs w:val="16"/>
        </w:rPr>
        <w:t xml:space="preserve"> The premise is simple: in 2005 the US saw corn ethanol as the new wave of powering vehicles while doing the environment and the local economy a wealth of good. Subsequently, 4 billion gallons of renewable fuel were added to the gasoline supply in 2006, which rose to 4.7 billion gallons in 2007 and 7.5 billion in 2012. Problem is, ethanol isn’t all that great! Life cycle assessments have shown </w:t>
      </w:r>
      <w:r w:rsidRPr="005C5DBA">
        <w:rPr>
          <w:rStyle w:val="StyleBoldUnderline"/>
        </w:rPr>
        <w:t>that corn ethanol has little to no effect on reducing carbon dioxide emissions and may in fact increase them. On top of that, the farmland needed to grow all that corn is encroaching on natural habitats</w:t>
      </w:r>
      <w:r w:rsidRPr="003A5899">
        <w:rPr>
          <w:sz w:val="16"/>
          <w:szCs w:val="16"/>
        </w:rPr>
        <w:t xml:space="preserve">. Considering that in 2010 fuel ethanol consumed 40% of the US corn stocks, and the US is also responsible for 40% of the world’s corn supplies, corn prices have skyrocketed. Since 2005, </w:t>
      </w:r>
      <w:r w:rsidRPr="005C5DBA">
        <w:rPr>
          <w:rStyle w:val="StyleBoldUnderline"/>
        </w:rPr>
        <w:t>we’ve seen the battery electric vehicle (BEV) increase in popularity and efficiency, but charging an electric vehicle from fossil fuels doesn’t make a lot of sense</w:t>
      </w:r>
      <w:r w:rsidRPr="003A5899">
        <w:rPr>
          <w:sz w:val="16"/>
          <w:szCs w:val="16"/>
        </w:rPr>
        <w:t xml:space="preserve"> (even though doing so is still </w:t>
      </w:r>
      <w:r w:rsidR="00DA51D8">
        <w:fldChar w:fldCharType="begin"/>
      </w:r>
      <w:r w:rsidR="00DA51D8">
        <w:instrText xml:space="preserve"> HYPERLINK "http://cleantechnica.com/2012/04/18/electric-vehicles-greenhouse-gas-emissions-save-money/" \t "_blank" \o "much better for the environment than using petrol/gasoline" </w:instrText>
      </w:r>
      <w:r w:rsidR="00DA51D8">
        <w:fldChar w:fldCharType="separate"/>
      </w:r>
      <w:r w:rsidRPr="003A5899">
        <w:rPr>
          <w:rStyle w:val="Hyperlink"/>
          <w:sz w:val="16"/>
          <w:szCs w:val="16"/>
        </w:rPr>
        <w:t>much better for the environment than using petrol/gasoline</w:t>
      </w:r>
      <w:r w:rsidR="00DA51D8">
        <w:rPr>
          <w:rStyle w:val="Hyperlink"/>
          <w:sz w:val="16"/>
          <w:szCs w:val="16"/>
        </w:rPr>
        <w:fldChar w:fldCharType="end"/>
      </w:r>
      <w:r w:rsidRPr="003A5899">
        <w:rPr>
          <w:sz w:val="16"/>
          <w:szCs w:val="16"/>
        </w:rPr>
        <w:t xml:space="preserve">). </w:t>
      </w:r>
      <w:r w:rsidRPr="005C5DBA">
        <w:rPr>
          <w:rStyle w:val="StyleBoldUnderline"/>
        </w:rPr>
        <w:t>It would be ideal if we could charge our electric cars using renewable sources, like solar</w:t>
      </w:r>
      <w:r w:rsidRPr="003A5899">
        <w:rPr>
          <w:sz w:val="16"/>
          <w:szCs w:val="16"/>
        </w:rPr>
        <w:t xml:space="preserve">. Here is where Geyer — and former BrenSchool researcher David Stoms and James Kallaos, of the Norwegian University of Science and Technology — re-enter the picture. </w:t>
      </w:r>
      <w:r w:rsidRPr="005C5DBA">
        <w:rPr>
          <w:rStyle w:val="StyleBoldUnderline"/>
        </w:rPr>
        <w:t>They wanted to find out what would be better; corn grown from the sun turned into fuel or electric vehicles charged by the sun</w:t>
      </w:r>
      <w:r w:rsidRPr="003A5899">
        <w:rPr>
          <w:sz w:val="16"/>
          <w:szCs w:val="16"/>
        </w:rPr>
        <w:t xml:space="preserve">. Even the laxest of CleanTechnica readers would be able to make an educated guess at the result. According to the research, published in the journal Environmental Science &amp; Technology, </w:t>
      </w:r>
      <w:r w:rsidRPr="005C5DBA">
        <w:rPr>
          <w:rStyle w:val="StyleBoldUnderline"/>
        </w:rPr>
        <w:t>photovoltaics is a much more efficient option than biomass. “PV is orders of magnitude more efficient than biofuels pathways in terms of land use – 30, 50, even 200 times more efficient – depending on the specific crop and local conditions</w:t>
      </w:r>
      <w:r w:rsidRPr="003A5899">
        <w:rPr>
          <w:sz w:val="16"/>
          <w:szCs w:val="16"/>
        </w:rPr>
        <w:t>,” says Geyer. “</w:t>
      </w:r>
      <w:r w:rsidRPr="005C5DBA">
        <w:rPr>
          <w:rStyle w:val="StyleBoldUnderline"/>
        </w:rPr>
        <w:t>You get the same amount of energy using much less land, and PV doesn’t require farm land</w:t>
      </w:r>
      <w:r w:rsidRPr="003A5899">
        <w:rPr>
          <w:sz w:val="16"/>
          <w:szCs w:val="16"/>
        </w:rPr>
        <w:t xml:space="preserve">.” And </w:t>
      </w:r>
      <w:r w:rsidRPr="005C5DBA">
        <w:rPr>
          <w:rStyle w:val="StyleBoldUnderline"/>
        </w:rPr>
        <w:t>when you include recent WWF research that shows</w:t>
      </w:r>
      <w:r w:rsidRPr="003A5899">
        <w:rPr>
          <w:sz w:val="16"/>
          <w:szCs w:val="16"/>
        </w:rPr>
        <w:t xml:space="preserve"> </w:t>
      </w:r>
      <w:r w:rsidR="00DA51D8">
        <w:fldChar w:fldCharType="begin"/>
      </w:r>
      <w:r w:rsidR="00DA51D8">
        <w:instrText xml:space="preserve"> HYPERLINK "http://cleantechnica.com/2013/0</w:instrText>
      </w:r>
      <w:r w:rsidR="00DA51D8">
        <w:instrText xml:space="preserve">1/17/wwf-report-finds-solar-land-use-doesnt-conflict-with-conservation-goals/" \t "_blank" \o "that land used for solar panels is being significantly underused" </w:instrText>
      </w:r>
      <w:r w:rsidR="00DA51D8">
        <w:fldChar w:fldCharType="separate"/>
      </w:r>
      <w:r w:rsidRPr="005C5DBA">
        <w:rPr>
          <w:rStyle w:val="StyleBoldUnderline"/>
        </w:rPr>
        <w:t>that land used for solar panels is being significantly underused</w:t>
      </w:r>
      <w:r w:rsidR="00DA51D8">
        <w:rPr>
          <w:rStyle w:val="StyleBoldUnderline"/>
        </w:rPr>
        <w:fldChar w:fldCharType="end"/>
      </w:r>
      <w:r w:rsidRPr="005C5DBA">
        <w:rPr>
          <w:rStyle w:val="StyleBoldUnderline"/>
        </w:rPr>
        <w:t>, the biomass option seems absurdly outdated</w:t>
      </w:r>
      <w:r w:rsidRPr="003A5899">
        <w:rPr>
          <w:sz w:val="16"/>
          <w:szCs w:val="16"/>
        </w:rPr>
        <w:t xml:space="preserve">. And when you include recent WWF research that shows </w:t>
      </w:r>
      <w:r w:rsidR="00DA51D8">
        <w:fldChar w:fldCharType="begin"/>
      </w:r>
      <w:r w:rsidR="00DA51D8">
        <w:instrText xml:space="preserve"> HYPERLINK "http://cleantechnica.com/2013/01/17/wwf-report-finds-solar-land-use-doesnt-conflict-with-conservation-goals/" \t "_blank" \o "that land used for solar panels is being signifi</w:instrText>
      </w:r>
      <w:r w:rsidR="00DA51D8">
        <w:instrText xml:space="preserve">cantly underused" </w:instrText>
      </w:r>
      <w:r w:rsidR="00DA51D8">
        <w:fldChar w:fldCharType="separate"/>
      </w:r>
      <w:r w:rsidRPr="003A5899">
        <w:rPr>
          <w:rStyle w:val="Hyperlink"/>
          <w:sz w:val="16"/>
          <w:szCs w:val="16"/>
        </w:rPr>
        <w:t>that land used for solar panels is being significantly underused</w:t>
      </w:r>
      <w:r w:rsidR="00DA51D8">
        <w:rPr>
          <w:rStyle w:val="Hyperlink"/>
          <w:sz w:val="16"/>
          <w:szCs w:val="16"/>
        </w:rPr>
        <w:fldChar w:fldCharType="end"/>
      </w:r>
      <w:r w:rsidRPr="003A5899">
        <w:rPr>
          <w:sz w:val="16"/>
          <w:szCs w:val="16"/>
        </w:rPr>
        <w:t>, the biomass option seems absurdly outdated. Geyer and his colleagues set about examining three ways in which sunlight is able to power cars: convert corn or other plants to ethanol convert energy crops into electricity for BEVs rather than producing ethanol using photovoltaics to convert sunlight directly into electricity for BEVs They then examined five prominent “sun-to-wheels” energy conversion pathways for every county in the contiguous US. These included: ethanol from corn ethanol from switchgrass electricity from corn electricity from switchgrass photovoltaic electricity By focusing the life cycle assessment on three key impacts of electricity generation — direct land use, life cycle greenhouse gas emissions, and fossil fuel requirements — they found that photovoltaic electricity for battery electric vehicles was easily the best option. “</w:t>
      </w:r>
      <w:r w:rsidRPr="005C5DBA">
        <w:rPr>
          <w:rStyle w:val="StyleBoldUnderline"/>
        </w:rPr>
        <w:t>Even the most efficient biomass-based pathway… requires 29 times more land than the PV-based alternative in the same locations</w:t>
      </w:r>
      <w:r w:rsidRPr="003A5899">
        <w:rPr>
          <w:sz w:val="16"/>
          <w:szCs w:val="16"/>
        </w:rPr>
        <w:t>,” the authors write. “</w:t>
      </w:r>
      <w:r w:rsidRPr="005C5DBA">
        <w:rPr>
          <w:rStyle w:val="StyleBoldUnderline"/>
        </w:rPr>
        <w:t>PV BEV systems also have the lowest life-cycle GHG emissions throughout the U.S. and the lowest fossil fuel inputs</w:t>
      </w:r>
      <w:r w:rsidRPr="003A5899">
        <w:rPr>
          <w:sz w:val="16"/>
          <w:szCs w:val="16"/>
        </w:rPr>
        <w:t xml:space="preserve">, except in locations that have very high hypothetical switchgrass yields of 16 or more tons per hectare.” What does this mean for the future? “What it says to me is that </w:t>
      </w:r>
      <w:r w:rsidRPr="005C5DBA">
        <w:rPr>
          <w:rStyle w:val="StyleBoldUnderline"/>
        </w:rPr>
        <w:t>by continuing to throw money into biofuels, we’re barking up the wrong tree,” Geyer explains. “That’s because of a fundamental constraint, which is the relative inefficiency of photosynthesis</w:t>
      </w:r>
      <w:r w:rsidRPr="003A5899">
        <w:rPr>
          <w:sz w:val="16"/>
          <w:szCs w:val="16"/>
        </w:rPr>
        <w:t xml:space="preserve">. And </w:t>
      </w:r>
      <w:r w:rsidRPr="005C5DBA">
        <w:rPr>
          <w:rStyle w:val="StyleBoldUnderline"/>
        </w:rPr>
        <w:t>we can’t say that right now, biofuels aren’t so great but they’ll be better in five years. That fundamental problem for biofuels will not go away, while solar EVs will just continue to get more efficient and cheaper</w:t>
      </w:r>
      <w:r w:rsidRPr="003A5899">
        <w:rPr>
          <w:sz w:val="16"/>
          <w:szCs w:val="16"/>
        </w:rPr>
        <w:t xml:space="preserve">. </w:t>
      </w:r>
      <w:r w:rsidRPr="005C5DBA">
        <w:rPr>
          <w:rStyle w:val="StyleBoldUnderline"/>
        </w:rPr>
        <w:t>If they’re already looking better than biofuels, in five years the gap will be even greater</w:t>
      </w:r>
      <w:r w:rsidRPr="003A5899">
        <w:rPr>
          <w:sz w:val="16"/>
          <w:szCs w:val="16"/>
        </w:rPr>
        <w:t xml:space="preserve">. A search for a silver bullet is under way through ‘synthetic photosynthesis,’ but using genetic engineering to improve the efficiency of photosynthesis is a pipe dream. If there is a silver bullet in energy, I think it’s solar power.” Taking into account the previously mentioned WWF report — which detailed the fact that </w:t>
      </w:r>
      <w:r w:rsidRPr="005C5DBA">
        <w:rPr>
          <w:rStyle w:val="StyleBoldUnderline"/>
        </w:rPr>
        <w:t xml:space="preserve">if 100% of the planet’s electricity was generated by solar farms the total land use would only amount to less than 1% </w:t>
      </w:r>
      <w:r w:rsidRPr="003A5899">
        <w:rPr>
          <w:sz w:val="16"/>
          <w:szCs w:val="16"/>
        </w:rPr>
        <w:t xml:space="preserve">— Geyer’s faith in photovoltaics is well held. Putting aside for a moment the tremendous cost currently invested in developing and growing ethanol fuel crops, the other uses to which those funds (and crops) could be put to use, and the unsure science of “clean ethanol,” the reality is that </w:t>
      </w:r>
      <w:r w:rsidRPr="005C5DBA">
        <w:rPr>
          <w:rStyle w:val="StyleBoldUnderline"/>
        </w:rPr>
        <w:t>photovoltaic power is turning out to be a more financially and economically efficient option.</w:t>
      </w:r>
    </w:p>
    <w:p w:rsidR="0017246A" w:rsidRPr="005C5DBA" w:rsidRDefault="0017246A" w:rsidP="0017246A">
      <w:pPr>
        <w:pStyle w:val="Heading4"/>
      </w:pPr>
      <w:r w:rsidRPr="005C5DBA">
        <w:lastRenderedPageBreak/>
        <w:t>Solar energy massively more efficient than biofuels – scientific conversion maximums</w:t>
      </w:r>
    </w:p>
    <w:p w:rsidR="0017246A" w:rsidRPr="005C5DBA" w:rsidRDefault="0017246A" w:rsidP="0017246A">
      <w:pPr>
        <w:rPr>
          <w:sz w:val="16"/>
          <w:szCs w:val="16"/>
        </w:rPr>
      </w:pPr>
      <w:r w:rsidRPr="005C5DBA">
        <w:rPr>
          <w:rStyle w:val="StyleStyleBold12pt"/>
        </w:rPr>
        <w:t>Tan 12</w:t>
      </w:r>
      <w:r w:rsidRPr="005C5DBA">
        <w:rPr>
          <w:sz w:val="16"/>
          <w:szCs w:val="16"/>
        </w:rPr>
        <w:t xml:space="preserve"> (Daniel, Senior Lecturer in Agriculture at University of Sydney, “For efficient energy, do you want solar panels or biofuels?”, The Conversation, 9/20/12, http://theconversation.com/for-efficient-energy-do-you-want-solar-panels-or-biofuels-9160)</w:t>
      </w:r>
    </w:p>
    <w:p w:rsidR="0017246A" w:rsidRPr="005C5DBA" w:rsidRDefault="0017246A" w:rsidP="0017246A">
      <w:pPr>
        <w:rPr>
          <w:sz w:val="16"/>
          <w:szCs w:val="16"/>
        </w:rPr>
      </w:pPr>
      <w:r w:rsidRPr="005C5DBA">
        <w:rPr>
          <w:sz w:val="16"/>
          <w:szCs w:val="16"/>
        </w:rPr>
        <w:t xml:space="preserve">About 80% of the world’s </w:t>
      </w:r>
      <w:hyperlink r:id="rId25" w:history="1">
        <w:r w:rsidRPr="005C5DBA">
          <w:rPr>
            <w:rStyle w:val="Hyperlink"/>
            <w:sz w:val="16"/>
            <w:szCs w:val="16"/>
          </w:rPr>
          <w:t>total energy consumption</w:t>
        </w:r>
      </w:hyperlink>
      <w:r w:rsidRPr="005C5DBA">
        <w:rPr>
          <w:sz w:val="16"/>
          <w:szCs w:val="16"/>
        </w:rPr>
        <w:t xml:space="preserve"> is derived from fossil fuels, with only 12.5% from renewable resources. </w:t>
      </w:r>
      <w:r w:rsidRPr="005C5DBA">
        <w:t>Replacing fossil fuels with renewable energy sources derived from sunlight</w:t>
      </w:r>
      <w:r w:rsidRPr="005C5DBA">
        <w:rPr>
          <w:rStyle w:val="StyleBoldUnderline"/>
        </w:rPr>
        <w:t xml:space="preserve"> </w:t>
      </w:r>
      <w:r w:rsidRPr="005C5DBA">
        <w:rPr>
          <w:sz w:val="16"/>
          <w:szCs w:val="16"/>
        </w:rPr>
        <w:t xml:space="preserve">- such as photovoltaic solar panels, wind or biomass - is very challenging because these energy sources have a lower energy density and are generally more expensive. So </w:t>
      </w:r>
      <w:r w:rsidRPr="005C5DBA">
        <w:rPr>
          <w:rStyle w:val="StyleBoldUnderline"/>
        </w:rPr>
        <w:t>if you want to maximise the efficiency of converting solar energy to renewable energy, what should you choose: solar panels or biofuels?</w:t>
      </w:r>
      <w:r w:rsidRPr="005C5DBA">
        <w:rPr>
          <w:sz w:val="16"/>
          <w:szCs w:val="16"/>
        </w:rPr>
        <w:t xml:space="preserve"> Energy conversion efficiency of solar panels The total power from sunlight reaching the earth’s surface is </w:t>
      </w:r>
      <w:hyperlink r:id="rId26" w:history="1">
        <w:r w:rsidRPr="005C5DBA">
          <w:rPr>
            <w:rStyle w:val="Hyperlink"/>
            <w:sz w:val="16"/>
            <w:szCs w:val="16"/>
          </w:rPr>
          <w:t>about 101,000 terawatts</w:t>
        </w:r>
      </w:hyperlink>
      <w:r w:rsidRPr="005C5DBA">
        <w:rPr>
          <w:sz w:val="16"/>
          <w:szCs w:val="16"/>
        </w:rPr>
        <w:t xml:space="preserve"> (~2,500,000 EJ). However, solar energy is geographically diffuse - some places are sunnier than others. This makes it important to efficiently convert sunlight, capturing its energy in useful forms. </w:t>
      </w:r>
      <w:r w:rsidRPr="005C5DBA">
        <w:rPr>
          <w:rStyle w:val="StyleBoldUnderline"/>
        </w:rPr>
        <w:t xml:space="preserve">The maximum conversion efficiency </w:t>
      </w:r>
      <w:hyperlink r:id="rId27" w:history="1">
        <w:r w:rsidRPr="005C5DBA">
          <w:rPr>
            <w:rStyle w:val="StyleBoldUnderline"/>
          </w:rPr>
          <w:t>theoretically possible</w:t>
        </w:r>
      </w:hyperlink>
      <w:r w:rsidRPr="005C5DBA">
        <w:rPr>
          <w:rStyle w:val="StyleBoldUnderline"/>
        </w:rPr>
        <w:t xml:space="preserve"> for sunlight is </w:t>
      </w:r>
      <w:hyperlink r:id="rId28" w:history="1">
        <w:r w:rsidRPr="005C5DBA">
          <w:rPr>
            <w:rStyle w:val="StyleBoldUnderline"/>
          </w:rPr>
          <w:t>93%</w:t>
        </w:r>
      </w:hyperlink>
      <w:r w:rsidRPr="005C5DBA">
        <w:rPr>
          <w:sz w:val="16"/>
          <w:szCs w:val="16"/>
        </w:rPr>
        <w:t xml:space="preserve"> - of all the power generated by sunlight, only 93% can be turned into electricity. </w:t>
      </w:r>
      <w:r w:rsidRPr="005C5DBA">
        <w:rPr>
          <w:rStyle w:val="StyleBoldUnderline"/>
        </w:rPr>
        <w:t>Photovoltaic cells in solar panels have efficiencies of around 15–20% for converting sunlight into electricity</w:t>
      </w:r>
      <w:r w:rsidRPr="005C5DBA">
        <w:rPr>
          <w:sz w:val="16"/>
          <w:szCs w:val="16"/>
        </w:rPr>
        <w:t xml:space="preserve">, but won’t ever reach that theoretical 93%. </w:t>
      </w:r>
      <w:r w:rsidRPr="005C5DBA">
        <w:rPr>
          <w:rStyle w:val="StyleBoldUnderline"/>
        </w:rPr>
        <w:t xml:space="preserve">They are limited to a maximum conversion efficiency of </w:t>
      </w:r>
      <w:hyperlink r:id="rId29" w:history="1">
        <w:r w:rsidRPr="005C5DBA">
          <w:rPr>
            <w:rStyle w:val="StyleBoldUnderline"/>
          </w:rPr>
          <w:t>~30%</w:t>
        </w:r>
      </w:hyperlink>
      <w:r w:rsidRPr="005C5DBA">
        <w:rPr>
          <w:rStyle w:val="StyleBoldUnderline"/>
        </w:rPr>
        <w:t>, largely because we only have technology to convert some parts of the spectrum to electricity</w:t>
      </w:r>
      <w:r w:rsidRPr="005C5DBA">
        <w:rPr>
          <w:sz w:val="16"/>
          <w:szCs w:val="16"/>
        </w:rPr>
        <w:t xml:space="preserve">. This limit is described by the </w:t>
      </w:r>
      <w:hyperlink r:id="rId30" w:history="1">
        <w:r w:rsidRPr="005C5DBA">
          <w:rPr>
            <w:rStyle w:val="Hyperlink"/>
            <w:sz w:val="16"/>
            <w:szCs w:val="16"/>
          </w:rPr>
          <w:t>Shockley-Queisser limit</w:t>
        </w:r>
      </w:hyperlink>
      <w:r w:rsidRPr="005C5DBA">
        <w:rPr>
          <w:sz w:val="16"/>
          <w:szCs w:val="16"/>
        </w:rPr>
        <w:t xml:space="preserve">. </w:t>
      </w:r>
      <w:hyperlink r:id="rId31" w:history="1">
        <w:r w:rsidRPr="005C5DBA">
          <w:rPr>
            <w:rStyle w:val="StyleBoldUnderline"/>
          </w:rPr>
          <w:t>Recent discoveries</w:t>
        </w:r>
      </w:hyperlink>
      <w:r w:rsidRPr="005C5DBA">
        <w:rPr>
          <w:rStyle w:val="StyleBoldUnderline"/>
        </w:rPr>
        <w:t xml:space="preserve"> may expand this limit somewhat</w:t>
      </w:r>
      <w:r w:rsidRPr="005C5DBA">
        <w:rPr>
          <w:sz w:val="16"/>
          <w:szCs w:val="16"/>
        </w:rPr>
        <w:t xml:space="preserve">. Energy conversion efficiency of photosynthesis </w:t>
      </w:r>
      <w:r w:rsidRPr="005C5DBA">
        <w:rPr>
          <w:rStyle w:val="StyleBoldUnderline"/>
        </w:rPr>
        <w:t>Photosynthesis is the source of the world’s food, animal feed, fibre and timber. It is also the source of biomass-based biofuels that can be a source of renewable energy</w:t>
      </w:r>
      <w:r w:rsidRPr="005C5DBA">
        <w:rPr>
          <w:sz w:val="16"/>
          <w:szCs w:val="16"/>
        </w:rPr>
        <w:t xml:space="preserve">. Microalgae being converted to energy in a photobioreactor. Susan Pond Starch and sucrose are the main products of photosynthesis. Photosynthesis occurs in cyanobacteria, algae, phytoplankton and plants and is summarised by the equation: CO₂+ H₂O + light energy = [CH₂O] + O₂ </w:t>
      </w:r>
      <w:r w:rsidRPr="005C5DBA">
        <w:rPr>
          <w:rStyle w:val="StyleBoldUnderline"/>
        </w:rPr>
        <w:t xml:space="preserve">The maximum efficiency of converting solar energy to biomass energy is estimated at about: </w:t>
      </w:r>
      <w:hyperlink r:id="rId32" w:history="1">
        <w:r w:rsidRPr="005C5DBA">
          <w:rPr>
            <w:rStyle w:val="StyleBoldUnderline"/>
          </w:rPr>
          <w:t>4.5%</w:t>
        </w:r>
      </w:hyperlink>
      <w:r w:rsidRPr="005C5DBA">
        <w:rPr>
          <w:rStyle w:val="StyleBoldUnderline"/>
        </w:rPr>
        <w:t xml:space="preserve"> for algae 4.3% for C3 land plants</w:t>
      </w:r>
      <w:r w:rsidRPr="005C5DBA">
        <w:rPr>
          <w:sz w:val="16"/>
          <w:szCs w:val="16"/>
        </w:rPr>
        <w:t xml:space="preserve"> (including woody, round-leafed plants; 95% of all plants) </w:t>
      </w:r>
      <w:hyperlink r:id="rId33" w:history="1">
        <w:r w:rsidRPr="005C5DBA">
          <w:rPr>
            <w:rStyle w:val="StyleBoldUnderline"/>
          </w:rPr>
          <w:t>6%</w:t>
        </w:r>
      </w:hyperlink>
      <w:r w:rsidRPr="005C5DBA">
        <w:rPr>
          <w:rStyle w:val="StyleBoldUnderline"/>
        </w:rPr>
        <w:t xml:space="preserve"> for C4 land plants</w:t>
      </w:r>
      <w:r w:rsidRPr="005C5DBA">
        <w:rPr>
          <w:sz w:val="16"/>
          <w:szCs w:val="16"/>
        </w:rPr>
        <w:t xml:space="preserve"> (such as sugarcane, switchgrass,Miscanthus and sweet sorghum). Minimum energy sources associated with biomass production. Zhu et al 2010This analysis indicates that </w:t>
      </w:r>
      <w:r w:rsidRPr="005C5DBA">
        <w:rPr>
          <w:rStyle w:val="StyleBoldUnderline"/>
        </w:rPr>
        <w:t>a theoretical maximal photosynthetic energy conversion efficiency is 4.6% for C3 and 6% for C4 plants.</w:t>
      </w:r>
      <w:r w:rsidRPr="005C5DBA">
        <w:rPr>
          <w:sz w:val="16"/>
          <w:szCs w:val="16"/>
        </w:rPr>
        <w:t xml:space="preserve"> Plants are limited by their dependence on photons that fall in the approximate waveband 400-700 nm, and by inherent inefficiencies of enzymes and biochemical processes and light saturation under bright conditions. Their respiration consumes 30-60% of the energy they </w:t>
      </w:r>
      <w:hyperlink r:id="rId34" w:history="1">
        <w:r w:rsidRPr="005C5DBA">
          <w:rPr>
            <w:rStyle w:val="Hyperlink"/>
            <w:sz w:val="16"/>
            <w:szCs w:val="16"/>
          </w:rPr>
          <w:t>make from photosynthesis</w:t>
        </w:r>
      </w:hyperlink>
      <w:r w:rsidRPr="005C5DBA">
        <w:rPr>
          <w:sz w:val="16"/>
          <w:szCs w:val="16"/>
        </w:rPr>
        <w:t xml:space="preserve">, and of course they spend half of each day in the dark and need to use previous carbohydrate stores to </w:t>
      </w:r>
      <w:hyperlink r:id="rId35" w:history="1">
        <w:r w:rsidRPr="005C5DBA">
          <w:rPr>
            <w:rStyle w:val="Hyperlink"/>
            <w:sz w:val="16"/>
            <w:szCs w:val="16"/>
          </w:rPr>
          <w:t>keep them growing</w:t>
        </w:r>
      </w:hyperlink>
      <w:r w:rsidRPr="005C5DBA">
        <w:rPr>
          <w:sz w:val="16"/>
          <w:szCs w:val="16"/>
        </w:rPr>
        <w:t xml:space="preserve">. </w:t>
      </w:r>
      <w:r w:rsidRPr="005C5DBA">
        <w:rPr>
          <w:rStyle w:val="StyleBoldUnderline"/>
        </w:rPr>
        <w:t xml:space="preserve">Actual conversion efficiency is generally lower than the calculated potential efficiency. It’s around 3.2% </w:t>
      </w:r>
      <w:hyperlink r:id="rId36" w:history="1">
        <w:r w:rsidRPr="005C5DBA">
          <w:rPr>
            <w:rStyle w:val="StyleBoldUnderline"/>
          </w:rPr>
          <w:t>for algae</w:t>
        </w:r>
      </w:hyperlink>
      <w:r w:rsidRPr="005C5DBA">
        <w:rPr>
          <w:rStyle w:val="StyleBoldUnderline"/>
        </w:rPr>
        <w:t xml:space="preserve">, and 2.4% and 3.7% for the most productive </w:t>
      </w:r>
      <w:hyperlink r:id="rId37" w:history="1">
        <w:r w:rsidRPr="005C5DBA">
          <w:rPr>
            <w:rStyle w:val="StyleBoldUnderline"/>
          </w:rPr>
          <w:t>C3 and C4 crops</w:t>
        </w:r>
      </w:hyperlink>
      <w:r w:rsidRPr="005C5DBA">
        <w:rPr>
          <w:rStyle w:val="StyleBoldUnderline"/>
        </w:rPr>
        <w:t xml:space="preserve"> across a full growing season</w:t>
      </w:r>
      <w:r w:rsidRPr="005C5DBA">
        <w:rPr>
          <w:sz w:val="16"/>
          <w:szCs w:val="16"/>
        </w:rPr>
        <w:t xml:space="preserve">. Efficiency reductions are due to insufficient capacity to use all the radiation that falls on a leaf. Plants' photoprotective mechanisms, evolved to stop leaves oxidising, also reduce efficiency. Of course, plants are self-regenerating whereas photovoltaic cells are not. Solar radiation may be the ultimate source of renewable energy, and biofuels will continue to be a major avenue for its use. </w:t>
      </w:r>
      <w:r w:rsidRPr="005C5DBA">
        <w:rPr>
          <w:rStyle w:val="StyleBoldUnderline"/>
        </w:rPr>
        <w:t xml:space="preserve">Solar-energy conversion efficiency by even the most productive plant communities is less than 5%, while photovoltaic cells in solar panels may approach 20%. </w:t>
      </w:r>
      <w:r w:rsidRPr="005C5DBA">
        <w:rPr>
          <w:sz w:val="16"/>
          <w:szCs w:val="16"/>
        </w:rPr>
        <w:t>Photosynthesis is now used extensively in agriculture to produce food, feed, fibre, and biofuels. But the current biofuels (bioethanol and biodiesel), mainly produced from first generation feedstocks (such as sucrose from sugarcane, carbohydrates from maize seeds, and lipids from rapeseed seeds) constitute only a small fraction (1%) of present transportation energy.</w:t>
      </w:r>
    </w:p>
    <w:p w:rsidR="0017246A" w:rsidRPr="00132D78" w:rsidRDefault="0017246A" w:rsidP="0017246A">
      <w:pPr>
        <w:pStyle w:val="Heading3"/>
      </w:pPr>
      <w:r w:rsidRPr="00132D78">
        <w:lastRenderedPageBreak/>
        <w:t>Energy Dependence Solvency</w:t>
      </w:r>
      <w:r>
        <w:t>---2NC</w:t>
      </w:r>
    </w:p>
    <w:p w:rsidR="0017246A" w:rsidRDefault="0017246A" w:rsidP="0017246A">
      <w:pPr>
        <w:pStyle w:val="Heading4"/>
      </w:pPr>
      <w:r>
        <w:t>Solves energy independence – investment is key</w:t>
      </w:r>
    </w:p>
    <w:p w:rsidR="0017246A" w:rsidRPr="00132D78" w:rsidRDefault="0017246A" w:rsidP="0017246A">
      <w:pPr>
        <w:rPr>
          <w:sz w:val="16"/>
          <w:szCs w:val="16"/>
        </w:rPr>
      </w:pPr>
      <w:r w:rsidRPr="00132D78">
        <w:rPr>
          <w:rStyle w:val="StyleStyleBold12pt"/>
        </w:rPr>
        <w:t>Woody 12</w:t>
      </w:r>
      <w:r w:rsidRPr="00132D78">
        <w:rPr>
          <w:sz w:val="16"/>
          <w:szCs w:val="16"/>
        </w:rPr>
        <w:t xml:space="preserve"> (Todd, “Solar: Life, Liberty And The Pursuit of Energy Independence”, Forbes, 7/4/12, http://www.forbes.com/sites/toddwoody/2012/07/04/solar-life-liberty-and-the-pursuit-of-energy-independence/)</w:t>
      </w:r>
    </w:p>
    <w:p w:rsidR="0017246A" w:rsidRDefault="0017246A" w:rsidP="0017246A">
      <w:pPr>
        <w:rPr>
          <w:rStyle w:val="StyleBoldUnderline"/>
        </w:rPr>
      </w:pPr>
      <w:r w:rsidRPr="005C5DBA">
        <w:rPr>
          <w:sz w:val="16"/>
          <w:szCs w:val="16"/>
        </w:rPr>
        <w:t xml:space="preserve">No energy source is more American than solar. Technologies to convert sunshine to electricity were pioneered in the U.S. half a century ago at Bell Labs, and quickly became a source of inspiration and imagination. </w:t>
      </w:r>
      <w:r w:rsidRPr="00D033BF">
        <w:rPr>
          <w:rStyle w:val="StyleBoldUnderline"/>
        </w:rPr>
        <w:t>In the last several years, solar energy has awoken from yesterday’s dream to today’s reality. Last year, the U.S. solar energy market more than doubled in size, creating jobs in every state</w:t>
      </w:r>
      <w:r w:rsidRPr="005C5DBA">
        <w:rPr>
          <w:sz w:val="16"/>
          <w:szCs w:val="16"/>
        </w:rPr>
        <w:t xml:space="preserve">. You can harness solar energy in every city and county in the country, and even in every Congressional district – although you wouldn’t know that given the way candidates in this year’s elections have misconstrued and abused the facts about solar. Let’s set the record straight: solar isn’t an issue of the right or the left, conservative or liberal, Republican or Democrat. In fact, </w:t>
      </w:r>
      <w:r w:rsidRPr="00D033BF">
        <w:rPr>
          <w:rStyle w:val="StyleBoldUnderline"/>
        </w:rPr>
        <w:t>solar isn’t an issue at all – it’s a set of smart technologies that today power hundreds of thousands of homes and businesses across this nation. Solar is a domestic, reliable, renewable, abundant solution that helps ensure our nation’s energy independence and security</w:t>
      </w:r>
      <w:r w:rsidRPr="005C5DBA">
        <w:rPr>
          <w:sz w:val="16"/>
          <w:szCs w:val="16"/>
        </w:rPr>
        <w:t xml:space="preserve">. Solar is American. Politicians on both sides of the aisle should open their eyes to the fastest growing energy source in America, surging ahead against hard economic times. They should understand that </w:t>
      </w:r>
      <w:r w:rsidRPr="00D033BF">
        <w:rPr>
          <w:rStyle w:val="StyleBoldUnderline"/>
        </w:rPr>
        <w:t xml:space="preserve">solar affords Americans – at homes, workplaces and businesses – the ability to generate heat and power cleanly, safely and affordably. </w:t>
      </w:r>
      <w:r w:rsidRPr="005C5DBA">
        <w:rPr>
          <w:sz w:val="16"/>
          <w:szCs w:val="16"/>
        </w:rPr>
        <w:t xml:space="preserve">As they ready for debates and town hall meetings, they surely should know that solar now employs 100,000 Americans at more than 5,600 companies – the vast majority of them small businesses – across all 50 states. One of the largest users of solar in the world is our own military. Army, Air Force, Coast Guard, Marines and Navy all rely on strong, reliable solar power. The industry is proud to provide the solar equipment our armed forces need to power bases, run overseas operations, and defend our nation. Meanwhile, solar companies are actively recruiting servicemen and servicewomen returning from overseas, while still other veterans establish and grow solar companies in their own hometowns. </w:t>
      </w:r>
      <w:r w:rsidRPr="00D033BF">
        <w:rPr>
          <w:rStyle w:val="StyleBoldUnderline"/>
        </w:rPr>
        <w:t>Yet, we are in danger of losing our lead in our own homegrown solar technologies. After being recognized for decades as the worldwide leader in solar, America has fallen behind Germany, Italy and China</w:t>
      </w:r>
      <w:r w:rsidRPr="005C5DBA">
        <w:rPr>
          <w:sz w:val="16"/>
          <w:szCs w:val="16"/>
        </w:rPr>
        <w:t xml:space="preserve">. While we dawdle in misinformed mudslinging as some politicians sow lies and mistrust over solar, other nations embrace the sun to power their economies. </w:t>
      </w:r>
      <w:r w:rsidRPr="00D033BF">
        <w:rPr>
          <w:rStyle w:val="StyleBoldUnderline"/>
        </w:rPr>
        <w:t>Global competition exists across all sectors of the economy and the solar industry is no different. Only the strongest companies will survive</w:t>
      </w:r>
      <w:r w:rsidRPr="005C5DBA">
        <w:rPr>
          <w:sz w:val="16"/>
          <w:szCs w:val="16"/>
        </w:rPr>
        <w:t xml:space="preserve">. We recently witnessed similar competition, including spectacular failures, as the mobile phone and Internet industries grew. As an industry matures, consolidation occurs. The solar industry is maturing – and there is no doubt that it will continue to thrive. </w:t>
      </w:r>
      <w:r w:rsidRPr="00D033BF">
        <w:rPr>
          <w:rStyle w:val="StyleBoldUnderline"/>
        </w:rPr>
        <w:t>The question is: Will the solar industry still boom in America, or will it move overseas? If our politicians have their way, kicking solar like a political football, we may not like the answer</w:t>
      </w:r>
      <w:r w:rsidRPr="005C5DBA">
        <w:rPr>
          <w:sz w:val="16"/>
          <w:szCs w:val="16"/>
        </w:rPr>
        <w:t xml:space="preserve">. As other nations profit from our innovation, we may look back and regret that we were so shortsighted. Elected officials need to stop viewing solar through a political prism and recognize solar’s strengths: an American-born engine of tremendous growth that’s creating jobs, empowering small businesses, and helping drive our economy. On this Independence Day, consider this: </w:t>
      </w:r>
      <w:r w:rsidRPr="00D033BF">
        <w:rPr>
          <w:rStyle w:val="StyleBoldUnderline"/>
        </w:rPr>
        <w:t>enough solar energy hits the U.S. each hour to power our nation for a year. It doesn’t have to be imported, or defended in faraway wars</w:t>
      </w:r>
      <w:r w:rsidRPr="005C5DBA">
        <w:rPr>
          <w:sz w:val="16"/>
          <w:szCs w:val="16"/>
        </w:rPr>
        <w:t xml:space="preserve">. You can use solar power if you’re a general at Fort Bliss, Texas or a small business in </w:t>
      </w:r>
      <w:hyperlink r:id="rId38" w:history="1">
        <w:r w:rsidRPr="005C5DBA">
          <w:rPr>
            <w:rStyle w:val="Hyperlink"/>
            <w:sz w:val="16"/>
            <w:szCs w:val="16"/>
          </w:rPr>
          <w:t>Billings</w:t>
        </w:r>
      </w:hyperlink>
      <w:r w:rsidRPr="005C5DBA">
        <w:rPr>
          <w:sz w:val="16"/>
          <w:szCs w:val="16"/>
        </w:rPr>
        <w:t xml:space="preserve">, Mont. Solar is not the only energy resource America has been blessed with, nor the only one we should use. America is a land of plentiful opportunity whose economic growth will soon return, requiring all of our energy sources. To falsely disparage an industry merely for gain at the polls is un-American: it puts politics over people, and pushes our country backwards for political gain. Instead, </w:t>
      </w:r>
      <w:r w:rsidRPr="00D033BF">
        <w:rPr>
          <w:rStyle w:val="StyleBoldUnderline"/>
        </w:rPr>
        <w:t>recognizing solar energy for what it truly is – an energy source to power our lives – and putting it to good use across our nation is patriotic.</w:t>
      </w:r>
    </w:p>
    <w:p w:rsidR="0017246A" w:rsidRPr="00D033BF" w:rsidRDefault="0017246A" w:rsidP="0017246A">
      <w:pPr>
        <w:pStyle w:val="Heading4"/>
      </w:pPr>
      <w:r w:rsidRPr="00D033BF">
        <w:t>Solves oil dependence – investment key</w:t>
      </w:r>
    </w:p>
    <w:p w:rsidR="0017246A" w:rsidRPr="00D033BF" w:rsidRDefault="0017246A" w:rsidP="0017246A">
      <w:pPr>
        <w:rPr>
          <w:sz w:val="16"/>
          <w:szCs w:val="16"/>
        </w:rPr>
      </w:pPr>
      <w:r w:rsidRPr="00D033BF">
        <w:rPr>
          <w:rStyle w:val="StyleStyleBold12pt"/>
        </w:rPr>
        <w:t>E&amp;T No Date</w:t>
      </w:r>
      <w:r w:rsidRPr="00D033BF">
        <w:rPr>
          <w:sz w:val="16"/>
          <w:szCs w:val="16"/>
        </w:rPr>
        <w:t xml:space="preserve"> (Engineer and Technician, “Ending Our Dependence On Foreign Oil With Solar Power”, http://www.engineer-and-technician.com/ending-our-dependence-on-foreign-oil-with-solar-power/)</w:t>
      </w:r>
    </w:p>
    <w:p w:rsidR="0017246A" w:rsidRPr="00D033BF" w:rsidRDefault="0017246A" w:rsidP="0017246A">
      <w:pPr>
        <w:rPr>
          <w:sz w:val="16"/>
          <w:szCs w:val="16"/>
        </w:rPr>
      </w:pPr>
      <w:r w:rsidRPr="00D033BF">
        <w:rPr>
          <w:sz w:val="16"/>
          <w:szCs w:val="16"/>
        </w:rPr>
        <w:t xml:space="preserve">It seems that high prices for gasoline and heating oil used in homes are here to stay. Sure, they go up and down, but overall they still remain pretty high and consume more of our pocketbooks than they ever have in the past. </w:t>
      </w:r>
      <w:r w:rsidRPr="00D033BF">
        <w:rPr>
          <w:rStyle w:val="StyleBoldUnderline"/>
        </w:rPr>
        <w:t>We are constantly struggling with the Middle East, at least in part to protect our interest in their oil</w:t>
      </w:r>
      <w:r w:rsidRPr="00D033BF">
        <w:rPr>
          <w:sz w:val="16"/>
          <w:szCs w:val="16"/>
        </w:rPr>
        <w:t xml:space="preserve">. And </w:t>
      </w:r>
      <w:r w:rsidRPr="00D033BF">
        <w:rPr>
          <w:rStyle w:val="StyleBoldUnderline"/>
        </w:rPr>
        <w:t>as other nations, including China and India, increase their demand for fossil fuels, it seems that conflicts regarding energy are looming large on the horizon. In the meantime, power plants that burn fossil fuels, as well as all of our vehicles everywhere, continue to pour millions of tons of pollutants into the atmosphere annually, threatening our health and well-being</w:t>
      </w:r>
      <w:r w:rsidRPr="00D033BF">
        <w:rPr>
          <w:sz w:val="16"/>
          <w:szCs w:val="16"/>
        </w:rPr>
        <w:t xml:space="preserve">. There are a number of well-meaning scientists, engineers and politicians who have presented various methods that could slightly reduce our use of fossil </w:t>
      </w:r>
      <w:r w:rsidRPr="00D033BF">
        <w:rPr>
          <w:sz w:val="16"/>
          <w:szCs w:val="16"/>
        </w:rPr>
        <w:lastRenderedPageBreak/>
        <w:t xml:space="preserve">fuel. However, these steps are not enough. </w:t>
      </w:r>
      <w:r w:rsidRPr="00D033BF">
        <w:rPr>
          <w:rStyle w:val="StyleBoldUnderline"/>
        </w:rPr>
        <w:t>The US needs a plan to work itself away from our dependence on fossil fuels. It appears that only answer is a transition to solar power. The potential of solar energy is overwhelming</w:t>
      </w:r>
      <w:r w:rsidRPr="00D033BF">
        <w:rPr>
          <w:sz w:val="16"/>
          <w:szCs w:val="16"/>
        </w:rPr>
        <w:t xml:space="preserve">. For example, </w:t>
      </w:r>
      <w:r w:rsidRPr="00D033BF">
        <w:rPr>
          <w:rStyle w:val="StyleBoldUnderline"/>
        </w:rPr>
        <w:t>the energy in the sunlight striking the earth for only 40 minutes is equivalent to our human global energy consumption for one year</w:t>
      </w:r>
      <w:r w:rsidRPr="00D033BF">
        <w:rPr>
          <w:sz w:val="16"/>
          <w:szCs w:val="16"/>
        </w:rPr>
        <w:t xml:space="preserve">. </w:t>
      </w:r>
      <w:r w:rsidRPr="00D033BF">
        <w:rPr>
          <w:rStyle w:val="StyleBoldUnderline"/>
        </w:rPr>
        <w:t>The U.S. is lucky in the sense that we have at least 250,000 mi. of land in the Southwest alone that is suitable for building solar power plants.</w:t>
      </w:r>
      <w:r w:rsidRPr="00D033BF">
        <w:rPr>
          <w:sz w:val="16"/>
          <w:szCs w:val="16"/>
        </w:rPr>
        <w:t xml:space="preserve"> That land receives more than 4500 quadrillion British thermal units (BTUs) of solar radiation every year</w:t>
      </w:r>
      <w:r w:rsidRPr="00D033BF">
        <w:rPr>
          <w:rStyle w:val="StyleBoldUnderline"/>
        </w:rPr>
        <w:t>. If we were to convert only 2.5% of that radiation into electricity, we would match the nation’s total energy consumption of 2006</w:t>
      </w:r>
      <w:r w:rsidRPr="00D033BF">
        <w:rPr>
          <w:sz w:val="16"/>
          <w:szCs w:val="16"/>
        </w:rPr>
        <w:t xml:space="preserve">. However, to convert this solar power, large tracts of land would have to be covered with photovoltaic cells and perhaps solar heating troughs. The good news is that </w:t>
      </w:r>
      <w:r w:rsidRPr="00D033BF">
        <w:rPr>
          <w:rStyle w:val="StyleBoldUnderline"/>
        </w:rPr>
        <w:t>the technology is nearly ready. Let’s look at photovoltaic farms. In the last few years, the cost to produce photovoltaic cells and modules have really dropped pretty radically</w:t>
      </w:r>
      <w:r w:rsidRPr="00D033BF">
        <w:rPr>
          <w:sz w:val="16"/>
          <w:szCs w:val="16"/>
        </w:rPr>
        <w:t xml:space="preserve">, </w:t>
      </w:r>
      <w:r w:rsidRPr="00D033BF">
        <w:rPr>
          <w:rStyle w:val="StyleBoldUnderline"/>
        </w:rPr>
        <w:t>opening the way for large-scale implementation</w:t>
      </w:r>
      <w:r w:rsidRPr="00D033BF">
        <w:rPr>
          <w:sz w:val="16"/>
          <w:szCs w:val="16"/>
        </w:rPr>
        <w:t xml:space="preserve">. A number of cell types exist, but the best modules today are made of very thin films of cadmium telluride. To work up the numbers, if we were to provide electricity at $.06 per kilowatt-hour by the year 2020, cadmium telluride modules must be able to convert electricity with at least 14% efficiency and complete systems would have to be installed at about a $1.20 per watt capacity. Current modules have only 10% efficiency and an installed system costs about $4 per watt. We are making progress, and the technology is advancing rapidly; commercial efficiencies have risen to upwards of 10% in the last year. </w:t>
      </w:r>
      <w:r w:rsidRPr="00D033BF">
        <w:rPr>
          <w:rStyle w:val="StyleBoldUnderline"/>
        </w:rPr>
        <w:t>As these commercial efficiencies rise, rooftop photovoltaic</w:t>
      </w:r>
      <w:r w:rsidRPr="00D033BF">
        <w:rPr>
          <w:sz w:val="16"/>
          <w:szCs w:val="16"/>
        </w:rPr>
        <w:t xml:space="preserve"> for the home </w:t>
      </w:r>
      <w:r w:rsidRPr="00D033BF">
        <w:rPr>
          <w:rStyle w:val="StyleBoldUnderline"/>
        </w:rPr>
        <w:t>will become even more cost competitive, further reducing daytime electricity demand on the utilities.</w:t>
      </w:r>
      <w:r w:rsidRPr="00D033BF">
        <w:rPr>
          <w:sz w:val="16"/>
          <w:szCs w:val="16"/>
        </w:rPr>
        <w:t xml:space="preserve"> In one scenario, </w:t>
      </w:r>
      <w:r w:rsidRPr="00D033BF">
        <w:rPr>
          <w:rStyle w:val="StyleBoldUnderline"/>
        </w:rPr>
        <w:t>by 2050, photovoltaic technology could provide almost 3000 GW, or billions of Watts, of power</w:t>
      </w:r>
      <w:r w:rsidRPr="00D033BF">
        <w:rPr>
          <w:sz w:val="16"/>
          <w:szCs w:val="16"/>
        </w:rPr>
        <w:t xml:space="preserve">. 30,000 square miles of photovoltaic arrays would need to be constructed. This may seem like a huge number, but current installations already in place show that the land required for each gigawatt hour of solar energy produced in the Southwest is less than the actual amount needed for a power plant when the area used for coal mining is taken into consideration. The National Renewable Energy Laboratory in Golden, Colorado shows that </w:t>
      </w:r>
      <w:r w:rsidRPr="00D033BF">
        <w:rPr>
          <w:rStyle w:val="StyleBoldUnderline"/>
        </w:rPr>
        <w:t>more than enough land in the Southwest is available without disturbing any environmentally sensitive areas, cities or towns</w:t>
      </w:r>
      <w:r w:rsidRPr="00D033BF">
        <w:rPr>
          <w:sz w:val="16"/>
          <w:szCs w:val="16"/>
        </w:rPr>
        <w:t>. In Arizona, the Department of Water Conservation has stated that more than 80% of the state’s land is not privately owned and that Arizona is very interested in developing its solar potential. Because of the nature of photovoltaic plants, and the lack of water required to operate these plants, the environmental impact should be minimal.</w:t>
      </w:r>
    </w:p>
    <w:p w:rsidR="0017246A" w:rsidRPr="005C5DBA" w:rsidRDefault="0017246A" w:rsidP="0017246A">
      <w:pPr>
        <w:rPr>
          <w:sz w:val="16"/>
          <w:szCs w:val="16"/>
        </w:rPr>
      </w:pPr>
    </w:p>
    <w:p w:rsidR="0017246A" w:rsidRDefault="0017246A" w:rsidP="0017246A">
      <w:pPr>
        <w:pStyle w:val="Heading3"/>
      </w:pPr>
      <w:r>
        <w:lastRenderedPageBreak/>
        <w:t>Warming Solvency---2NC</w:t>
      </w:r>
    </w:p>
    <w:p w:rsidR="0017246A" w:rsidRPr="00393BBE" w:rsidRDefault="0017246A" w:rsidP="0017246A">
      <w:pPr>
        <w:pStyle w:val="Heading4"/>
      </w:pPr>
      <w:r w:rsidRPr="00393BBE">
        <w:t>Solar solves emissions cuts and warming – used for any energy source</w:t>
      </w:r>
    </w:p>
    <w:p w:rsidR="0017246A" w:rsidRPr="00393BBE" w:rsidRDefault="0017246A" w:rsidP="0017246A">
      <w:pPr>
        <w:rPr>
          <w:sz w:val="16"/>
          <w:szCs w:val="16"/>
        </w:rPr>
      </w:pPr>
      <w:r w:rsidRPr="00393BBE">
        <w:rPr>
          <w:rStyle w:val="StyleStyleBold12pt"/>
        </w:rPr>
        <w:t>ANL 07</w:t>
      </w:r>
      <w:r w:rsidRPr="00393BBE">
        <w:rPr>
          <w:sz w:val="16"/>
          <w:szCs w:val="16"/>
        </w:rPr>
        <w:t xml:space="preserve"> (Argonne National Laboratory, “Solar Energy Conversion Offers A Solution To Help Mitigate Global Warming”, Science Daily, 3/12/07, http://www.sciencedaily.com/releases/2007/03/070307075611.htm)</w:t>
      </w:r>
    </w:p>
    <w:p w:rsidR="0017246A" w:rsidRPr="00393BBE" w:rsidRDefault="0017246A" w:rsidP="0017246A">
      <w:pPr>
        <w:rPr>
          <w:sz w:val="16"/>
          <w:szCs w:val="16"/>
        </w:rPr>
      </w:pPr>
      <w:r w:rsidRPr="00393BBE">
        <w:rPr>
          <w:rStyle w:val="StyleBoldUnderline"/>
        </w:rPr>
        <w:t>Solar energy has the power to reduce greenhouse gases and provide increased energy efficiency, says a scientist at the U.S. Department of Energy's Argonne National Laboratory,</w:t>
      </w:r>
      <w:r w:rsidRPr="00393BBE">
        <w:rPr>
          <w:sz w:val="16"/>
          <w:szCs w:val="16"/>
        </w:rPr>
        <w:t xml:space="preserve"> in a report published in the March issue of Physics Today. Currently, between 80 percent and 85 percent of our energy comes from fossil fuels. However, fossil fuel resources are of finite extent and are distributed unevenly beneath Earth's surface. When fossil fuel is turned into useful energy through combustion, it often produces environmental pollutants that are harmful to human health and greenhouse gases that threaten the global climate. In contrast</w:t>
      </w:r>
      <w:r w:rsidRPr="00393BBE">
        <w:rPr>
          <w:rStyle w:val="StyleBoldUnderline"/>
        </w:rPr>
        <w:t>, solar resources are widely available and have a benign effect on the environment and climate, making it an appealing alternative energy source. “Sunlight is not only the most plentiful energy resource on earth, it is also one of the most versatile, converting readily to electricity, fuel and heat</w:t>
      </w:r>
      <w:r w:rsidRPr="00393BBE">
        <w:rPr>
          <w:sz w:val="16"/>
          <w:szCs w:val="16"/>
        </w:rPr>
        <w:t xml:space="preserve">,” said Crabtree. “The challenge is to raise its conversion efficiency by factors of five or ten. That requires understanding the fundamental conversion phenomena at the nanoscale. We are just scratching the surface of this rich research field.” Argonne carries out forefront basic research on all three solar conversion routes. The laboratory is creating next-generation nanostructured solar cells using sophisticated atomic layer deposition techniques that replace expensive silicon with inexpensive titanium dioxide and chemical dyes. Its artificial photosynthesis program imitates nature using simple chemical components to convert sunlight, water and carbon dioxide directly into fuels like hydrogen, methane and ethanol. Its program on thermoelectric materials takes heat from the sun and converts it directly to electricity. The Physics Today article is based on the conclusions contained in the report of the Basic Energy Sciences Workshop on Solar Energy Utilization sponsored by the U.S. Department of Energy. Crabtree and Lewis served as co-chairs of the workshop and principal editors of the report. The key conclusions of the report identified opportunities for higher solar energy efficiencies in the areas of: </w:t>
      </w:r>
      <w:r w:rsidRPr="00393BBE">
        <w:rPr>
          <w:rStyle w:val="StyleBoldUnderline"/>
        </w:rPr>
        <w:t>Electricity – important research developments lie in the development of new, less expensive materials for solar cells, including organics, thin films, dyes and shuttle ions, and in understanding the dynamics of charge transfer across nanostructured interfaces. Fuel – solar photons can be converted into chemical fuel more resourcefully by breeding or genetically engineering designer plants, connecting natural photosynthetic pathways in novel configurations and using artificial bio-inspired nanoscale systems. Heat – controlling the size, density and distribution of nanodot inclusions during bulk synthesis could enhance thermoelectric performance and achieve more reliable and inexpensive electricity production from the sun's heat</w:t>
      </w:r>
      <w:r w:rsidRPr="00393BBE">
        <w:rPr>
          <w:sz w:val="16"/>
          <w:szCs w:val="16"/>
        </w:rPr>
        <w:t>.</w:t>
      </w:r>
    </w:p>
    <w:p w:rsidR="0017246A" w:rsidRPr="00393BBE" w:rsidRDefault="0017246A" w:rsidP="0017246A"/>
    <w:p w:rsidR="0017246A" w:rsidRDefault="0017246A" w:rsidP="0017246A">
      <w:pPr>
        <w:pStyle w:val="Heading3"/>
      </w:pPr>
      <w:r>
        <w:lastRenderedPageBreak/>
        <w:t>Viability---2NC</w:t>
      </w:r>
    </w:p>
    <w:p w:rsidR="0017246A" w:rsidRPr="005C5DBA" w:rsidRDefault="0017246A" w:rsidP="0017246A">
      <w:pPr>
        <w:pStyle w:val="Heading4"/>
      </w:pPr>
      <w:r w:rsidRPr="005C5DBA">
        <w:t>Solar is economically viable – can replace fossil fuels</w:t>
      </w:r>
    </w:p>
    <w:p w:rsidR="0017246A" w:rsidRPr="005C5DBA" w:rsidRDefault="0017246A" w:rsidP="0017246A">
      <w:pPr>
        <w:rPr>
          <w:sz w:val="16"/>
          <w:szCs w:val="16"/>
        </w:rPr>
      </w:pPr>
      <w:r w:rsidRPr="005C5DBA">
        <w:rPr>
          <w:rStyle w:val="StyleStyleBold12pt"/>
        </w:rPr>
        <w:t>Krugman 11</w:t>
      </w:r>
      <w:r w:rsidRPr="005C5DBA">
        <w:rPr>
          <w:sz w:val="16"/>
          <w:szCs w:val="16"/>
        </w:rPr>
        <w:t xml:space="preserve"> (Paul, “Here Comes the Sun”, New York Times, 11/6/11, http://www.nytimes.com/2011/11/07/opinion/krugman-here-comes-solar-energy.html)</w:t>
      </w:r>
    </w:p>
    <w:p w:rsidR="0017246A" w:rsidRDefault="0017246A" w:rsidP="0017246A">
      <w:pPr>
        <w:rPr>
          <w:rStyle w:val="StyleBoldUnderline"/>
        </w:rPr>
      </w:pPr>
      <w:r w:rsidRPr="005C5DBA">
        <w:rPr>
          <w:sz w:val="16"/>
          <w:szCs w:val="16"/>
        </w:rPr>
        <w:t xml:space="preserve">Our mastery of the material world, on the other hand, has advanced much more slowly. The sources of energy, the way we move stuff around, are much the same as they were a generation ago. But that may be about to change. </w:t>
      </w:r>
      <w:r w:rsidRPr="005C5DBA">
        <w:rPr>
          <w:rStyle w:val="StyleBoldUnderline"/>
        </w:rPr>
        <w:t>We are, or at least we should be, on the cusp of an energy transformation, driven by the rapidly falling cost of solar power. That's right, solar power</w:t>
      </w:r>
      <w:r w:rsidRPr="005C5DBA">
        <w:rPr>
          <w:sz w:val="16"/>
          <w:szCs w:val="16"/>
        </w:rPr>
        <w:t>. If that surprises you, if you still think of solar power as some kind of hippie fantasy, blame our fossilized political system, in which fossil-fuel producers have both powerful political allies and a powerful propaganda machine that denigrates alternatives. Speaking of propaganda: Before I get to solar, let's talk briefly about hydraulic fracturing, aka fracking. Fracking — injecting high-pressure fluid into rocks deep underground, inducing the release of fossil fuels — is an impressive technology. But it's also a technology that imposes large costs on the public. We know that it produces toxic (and radioactive) wastewater that contaminates drinking water; there is reason to suspect, despite industry denials, that it also contaminates groundwater; and the heavy trucking required for fracking inflicts major damage on roads. Economics 101 tells us that an industry imposing large costs on third parties should be required to "internalize" those costs — that is, to pay for the damage it inflicts, treating that damage as a cost of production. Fracking might still be worth doing given those costs. But no industry should be held harmless from its impacts on the environment and the nation's infrastructure. Yet what the industry and its defenders demand is, of course, precisely that it be let off the hook for the damage it causes. Why? Because we need that energy! For example, the industry-backed organization</w:t>
      </w:r>
      <w:hyperlink r:id="rId39" w:history="1">
        <w:r w:rsidRPr="005C5DBA">
          <w:rPr>
            <w:rStyle w:val="Hyperlink"/>
            <w:sz w:val="16"/>
            <w:szCs w:val="16"/>
          </w:rPr>
          <w:t>energyfromshale.org</w:t>
        </w:r>
      </w:hyperlink>
      <w:r w:rsidRPr="005C5DBA">
        <w:rPr>
          <w:sz w:val="16"/>
          <w:szCs w:val="16"/>
        </w:rPr>
        <w:t xml:space="preserve"> declares that "there are only two sides in the debate: those who want our oil and natural resources developed in a safe and responsible way; and those who don't want our oil and natural gas resources developed at all." So it's worth pointing out that special treatment for fracking makes a mockery of free-market principles. Pro-fracking politicians claim to be against subsidies, yet letting an industry impose costs without paying compensation is in effect a huge subsidy. They say they oppose having the government "pick winners," yet they demand special treatment for this industry precisely because they claim it will be a winner. And now for something completely different: </w:t>
      </w:r>
      <w:r w:rsidRPr="005C5DBA">
        <w:rPr>
          <w:rStyle w:val="StyleBoldUnderline"/>
        </w:rPr>
        <w:t>The success story you haven't heard about. These days, mention solar power and you'll probably hear cries of "Solyndra!"</w:t>
      </w:r>
      <w:r w:rsidRPr="005C5DBA">
        <w:rPr>
          <w:sz w:val="16"/>
          <w:szCs w:val="16"/>
        </w:rPr>
        <w:t xml:space="preserve"> Republicans have tried to make the failed solar-panel company both a symbol of government waste — although claims of a major scandal are nonsense — and a stick with which to beat renewable energy. </w:t>
      </w:r>
      <w:r w:rsidRPr="005C5DBA">
        <w:rPr>
          <w:rStyle w:val="StyleBoldUnderline"/>
        </w:rPr>
        <w:t>But Solyndra's failure was actually caused by technological success: The price of solar panels is dropping fast, and Solyndra couldn't keep up with the competition</w:t>
      </w:r>
      <w:r w:rsidRPr="005C5DBA">
        <w:rPr>
          <w:sz w:val="16"/>
          <w:szCs w:val="16"/>
        </w:rPr>
        <w:t xml:space="preserve">. In fact, </w:t>
      </w:r>
      <w:r w:rsidRPr="005C5DBA">
        <w:rPr>
          <w:rStyle w:val="StyleBoldUnderline"/>
        </w:rPr>
        <w:t>progress in solar panels has been so dramatic and sustained that, as a blog post at Scientific American put it, "there's now frequent talk of a 'Moore's law' in solar energy," with prices adjusted for inflation falling around 7 percent a year</w:t>
      </w:r>
      <w:r w:rsidRPr="005C5DBA">
        <w:rPr>
          <w:sz w:val="16"/>
          <w:szCs w:val="16"/>
        </w:rPr>
        <w:t xml:space="preserve">. </w:t>
      </w:r>
      <w:r w:rsidRPr="005C5DBA">
        <w:rPr>
          <w:rStyle w:val="StyleBoldUnderline"/>
        </w:rPr>
        <w:t>This has already led to rapid growth in solar installations, but even more change may be just around the corner</w:t>
      </w:r>
      <w:r w:rsidRPr="005C5DBA">
        <w:rPr>
          <w:sz w:val="16"/>
          <w:szCs w:val="16"/>
        </w:rPr>
        <w:t xml:space="preserve">. If the downward trend continues — and if anything it seems to be accelerating — </w:t>
      </w:r>
      <w:r w:rsidRPr="005C5DBA">
        <w:rPr>
          <w:rStyle w:val="StyleBoldUnderline"/>
        </w:rPr>
        <w:t>we're just a few years from the point at which electricity from solar panels becomes cheaper than electricity generated by burning coal. And if we priced coal-fired power right, taking into account the huge health and other costs it imposes, it's likely that we would already have passed that tipping point.</w:t>
      </w:r>
    </w:p>
    <w:p w:rsidR="0017246A" w:rsidRDefault="0017246A" w:rsidP="0017246A">
      <w:pPr>
        <w:pStyle w:val="Heading2"/>
      </w:pPr>
      <w:r w:rsidRPr="007D6921">
        <w:lastRenderedPageBreak/>
        <w:t>CBD CP</w:t>
      </w:r>
    </w:p>
    <w:p w:rsidR="0017246A" w:rsidRDefault="0017246A" w:rsidP="0017246A">
      <w:pPr>
        <w:pStyle w:val="Heading3"/>
      </w:pPr>
      <w:r>
        <w:lastRenderedPageBreak/>
        <w:t>Solvency</w:t>
      </w:r>
    </w:p>
    <w:p w:rsidR="0017246A" w:rsidRDefault="0017246A" w:rsidP="0017246A">
      <w:pPr>
        <w:pStyle w:val="Heading4"/>
      </w:pPr>
      <w:r>
        <w:t xml:space="preserve">CP Text: </w:t>
      </w:r>
    </w:p>
    <w:p w:rsidR="0017246A" w:rsidRDefault="0017246A" w:rsidP="0017246A">
      <w:r>
        <w:t>The Convention on Biological Diversity should be amended to provide regulation on bioprospecting and marine scientific research in areas beyond national jurisdiction</w:t>
      </w:r>
    </w:p>
    <w:p w:rsidR="0017246A" w:rsidRPr="0017246A" w:rsidRDefault="0017246A" w:rsidP="0017246A"/>
    <w:p w:rsidR="0017246A" w:rsidRDefault="0017246A" w:rsidP="0017246A">
      <w:pPr>
        <w:pStyle w:val="Heading4"/>
      </w:pPr>
      <w:r w:rsidRPr="007D6921">
        <w:t>Global cooperation under the CBD framework is key to preserve biodiversity and ocean ecosystems – prerequisite to safe bioprospecting</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Pr="007D6921" w:rsidRDefault="0017246A" w:rsidP="0017246A">
      <w:pPr>
        <w:rPr>
          <w:rStyle w:val="StyleBoldUnderline"/>
        </w:rPr>
      </w:pPr>
      <w:r w:rsidRPr="007D6921">
        <w:rPr>
          <w:rStyle w:val="StyleBoldUnderline"/>
        </w:rPr>
        <w:t>The provisions of the CBD provide a possible foundation for an implementing agreement to regulate the impact of bioprospecting activities on deep seabed environments in marine areas beyond national jurisdiction</w:t>
      </w:r>
      <w:r w:rsidRPr="007D6921">
        <w:rPr>
          <w:sz w:val="16"/>
          <w:szCs w:val="16"/>
        </w:rPr>
        <w:t xml:space="preserve">. </w:t>
      </w:r>
      <w:r w:rsidRPr="007D6921">
        <w:rPr>
          <w:rStyle w:val="StyleBoldUnderline"/>
        </w:rPr>
        <w:t>Article 5 of the CBD foreshadows cooperation between the Contracting Parties</w:t>
      </w:r>
      <w:r w:rsidRPr="007D6921">
        <w:rPr>
          <w:sz w:val="16"/>
          <w:szCs w:val="16"/>
        </w:rPr>
        <w:t xml:space="preserve"> directly or through competent international organizations </w:t>
      </w:r>
      <w:r w:rsidRPr="007D6921">
        <w:rPr>
          <w:rStyle w:val="StyleBoldUnderline"/>
        </w:rPr>
        <w:t>for the conservation and sustainable use of biological diversity in areas beyond national jurisdiction</w:t>
      </w:r>
      <w:r w:rsidRPr="007D6921">
        <w:rPr>
          <w:sz w:val="16"/>
          <w:szCs w:val="16"/>
        </w:rPr>
        <w:t xml:space="preserve">. Biological diversity is defined in Article l of the CBD as the "variability among living organisms from all sources including, inter alia, terrestrial, marine and other aquatic ecosystems and the ecological complexes of which they are part; this includes diversity within species, between species and </w:t>
      </w:r>
      <w:r>
        <w:rPr>
          <w:sz w:val="16"/>
          <w:szCs w:val="16"/>
        </w:rPr>
        <w:t>of</w:t>
      </w:r>
      <w:r w:rsidRPr="007D6921">
        <w:rPr>
          <w:sz w:val="16"/>
          <w:szCs w:val="16"/>
        </w:rPr>
        <w:t xml:space="preserve"> ecosystems." </w:t>
      </w:r>
      <w:r w:rsidRPr="007D6921">
        <w:rPr>
          <w:rStyle w:val="StyleBoldUnderline"/>
        </w:rPr>
        <w:t>The conservation of biodiversity and the sustainable use of its components including genetic and other biological resources is inextrica</w:t>
      </w:r>
      <w:r>
        <w:rPr>
          <w:rStyle w:val="StyleBoldUnderline"/>
        </w:rPr>
        <w:t>bly linked in the objectives of</w:t>
      </w:r>
      <w:r w:rsidRPr="007D6921">
        <w:rPr>
          <w:rStyle w:val="StyleBoldUnderline"/>
        </w:rPr>
        <w:t xml:space="preserve"> the CBD expressed in Article l of the Convention." An implementing agreement under Article 5 </w:t>
      </w:r>
      <w:r>
        <w:rPr>
          <w:rStyle w:val="StyleBoldUnderline"/>
        </w:rPr>
        <w:t>of</w:t>
      </w:r>
      <w:r w:rsidRPr="007D6921">
        <w:rPr>
          <w:rStyle w:val="StyleBoldUnderline"/>
        </w:rPr>
        <w:t xml:space="preserve"> the CBD could draw on the full range </w:t>
      </w:r>
      <w:r>
        <w:rPr>
          <w:rStyle w:val="StyleBoldUnderline"/>
        </w:rPr>
        <w:t>of</w:t>
      </w:r>
      <w:r w:rsidRPr="007D6921">
        <w:rPr>
          <w:rStyle w:val="StyleBoldUnderline"/>
        </w:rPr>
        <w:t xml:space="preserve"> environmental protection measures expounded in the CBD including marine protected areas and the other measures prescribed in Articles 8, 9 and 14 on in situ and ex situ conservation, environmental impact assessment and minimising adverse impacts on marine biodiversity</w:t>
      </w:r>
      <w:r w:rsidRPr="007D6921">
        <w:rPr>
          <w:sz w:val="16"/>
          <w:szCs w:val="16"/>
        </w:rPr>
        <w:t xml:space="preserve"> to provide an environmental protection template for selected marine areas beyond national jurisdiction which are rich in biodiversity." Based on advice from regional marine environmental protection organizations such as the UNEP Regional Seas programmes and the Subsidiary Body for Scientific, Technical and Technological Advice (SBSTFA), </w:t>
      </w:r>
      <w:r w:rsidRPr="007D6921">
        <w:rPr>
          <w:rStyle w:val="StyleBoldUnderline"/>
        </w:rPr>
        <w:t>the Conference of the Parties (COP) of the CBD could act as the competent international organization to endorse maritime areas beyond national jurisdiction where special measures need to be taken to conserve biological diversity</w:t>
      </w:r>
      <w:r w:rsidRPr="007D6921">
        <w:rPr>
          <w:sz w:val="16"/>
          <w:szCs w:val="16"/>
        </w:rPr>
        <w:t xml:space="preserve">. </w:t>
      </w:r>
      <w:r w:rsidRPr="007D6921">
        <w:rPr>
          <w:rStyle w:val="StyleBoldUnderline"/>
        </w:rPr>
        <w:t>lt could also develop best practice guidelines for the establishment and management of protected areas or areas where special measures need to be taken to protect biodiversity</w:t>
      </w:r>
      <w:r w:rsidRPr="007D6921">
        <w:rPr>
          <w:sz w:val="16"/>
          <w:szCs w:val="16"/>
        </w:rPr>
        <w:t xml:space="preserve">. The COP's recommendations could then be implemented through global and regional organizations with regulatory competence in particular marine areas beyond national jurisdiction. For example, the marine environmental protection organization for the North East Atlantic (OSPAR) and the North East Atlantic Fisheries Commission (NEAFC) might collaborate to implement environmental protection measures related to </w:t>
      </w:r>
      <w:r>
        <w:rPr>
          <w:sz w:val="16"/>
          <w:szCs w:val="16"/>
        </w:rPr>
        <w:t>the</w:t>
      </w:r>
      <w:r w:rsidRPr="007D6921">
        <w:rPr>
          <w:sz w:val="16"/>
          <w:szCs w:val="16"/>
        </w:rPr>
        <w:t xml:space="preserve"> conservation and sustainable use </w:t>
      </w:r>
      <w:r>
        <w:rPr>
          <w:sz w:val="16"/>
          <w:szCs w:val="16"/>
        </w:rPr>
        <w:t>of</w:t>
      </w:r>
      <w:r w:rsidRPr="007D6921">
        <w:rPr>
          <w:sz w:val="16"/>
          <w:szCs w:val="16"/>
        </w:rPr>
        <w:t xml:space="preserve"> biological diversity on a seamount in their joint areas of regulatory competence. For hydrothemlal vent areas beyond national jurisdiction, the ISA might collaborate to implement environmental protection measures related to conservation and sustainable use of biological diversity with one of the UNEP regional seas organizations with responsibility for the proximate area in which the vent occurs. </w:t>
      </w:r>
      <w:r w:rsidRPr="007D6921">
        <w:rPr>
          <w:rStyle w:val="StyleBoldUnderline"/>
        </w:rPr>
        <w:t>Collaboration on biodiversity protection between global and regional organizations with regulatory competence beyond national jurisdiction would contribute to strengthening and integrating protection and preservation of the marine environment beyond national jurisdiction.</w:t>
      </w:r>
      <w:r w:rsidRPr="007D6921">
        <w:rPr>
          <w:sz w:val="16"/>
          <w:szCs w:val="16"/>
        </w:rPr>
        <w:t xml:space="preserve"> Negotiation of such an implementing agreement would necessarily raise the issue of ownership and access to genetic and biochemical resources on the deep seabed in marine areas beyond national jurisdiction. As discussed above, political agreement to classifying these resources as the common heritage of mankind may be an elusive goal in view of the substantial commercial interests already involved in the sampling of these resources</w:t>
      </w:r>
      <w:r w:rsidRPr="007D6921">
        <w:rPr>
          <w:rStyle w:val="StyleBoldUnderline"/>
        </w:rPr>
        <w:t>. In the absence of political consensus among the members of the international community on a regime for ownership of and access to such resources, it may still be politically and legally viable, in the interim, to introduce environmental protection measures to regulate the adverse environmental impacts of the current open access situation applying to these resources through collaborative action by global and regional organizations with some regulatory competence in particular marine regions beyond national jurisdiction.</w:t>
      </w:r>
    </w:p>
    <w:p w:rsidR="0017246A" w:rsidRDefault="0017246A" w:rsidP="0017246A">
      <w:pPr>
        <w:pStyle w:val="Heading4"/>
      </w:pPr>
      <w:r>
        <w:lastRenderedPageBreak/>
        <w:t>CBD amendment solves dangers of marine scientific research – international governance is key</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Pr="00141DF5" w:rsidRDefault="0017246A" w:rsidP="0017246A">
      <w:pPr>
        <w:rPr>
          <w:rStyle w:val="StyleBoldUnderline"/>
        </w:rPr>
      </w:pPr>
      <w:r w:rsidRPr="00141DF5">
        <w:rPr>
          <w:rStyle w:val="StyleBoldUnderline"/>
        </w:rPr>
        <w:t>An implementing agreement under the LOSC provisions discussed above or Article 5 of the CBD with the broad objective of conserving marine biodiversity beyond national jurisdiction offers</w:t>
      </w:r>
      <w:r w:rsidRPr="00141DF5">
        <w:rPr>
          <w:sz w:val="16"/>
          <w:szCs w:val="16"/>
        </w:rPr>
        <w:t xml:space="preserve"> some </w:t>
      </w:r>
      <w:r w:rsidRPr="00141DF5">
        <w:rPr>
          <w:rStyle w:val="StyleBoldUnderline"/>
        </w:rPr>
        <w:t>potential for limiting the adverse impacts of marine scientific research on the deep seabed environment</w:t>
      </w:r>
      <w:r w:rsidRPr="00141DF5">
        <w:rPr>
          <w:sz w:val="16"/>
          <w:szCs w:val="16"/>
        </w:rPr>
        <w:t xml:space="preserve">. </w:t>
      </w:r>
      <w:r w:rsidRPr="00141DF5">
        <w:rPr>
          <w:rStyle w:val="StyleBoldUnderline"/>
        </w:rPr>
        <w:t>If marine protected areas beyond national jurisdiction are established</w:t>
      </w:r>
      <w:r w:rsidRPr="00141DF5">
        <w:rPr>
          <w:sz w:val="16"/>
          <w:szCs w:val="16"/>
        </w:rPr>
        <w:t xml:space="preserve"> under such an agreement, </w:t>
      </w:r>
      <w:r w:rsidRPr="00141DF5">
        <w:rPr>
          <w:rStyle w:val="StyleBoldUnderline"/>
        </w:rPr>
        <w:t>regional organizations overseeing management plans in these areas could be responsible for ensuring that activities undertaken are compatible with the conservation and sustainable use of marine biodiversity</w:t>
      </w:r>
      <w:r w:rsidRPr="00141DF5">
        <w:rPr>
          <w:sz w:val="16"/>
          <w:szCs w:val="16"/>
        </w:rPr>
        <w:t xml:space="preserve">. </w:t>
      </w:r>
      <w:r w:rsidRPr="00141DF5">
        <w:rPr>
          <w:rStyle w:val="StyleBoldUnderline"/>
        </w:rPr>
        <w:t>Consultation and collaboration with the marine scientific community</w:t>
      </w:r>
      <w:r w:rsidRPr="00141DF5">
        <w:rPr>
          <w:sz w:val="16"/>
          <w:szCs w:val="16"/>
        </w:rPr>
        <w:t xml:space="preserve">, as one of the principal users of such areas, </w:t>
      </w:r>
      <w:r w:rsidRPr="00141DF5">
        <w:rPr>
          <w:rStyle w:val="StyleBoldUnderline"/>
        </w:rPr>
        <w:t>would be an essential element in that process</w:t>
      </w:r>
      <w:r w:rsidRPr="00141DF5">
        <w:rPr>
          <w:sz w:val="16"/>
          <w:szCs w:val="16"/>
        </w:rPr>
        <w:t xml:space="preserve">. Regional organizations involved in such planning will inevitably need to utilise the expertise of the marine scientific research community in implementing a range of in situ and ex situ conservation measures for deep seabed areas. </w:t>
      </w:r>
      <w:r w:rsidRPr="00141DF5">
        <w:rPr>
          <w:rStyle w:val="StyleBoldUnderline"/>
        </w:rPr>
        <w:t>The array of in situ and ex situ conservation measures prescribed in Articles 8 and 9 of the CBD have application to and benefits for the marine scientific research community. In instances of conflict between a proposed marine scientific research use and a conservation objective</w:t>
      </w:r>
      <w:r w:rsidRPr="00141DF5">
        <w:rPr>
          <w:sz w:val="16"/>
          <w:szCs w:val="16"/>
        </w:rPr>
        <w:t xml:space="preserve">, the only disadvantage of an implementing agreement under either the LOSC or the CBD might be that the LOSC provisions concerning the freedom of marine scientific research would prevail. In these circumstances, </w:t>
      </w:r>
      <w:r w:rsidRPr="00141DF5">
        <w:rPr>
          <w:rStyle w:val="StyleBoldUnderline"/>
        </w:rPr>
        <w:t>consultation between regional conservation organizations and the marine scientific research community should achieve resolution of any disputes.</w:t>
      </w:r>
    </w:p>
    <w:p w:rsidR="0017246A" w:rsidRDefault="0017246A" w:rsidP="0017246A">
      <w:pPr>
        <w:pStyle w:val="Heading4"/>
      </w:pPr>
      <w:r>
        <w:t xml:space="preserve">International regulation of deep-sea exploration is key to protect biodiversity </w:t>
      </w:r>
    </w:p>
    <w:p w:rsidR="0017246A" w:rsidRPr="00141DF5" w:rsidRDefault="0017246A" w:rsidP="0017246A">
      <w:pPr>
        <w:rPr>
          <w:sz w:val="16"/>
          <w:szCs w:val="16"/>
        </w:rPr>
      </w:pPr>
      <w:r w:rsidRPr="00141DF5">
        <w:rPr>
          <w:rStyle w:val="StyleStyleBold12pt"/>
        </w:rPr>
        <w:t>Shetty 05</w:t>
      </w:r>
      <w:r w:rsidRPr="00141DF5">
        <w:rPr>
          <w:sz w:val="16"/>
          <w:szCs w:val="16"/>
        </w:rPr>
        <w:t xml:space="preserve"> (Priya, “'Treaty needed' to regulate deep-sea bioprospecting”, SciDev, 10/6/05, http://www.scidev.net/global/biodiversity/news/treaty-needed-to-regulate-deepsea-bioprospectin.html)</w:t>
      </w:r>
    </w:p>
    <w:p w:rsidR="0017246A" w:rsidRPr="002E7F6D" w:rsidRDefault="0017246A" w:rsidP="0017246A">
      <w:pPr>
        <w:rPr>
          <w:rStyle w:val="StyleBoldUnderline"/>
        </w:rPr>
      </w:pPr>
      <w:r w:rsidRPr="002E7F6D">
        <w:rPr>
          <w:rStyle w:val="StyleBoldUnderline"/>
        </w:rPr>
        <w:t>An international treaty is needed to regulate the search for new products from species living on the ocean floor in deep international waters, the UN</w:t>
      </w:r>
      <w:r w:rsidRPr="00141DF5">
        <w:rPr>
          <w:sz w:val="16"/>
          <w:szCs w:val="16"/>
        </w:rPr>
        <w:t xml:space="preserve"> University's Institute for Advanced Studies (UNU-IAS) </w:t>
      </w:r>
      <w:r w:rsidRPr="002E7F6D">
        <w:rPr>
          <w:rStyle w:val="StyleBoldUnderline"/>
        </w:rPr>
        <w:t>has warned in a report</w:t>
      </w:r>
      <w:r w:rsidRPr="00141DF5">
        <w:rPr>
          <w:sz w:val="16"/>
          <w:szCs w:val="16"/>
        </w:rPr>
        <w:t xml:space="preserve">. The report, released on 8 June, says that </w:t>
      </w:r>
      <w:r w:rsidRPr="002E7F6D">
        <w:rPr>
          <w:rStyle w:val="StyleBoldUnderline"/>
        </w:rPr>
        <w:t>unfettered commercial exploitation of such species poses risks to unique deep-sea ecosystems and needs to be regulated to ensure that benefits arising from the research are shared fairly.</w:t>
      </w:r>
      <w:r w:rsidRPr="00141DF5">
        <w:rPr>
          <w:sz w:val="16"/>
          <w:szCs w:val="16"/>
        </w:rPr>
        <w:t xml:space="preserve"> Deep-sea ecosystems include hydrothermal vents, cracks in the Earth's crust where water is very hot and rich in iron, sulphur and other chemicals</w:t>
      </w:r>
      <w:r w:rsidRPr="002E7F6D">
        <w:rPr>
          <w:rStyle w:val="StyleBoldUnderline"/>
        </w:rPr>
        <w:t>. Compounds already isolated from these vents include enzymes that are stable at high temperatures, and have been commercialised for use in laboratory techniques</w:t>
      </w:r>
      <w:r w:rsidRPr="00141DF5">
        <w:rPr>
          <w:sz w:val="16"/>
          <w:szCs w:val="16"/>
        </w:rPr>
        <w:t xml:space="preserve">. Researchers are also studying compounds from deep-sea microbes to see if they can be used in medicines. </w:t>
      </w:r>
      <w:r w:rsidRPr="002E7F6D">
        <w:t>C</w:t>
      </w:r>
      <w:r w:rsidRPr="00141DF5">
        <w:rPr>
          <w:sz w:val="16"/>
          <w:szCs w:val="16"/>
        </w:rPr>
        <w:t xml:space="preserve">ompounds found in marine organisms have proven profitable: anti-cancer agents from these organisms are valued at US$1 billion a year, and global sales in 2000 of products derived from marine species amounted to US$100 billion. </w:t>
      </w:r>
      <w:r w:rsidRPr="002E7F6D">
        <w:rPr>
          <w:rStyle w:val="StyleBoldUnderline"/>
        </w:rPr>
        <w:t>Wealthy nations such as the United States and Japan have been at the forefront of this type of 'bioprospecting' research. But some developing countries, such as India and Malaysia, are exploring the bottom of the ocean too</w:t>
      </w:r>
      <w:r w:rsidRPr="00141DF5">
        <w:rPr>
          <w:sz w:val="16"/>
          <w:szCs w:val="16"/>
        </w:rPr>
        <w:t xml:space="preserve">. </w:t>
      </w:r>
      <w:r w:rsidRPr="002E7F6D">
        <w:rPr>
          <w:rStyle w:val="StyleBoldUnderline"/>
        </w:rPr>
        <w:t>The report highlights the lack of regulation of access to and use of marine life in international waters</w:t>
      </w:r>
      <w:r w:rsidRPr="00141DF5">
        <w:rPr>
          <w:sz w:val="16"/>
          <w:szCs w:val="16"/>
        </w:rPr>
        <w:t xml:space="preserve">. UNESCO's Salvatore Arico, the report's co-author, says: "These resources lie within the global commons, but are they free for anyone to take or are they the heritage and property of all humankind?" </w:t>
      </w:r>
      <w:r w:rsidRPr="002E7F6D">
        <w:rPr>
          <w:rStyle w:val="StyleBoldUnderline"/>
        </w:rPr>
        <w:t>Regulation is important for two reasons</w:t>
      </w:r>
      <w:r w:rsidRPr="00141DF5">
        <w:rPr>
          <w:sz w:val="16"/>
          <w:szCs w:val="16"/>
        </w:rPr>
        <w:t xml:space="preserve">, say the authors. </w:t>
      </w:r>
      <w:r w:rsidRPr="002E7F6D">
        <w:rPr>
          <w:rStyle w:val="StyleBoldUnderline"/>
        </w:rPr>
        <w:t>First, some deep-sea ecosystems such as seamounts and cold seeps are more vulnerable than others to overexploitation by bioprospectors. Although the threat to deep-sea biodiversity is fairly minor at the moment, it could become significant</w:t>
      </w:r>
      <w:r w:rsidRPr="00141DF5">
        <w:rPr>
          <w:sz w:val="16"/>
          <w:szCs w:val="16"/>
        </w:rPr>
        <w:t xml:space="preserve">, Arico told SciDev.Net. Sam Johnston, a UNU-IAS senior research fellow, told SciDev.Net that </w:t>
      </w:r>
      <w:r w:rsidRPr="002E7F6D">
        <w:rPr>
          <w:rStyle w:val="StyleBoldUnderline"/>
        </w:rPr>
        <w:t>the lack of regulation is preventing the world from benefiting from the ocean's biodiversity.</w:t>
      </w:r>
      <w:r w:rsidRPr="00141DF5">
        <w:rPr>
          <w:sz w:val="16"/>
          <w:szCs w:val="16"/>
        </w:rPr>
        <w:t xml:space="preserve"> </w:t>
      </w:r>
      <w:r w:rsidRPr="002E7F6D">
        <w:rPr>
          <w:rStyle w:val="StyleBoldUnderline"/>
        </w:rPr>
        <w:t>Without clear guidelines, it is difficult for the researchers</w:t>
      </w:r>
      <w:r w:rsidRPr="00141DF5">
        <w:rPr>
          <w:sz w:val="16"/>
          <w:szCs w:val="16"/>
        </w:rPr>
        <w:t>, especially those from the private sector</w:t>
      </w:r>
      <w:r w:rsidRPr="002E7F6D">
        <w:rPr>
          <w:rStyle w:val="StyleBoldUnderline"/>
        </w:rPr>
        <w:t>, to undertake research on deep-sea genetic resources that could bring broader benefits than profits alone</w:t>
      </w:r>
      <w:r w:rsidRPr="00141DF5">
        <w:rPr>
          <w:sz w:val="16"/>
          <w:szCs w:val="16"/>
        </w:rPr>
        <w:t xml:space="preserve">, added Johnson. The authors </w:t>
      </w:r>
      <w:r w:rsidRPr="002E7F6D">
        <w:rPr>
          <w:rStyle w:val="StyleBoldUnderline"/>
        </w:rPr>
        <w:t>say it would be of little use for individual countries to develop their own guidelines, as broader regulations are needed.</w:t>
      </w:r>
    </w:p>
    <w:p w:rsidR="0017246A" w:rsidRPr="007D6921" w:rsidRDefault="0017246A" w:rsidP="0017246A"/>
    <w:p w:rsidR="0017246A" w:rsidRPr="007D6921" w:rsidRDefault="0017246A" w:rsidP="0017246A"/>
    <w:p w:rsidR="0017246A" w:rsidRPr="00CD4D21" w:rsidRDefault="0017246A" w:rsidP="0017246A"/>
    <w:p w:rsidR="0017246A" w:rsidRPr="00984FEB" w:rsidRDefault="0017246A" w:rsidP="0017246A"/>
    <w:p w:rsidR="007C6AC9" w:rsidRDefault="007C6AC9" w:rsidP="007C6AC9">
      <w:pPr>
        <w:pStyle w:val="Heading2"/>
      </w:pPr>
      <w:r>
        <w:lastRenderedPageBreak/>
        <w:t>Ecosystem CP</w:t>
      </w:r>
    </w:p>
    <w:p w:rsidR="007C6AC9" w:rsidRPr="00A576C1" w:rsidRDefault="007C6AC9" w:rsidP="007C6AC9">
      <w:pPr>
        <w:pStyle w:val="Heading3"/>
      </w:pPr>
      <w:r>
        <w:lastRenderedPageBreak/>
        <w:t>CP---1NC</w:t>
      </w:r>
    </w:p>
    <w:p w:rsidR="007C6AC9" w:rsidRDefault="007C6AC9" w:rsidP="007C6AC9">
      <w:pPr>
        <w:pStyle w:val="Heading4"/>
        <w:rPr>
          <w:rStyle w:val="StyleStyleBold12pt"/>
          <w:b/>
        </w:rPr>
      </w:pPr>
      <w:r>
        <w:rPr>
          <w:rStyle w:val="StyleStyleBold12pt"/>
          <w:b/>
        </w:rPr>
        <w:t>CP Text: The United States federal government should increase its protection of the marine environment from land-based activities according to the framework outlined by the Global Programme of Action for the Protection of the Marine Environment</w:t>
      </w:r>
    </w:p>
    <w:p w:rsidR="007C6AC9" w:rsidRDefault="007C6AC9" w:rsidP="007C6AC9">
      <w:pPr>
        <w:pStyle w:val="Heading4"/>
      </w:pPr>
      <w:r>
        <w:t>The GPA encourages countries to increase research and prevention in 9 sources of pollution – funding solves the aff</w:t>
      </w:r>
    </w:p>
    <w:p w:rsidR="007C6AC9" w:rsidRDefault="007C6AC9" w:rsidP="007C6AC9">
      <w:pPr>
        <w:rPr>
          <w:rStyle w:val="StyleStyleBold12pt"/>
          <w:b w:val="0"/>
          <w:sz w:val="22"/>
        </w:rPr>
      </w:pPr>
      <w:r>
        <w:rPr>
          <w:rStyle w:val="StyleStyleBold12pt"/>
        </w:rPr>
        <w:t>UNEP, No date</w:t>
      </w:r>
      <w:r>
        <w:rPr>
          <w:rStyle w:val="StyleStyleBold12pt"/>
          <w:b w:val="0"/>
        </w:rPr>
        <w:t xml:space="preserve"> </w:t>
      </w:r>
      <w:r>
        <w:rPr>
          <w:rStyle w:val="StyleStyleBold12pt"/>
          <w:b w:val="0"/>
          <w:sz w:val="22"/>
        </w:rPr>
        <w:t>(United Nations Environment Programme, “</w:t>
      </w:r>
      <w:r w:rsidRPr="00DA3576">
        <w:rPr>
          <w:rStyle w:val="StyleStyleBold12pt"/>
          <w:b w:val="0"/>
          <w:sz w:val="22"/>
        </w:rPr>
        <w:t>Global Programme of Action for the Protection o</w:t>
      </w:r>
      <w:r>
        <w:rPr>
          <w:rStyle w:val="StyleStyleBold12pt"/>
          <w:b w:val="0"/>
          <w:sz w:val="22"/>
        </w:rPr>
        <w:t xml:space="preserve">f Marine Environment (GPA/UNEP),” </w:t>
      </w:r>
      <w:hyperlink r:id="rId40" w:history="1">
        <w:r w:rsidRPr="00BC241A">
          <w:rPr>
            <w:rStyle w:val="Hyperlink"/>
          </w:rPr>
          <w:t>http://actionguide.info/m/orgs/209/</w:t>
        </w:r>
      </w:hyperlink>
      <w:r>
        <w:rPr>
          <w:rStyle w:val="StyleStyleBold12pt"/>
          <w:b w:val="0"/>
          <w:sz w:val="22"/>
        </w:rPr>
        <w:t>, accessed 7/15/14)</w:t>
      </w:r>
    </w:p>
    <w:p w:rsidR="007C6AC9" w:rsidRDefault="007C6AC9" w:rsidP="007C6AC9">
      <w:pPr>
        <w:rPr>
          <w:sz w:val="16"/>
        </w:rPr>
      </w:pPr>
      <w:r w:rsidRPr="00DA3576">
        <w:rPr>
          <w:sz w:val="16"/>
        </w:rPr>
        <w:t>Washington Declaration</w:t>
      </w:r>
      <w:r w:rsidRPr="00DA3576">
        <w:rPr>
          <w:sz w:val="12"/>
        </w:rPr>
        <w:t>¶</w:t>
      </w:r>
      <w:r w:rsidRPr="00DA3576">
        <w:rPr>
          <w:sz w:val="16"/>
        </w:rPr>
        <w:t xml:space="preserve"> Declare their intention to do so by:</w:t>
      </w:r>
      <w:r w:rsidRPr="00DA3576">
        <w:rPr>
          <w:sz w:val="12"/>
        </w:rPr>
        <w:t>¶</w:t>
      </w:r>
      <w:r w:rsidRPr="00DA3576">
        <w:rPr>
          <w:sz w:val="16"/>
        </w:rPr>
        <w:t xml:space="preserve"> 1. </w:t>
      </w:r>
      <w:r w:rsidRPr="00DA3576">
        <w:rPr>
          <w:rStyle w:val="StyleBoldUnderline"/>
        </w:rPr>
        <w:t>Set</w:t>
      </w:r>
      <w:r w:rsidRPr="00DA3576">
        <w:rPr>
          <w:sz w:val="16"/>
        </w:rPr>
        <w:t>ting</w:t>
      </w:r>
      <w:r w:rsidRPr="00DA3576">
        <w:rPr>
          <w:rStyle w:val="StyleBoldUnderline"/>
        </w:rPr>
        <w:t xml:space="preserve"> as their common goal sustained and effective action to deal with all land-based impacts upon the marine environment, specifically those resulting from</w:t>
      </w:r>
      <w:r w:rsidRPr="00DA3576">
        <w:rPr>
          <w:sz w:val="16"/>
        </w:rPr>
        <w:t xml:space="preserve"> sewage, persistent </w:t>
      </w:r>
      <w:r w:rsidRPr="00DA3576">
        <w:rPr>
          <w:rStyle w:val="StyleBoldUnderline"/>
        </w:rPr>
        <w:t>organic pollutants,</w:t>
      </w:r>
      <w:r w:rsidRPr="00DA3576">
        <w:rPr>
          <w:sz w:val="16"/>
        </w:rPr>
        <w:t xml:space="preserve"> radioactive substances, heavy metals, oils (hydrocarbons), </w:t>
      </w:r>
      <w:r w:rsidRPr="00DA3576">
        <w:rPr>
          <w:rStyle w:val="StyleBoldUnderline"/>
        </w:rPr>
        <w:t>nutrients</w:t>
      </w:r>
      <w:r w:rsidRPr="00DA3576">
        <w:rPr>
          <w:sz w:val="16"/>
        </w:rPr>
        <w:t xml:space="preserve">, sediment mobilization, </w:t>
      </w:r>
      <w:r w:rsidRPr="00DA3576">
        <w:rPr>
          <w:rStyle w:val="StyleBoldUnderline"/>
        </w:rPr>
        <w:t>litter, and</w:t>
      </w:r>
      <w:r w:rsidRPr="00DA3576">
        <w:rPr>
          <w:sz w:val="16"/>
        </w:rPr>
        <w:t xml:space="preserve"> physical alteration and </w:t>
      </w:r>
      <w:r w:rsidRPr="00DA3576">
        <w:rPr>
          <w:rStyle w:val="StyleBoldUnderline"/>
        </w:rPr>
        <w:t>destruction of habitat</w:t>
      </w:r>
      <w:r w:rsidRPr="00DA3576">
        <w:rPr>
          <w:sz w:val="16"/>
        </w:rPr>
        <w:t>;&amp;#65533;</w:t>
      </w:r>
      <w:r w:rsidRPr="00DA3576">
        <w:rPr>
          <w:sz w:val="12"/>
        </w:rPr>
        <w:t>¶</w:t>
      </w:r>
      <w:r w:rsidRPr="00DA3576">
        <w:rPr>
          <w:sz w:val="16"/>
        </w:rPr>
        <w:t xml:space="preserve"> In particular, </w:t>
      </w:r>
      <w:r w:rsidRPr="00DA3576">
        <w:rPr>
          <w:rStyle w:val="StyleBoldUnderline"/>
        </w:rPr>
        <w:t xml:space="preserve">the </w:t>
      </w:r>
      <w:r>
        <w:rPr>
          <w:rStyle w:val="StyleBoldUnderline"/>
        </w:rPr>
        <w:t>GPA</w:t>
      </w:r>
      <w:r w:rsidRPr="00DA3576">
        <w:rPr>
          <w:rStyle w:val="StyleBoldUnderline"/>
        </w:rPr>
        <w:t xml:space="preserve"> invites the UN states to undertake the following activities:</w:t>
      </w:r>
      <w:r w:rsidRPr="00DA3576">
        <w:rPr>
          <w:rStyle w:val="StyleBoldUnderline"/>
          <w:sz w:val="12"/>
        </w:rPr>
        <w:t>¶</w:t>
      </w:r>
      <w:r w:rsidRPr="00DA3576">
        <w:rPr>
          <w:rStyle w:val="StyleBoldUnderline"/>
        </w:rPr>
        <w:t xml:space="preserve"> Identification and assessment of problems </w:t>
      </w:r>
      <w:r w:rsidRPr="00DA3576">
        <w:rPr>
          <w:sz w:val="16"/>
        </w:rPr>
        <w:t xml:space="preserve">related to the most common sustainable development criteria (i.e. food security and poverty alleviation, public health, etc.), </w:t>
      </w:r>
      <w:r w:rsidRPr="00DA3576">
        <w:rPr>
          <w:rStyle w:val="StyleBoldUnderline"/>
        </w:rPr>
        <w:t>to the impacts of contaminants</w:t>
      </w:r>
      <w:r w:rsidRPr="00DA3576">
        <w:rPr>
          <w:sz w:val="16"/>
        </w:rPr>
        <w:t xml:space="preserve"> (i.e. sewage, persistent organic pollutants, etc), </w:t>
      </w:r>
      <w:r w:rsidRPr="00DA3576">
        <w:rPr>
          <w:rStyle w:val="StyleBoldUnderline"/>
        </w:rPr>
        <w:t>physical alteration</w:t>
      </w:r>
      <w:r w:rsidRPr="00DA3576">
        <w:rPr>
          <w:sz w:val="16"/>
        </w:rPr>
        <w:t xml:space="preserve"> (habitat modification and distruction), sources of degradation (i.e. coastal area, atmosphere, etc.), </w:t>
      </w:r>
      <w:r w:rsidRPr="00DA3576">
        <w:rPr>
          <w:rStyle w:val="StyleBoldUnderline"/>
        </w:rPr>
        <w:t>the affected or vulnerable areas of concern</w:t>
      </w:r>
      <w:r w:rsidRPr="00DA3576">
        <w:rPr>
          <w:sz w:val="16"/>
        </w:rPr>
        <w:t xml:space="preserve"> (i.e. critical habitats, habitats of endangered species, etc.);</w:t>
      </w:r>
      <w:r w:rsidRPr="00DA3576">
        <w:rPr>
          <w:sz w:val="12"/>
        </w:rPr>
        <w:t>¶</w:t>
      </w:r>
      <w:r w:rsidRPr="00DA3576">
        <w:rPr>
          <w:sz w:val="16"/>
        </w:rPr>
        <w:t xml:space="preserve"> </w:t>
      </w:r>
      <w:r w:rsidRPr="00DA3576">
        <w:rPr>
          <w:rStyle w:val="StyleBoldUnderline"/>
        </w:rPr>
        <w:t>Establishment of priorities for action in respect of the above factors</w:t>
      </w:r>
      <w:r w:rsidRPr="00DA3576">
        <w:rPr>
          <w:sz w:val="16"/>
        </w:rPr>
        <w:t>;</w:t>
      </w:r>
      <w:r w:rsidRPr="00DA3576">
        <w:rPr>
          <w:sz w:val="12"/>
        </w:rPr>
        <w:t>¶</w:t>
      </w:r>
      <w:r w:rsidRPr="00DA3576">
        <w:rPr>
          <w:sz w:val="16"/>
        </w:rPr>
        <w:t xml:space="preserve"> </w:t>
      </w:r>
      <w:r w:rsidRPr="00DA3576">
        <w:rPr>
          <w:rStyle w:val="StyleBoldUnderline"/>
        </w:rPr>
        <w:t>Identification of objectives for priority problems for source categories and areas affected on the basis of the established priorities</w:t>
      </w:r>
      <w:r w:rsidRPr="00DA3576">
        <w:rPr>
          <w:sz w:val="16"/>
        </w:rPr>
        <w:t>.</w:t>
      </w:r>
      <w:r w:rsidRPr="00DA3576">
        <w:rPr>
          <w:sz w:val="12"/>
        </w:rPr>
        <w:t>¶</w:t>
      </w:r>
      <w:r w:rsidRPr="00DA3576">
        <w:rPr>
          <w:sz w:val="16"/>
        </w:rPr>
        <w:t xml:space="preserve"> Identification, evaluation and selection of strategies and measures to achieve such objectives.</w:t>
      </w:r>
      <w:r w:rsidRPr="00DA3576">
        <w:rPr>
          <w:sz w:val="12"/>
        </w:rPr>
        <w:t>¶</w:t>
      </w:r>
      <w:r w:rsidRPr="00DA3576">
        <w:rPr>
          <w:sz w:val="16"/>
        </w:rPr>
        <w:t xml:space="preserve"> Development of criteria for evaluating the effectiveness of strategies and measures.</w:t>
      </w:r>
      <w:r w:rsidRPr="00DA3576">
        <w:rPr>
          <w:sz w:val="12"/>
        </w:rPr>
        <w:t>¶</w:t>
      </w:r>
      <w:r w:rsidRPr="00DA3576">
        <w:rPr>
          <w:sz w:val="16"/>
        </w:rPr>
        <w:t xml:space="preserve"> In respect of the protection of the marine environment from land-based activities, these are the milestones of </w:t>
      </w:r>
      <w:r>
        <w:rPr>
          <w:sz w:val="16"/>
        </w:rPr>
        <w:t>GPA</w:t>
      </w:r>
      <w:r w:rsidRPr="00DA3576">
        <w:rPr>
          <w:sz w:val="16"/>
        </w:rPr>
        <w:t xml:space="preserve"> in terms of global and regional conventions and events:</w:t>
      </w:r>
      <w:r w:rsidRPr="00DA3576">
        <w:rPr>
          <w:sz w:val="12"/>
        </w:rPr>
        <w:t>¶</w:t>
      </w:r>
      <w:r w:rsidRPr="00DA3576">
        <w:rPr>
          <w:sz w:val="16"/>
        </w:rPr>
        <w:t xml:space="preserve"> </w:t>
      </w:r>
    </w:p>
    <w:p w:rsidR="007C6AC9" w:rsidRDefault="007C6AC9" w:rsidP="007C6AC9">
      <w:pPr>
        <w:pStyle w:val="Heading4"/>
      </w:pPr>
      <w:r>
        <w:t>Implementation of the GPA has drastically reduced 3 sources of pollution, but further implementation focusing on another 6 categories is key – solves the aff best</w:t>
      </w:r>
    </w:p>
    <w:p w:rsidR="007C6AC9" w:rsidRDefault="007C6AC9" w:rsidP="007C6AC9">
      <w:pPr>
        <w:rPr>
          <w:rStyle w:val="StyleStyleBold12pt"/>
          <w:b w:val="0"/>
          <w:sz w:val="22"/>
        </w:rPr>
      </w:pPr>
      <w:r>
        <w:rPr>
          <w:rStyle w:val="StyleStyleBold12pt"/>
        </w:rPr>
        <w:t xml:space="preserve">Powers 8 </w:t>
      </w:r>
      <w:r>
        <w:rPr>
          <w:rStyle w:val="StyleStyleBold12pt"/>
          <w:b w:val="0"/>
          <w:sz w:val="22"/>
        </w:rPr>
        <w:t xml:space="preserve">(Ann Powers, </w:t>
      </w:r>
      <w:r w:rsidRPr="00ED1873">
        <w:rPr>
          <w:rStyle w:val="StyleStyleBold12pt"/>
          <w:b w:val="0"/>
          <w:sz w:val="22"/>
        </w:rPr>
        <w:t>Professor of Law, Pace Law School</w:t>
      </w:r>
      <w:r>
        <w:rPr>
          <w:rStyle w:val="StyleStyleBold12pt"/>
          <w:b w:val="0"/>
          <w:sz w:val="22"/>
        </w:rPr>
        <w:t>, “</w:t>
      </w:r>
      <w:r w:rsidRPr="00ED1873">
        <w:rPr>
          <w:rStyle w:val="StyleStyleBold12pt"/>
          <w:b w:val="0"/>
          <w:sz w:val="22"/>
        </w:rPr>
        <w:t>The Protection of the Marine Environment from Land-Based Pollution and Activities: Gauging the Tides of Global and Regional Governance</w:t>
      </w:r>
      <w:r>
        <w:rPr>
          <w:rStyle w:val="StyleStyleBold12pt"/>
          <w:b w:val="0"/>
          <w:sz w:val="22"/>
        </w:rPr>
        <w:t xml:space="preserve">,” </w:t>
      </w:r>
      <w:hyperlink r:id="rId41" w:history="1">
        <w:r w:rsidRPr="00BC241A">
          <w:rPr>
            <w:rStyle w:val="Hyperlink"/>
          </w:rPr>
          <w:t>http://digitalcommons.pace.edu/cgi/viewcontent.cgi?article=1513&amp;context=lawfaculty</w:t>
        </w:r>
      </w:hyperlink>
      <w:r>
        <w:rPr>
          <w:rStyle w:val="StyleStyleBold12pt"/>
          <w:b w:val="0"/>
          <w:sz w:val="22"/>
        </w:rPr>
        <w:t>, accessed 7/15/14)</w:t>
      </w:r>
    </w:p>
    <w:p w:rsidR="007C6AC9" w:rsidRPr="00DA3576" w:rsidRDefault="007C6AC9" w:rsidP="007C6AC9">
      <w:pPr>
        <w:rPr>
          <w:sz w:val="16"/>
        </w:rPr>
      </w:pPr>
      <w:r w:rsidRPr="00DA3576">
        <w:rPr>
          <w:sz w:val="12"/>
        </w:rPr>
        <w:t>¶</w:t>
      </w:r>
      <w:r w:rsidRPr="00DA3576">
        <w:rPr>
          <w:sz w:val="16"/>
        </w:rPr>
        <w:t xml:space="preserve"> Review of the State of the Marine Environment</w:t>
      </w:r>
      <w:r w:rsidRPr="00DA3576">
        <w:rPr>
          <w:sz w:val="12"/>
        </w:rPr>
        <w:t>¶</w:t>
      </w:r>
      <w:r w:rsidRPr="00DA3576">
        <w:rPr>
          <w:sz w:val="16"/>
        </w:rPr>
        <w:t xml:space="preserve"> </w:t>
      </w:r>
      <w:r w:rsidRPr="00AA5EE2">
        <w:rPr>
          <w:rStyle w:val="StyleBoldUnderline"/>
        </w:rPr>
        <w:t>A report</w:t>
      </w:r>
      <w:r w:rsidRPr="00DA3576">
        <w:rPr>
          <w:sz w:val="16"/>
        </w:rPr>
        <w:t xml:space="preserve">, The State of the Marine Environment: Trends and Processes,56 prepared for the IGR-2, </w:t>
      </w:r>
      <w:r w:rsidRPr="00AA5EE2">
        <w:rPr>
          <w:rStyle w:val="StyleBoldUnderline"/>
        </w:rPr>
        <w:t xml:space="preserve">assessed the status of actions for addressing each of the nine </w:t>
      </w:r>
      <w:r>
        <w:rPr>
          <w:rStyle w:val="StyleBoldUnderline"/>
        </w:rPr>
        <w:t>GPA</w:t>
      </w:r>
      <w:r w:rsidRPr="00AA5EE2">
        <w:rPr>
          <w:rStyle w:val="StyleBoldUnderline"/>
        </w:rPr>
        <w:t xml:space="preserve"> source categories</w:t>
      </w:r>
      <w:r w:rsidRPr="00DA3576">
        <w:rPr>
          <w:sz w:val="16"/>
        </w:rPr>
        <w:t xml:space="preserve"> with an overall conclusion that </w:t>
      </w:r>
      <w:r>
        <w:rPr>
          <w:rStyle w:val="StyleBoldUnderline"/>
        </w:rPr>
        <w:t>GPA</w:t>
      </w:r>
      <w:r w:rsidRPr="00AA5EE2">
        <w:rPr>
          <w:rStyle w:val="StyleBoldUnderline"/>
        </w:rPr>
        <w:t xml:space="preserve"> implementation has been uneven. Good progress was reported for</w:t>
      </w:r>
      <w:r w:rsidRPr="00DA3576">
        <w:rPr>
          <w:sz w:val="16"/>
        </w:rPr>
        <w:t xml:space="preserve"> three categories—</w:t>
      </w:r>
      <w:r w:rsidRPr="00AA5EE2">
        <w:rPr>
          <w:rStyle w:val="StyleBoldUnderline"/>
        </w:rPr>
        <w:t>POPs, radioactive substances and oils</w:t>
      </w:r>
      <w:r w:rsidRPr="00DA3576">
        <w:rPr>
          <w:sz w:val="16"/>
        </w:rPr>
        <w:t xml:space="preserve"> (hydrocarbons). </w:t>
      </w:r>
      <w:r w:rsidRPr="00AA5EE2">
        <w:rPr>
          <w:rStyle w:val="StyleBoldUnderline"/>
        </w:rPr>
        <w:t>Mixed results summarized the reality for heavy metals and sediment mobilization. Four categories showed worsening conditions, specifically, sewage, nutr</w:t>
      </w:r>
      <w:r>
        <w:rPr>
          <w:rStyle w:val="StyleBoldUnderline"/>
        </w:rPr>
        <w:t>ients, marine litter and physi</w:t>
      </w:r>
      <w:r w:rsidRPr="00AA5EE2">
        <w:rPr>
          <w:rStyle w:val="StyleBoldUnderline"/>
        </w:rPr>
        <w:t>cal</w:t>
      </w:r>
      <w:r w:rsidRPr="00DA3576">
        <w:rPr>
          <w:sz w:val="16"/>
        </w:rPr>
        <w:t xml:space="preserve"> alteration and </w:t>
      </w:r>
      <w:r w:rsidRPr="00AA5EE2">
        <w:rPr>
          <w:rStyle w:val="StyleBoldUnderline"/>
        </w:rPr>
        <w:t>destruction of habitats</w:t>
      </w:r>
      <w:r w:rsidRPr="00DA3576">
        <w:rPr>
          <w:sz w:val="16"/>
        </w:rPr>
        <w:t>, and the sources were highlighted as future priorities for action.57</w:t>
      </w:r>
      <w:r w:rsidRPr="00DA3576">
        <w:rPr>
          <w:sz w:val="12"/>
        </w:rPr>
        <w:t>¶</w:t>
      </w:r>
      <w:r w:rsidRPr="00DA3576">
        <w:rPr>
          <w:sz w:val="16"/>
        </w:rPr>
        <w:t xml:space="preserve"> </w:t>
      </w:r>
      <w:r w:rsidRPr="00AA5EE2">
        <w:rPr>
          <w:rStyle w:val="StyleBoldUnderline"/>
        </w:rPr>
        <w:t>Sewage was</w:t>
      </w:r>
      <w:r w:rsidRPr="00DA3576">
        <w:rPr>
          <w:sz w:val="16"/>
        </w:rPr>
        <w:t xml:space="preserve"> described as the area w</w:t>
      </w:r>
      <w:r w:rsidRPr="00AA5EE2">
        <w:rPr>
          <w:rStyle w:val="StyleBoldUnderline"/>
        </w:rPr>
        <w:t>here least progress has been achieved, with population growth outpacing treatment facilities and infrastructure</w:t>
      </w:r>
      <w:r w:rsidRPr="00DA3576">
        <w:rPr>
          <w:sz w:val="16"/>
        </w:rPr>
        <w:t>. The percentage of waste water discharged untreated was estimated for various regions with considerable variability, ranging from 10 per cent in the North Atlantic to 89 per cent in East Asia.58</w:t>
      </w:r>
      <w:r w:rsidRPr="00DA3576">
        <w:rPr>
          <w:sz w:val="12"/>
        </w:rPr>
        <w:t>¶</w:t>
      </w:r>
      <w:r w:rsidRPr="00DA3576">
        <w:rPr>
          <w:sz w:val="16"/>
        </w:rPr>
        <w:t xml:space="preserve"> </w:t>
      </w:r>
      <w:r w:rsidRPr="00AA5EE2">
        <w:rPr>
          <w:rStyle w:val="StyleBoldUnderline"/>
        </w:rPr>
        <w:t>Nutrient over-enrichment</w:t>
      </w:r>
      <w:r w:rsidRPr="00DA3576">
        <w:rPr>
          <w:sz w:val="16"/>
        </w:rPr>
        <w:t xml:space="preserve">, while varying region to region,59 </w:t>
      </w:r>
      <w:r w:rsidRPr="00AA5EE2">
        <w:rPr>
          <w:rStyle w:val="StyleBoldUnderline"/>
        </w:rPr>
        <w:t>was highlighted as a common concern</w:t>
      </w:r>
      <w:r w:rsidRPr="00DA3576">
        <w:rPr>
          <w:sz w:val="16"/>
        </w:rPr>
        <w:t xml:space="preserve">. Eutrophication has affected large areas of semi-enclosed seas, including the Baltic, North Adriatic and Black Seas in Europe, the Gulf of Mexico, and the Seto Inland Sea in Japan.60 Over </w:t>
      </w:r>
      <w:r w:rsidRPr="00AA5EE2">
        <w:rPr>
          <w:rStyle w:val="StyleBoldUnderline"/>
        </w:rPr>
        <w:t>600,000 tonnes of nitrogen are deposited annually via rivers</w:t>
      </w:r>
      <w:r w:rsidRPr="00DA3576">
        <w:rPr>
          <w:sz w:val="16"/>
        </w:rPr>
        <w:t xml:space="preserve"> running through Cambodia, China, Malaysia, Thailand and Vietnam to marine waters above the Sanda Shelf.61 </w:t>
      </w:r>
      <w:r w:rsidRPr="00AA5EE2">
        <w:rPr>
          <w:rStyle w:val="StyleBoldUnderline"/>
        </w:rPr>
        <w:t>In North America, nitrogen fluxes in the Mississippi River have increased four- fold and in rivers in the northeast eight-</w:t>
      </w:r>
      <w:r w:rsidRPr="00AA5EE2">
        <w:rPr>
          <w:rStyle w:val="StyleBoldUnderline"/>
        </w:rPr>
        <w:lastRenderedPageBreak/>
        <w:t>fold</w:t>
      </w:r>
      <w:r w:rsidRPr="00DA3576">
        <w:rPr>
          <w:sz w:val="16"/>
        </w:rPr>
        <w:t>.62 An estimated 2.4–2.7-fold increase by 2050 in nitrogen and phosphorus-driven eutrophication was predicted for terrestrial, freshwater and near-shore marine ecosystems because of increasing demands for food for an expanding global population.63</w:t>
      </w:r>
      <w:r w:rsidRPr="00DA3576">
        <w:rPr>
          <w:sz w:val="12"/>
        </w:rPr>
        <w:t>¶</w:t>
      </w:r>
      <w:r w:rsidRPr="00DA3576">
        <w:rPr>
          <w:sz w:val="16"/>
        </w:rPr>
        <w:t xml:space="preserve"> </w:t>
      </w:r>
      <w:r w:rsidRPr="00AA5EE2">
        <w:rPr>
          <w:rStyle w:val="StyleBoldUnderline"/>
        </w:rPr>
        <w:t>Marine litter was determined to be a further priority. Plastic litter</w:t>
      </w:r>
      <w:r w:rsidRPr="00DA3576">
        <w:rPr>
          <w:sz w:val="16"/>
        </w:rPr>
        <w:t xml:space="preserve">, </w:t>
      </w:r>
      <w:r w:rsidRPr="00AA5EE2">
        <w:rPr>
          <w:rStyle w:val="StyleBoldUnderline"/>
        </w:rPr>
        <w:t xml:space="preserve">besides being a source of persistent toxic substances and a vehicle for transporting exotic invasive species over long distances, is estimated to kill </w:t>
      </w:r>
      <w:r w:rsidRPr="009472B7">
        <w:t>more than 1 million</w:t>
      </w:r>
      <w:r w:rsidRPr="00DA3576">
        <w:rPr>
          <w:sz w:val="16"/>
        </w:rPr>
        <w:t xml:space="preserve"> birds and 100,000 marine mammals and </w:t>
      </w:r>
      <w:r w:rsidRPr="00AA5EE2">
        <w:rPr>
          <w:rStyle w:val="StyleBoldUnderline"/>
        </w:rPr>
        <w:t>sea turtles each year</w:t>
      </w:r>
      <w:r w:rsidRPr="00DA3576">
        <w:rPr>
          <w:sz w:val="16"/>
        </w:rPr>
        <w:t>.64 An annual coastal cleanup event in 2002 involving volunteers in some 100 countries collected 6.2 million pieces of refuse weighing 4,000 tonnes, with nearly 58 per cent of the litter attributable to recreational activities along the shore.65 Millions of tonnes of military debris, such as old munitions, have also been dumped in the oceans.66</w:t>
      </w:r>
      <w:r w:rsidRPr="00DA3576">
        <w:rPr>
          <w:sz w:val="12"/>
        </w:rPr>
        <w:t>¶</w:t>
      </w:r>
      <w:r w:rsidRPr="00DA3576">
        <w:rPr>
          <w:sz w:val="16"/>
        </w:rPr>
        <w:t xml:space="preserve"> Physical alteration and destruction of habitats were also identified as one of the top four priorities. Some 50 per cent of all wetlands and over 50 per cent of mangroves have been lost over the past century and </w:t>
      </w:r>
      <w:r w:rsidRPr="00ED1873">
        <w:rPr>
          <w:rStyle w:val="StyleBoldUnderline"/>
        </w:rPr>
        <w:t>30 per cent of the world’s coral reefs have been described as seriously damaged</w:t>
      </w:r>
      <w:r w:rsidRPr="00DA3576">
        <w:rPr>
          <w:sz w:val="16"/>
        </w:rPr>
        <w:t xml:space="preserve">.67 </w:t>
      </w:r>
      <w:r w:rsidRPr="00ED1873">
        <w:rPr>
          <w:rStyle w:val="StyleBoldUnderline"/>
        </w:rPr>
        <w:t>Pressures on coastal habitats are expected to increase</w:t>
      </w:r>
      <w:r w:rsidRPr="00DA3576">
        <w:rPr>
          <w:sz w:val="16"/>
        </w:rPr>
        <w:t xml:space="preserve"> in light of growing populations and migration patterns, with population densities in the coastal zone projected to increase from 99 persons/km2 in 2010 to 134 p/km2 in 2050.68</w:t>
      </w:r>
    </w:p>
    <w:p w:rsidR="007C6AC9" w:rsidRDefault="007C6AC9" w:rsidP="007C6AC9">
      <w:pPr>
        <w:pStyle w:val="Heading3"/>
      </w:pPr>
      <w:r>
        <w:lastRenderedPageBreak/>
        <w:t>Generic Solvency---2NC</w:t>
      </w:r>
    </w:p>
    <w:p w:rsidR="007C6AC9" w:rsidRDefault="007C6AC9" w:rsidP="007C6AC9">
      <w:pPr>
        <w:pStyle w:val="Heading4"/>
      </w:pPr>
      <w:r>
        <w:t>The GPA framework exists, but direct implementation requires training personnel, increased investment in technical resources, and an improved regulatory system</w:t>
      </w:r>
    </w:p>
    <w:p w:rsidR="007C6AC9" w:rsidRDefault="007C6AC9" w:rsidP="007C6AC9">
      <w:pPr>
        <w:rPr>
          <w:rStyle w:val="StyleStyleBold12pt"/>
          <w:b w:val="0"/>
          <w:sz w:val="22"/>
        </w:rPr>
      </w:pPr>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2"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Pr="009472B7" w:rsidRDefault="007C6AC9" w:rsidP="007C6AC9">
      <w:pPr>
        <w:rPr>
          <w:sz w:val="16"/>
        </w:rPr>
      </w:pPr>
      <w:r w:rsidRPr="009472B7">
        <w:rPr>
          <w:sz w:val="16"/>
        </w:rPr>
        <w:t xml:space="preserve">Overall progress in protecting the marine environment from the effects of land- based activities, and in </w:t>
      </w:r>
      <w:r w:rsidRPr="009472B7">
        <w:rPr>
          <w:rStyle w:val="StyleBoldUnderline"/>
        </w:rPr>
        <w:t xml:space="preserve">implementing the </w:t>
      </w:r>
      <w:r>
        <w:rPr>
          <w:rStyle w:val="StyleBoldUnderline"/>
        </w:rPr>
        <w:t>GPA</w:t>
      </w:r>
      <w:r w:rsidRPr="009472B7">
        <w:rPr>
          <w:rStyle w:val="StyleBoldUnderline"/>
        </w:rPr>
        <w:t xml:space="preserve"> has been uneven</w:t>
      </w:r>
      <w:r w:rsidRPr="009472B7">
        <w:rPr>
          <w:sz w:val="16"/>
        </w:rPr>
        <w:t>. Success in some areas has been offset by deterioration elsewhere. This uneven performance occurs at all levels, both between and within sectors and between and within regions.</w:t>
      </w:r>
    </w:p>
    <w:p w:rsidR="007C6AC9" w:rsidRPr="009472B7" w:rsidRDefault="007C6AC9" w:rsidP="007C6AC9">
      <w:pPr>
        <w:rPr>
          <w:sz w:val="16"/>
        </w:rPr>
      </w:pPr>
      <w:r w:rsidRPr="009472B7">
        <w:rPr>
          <w:sz w:val="16"/>
        </w:rPr>
        <w:t>A distinction has to be made between whether progress can be measured in terms of actual improvements or merely in terms of arresting further deterioration.</w:t>
      </w:r>
    </w:p>
    <w:p w:rsidR="007C6AC9" w:rsidRPr="009472B7" w:rsidRDefault="007C6AC9" w:rsidP="007C6AC9">
      <w:pPr>
        <w:rPr>
          <w:sz w:val="16"/>
        </w:rPr>
      </w:pPr>
      <w:r w:rsidRPr="009472B7">
        <w:rPr>
          <w:sz w:val="16"/>
        </w:rPr>
        <w:t xml:space="preserve">An additional distinction needs to be made in cases where the situation has deteriorated in absolute terms. </w:t>
      </w:r>
      <w:r w:rsidRPr="00A576C1">
        <w:rPr>
          <w:rStyle w:val="StyleBoldUnderline"/>
        </w:rPr>
        <w:t>In assessing the situation, it is important to under- stand the implications of what is occurring</w:t>
      </w:r>
      <w:r w:rsidRPr="009472B7">
        <w:rPr>
          <w:sz w:val="16"/>
        </w:rPr>
        <w:t xml:space="preserve"> and the underlying reasons for progress, stagnation or regression. Although it is not possible to draw conclusions on what action resulted in which trend, and without going into details that have already been reviewed in previous sections, one can highlight the following:</w:t>
      </w:r>
    </w:p>
    <w:p w:rsidR="007C6AC9" w:rsidRPr="009472B7" w:rsidRDefault="007C6AC9" w:rsidP="007C6AC9">
      <w:pPr>
        <w:rPr>
          <w:sz w:val="16"/>
        </w:rPr>
      </w:pPr>
      <w:r w:rsidRPr="00A576C1">
        <w:rPr>
          <w:rStyle w:val="StyleBoldUnderline"/>
        </w:rPr>
        <w:t>The framework for action for the protection of the marine environment is established, with a good, solid institutional and legal base and</w:t>
      </w:r>
      <w:r w:rsidRPr="009472B7">
        <w:rPr>
          <w:sz w:val="16"/>
        </w:rPr>
        <w:t xml:space="preserve"> global programme of action (</w:t>
      </w:r>
      <w:r w:rsidRPr="00A576C1">
        <w:rPr>
          <w:rStyle w:val="StyleBoldUnderline"/>
        </w:rPr>
        <w:t>GPA</w:t>
      </w:r>
      <w:r w:rsidRPr="009472B7">
        <w:rPr>
          <w:sz w:val="16"/>
        </w:rPr>
        <w:t xml:space="preserve">) functional in several regions. A good level of international and regional cooperation facilitates implementation of the </w:t>
      </w:r>
      <w:r>
        <w:rPr>
          <w:sz w:val="16"/>
        </w:rPr>
        <w:t>GPA</w:t>
      </w:r>
      <w:r w:rsidRPr="009472B7">
        <w:rPr>
          <w:sz w:val="16"/>
        </w:rPr>
        <w:t>/</w:t>
      </w:r>
      <w:r>
        <w:rPr>
          <w:sz w:val="16"/>
        </w:rPr>
        <w:t>LBA</w:t>
      </w:r>
      <w:r w:rsidRPr="009472B7">
        <w:rPr>
          <w:sz w:val="16"/>
        </w:rPr>
        <w:t>.</w:t>
      </w:r>
    </w:p>
    <w:p w:rsidR="007C6AC9" w:rsidRPr="009472B7" w:rsidRDefault="007C6AC9" w:rsidP="007C6AC9">
      <w:pPr>
        <w:rPr>
          <w:sz w:val="16"/>
        </w:rPr>
      </w:pPr>
      <w:r w:rsidRPr="009472B7">
        <w:rPr>
          <w:sz w:val="16"/>
        </w:rPr>
        <w:t xml:space="preserve">The degree of progress in the various sectors varies considerably. The following clusters can be distinguished, considering trends in the current situation and effectiveness of action taken in relation to the nine priority areas of the </w:t>
      </w:r>
      <w:r>
        <w:rPr>
          <w:sz w:val="16"/>
        </w:rPr>
        <w:t>GPA</w:t>
      </w:r>
      <w:r w:rsidRPr="009472B7">
        <w:rPr>
          <w:sz w:val="16"/>
        </w:rPr>
        <w:t xml:space="preserve"> framework:</w:t>
      </w:r>
    </w:p>
    <w:p w:rsidR="007C6AC9" w:rsidRPr="009472B7" w:rsidRDefault="007C6AC9" w:rsidP="007C6AC9">
      <w:pPr>
        <w:rPr>
          <w:sz w:val="16"/>
        </w:rPr>
      </w:pPr>
      <w:r w:rsidRPr="009472B7">
        <w:rPr>
          <w:sz w:val="16"/>
        </w:rPr>
        <w:t>· Relatively good levels of success have been achieved in relation to Persistent Organic</w:t>
      </w:r>
    </w:p>
    <w:p w:rsidR="007C6AC9" w:rsidRPr="009472B7" w:rsidRDefault="007C6AC9" w:rsidP="007C6AC9">
      <w:pPr>
        <w:rPr>
          <w:sz w:val="16"/>
        </w:rPr>
      </w:pPr>
      <w:r w:rsidRPr="009472B7">
        <w:rPr>
          <w:sz w:val="16"/>
        </w:rPr>
        <w:t>Pollutants, Radioactive substances and Oil (hydrocarbons). Of course some problems remain, mainly in developing regions, but overall, progress has been consistent. One special issue here is the danger posed by accidents affecting radioactive substances and oil. Besides, pesticides continue to pose problems, mainly in developing regions.</w:t>
      </w:r>
    </w:p>
    <w:p w:rsidR="007C6AC9" w:rsidRPr="009472B7" w:rsidRDefault="007C6AC9" w:rsidP="007C6AC9">
      <w:pPr>
        <w:rPr>
          <w:sz w:val="16"/>
        </w:rPr>
      </w:pPr>
      <w:r w:rsidRPr="009472B7">
        <w:rPr>
          <w:sz w:val="16"/>
        </w:rPr>
        <w:t>· Mixed results have been obtained in respect of Heavy metals and Sediment mobilization. Overall, the situation appears relatively stable in developed regions, but presents problems in areas of rapid development. In respect of heavy metals, emerging problems such as that of electronic waste pose new threats.</w:t>
      </w:r>
    </w:p>
    <w:p w:rsidR="007C6AC9" w:rsidRPr="009472B7" w:rsidRDefault="007C6AC9" w:rsidP="007C6AC9">
      <w:pPr>
        <w:rPr>
          <w:sz w:val="16"/>
        </w:rPr>
      </w:pPr>
      <w:r w:rsidRPr="009472B7">
        <w:rPr>
          <w:sz w:val="16"/>
        </w:rPr>
        <w:t xml:space="preserve">· </w:t>
      </w:r>
      <w:r w:rsidRPr="00A576C1">
        <w:rPr>
          <w:rStyle w:val="StyleBoldUnderline"/>
        </w:rPr>
        <w:t>Worsening conditions are occurring in</w:t>
      </w:r>
      <w:r w:rsidRPr="009472B7">
        <w:rPr>
          <w:sz w:val="16"/>
        </w:rPr>
        <w:t xml:space="preserve"> respect of Sewage, </w:t>
      </w:r>
      <w:r w:rsidRPr="00A576C1">
        <w:rPr>
          <w:rStyle w:val="StyleBoldUnderline"/>
        </w:rPr>
        <w:t>Nutrients, Marine litter and Physical</w:t>
      </w:r>
      <w:r w:rsidRPr="009472B7">
        <w:rPr>
          <w:sz w:val="16"/>
        </w:rPr>
        <w:t xml:space="preserve"> </w:t>
      </w:r>
      <w:r w:rsidRPr="00A576C1">
        <w:rPr>
          <w:rStyle w:val="StyleBoldUnderline"/>
        </w:rPr>
        <w:t>alteration</w:t>
      </w:r>
      <w:r w:rsidRPr="009472B7">
        <w:rPr>
          <w:sz w:val="16"/>
        </w:rPr>
        <w:t xml:space="preserve"> and destruction of habitats. In developed regions the situation is stable in respect of sewage, but because of population growth and rapidly increasing development, it is a major problem in developing regions and the situation continues to deteriorate. </w:t>
      </w:r>
      <w:r w:rsidRPr="00A576C1">
        <w:rPr>
          <w:rStyle w:val="StyleBoldUnderline"/>
        </w:rPr>
        <w:t>Agricultural nutrient run-off is a growing problem in most places</w:t>
      </w:r>
      <w:r w:rsidRPr="009472B7">
        <w:rPr>
          <w:sz w:val="16"/>
        </w:rPr>
        <w:t>. The other two problems are increasing in severity and magnitude and have a global reach.</w:t>
      </w:r>
    </w:p>
    <w:p w:rsidR="007C6AC9" w:rsidRPr="00DA3576" w:rsidRDefault="007C6AC9" w:rsidP="007C6AC9">
      <w:pPr>
        <w:rPr>
          <w:sz w:val="16"/>
        </w:rPr>
      </w:pPr>
      <w:r w:rsidRPr="009472B7">
        <w:rPr>
          <w:sz w:val="16"/>
        </w:rPr>
        <w:t xml:space="preserve">Factors determining progress are related directly to the problem at hand or are part of a broader context. </w:t>
      </w:r>
      <w:r w:rsidRPr="00A576C1">
        <w:rPr>
          <w:rStyle w:val="StyleBoldUnderline"/>
        </w:rPr>
        <w:t>Factors that influence progress in a positive manner include a clear and functional regulatory system, a solid institutional framework, well-trained personnel, financial and technical resources and an informed public</w:t>
      </w:r>
      <w:r w:rsidRPr="009472B7">
        <w:rPr>
          <w:sz w:val="16"/>
        </w:rPr>
        <w:t>. Well defined or circumscribed problems appear easier to deal with, whereas diffuse or pervasive problems or complex questions appear much more difficult.</w:t>
      </w:r>
    </w:p>
    <w:p w:rsidR="007C6AC9" w:rsidRPr="00A576C1" w:rsidRDefault="007C6AC9" w:rsidP="007C6AC9"/>
    <w:p w:rsidR="007C6AC9" w:rsidRPr="00A576C1" w:rsidRDefault="007C6AC9" w:rsidP="007C6AC9">
      <w:pPr>
        <w:pStyle w:val="Heading3"/>
      </w:pPr>
      <w:r>
        <w:lastRenderedPageBreak/>
        <w:t>Nutrients---2NC</w:t>
      </w:r>
    </w:p>
    <w:p w:rsidR="007C6AC9" w:rsidRDefault="007C6AC9" w:rsidP="007C6AC9">
      <w:pPr>
        <w:pStyle w:val="Heading4"/>
      </w:pPr>
      <w:r>
        <w:t>Nutrient are the most destructive source of pollution – bioremediation can’t solve, but the GPA can</w:t>
      </w:r>
    </w:p>
    <w:p w:rsidR="007C6AC9" w:rsidRDefault="007C6AC9" w:rsidP="007C6AC9">
      <w:pPr>
        <w:rPr>
          <w:rStyle w:val="StyleStyleBold12pt"/>
          <w:b w:val="0"/>
          <w:sz w:val="22"/>
        </w:rPr>
      </w:pPr>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3"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Pr="00B431D8" w:rsidRDefault="007C6AC9" w:rsidP="007C6AC9">
      <w:pPr>
        <w:rPr>
          <w:sz w:val="16"/>
        </w:rPr>
      </w:pPr>
      <w:r w:rsidRPr="00B431D8">
        <w:rPr>
          <w:sz w:val="16"/>
        </w:rPr>
        <w:t>2.6 Nutrients</w:t>
      </w:r>
      <w:r w:rsidRPr="00B431D8">
        <w:rPr>
          <w:sz w:val="12"/>
        </w:rPr>
        <w:t>¶</w:t>
      </w:r>
      <w:r w:rsidRPr="00B431D8">
        <w:rPr>
          <w:sz w:val="16"/>
        </w:rPr>
        <w:t xml:space="preserve"> The problem:</w:t>
      </w:r>
      <w:r w:rsidRPr="00B431D8">
        <w:rPr>
          <w:sz w:val="12"/>
        </w:rPr>
        <w:t>¶</w:t>
      </w:r>
      <w:r w:rsidRPr="00B431D8">
        <w:rPr>
          <w:sz w:val="16"/>
        </w:rPr>
        <w:t xml:space="preserve"> </w:t>
      </w:r>
      <w:r w:rsidRPr="00227DEA">
        <w:rPr>
          <w:rStyle w:val="StyleBoldUnderline"/>
        </w:rPr>
        <w:t xml:space="preserve">Nutrient over-enrichment of oceans is probably one of the most important worldwide problems in the context of the </w:t>
      </w:r>
      <w:r>
        <w:rPr>
          <w:rStyle w:val="StyleBoldUnderline"/>
        </w:rPr>
        <w:t>GPA</w:t>
      </w:r>
      <w:r w:rsidRPr="00227DEA">
        <w:rPr>
          <w:rStyle w:val="StyleBoldUnderline"/>
        </w:rPr>
        <w:t>. Imbalances in nutrient ratios cause changes in the entire structure and functioning of an ecosystem. This includes:</w:t>
      </w:r>
      <w:r w:rsidRPr="00B431D8">
        <w:rPr>
          <w:rStyle w:val="StyleBoldUnderline"/>
          <w:sz w:val="12"/>
        </w:rPr>
        <w:t>¶</w:t>
      </w:r>
      <w:r w:rsidRPr="009472B7">
        <w:rPr>
          <w:rStyle w:val="StyleBoldUnderline"/>
          <w:sz w:val="12"/>
        </w:rPr>
        <w:t xml:space="preserve"> </w:t>
      </w:r>
      <w:r w:rsidRPr="00B431D8">
        <w:rPr>
          <w:sz w:val="16"/>
        </w:rPr>
        <w:t xml:space="preserve">· </w:t>
      </w:r>
      <w:r w:rsidRPr="00227DEA">
        <w:rPr>
          <w:rStyle w:val="StyleBoldUnderline"/>
        </w:rPr>
        <w:t>stimulation of growth of</w:t>
      </w:r>
      <w:r w:rsidRPr="00B431D8">
        <w:rPr>
          <w:sz w:val="16"/>
        </w:rPr>
        <w:t xml:space="preserve"> phytoplankton and benthic </w:t>
      </w:r>
      <w:r w:rsidRPr="00227DEA">
        <w:rPr>
          <w:rStyle w:val="StyleBoldUnderline"/>
        </w:rPr>
        <w:t>algae</w:t>
      </w:r>
      <w:r w:rsidRPr="00B431D8">
        <w:rPr>
          <w:sz w:val="16"/>
        </w:rPr>
        <w:t xml:space="preserve">, often </w:t>
      </w:r>
      <w:r w:rsidRPr="00227DEA">
        <w:rPr>
          <w:rStyle w:val="StyleBoldUnderline"/>
        </w:rPr>
        <w:t>favouring</w:t>
      </w:r>
      <w:r w:rsidRPr="00B431D8">
        <w:rPr>
          <w:sz w:val="16"/>
        </w:rPr>
        <w:t xml:space="preserve"> toxic or</w:t>
      </w:r>
      <w:r w:rsidRPr="00B431D8">
        <w:rPr>
          <w:sz w:val="12"/>
        </w:rPr>
        <w:t>¶</w:t>
      </w:r>
      <w:r w:rsidRPr="00B431D8">
        <w:rPr>
          <w:sz w:val="16"/>
        </w:rPr>
        <w:t xml:space="preserve"> otherwise </w:t>
      </w:r>
      <w:r w:rsidRPr="00227DEA">
        <w:rPr>
          <w:rStyle w:val="StyleBoldUnderline"/>
        </w:rPr>
        <w:t>harmful species, as well as reduced penetration of light</w:t>
      </w:r>
      <w:r w:rsidRPr="00B431D8">
        <w:rPr>
          <w:sz w:val="16"/>
        </w:rPr>
        <w:t>;</w:t>
      </w:r>
      <w:r w:rsidRPr="00B431D8">
        <w:rPr>
          <w:sz w:val="12"/>
        </w:rPr>
        <w:t>¶</w:t>
      </w:r>
      <w:r w:rsidRPr="00B431D8">
        <w:rPr>
          <w:sz w:val="16"/>
        </w:rPr>
        <w:t xml:space="preserve"> · large-scale oxygen depletion from decomposition of excess organic matter;</w:t>
      </w:r>
      <w:r w:rsidRPr="00B431D8">
        <w:rPr>
          <w:sz w:val="12"/>
        </w:rPr>
        <w:t>¶</w:t>
      </w:r>
      <w:r w:rsidRPr="00B431D8">
        <w:rPr>
          <w:sz w:val="16"/>
        </w:rPr>
        <w:t xml:space="preserve"> · </w:t>
      </w:r>
      <w:r w:rsidRPr="00227DEA">
        <w:rPr>
          <w:rStyle w:val="StyleBoldUnderline"/>
        </w:rPr>
        <w:t>general degradation of habitats, including destruction of coral reefs and sea-grass beds</w:t>
      </w:r>
      <w:r w:rsidRPr="00B431D8">
        <w:rPr>
          <w:sz w:val="16"/>
        </w:rPr>
        <w:t>;</w:t>
      </w:r>
      <w:r w:rsidRPr="00B431D8">
        <w:rPr>
          <w:sz w:val="12"/>
        </w:rPr>
        <w:t>¶</w:t>
      </w:r>
      <w:r w:rsidRPr="00B431D8">
        <w:rPr>
          <w:sz w:val="16"/>
        </w:rPr>
        <w:t xml:space="preserve"> · alteration of marine food-webs, including damage to larval or other life stages;</w:t>
      </w:r>
      <w:r w:rsidRPr="00B431D8">
        <w:rPr>
          <w:sz w:val="12"/>
        </w:rPr>
        <w:t>¶</w:t>
      </w:r>
      <w:r w:rsidRPr="00B431D8">
        <w:rPr>
          <w:sz w:val="16"/>
        </w:rPr>
        <w:t xml:space="preserve"> · mass mortality of wild or farmed fish and shellfish as well as of mammals, seabirds and</w:t>
      </w:r>
      <w:r w:rsidRPr="00B431D8">
        <w:rPr>
          <w:sz w:val="12"/>
        </w:rPr>
        <w:t>¶</w:t>
      </w:r>
      <w:r w:rsidRPr="00B431D8">
        <w:rPr>
          <w:sz w:val="16"/>
        </w:rPr>
        <w:t xml:space="preserve"> other animals.</w:t>
      </w:r>
      <w:r w:rsidRPr="00B431D8">
        <w:rPr>
          <w:sz w:val="12"/>
        </w:rPr>
        <w:t>¶</w:t>
      </w:r>
      <w:r w:rsidRPr="00B431D8">
        <w:rPr>
          <w:sz w:val="16"/>
        </w:rPr>
        <w:t xml:space="preserve"> </w:t>
      </w:r>
      <w:r w:rsidRPr="00227DEA">
        <w:rPr>
          <w:rStyle w:val="StyleBoldUnderline"/>
        </w:rPr>
        <w:t>Nutrient inputs are often localized but added up they are a major factor in global marine pollution</w:t>
      </w:r>
      <w:r w:rsidRPr="00B431D8">
        <w:rPr>
          <w:sz w:val="16"/>
        </w:rPr>
        <w:t xml:space="preserve">. </w:t>
      </w:r>
      <w:r w:rsidRPr="00227DEA">
        <w:rPr>
          <w:rStyle w:val="StyleBoldUnderline"/>
        </w:rPr>
        <w:t>Land-based activities are the dominant source of nutrients</w:t>
      </w:r>
      <w:r w:rsidRPr="00B431D8">
        <w:rPr>
          <w:sz w:val="16"/>
        </w:rPr>
        <w:t xml:space="preserve">, especially for fixed nitrogen, </w:t>
      </w:r>
      <w:r w:rsidRPr="00227DEA">
        <w:rPr>
          <w:rStyle w:val="StyleBoldUnderline"/>
        </w:rPr>
        <w:t>and include</w:t>
      </w:r>
      <w:r w:rsidRPr="00B431D8">
        <w:rPr>
          <w:sz w:val="16"/>
        </w:rPr>
        <w:t xml:space="preserve"> (gesamp 2001):</w:t>
      </w:r>
      <w:r w:rsidRPr="00B431D8">
        <w:rPr>
          <w:sz w:val="12"/>
        </w:rPr>
        <w:t>¶</w:t>
      </w:r>
      <w:r w:rsidRPr="00B431D8">
        <w:rPr>
          <w:sz w:val="16"/>
        </w:rPr>
        <w:t xml:space="preserve"> · </w:t>
      </w:r>
      <w:r w:rsidRPr="00227DEA">
        <w:rPr>
          <w:rStyle w:val="StyleBoldUnderline"/>
        </w:rPr>
        <w:t>agricultural runoff</w:t>
      </w:r>
      <w:r w:rsidRPr="00B431D8">
        <w:rPr>
          <w:sz w:val="16"/>
        </w:rPr>
        <w:t xml:space="preserve"> (fertilizer);</w:t>
      </w:r>
      <w:r w:rsidRPr="00B431D8">
        <w:rPr>
          <w:sz w:val="12"/>
        </w:rPr>
        <w:t>¶</w:t>
      </w:r>
      <w:r w:rsidRPr="00B431D8">
        <w:rPr>
          <w:sz w:val="16"/>
        </w:rPr>
        <w:t xml:space="preserve"> · atmospheric releases from </w:t>
      </w:r>
      <w:r w:rsidRPr="00227DEA">
        <w:rPr>
          <w:rStyle w:val="StyleBoldUnderline"/>
        </w:rPr>
        <w:t>fossil fuel combustion</w:t>
      </w:r>
      <w:r w:rsidRPr="00B431D8">
        <w:rPr>
          <w:sz w:val="16"/>
        </w:rPr>
        <w:t>, and, to a lesser extent, from agricultural fertilizers and manure;</w:t>
      </w:r>
      <w:r w:rsidRPr="00B431D8">
        <w:rPr>
          <w:sz w:val="12"/>
        </w:rPr>
        <w:t>¶</w:t>
      </w:r>
      <w:r w:rsidRPr="00B431D8">
        <w:rPr>
          <w:sz w:val="16"/>
        </w:rPr>
        <w:t xml:space="preserve"> · sewage and </w:t>
      </w:r>
      <w:r w:rsidRPr="00227DEA">
        <w:rPr>
          <w:rStyle w:val="StyleBoldUnderline"/>
        </w:rPr>
        <w:t>industrial discharges</w:t>
      </w:r>
      <w:r w:rsidRPr="00B431D8">
        <w:rPr>
          <w:sz w:val="12"/>
        </w:rPr>
        <w:t>¶</w:t>
      </w:r>
      <w:r w:rsidRPr="00B431D8">
        <w:rPr>
          <w:sz w:val="16"/>
        </w:rPr>
        <w:t xml:space="preserve"> </w:t>
      </w:r>
      <w:r w:rsidRPr="009472B7">
        <w:rPr>
          <w:rStyle w:val="StyleBoldUnderline"/>
        </w:rPr>
        <w:t>Nitrogen</w:t>
      </w:r>
      <w:r w:rsidRPr="00B431D8">
        <w:rPr>
          <w:sz w:val="16"/>
        </w:rPr>
        <w:t xml:space="preserve"> flow towards the oceans are a good illustration of the magnitude of changes in anthropogenic nutrient inputs since the industrial revolution. These </w:t>
      </w:r>
      <w:r w:rsidRPr="009472B7">
        <w:rPr>
          <w:rStyle w:val="StyleBoldUnderline"/>
        </w:rPr>
        <w:t>flows have increased 15 fold</w:t>
      </w:r>
      <w:r w:rsidRPr="00B431D8">
        <w:rPr>
          <w:sz w:val="16"/>
        </w:rPr>
        <w:t xml:space="preserve"> in North Sea watersheds,11 fold in the north eastern usa;,10 fold in the Yellow River basin, 5.7 fold in the Mississippi River basin, 5 fold in the Baltic Sea watersheds, 4.1 fold in the Great Lakes/St Lawrence River basin, 3.7 fold in South-Western Europe (mea 2005). It is expected that global river nitrogen exports to the oceans will continue to rise. Projections for 2030 show an increase of 14 per cent compared to 1995. By 2030 global river nitrogen exports is projected to be 49.7 Tg/yr, with natural sources contributing 57 per cent of the total, agriculture 34 per cent and sewage 9 per cent (Bouwman and others 2005). </w:t>
      </w:r>
    </w:p>
    <w:p w:rsidR="007C6AC9" w:rsidRDefault="007C6AC9" w:rsidP="007C6AC9"/>
    <w:p w:rsidR="007C6AC9" w:rsidRDefault="007C6AC9" w:rsidP="007C6AC9">
      <w:pPr>
        <w:pStyle w:val="Heading4"/>
      </w:pPr>
      <w:r>
        <w:t>Nutrient diffusion destroys the environment and turns the case – only addressing land-based sources of pollution solves</w:t>
      </w:r>
    </w:p>
    <w:p w:rsidR="007C6AC9" w:rsidRPr="00A576C1" w:rsidRDefault="007C6AC9" w:rsidP="007C6AC9">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4"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Pr="00B431D8" w:rsidRDefault="007C6AC9" w:rsidP="007C6AC9">
      <w:pPr>
        <w:rPr>
          <w:sz w:val="16"/>
        </w:rPr>
      </w:pPr>
      <w:r w:rsidRPr="00B431D8">
        <w:rPr>
          <w:sz w:val="16"/>
        </w:rPr>
        <w:t xml:space="preserve">North America: </w:t>
      </w:r>
      <w:r w:rsidRPr="009472B7">
        <w:rPr>
          <w:rStyle w:val="StyleBoldUnderline"/>
        </w:rPr>
        <w:t>in the USA diffuse inputs of nitrogen and phosphorus pollution have increased dramatically, causing</w:t>
      </w:r>
      <w:r w:rsidRPr="00B431D8">
        <w:rPr>
          <w:sz w:val="16"/>
        </w:rPr>
        <w:t xml:space="preserve"> eutrophication, </w:t>
      </w:r>
      <w:r w:rsidRPr="009472B7">
        <w:rPr>
          <w:rStyle w:val="StyleBoldUnderline"/>
        </w:rPr>
        <w:t xml:space="preserve">harmful algal blooms, dead zones, coral reef destruction, loss of sea-grass and kelp beds, fish kills, shellfish poisoning and even </w:t>
      </w:r>
      <w:r w:rsidRPr="00B431D8">
        <w:rPr>
          <w:sz w:val="16"/>
        </w:rPr>
        <w:t xml:space="preserve">sea- bird and </w:t>
      </w:r>
      <w:r w:rsidRPr="009472B7">
        <w:rPr>
          <w:rStyle w:val="StyleBoldUnderline"/>
        </w:rPr>
        <w:t xml:space="preserve">marine mammal deaths </w:t>
      </w:r>
      <w:r w:rsidRPr="00B431D8">
        <w:rPr>
          <w:sz w:val="16"/>
        </w:rPr>
        <w:t xml:space="preserve">(Howarth and others 2000). Around 60 per cent of coastal rivers and bays are severely degraded. </w:t>
      </w:r>
      <w:r w:rsidRPr="009472B7">
        <w:rPr>
          <w:rStyle w:val="StyleBoldUnderline"/>
        </w:rPr>
        <w:t>Human activities have increased nitrogen flux</w:t>
      </w:r>
      <w:r w:rsidRPr="00B431D8">
        <w:rPr>
          <w:sz w:val="16"/>
        </w:rPr>
        <w:t xml:space="preserve"> in the Mississippi River basin four-fold and in rivers in the northeast </w:t>
      </w:r>
      <w:r w:rsidRPr="009472B7">
        <w:rPr>
          <w:rStyle w:val="StyleBoldUnderline"/>
        </w:rPr>
        <w:t>eight-fold. The single largest coastal system affected by eutrophication is a large dead zone in the Gulf of Mexico</w:t>
      </w:r>
      <w:r w:rsidRPr="00B431D8">
        <w:rPr>
          <w:sz w:val="16"/>
        </w:rPr>
        <w:t xml:space="preserve">. In the early 1990s it was estimated to be 9 500 km2 and by 1999 20 000 km2. Other severely degraded coastal areas include Chesapeake Bay, Long Island Sound and the Florida Keys. </w:t>
      </w:r>
      <w:r w:rsidRPr="009472B7">
        <w:rPr>
          <w:rStyle w:val="StyleBoldUnderline"/>
        </w:rPr>
        <w:t>The largest single source of nitrogen comes from animal waste leaked directly into water bodies</w:t>
      </w:r>
      <w:r w:rsidRPr="00B431D8">
        <w:rPr>
          <w:sz w:val="16"/>
        </w:rPr>
        <w:t xml:space="preserve"> or volatilised into atmospheric ammonia. The largest non-point source of atmospheric deposition of oxidized nitrogen comes from fossil fuel combustion (Walker 2002); </w:t>
      </w:r>
      <w:r w:rsidRPr="009472B7">
        <w:rPr>
          <w:rStyle w:val="StyleBoldUnderline"/>
        </w:rPr>
        <w:t>phosphorus comes from agricultural activities</w:t>
      </w:r>
      <w:r w:rsidRPr="00B431D8">
        <w:rPr>
          <w:sz w:val="16"/>
        </w:rPr>
        <w:t xml:space="preserve"> (Jaworski 1990).</w:t>
      </w:r>
    </w:p>
    <w:p w:rsidR="007C6AC9" w:rsidRPr="00227DEA" w:rsidRDefault="007C6AC9" w:rsidP="007C6AC9">
      <w:pPr>
        <w:pStyle w:val="Heading3"/>
      </w:pPr>
      <w:r>
        <w:lastRenderedPageBreak/>
        <w:t>Heavy Metals---2NC</w:t>
      </w:r>
    </w:p>
    <w:p w:rsidR="007C6AC9" w:rsidRDefault="007C6AC9" w:rsidP="007C6AC9">
      <w:pPr>
        <w:pStyle w:val="Heading4"/>
      </w:pPr>
      <w:r>
        <w:t>Alt causes to heavy metals – disposal, electronic waste, and atmospheric inputs are all pollution sources only the GPA can solve for</w:t>
      </w:r>
    </w:p>
    <w:p w:rsidR="007C6AC9" w:rsidRDefault="007C6AC9" w:rsidP="007C6AC9">
      <w:pPr>
        <w:rPr>
          <w:rStyle w:val="StyleStyleBold12pt"/>
          <w:b w:val="0"/>
          <w:sz w:val="22"/>
        </w:rPr>
      </w:pPr>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5"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Pr="00227DEA" w:rsidRDefault="007C6AC9" w:rsidP="007C6AC9">
      <w:pPr>
        <w:rPr>
          <w:sz w:val="16"/>
        </w:rPr>
      </w:pPr>
      <w:r w:rsidRPr="00227DEA">
        <w:rPr>
          <w:sz w:val="16"/>
        </w:rPr>
        <w:t xml:space="preserve">2.4 </w:t>
      </w:r>
      <w:r w:rsidRPr="008B5643">
        <w:rPr>
          <w:rStyle w:val="StyleBoldUnderline"/>
        </w:rPr>
        <w:t>Heavy</w:t>
      </w:r>
      <w:r>
        <w:rPr>
          <w:rStyle w:val="StyleBoldUnderline"/>
        </w:rPr>
        <w:t xml:space="preserve"> </w:t>
      </w:r>
      <w:r w:rsidRPr="008B5643">
        <w:rPr>
          <w:rStyle w:val="StyleBoldUnderline"/>
        </w:rPr>
        <w:t>metals</w:t>
      </w:r>
      <w:r w:rsidRPr="00227DEA">
        <w:rPr>
          <w:sz w:val="12"/>
        </w:rPr>
        <w:t>¶</w:t>
      </w:r>
      <w:r w:rsidRPr="00227DEA">
        <w:rPr>
          <w:sz w:val="16"/>
        </w:rPr>
        <w:t xml:space="preserve"> The problem:</w:t>
      </w:r>
      <w:r w:rsidRPr="00227DEA">
        <w:rPr>
          <w:sz w:val="12"/>
        </w:rPr>
        <w:t>¶</w:t>
      </w:r>
      <w:r w:rsidRPr="00227DEA">
        <w:rPr>
          <w:sz w:val="16"/>
        </w:rPr>
        <w:t xml:space="preserve"> Although metals (such as copper, zinc and selenium) are essential to life, they </w:t>
      </w:r>
      <w:r w:rsidRPr="008B5643">
        <w:rPr>
          <w:rStyle w:val="StyleBoldUnderline"/>
        </w:rPr>
        <w:t>can become toxic through accumulation in organisms</w:t>
      </w:r>
      <w:r w:rsidRPr="00227DEA">
        <w:rPr>
          <w:sz w:val="16"/>
        </w:rPr>
        <w:t xml:space="preserve">, so that </w:t>
      </w:r>
      <w:r w:rsidRPr="008B5643">
        <w:rPr>
          <w:rStyle w:val="StyleBoldUnderline"/>
        </w:rPr>
        <w:t>even small amounts in seawater or sediments may become a problem at the top of the food chain</w:t>
      </w:r>
      <w:r w:rsidRPr="00227DEA">
        <w:rPr>
          <w:sz w:val="16"/>
        </w:rPr>
        <w:t xml:space="preserve">. Relatively </w:t>
      </w:r>
      <w:r w:rsidRPr="008B5643">
        <w:rPr>
          <w:rStyle w:val="StyleBoldUnderline"/>
        </w:rPr>
        <w:t>volatile heavy metals and those that become attached to air-borne particles can be widely dispersed</w:t>
      </w:r>
      <w:r w:rsidRPr="00227DEA">
        <w:rPr>
          <w:sz w:val="16"/>
        </w:rPr>
        <w:t xml:space="preserve"> (unep 1995). Organic and inorganic metals and metallic compounds are released into</w:t>
      </w:r>
      <w:r w:rsidRPr="00227DEA">
        <w:rPr>
          <w:sz w:val="12"/>
        </w:rPr>
        <w:t>¶</w:t>
      </w:r>
      <w:r w:rsidRPr="00227DEA">
        <w:rPr>
          <w:sz w:val="16"/>
        </w:rPr>
        <w:t xml:space="preserve"> the environment as a result of a variety of human activities. The main point sources are industrial and mining activities, while </w:t>
      </w:r>
      <w:r w:rsidRPr="008B5643">
        <w:rPr>
          <w:rStyle w:val="StyleBoldUnderline"/>
        </w:rPr>
        <w:t>diffuse sources include metal structures and products as well as by-products of combustion, particularly coal and transport</w:t>
      </w:r>
      <w:r w:rsidRPr="00227DEA">
        <w:rPr>
          <w:sz w:val="16"/>
        </w:rPr>
        <w:t>.</w:t>
      </w:r>
      <w:r w:rsidRPr="00227DEA">
        <w:rPr>
          <w:sz w:val="12"/>
        </w:rPr>
        <w:t>¶</w:t>
      </w:r>
      <w:r w:rsidRPr="00227DEA">
        <w:rPr>
          <w:sz w:val="16"/>
        </w:rPr>
        <w:t xml:space="preserve"> Mercury, lead and cadmium are metals of concern, because of their high toxicity in certain forms, and relatively high volatility (transported over large distances in the atmosphere). </w:t>
      </w:r>
      <w:r w:rsidRPr="00227DEA">
        <w:rPr>
          <w:rStyle w:val="StyleBoldUnderline"/>
        </w:rPr>
        <w:t>Because of its toxicity</w:t>
      </w:r>
      <w:r w:rsidRPr="00227DEA">
        <w:rPr>
          <w:sz w:val="16"/>
        </w:rPr>
        <w:t xml:space="preserve">, especially in its methilated form, </w:t>
      </w:r>
      <w:r w:rsidRPr="00227DEA">
        <w:rPr>
          <w:rStyle w:val="StyleBoldUnderline"/>
        </w:rPr>
        <w:t>mercury has become an issue of international concern</w:t>
      </w:r>
      <w:r w:rsidRPr="00227DEA">
        <w:rPr>
          <w:sz w:val="16"/>
        </w:rPr>
        <w:t xml:space="preserve"> and has led many countries to implement strict controls on emissions and its phasing out. Seafood contaminated with mercury that poisoned both people and animals in Minamata, Japan, is a striking example of its toxicity (gesamp 2001). </w:t>
      </w:r>
      <w:r w:rsidRPr="00227DEA">
        <w:rPr>
          <w:rStyle w:val="StyleBoldUnderline"/>
        </w:rPr>
        <w:t>Leaded gasoline has been a major historic source of contamination</w:t>
      </w:r>
      <w:r w:rsidRPr="00227DEA">
        <w:rPr>
          <w:sz w:val="16"/>
        </w:rPr>
        <w:t xml:space="preserve"> and human exposure. Cadmium accumulates in aquatic organisms such as shellfish and crustaceans and in the liver and kidneys of mammals. Itai itai disease (bone brittleness related symptoms which occurred in Japan) was partly caused by consumption of seafood contaminated with cadmium (gesamp 2001). Other metals of concern are arsenic, copper, nickel, selenium, tin and</w:t>
      </w:r>
      <w:r w:rsidRPr="00227DEA">
        <w:rPr>
          <w:sz w:val="12"/>
        </w:rPr>
        <w:t>¶</w:t>
      </w:r>
      <w:r w:rsidRPr="00227DEA">
        <w:rPr>
          <w:sz w:val="16"/>
        </w:rPr>
        <w:t xml:space="preserve"> zinc. </w:t>
      </w:r>
      <w:r w:rsidRPr="00227DEA">
        <w:rPr>
          <w:rStyle w:val="StyleBoldUnderline"/>
        </w:rPr>
        <w:t>Some</w:t>
      </w:r>
      <w:r w:rsidRPr="00227DEA">
        <w:rPr>
          <w:sz w:val="16"/>
        </w:rPr>
        <w:t xml:space="preserve"> – such as tin – </w:t>
      </w:r>
      <w:r w:rsidRPr="00227DEA">
        <w:rPr>
          <w:rStyle w:val="StyleBoldUnderline"/>
        </w:rPr>
        <w:t>are not highly toxic</w:t>
      </w:r>
      <w:r w:rsidRPr="00227DEA">
        <w:rPr>
          <w:sz w:val="16"/>
        </w:rPr>
        <w:t xml:space="preserve"> by themselves </w:t>
      </w:r>
      <w:r w:rsidRPr="00227DEA">
        <w:rPr>
          <w:rStyle w:val="StyleBoldUnderline"/>
        </w:rPr>
        <w:t>but can form compounds</w:t>
      </w:r>
      <w:r w:rsidRPr="00227DEA">
        <w:rPr>
          <w:rStyle w:val="StyleBoldUnderline"/>
          <w:sz w:val="12"/>
        </w:rPr>
        <w:t>¶</w:t>
      </w:r>
      <w:r w:rsidRPr="00227DEA">
        <w:rPr>
          <w:rStyle w:val="StyleBoldUnderline"/>
        </w:rPr>
        <w:t xml:space="preserve"> with organic substances to produce highly toxic substances</w:t>
      </w:r>
      <w:r w:rsidRPr="00227DEA">
        <w:rPr>
          <w:sz w:val="16"/>
        </w:rPr>
        <w:t>. Tributyltin and its derivatives, for example, have endocrine disrupting properties and have proven to be much more persistent in the environment than expected. It is used in anti fouling paints and has been banned in some countries in mariculture and on small vessels. It continues to be used elsewhere for certain categories of ships (gesamp 2001), but on large vessels its use will</w:t>
      </w:r>
      <w:r w:rsidRPr="00227DEA">
        <w:rPr>
          <w:sz w:val="12"/>
        </w:rPr>
        <w:t>¶</w:t>
      </w:r>
      <w:r w:rsidRPr="00227DEA">
        <w:rPr>
          <w:sz w:val="16"/>
        </w:rPr>
        <w:t xml:space="preserve"> be phased out between 2003 and 2008 (ices 2003). </w:t>
      </w:r>
      <w:r w:rsidRPr="00227DEA">
        <w:rPr>
          <w:rStyle w:val="StyleBoldUnderline"/>
        </w:rPr>
        <w:t>At the local level the most pronounced effect of heavy metals is in the vicinity of point sources</w:t>
      </w:r>
      <w:r w:rsidRPr="00227DEA">
        <w:rPr>
          <w:sz w:val="16"/>
        </w:rPr>
        <w:t xml:space="preserve"> and in estuaries in industrialized countries. In the open ocean, atmospheric contamination is more important. For example, </w:t>
      </w:r>
      <w:r w:rsidRPr="00227DEA">
        <w:rPr>
          <w:rStyle w:val="StyleBoldUnderline"/>
        </w:rPr>
        <w:t>96 per cent of mercury in the ocean originates from atmospheric input, 97 per cent of lead,</w:t>
      </w:r>
      <w:r w:rsidRPr="00227DEA">
        <w:rPr>
          <w:sz w:val="16"/>
        </w:rPr>
        <w:t xml:space="preserve"> 92 per cent of cadmium, 76 per cent of copper </w:t>
      </w:r>
      <w:r w:rsidRPr="00227DEA">
        <w:rPr>
          <w:rStyle w:val="StyleBoldUnderline"/>
        </w:rPr>
        <w:t>and 94 per cent of zinc</w:t>
      </w:r>
      <w:r w:rsidRPr="00227DEA">
        <w:rPr>
          <w:sz w:val="16"/>
        </w:rPr>
        <w:t xml:space="preserve"> (gesamp 2001).</w:t>
      </w:r>
      <w:r w:rsidRPr="00227DEA">
        <w:rPr>
          <w:sz w:val="12"/>
        </w:rPr>
        <w:t>¶</w:t>
      </w:r>
      <w:r w:rsidRPr="00227DEA">
        <w:rPr>
          <w:sz w:val="16"/>
        </w:rPr>
        <w:t xml:space="preserve"> The current situation:</w:t>
      </w:r>
      <w:r w:rsidRPr="00227DEA">
        <w:rPr>
          <w:sz w:val="12"/>
        </w:rPr>
        <w:t>¶</w:t>
      </w:r>
      <w:r w:rsidRPr="00227DEA">
        <w:rPr>
          <w:sz w:val="16"/>
        </w:rPr>
        <w:t xml:space="preserve"> </w:t>
      </w:r>
      <w:r w:rsidRPr="00227DEA">
        <w:rPr>
          <w:rStyle w:val="StyleBoldUnderline"/>
        </w:rPr>
        <w:t>An increasingly serious problem globally is that of ‘electronic waste’</w:t>
      </w:r>
      <w:r w:rsidRPr="00227DEA">
        <w:rPr>
          <w:sz w:val="16"/>
        </w:rPr>
        <w:t xml:space="preserve">, particularly the disposal of computers and mobile phones, which contain over 1000 different materials, many of them toxic. Recycling (such as valuable component materials like gold) and </w:t>
      </w:r>
      <w:r w:rsidRPr="00227DEA">
        <w:rPr>
          <w:rStyle w:val="StyleBoldUnderline"/>
        </w:rPr>
        <w:t xml:space="preserve">disposal, when done without the necessary controls, have serious environmental </w:t>
      </w:r>
      <w:r w:rsidRPr="00227DEA">
        <w:rPr>
          <w:sz w:val="16"/>
        </w:rPr>
        <w:t>and health</w:t>
      </w:r>
      <w:r w:rsidRPr="00227DEA">
        <w:rPr>
          <w:rStyle w:val="StyleBoldUnderline"/>
        </w:rPr>
        <w:t xml:space="preserve"> impacts</w:t>
      </w:r>
      <w:r w:rsidRPr="00227DEA">
        <w:rPr>
          <w:sz w:val="16"/>
        </w:rPr>
        <w:t>. In 2004 an estimated 100 million personal computers were either recycled or disposed of (Hilty 2005).</w:t>
      </w:r>
      <w:r w:rsidRPr="00227DEA">
        <w:rPr>
          <w:sz w:val="12"/>
        </w:rPr>
        <w:t>¶</w:t>
      </w:r>
      <w:r w:rsidRPr="00227DEA">
        <w:rPr>
          <w:sz w:val="16"/>
        </w:rPr>
        <w:t xml:space="preserve"> In more general terms, governments agreed at the 2005 unep Governing Council to establish partnerships with international organizations, ngos and the private sector to take steps to control pollution from mercury, cadmium and lead. </w:t>
      </w:r>
      <w:r w:rsidRPr="00227DEA">
        <w:rPr>
          <w:rStyle w:val="StyleBoldUnderline"/>
        </w:rPr>
        <w:t>The Global Programme of Action</w:t>
      </w:r>
      <w:r w:rsidRPr="00227DEA">
        <w:rPr>
          <w:sz w:val="16"/>
        </w:rPr>
        <w:t xml:space="preserve"> on International Chemicals Management (gcss/gmef ix, Dubai, 2006) </w:t>
      </w:r>
      <w:r w:rsidRPr="00227DEA">
        <w:rPr>
          <w:rStyle w:val="StyleBoldUnderline"/>
        </w:rPr>
        <w:t>may be instrumental in this regard</w:t>
      </w:r>
      <w:r w:rsidRPr="00227DEA">
        <w:rPr>
          <w:sz w:val="16"/>
        </w:rPr>
        <w:t>. The situation regarding heavy metals varies somewhat in different regions, as illustrated below.</w:t>
      </w:r>
    </w:p>
    <w:p w:rsidR="007C6AC9" w:rsidRDefault="007C6AC9" w:rsidP="007C6AC9">
      <w:pPr>
        <w:rPr>
          <w:sz w:val="16"/>
        </w:rPr>
      </w:pPr>
    </w:p>
    <w:p w:rsidR="007C6AC9" w:rsidRDefault="007C6AC9" w:rsidP="007C6AC9">
      <w:pPr>
        <w:pStyle w:val="Heading3"/>
      </w:pPr>
      <w:r>
        <w:lastRenderedPageBreak/>
        <w:t>PAHs---2NC</w:t>
      </w:r>
    </w:p>
    <w:p w:rsidR="007C6AC9" w:rsidRDefault="007C6AC9" w:rsidP="007C6AC9">
      <w:pPr>
        <w:pStyle w:val="Heading4"/>
      </w:pPr>
      <w:r>
        <w:t>Alt causes to PAHs – land sources of PAHs include 7 areas – GPA sets up a framework to solve all of them</w:t>
      </w:r>
    </w:p>
    <w:p w:rsidR="007C6AC9" w:rsidRDefault="007C6AC9" w:rsidP="007C6AC9">
      <w:pPr>
        <w:rPr>
          <w:rStyle w:val="StyleStyleBold12pt"/>
          <w:b w:val="0"/>
          <w:sz w:val="22"/>
        </w:rPr>
      </w:pPr>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6"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Default="007C6AC9" w:rsidP="007C6AC9">
      <w:pPr>
        <w:rPr>
          <w:sz w:val="16"/>
        </w:rPr>
      </w:pPr>
      <w:r w:rsidRPr="00227DEA">
        <w:rPr>
          <w:sz w:val="16"/>
        </w:rPr>
        <w:t>2.5 Oils(</w:t>
      </w:r>
      <w:r w:rsidRPr="00227DEA">
        <w:rPr>
          <w:rStyle w:val="StyleBoldUnderline"/>
        </w:rPr>
        <w:t>hydrocarbons</w:t>
      </w:r>
      <w:r w:rsidRPr="00227DEA">
        <w:rPr>
          <w:sz w:val="16"/>
        </w:rPr>
        <w:t>)</w:t>
      </w:r>
      <w:r w:rsidRPr="00227DEA">
        <w:rPr>
          <w:sz w:val="12"/>
        </w:rPr>
        <w:t xml:space="preserve">¶ </w:t>
      </w:r>
      <w:r w:rsidRPr="00227DEA">
        <w:rPr>
          <w:sz w:val="16"/>
        </w:rPr>
        <w:t>The problem:</w:t>
      </w:r>
      <w:r w:rsidRPr="00227DEA">
        <w:rPr>
          <w:sz w:val="12"/>
        </w:rPr>
        <w:t xml:space="preserve">¶ </w:t>
      </w:r>
      <w:r w:rsidRPr="00227DEA">
        <w:rPr>
          <w:rStyle w:val="StyleBoldUnderline"/>
        </w:rPr>
        <w:t>Significant quantities of</w:t>
      </w:r>
      <w:r w:rsidRPr="00227DEA">
        <w:rPr>
          <w:sz w:val="16"/>
        </w:rPr>
        <w:t xml:space="preserve"> oils (</w:t>
      </w:r>
      <w:r w:rsidRPr="00227DEA">
        <w:rPr>
          <w:rStyle w:val="StyleBoldUnderline"/>
        </w:rPr>
        <w:t>hydrocarbons) derived from human activities find their way into the marine environment</w:t>
      </w:r>
      <w:r w:rsidRPr="00227DEA">
        <w:rPr>
          <w:sz w:val="16"/>
        </w:rPr>
        <w:t>. These oils:</w:t>
      </w:r>
      <w:r w:rsidRPr="00227DEA">
        <w:rPr>
          <w:sz w:val="12"/>
        </w:rPr>
        <w:t xml:space="preserve">¶ </w:t>
      </w:r>
      <w:r w:rsidRPr="00227DEA">
        <w:rPr>
          <w:sz w:val="16"/>
        </w:rPr>
        <w:t>· damage habitats;</w:t>
      </w:r>
      <w:r w:rsidRPr="00227DEA">
        <w:rPr>
          <w:sz w:val="12"/>
        </w:rPr>
        <w:t xml:space="preserve">¶ </w:t>
      </w:r>
      <w:r w:rsidRPr="00227DEA">
        <w:rPr>
          <w:sz w:val="16"/>
        </w:rPr>
        <w:t>· smother aquatic communities and are generally toxic to aquatic life (when ingested,</w:t>
      </w:r>
      <w:r w:rsidRPr="00227DEA">
        <w:rPr>
          <w:sz w:val="12"/>
        </w:rPr>
        <w:t xml:space="preserve">¶ </w:t>
      </w:r>
      <w:r w:rsidRPr="00227DEA">
        <w:rPr>
          <w:sz w:val="16"/>
        </w:rPr>
        <w:t>by coating skin, fur and feathers and by interfering with the respiratory system);</w:t>
      </w:r>
      <w:r w:rsidRPr="00227DEA">
        <w:rPr>
          <w:sz w:val="12"/>
        </w:rPr>
        <w:t xml:space="preserve">¶ </w:t>
      </w:r>
      <w:r w:rsidRPr="00227DEA">
        <w:rPr>
          <w:sz w:val="16"/>
        </w:rPr>
        <w:t>· taint seafood, contaminate water supplies and generally affect human health; and</w:t>
      </w:r>
      <w:r w:rsidRPr="00227DEA">
        <w:rPr>
          <w:sz w:val="12"/>
        </w:rPr>
        <w:t xml:space="preserve">¶ </w:t>
      </w:r>
      <w:r w:rsidRPr="00227DEA">
        <w:rPr>
          <w:sz w:val="16"/>
        </w:rPr>
        <w:t>· foul coastlines and beaches.</w:t>
      </w:r>
      <w:r w:rsidRPr="00227DEA">
        <w:rPr>
          <w:sz w:val="12"/>
        </w:rPr>
        <w:t xml:space="preserve">¶ </w:t>
      </w:r>
      <w:r w:rsidRPr="00227DEA">
        <w:rPr>
          <w:sz w:val="16"/>
        </w:rPr>
        <w:t>Some oils are volatile or easily degraded and disappear rapidly from aquatic systems; other may persist for long periods in the water column or sediments. Natural seeps can provide valuable insights into the behaviour of crude oil in the environment and the response of marine organisms to introduction of oil. Polycyclic Aromatic Hydrocarbons (</w:t>
      </w:r>
      <w:r>
        <w:rPr>
          <w:rStyle w:val="StyleBoldUnderline"/>
        </w:rPr>
        <w:t>PAHs</w:t>
      </w:r>
      <w:r w:rsidRPr="00227DEA">
        <w:rPr>
          <w:sz w:val="16"/>
        </w:rPr>
        <w:t xml:space="preserve">) </w:t>
      </w:r>
      <w:r w:rsidRPr="00227DEA">
        <w:rPr>
          <w:rStyle w:val="StyleBoldUnderline"/>
        </w:rPr>
        <w:t>are a special natural constituent of oils and are also produced by combustion of fossil fuels</w:t>
      </w:r>
      <w:r w:rsidRPr="00227DEA">
        <w:rPr>
          <w:sz w:val="16"/>
        </w:rPr>
        <w:t xml:space="preserve"> which are subsequently dispersed in the atmosphere; lubricating oils are also an important source.</w:t>
      </w:r>
      <w:r w:rsidRPr="00227DEA">
        <w:rPr>
          <w:rStyle w:val="StyleBoldUnderline"/>
        </w:rPr>
        <w:t xml:space="preserve"> Coastal sediments</w:t>
      </w:r>
      <w:r w:rsidRPr="00227DEA">
        <w:rPr>
          <w:sz w:val="16"/>
        </w:rPr>
        <w:t xml:space="preserve"> in most industrial areas and ports </w:t>
      </w:r>
      <w:r w:rsidRPr="00227DEA">
        <w:rPr>
          <w:rStyle w:val="StyleBoldUnderline"/>
        </w:rPr>
        <w:t>frequently have concentrations well above regional background levels</w:t>
      </w:r>
      <w:r w:rsidRPr="00227DEA">
        <w:rPr>
          <w:sz w:val="16"/>
        </w:rPr>
        <w:t xml:space="preserve">. </w:t>
      </w:r>
      <w:r>
        <w:rPr>
          <w:sz w:val="16"/>
        </w:rPr>
        <w:t>PAHs</w:t>
      </w:r>
      <w:r w:rsidRPr="00227DEA">
        <w:rPr>
          <w:sz w:val="16"/>
        </w:rPr>
        <w:t xml:space="preserve"> affect human health mainly by ingestion of seafood (gesamp 2001).</w:t>
      </w:r>
      <w:r w:rsidRPr="00227DEA">
        <w:rPr>
          <w:sz w:val="12"/>
        </w:rPr>
        <w:t xml:space="preserve">¶ </w:t>
      </w:r>
      <w:r w:rsidRPr="00227DEA">
        <w:rPr>
          <w:rStyle w:val="StyleBoldUnderline"/>
        </w:rPr>
        <w:t xml:space="preserve">Land-based sources of oils include:¶ · urban, industrial and agricultural runoff;¶ · operational and accidental discharges and emissions from oil exploration, exploitation,¶ refining, storage </w:t>
      </w:r>
      <w:r w:rsidRPr="00227DEA">
        <w:t>and transport</w:t>
      </w:r>
      <w:r w:rsidRPr="00227DEA">
        <w:rPr>
          <w:sz w:val="16"/>
        </w:rPr>
        <w:t>;</w:t>
      </w:r>
      <w:r w:rsidRPr="00227DEA">
        <w:rPr>
          <w:sz w:val="12"/>
        </w:rPr>
        <w:t xml:space="preserve">¶ </w:t>
      </w:r>
      <w:r w:rsidRPr="00227DEA">
        <w:rPr>
          <w:sz w:val="16"/>
        </w:rPr>
        <w:t xml:space="preserve">· inappropriate disposal of used oil, mainly </w:t>
      </w:r>
      <w:r w:rsidRPr="00227DEA">
        <w:rPr>
          <w:rStyle w:val="StyleBoldUnderline"/>
        </w:rPr>
        <w:t>lubricating oil, and¶ · transport</w:t>
      </w:r>
      <w:r w:rsidRPr="00227DEA">
        <w:rPr>
          <w:sz w:val="16"/>
        </w:rPr>
        <w:t xml:space="preserve"> in general.</w:t>
      </w:r>
    </w:p>
    <w:p w:rsidR="007C6AC9" w:rsidRDefault="007C6AC9" w:rsidP="007C6AC9">
      <w:pPr>
        <w:pStyle w:val="Heading3"/>
      </w:pPr>
      <w:r>
        <w:lastRenderedPageBreak/>
        <w:t>Marine Litter---2NC</w:t>
      </w:r>
    </w:p>
    <w:p w:rsidR="007C6AC9" w:rsidRDefault="007C6AC9" w:rsidP="007C6AC9">
      <w:pPr>
        <w:pStyle w:val="Heading4"/>
      </w:pPr>
      <w:r>
        <w:t>GPA solves marine litter – this includes plastics, but also other forms of debris that have catastrophic implications for the environment</w:t>
      </w:r>
    </w:p>
    <w:p w:rsidR="007C6AC9" w:rsidRDefault="007C6AC9" w:rsidP="007C6AC9">
      <w:pPr>
        <w:rPr>
          <w:rStyle w:val="StyleStyleBold12pt"/>
          <w:b w:val="0"/>
          <w:sz w:val="22"/>
        </w:rPr>
      </w:pPr>
      <w:r>
        <w:rPr>
          <w:rStyle w:val="StyleStyleBold12pt"/>
        </w:rPr>
        <w:t xml:space="preserve">Schomaker 6 </w:t>
      </w:r>
      <w:r>
        <w:rPr>
          <w:rStyle w:val="StyleStyleBold12pt"/>
          <w:b w:val="0"/>
          <w:sz w:val="22"/>
        </w:rPr>
        <w:t>(Mirjam Schomaker, editor for the UNEP/GPA Coordination Office, “</w:t>
      </w:r>
      <w:r w:rsidRPr="00A576C1">
        <w:rPr>
          <w:rStyle w:val="StyleStyleBold12pt"/>
          <w:b w:val="0"/>
          <w:sz w:val="22"/>
        </w:rPr>
        <w:t>The State of the Marine Environment Trends and processes</w:t>
      </w:r>
      <w:r>
        <w:rPr>
          <w:rStyle w:val="StyleStyleBold12pt"/>
          <w:b w:val="0"/>
          <w:sz w:val="22"/>
        </w:rPr>
        <w:t xml:space="preserve">,” </w:t>
      </w:r>
      <w:hyperlink r:id="rId47" w:history="1">
        <w:r w:rsidRPr="00BC241A">
          <w:rPr>
            <w:rStyle w:val="Hyperlink"/>
          </w:rPr>
          <w:t>http://www.env-edu.gr/Documents/The%20State%20of%20the%20Marine%20Environment%20-%20Trends%20and%20processes.pdf</w:t>
        </w:r>
      </w:hyperlink>
      <w:r>
        <w:rPr>
          <w:rStyle w:val="StyleStyleBold12pt"/>
          <w:b w:val="0"/>
          <w:sz w:val="22"/>
        </w:rPr>
        <w:t>, accessed 7/15/14)</w:t>
      </w:r>
    </w:p>
    <w:p w:rsidR="007C6AC9" w:rsidRPr="009472B7" w:rsidRDefault="007C6AC9" w:rsidP="007C6AC9">
      <w:pPr>
        <w:rPr>
          <w:sz w:val="16"/>
        </w:rPr>
      </w:pPr>
      <w:r w:rsidRPr="009472B7">
        <w:rPr>
          <w:sz w:val="16"/>
        </w:rPr>
        <w:t>2.8 Marine</w:t>
      </w:r>
      <w:r>
        <w:rPr>
          <w:sz w:val="16"/>
        </w:rPr>
        <w:t xml:space="preserve"> </w:t>
      </w:r>
      <w:r w:rsidRPr="009472B7">
        <w:rPr>
          <w:sz w:val="16"/>
        </w:rPr>
        <w:t>litter</w:t>
      </w:r>
      <w:r w:rsidRPr="009472B7">
        <w:rPr>
          <w:sz w:val="12"/>
        </w:rPr>
        <w:t xml:space="preserve">¶ </w:t>
      </w:r>
      <w:r w:rsidRPr="009472B7">
        <w:rPr>
          <w:sz w:val="16"/>
        </w:rPr>
        <w:t>The problem:</w:t>
      </w:r>
      <w:r w:rsidRPr="009472B7">
        <w:rPr>
          <w:sz w:val="12"/>
        </w:rPr>
        <w:t xml:space="preserve">¶ </w:t>
      </w:r>
      <w:r w:rsidRPr="009472B7">
        <w:rPr>
          <w:rStyle w:val="StyleBoldUnderline"/>
        </w:rPr>
        <w:t>Litter is found in coastal areas and oceans across the world</w:t>
      </w:r>
      <w:r w:rsidRPr="009472B7">
        <w:rPr>
          <w:sz w:val="16"/>
        </w:rPr>
        <w:t xml:space="preserve">, even in remote places far from human population centres, dispersed by marine currents and wind. </w:t>
      </w:r>
      <w:r w:rsidRPr="009472B7">
        <w:rPr>
          <w:rStyle w:val="StyleBoldUnderline"/>
        </w:rPr>
        <w:t>Litter</w:t>
      </w:r>
      <w:r w:rsidRPr="009472B7">
        <w:rPr>
          <w:sz w:val="16"/>
        </w:rPr>
        <w:t xml:space="preserve"> in the marine environment:</w:t>
      </w:r>
      <w:r w:rsidRPr="009472B7">
        <w:rPr>
          <w:sz w:val="12"/>
        </w:rPr>
        <w:t xml:space="preserve">¶ </w:t>
      </w:r>
      <w:r w:rsidRPr="009472B7">
        <w:rPr>
          <w:sz w:val="16"/>
        </w:rPr>
        <w:t xml:space="preserve">· </w:t>
      </w:r>
      <w:r w:rsidRPr="009472B7">
        <w:rPr>
          <w:rStyle w:val="StyleBoldUnderline"/>
        </w:rPr>
        <w:t>damages ecosystems and wildlife</w:t>
      </w:r>
      <w:r w:rsidRPr="009472B7">
        <w:rPr>
          <w:sz w:val="16"/>
        </w:rPr>
        <w:t>;</w:t>
      </w:r>
      <w:r w:rsidRPr="009472B7">
        <w:rPr>
          <w:sz w:val="12"/>
        </w:rPr>
        <w:t xml:space="preserve">¶ </w:t>
      </w:r>
      <w:r w:rsidRPr="009472B7">
        <w:rPr>
          <w:sz w:val="16"/>
        </w:rPr>
        <w:t>· threatens human health and safety,</w:t>
      </w:r>
      <w:r w:rsidRPr="009472B7">
        <w:rPr>
          <w:sz w:val="12"/>
        </w:rPr>
        <w:t xml:space="preserve">¶ </w:t>
      </w:r>
      <w:r w:rsidRPr="009472B7">
        <w:rPr>
          <w:sz w:val="16"/>
        </w:rPr>
        <w:t xml:space="preserve">· has a negative influence on the cultural, aesthetic and amenity values of society, </w:t>
      </w:r>
      <w:r w:rsidRPr="009472B7">
        <w:rPr>
          <w:rStyle w:val="StyleBoldUnderline"/>
        </w:rPr>
        <w:t>and</w:t>
      </w:r>
      <w:r w:rsidRPr="009472B7">
        <w:rPr>
          <w:sz w:val="12"/>
        </w:rPr>
        <w:t xml:space="preserve">¶ </w:t>
      </w:r>
      <w:r w:rsidRPr="009472B7">
        <w:rPr>
          <w:sz w:val="16"/>
        </w:rPr>
        <w:t xml:space="preserve">· </w:t>
      </w:r>
      <w:r w:rsidRPr="009472B7">
        <w:rPr>
          <w:rStyle w:val="StyleBoldUnderline"/>
        </w:rPr>
        <w:t>adversely affects economic activities</w:t>
      </w:r>
      <w:r w:rsidRPr="009472B7">
        <w:rPr>
          <w:sz w:val="16"/>
        </w:rPr>
        <w:t xml:space="preserve"> such as tourism and fisheries.</w:t>
      </w:r>
      <w:r w:rsidRPr="009472B7">
        <w:rPr>
          <w:sz w:val="12"/>
        </w:rPr>
        <w:t xml:space="preserve">¶ </w:t>
      </w:r>
      <w:r w:rsidRPr="009472B7">
        <w:rPr>
          <w:rStyle w:val="StyleBoldUnderline"/>
        </w:rPr>
        <w:t>Marine litter consists mainly of slowly degradable or non-degradable substances, which inevitably accumulate in the environment</w:t>
      </w:r>
      <w:r w:rsidRPr="009472B7">
        <w:rPr>
          <w:sz w:val="16"/>
        </w:rPr>
        <w:t>, causing an ever growing problem. It is difficult to estimate the total amount of marine litter in the oceans, but it is believed that around 70 per cent of litter entering the oceans lands on the seabed, 15 per cent on beaches and 15 per cent remains floating on the surface. Litter originates from two sources: Sea-based litter includes:</w:t>
      </w:r>
      <w:r w:rsidRPr="009472B7">
        <w:rPr>
          <w:sz w:val="12"/>
        </w:rPr>
        <w:t xml:space="preserve">¶ </w:t>
      </w:r>
      <w:r w:rsidRPr="009472B7">
        <w:rPr>
          <w:sz w:val="16"/>
        </w:rPr>
        <w:t>· trash from all manner of vessels;</w:t>
      </w:r>
      <w:r w:rsidRPr="009472B7">
        <w:rPr>
          <w:sz w:val="12"/>
        </w:rPr>
        <w:t xml:space="preserve">¶ </w:t>
      </w:r>
      <w:r w:rsidRPr="009472B7">
        <w:rPr>
          <w:sz w:val="16"/>
        </w:rPr>
        <w:t>· oils from offshore platforms or from boats and transport ships;</w:t>
      </w:r>
      <w:r w:rsidRPr="009472B7">
        <w:rPr>
          <w:sz w:val="12"/>
        </w:rPr>
        <w:t xml:space="preserve">¶ </w:t>
      </w:r>
      <w:r w:rsidRPr="009472B7">
        <w:rPr>
          <w:sz w:val="16"/>
        </w:rPr>
        <w:t>· refuse from aquaculture installations;</w:t>
      </w:r>
      <w:r w:rsidRPr="009472B7">
        <w:rPr>
          <w:sz w:val="12"/>
        </w:rPr>
        <w:t xml:space="preserve">¶ </w:t>
      </w:r>
      <w:r w:rsidRPr="009472B7">
        <w:rPr>
          <w:sz w:val="16"/>
        </w:rPr>
        <w:t>· discarded ships, fishing equipment and nets.</w:t>
      </w:r>
      <w:r w:rsidRPr="009472B7">
        <w:rPr>
          <w:sz w:val="12"/>
        </w:rPr>
        <w:t xml:space="preserve">¶ </w:t>
      </w:r>
      <w:r w:rsidRPr="009472B7">
        <w:rPr>
          <w:rStyle w:val="StyleBoldUnderline"/>
        </w:rPr>
        <w:t>Land-based sources of litter include:</w:t>
      </w:r>
      <w:r w:rsidRPr="009472B7">
        <w:rPr>
          <w:rStyle w:val="StyleBoldUnderline"/>
          <w:sz w:val="12"/>
        </w:rPr>
        <w:t xml:space="preserve">¶ </w:t>
      </w:r>
      <w:r w:rsidRPr="009472B7">
        <w:rPr>
          <w:sz w:val="16"/>
        </w:rPr>
        <w:t xml:space="preserve">· </w:t>
      </w:r>
      <w:r w:rsidRPr="009472B7">
        <w:rPr>
          <w:rStyle w:val="StyleBoldUnderline"/>
        </w:rPr>
        <w:t>municipal wastes</w:t>
      </w:r>
      <w:r w:rsidRPr="009472B7">
        <w:rPr>
          <w:sz w:val="16"/>
        </w:rPr>
        <w:t xml:space="preserve"> from trash dumps, untreated sewage or storm water;</w:t>
      </w:r>
      <w:r w:rsidRPr="009472B7">
        <w:rPr>
          <w:sz w:val="12"/>
        </w:rPr>
        <w:t xml:space="preserve">¶ </w:t>
      </w:r>
      <w:r w:rsidRPr="009472B7">
        <w:rPr>
          <w:sz w:val="16"/>
        </w:rPr>
        <w:t xml:space="preserve">and the special category </w:t>
      </w:r>
      <w:r w:rsidRPr="009472B7">
        <w:rPr>
          <w:rStyle w:val="StyleBoldUnderline"/>
        </w:rPr>
        <w:t>medical waste</w:t>
      </w:r>
      <w:r w:rsidRPr="009472B7">
        <w:rPr>
          <w:sz w:val="16"/>
        </w:rPr>
        <w:t>;</w:t>
      </w:r>
      <w:r w:rsidRPr="009472B7">
        <w:rPr>
          <w:sz w:val="12"/>
        </w:rPr>
        <w:t xml:space="preserve">¶ </w:t>
      </w:r>
      <w:r w:rsidRPr="009472B7">
        <w:rPr>
          <w:sz w:val="16"/>
        </w:rPr>
        <w:t xml:space="preserve">· </w:t>
      </w:r>
      <w:r w:rsidRPr="009472B7">
        <w:rPr>
          <w:rStyle w:val="StyleBoldUnderline"/>
        </w:rPr>
        <w:t>various types of wastes from industrial installations and military activities;</w:t>
      </w:r>
      <w:r w:rsidRPr="009472B7">
        <w:rPr>
          <w:rStyle w:val="StyleBoldUnderline"/>
          <w:sz w:val="12"/>
        </w:rPr>
        <w:t xml:space="preserve">¶ </w:t>
      </w:r>
      <w:r w:rsidRPr="009472B7">
        <w:rPr>
          <w:sz w:val="16"/>
        </w:rPr>
        <w:t xml:space="preserve">· </w:t>
      </w:r>
      <w:r w:rsidRPr="009472B7">
        <w:rPr>
          <w:rStyle w:val="StyleBoldUnderline"/>
        </w:rPr>
        <w:t>wastes</w:t>
      </w:r>
      <w:r w:rsidRPr="009472B7">
        <w:rPr>
          <w:sz w:val="16"/>
        </w:rPr>
        <w:t xml:space="preserve"> originating </w:t>
      </w:r>
      <w:r w:rsidRPr="009472B7">
        <w:rPr>
          <w:rStyle w:val="StyleBoldUnderline"/>
        </w:rPr>
        <w:t>from tourism and leisure activities</w:t>
      </w:r>
      <w:r w:rsidRPr="009472B7">
        <w:rPr>
          <w:sz w:val="16"/>
        </w:rPr>
        <w:t xml:space="preserve"> (unep, 2005a).</w:t>
      </w:r>
    </w:p>
    <w:p w:rsidR="007C6AC9" w:rsidRPr="009472B7" w:rsidRDefault="007C6AC9" w:rsidP="007C6AC9">
      <w:pPr>
        <w:rPr>
          <w:rStyle w:val="StyleBoldUnderline"/>
        </w:rPr>
      </w:pPr>
      <w:r w:rsidRPr="009472B7">
        <w:rPr>
          <w:rStyle w:val="StyleBoldUnderline"/>
        </w:rPr>
        <w:t>Marine litter is a complex problem</w:t>
      </w:r>
      <w:r w:rsidRPr="009472B7">
        <w:rPr>
          <w:sz w:val="16"/>
        </w:rPr>
        <w:t xml:space="preserve">. Examples of </w:t>
      </w:r>
      <w:r w:rsidRPr="009472B7">
        <w:rPr>
          <w:rStyle w:val="StyleBoldUnderline"/>
        </w:rPr>
        <w:t>specific effects are entanglement in</w:t>
      </w:r>
    </w:p>
    <w:p w:rsidR="007C6AC9" w:rsidRPr="009472B7" w:rsidRDefault="007C6AC9" w:rsidP="007C6AC9">
      <w:pPr>
        <w:rPr>
          <w:sz w:val="16"/>
        </w:rPr>
      </w:pPr>
      <w:r w:rsidRPr="009472B7">
        <w:rPr>
          <w:rStyle w:val="StyleBoldUnderline"/>
        </w:rPr>
        <w:t>nets and plastic bags,</w:t>
      </w:r>
      <w:r w:rsidRPr="009472B7">
        <w:rPr>
          <w:sz w:val="16"/>
        </w:rPr>
        <w:t xml:space="preserve"> and </w:t>
      </w:r>
      <w:r w:rsidRPr="009472B7">
        <w:rPr>
          <w:rStyle w:val="StyleBoldUnderline"/>
        </w:rPr>
        <w:t>ingestion of various objects</w:t>
      </w:r>
      <w:r w:rsidRPr="009472B7">
        <w:rPr>
          <w:sz w:val="16"/>
        </w:rPr>
        <w:t>. In addition plastic litter kills more than 1 million birds and 100 000 marine mammals and sea turtles each year. Plastic litter</w:t>
      </w:r>
    </w:p>
    <w:p w:rsidR="007C6AC9" w:rsidRPr="009472B7" w:rsidRDefault="007C6AC9" w:rsidP="007C6AC9">
      <w:pPr>
        <w:rPr>
          <w:rStyle w:val="StyleBoldUnderline"/>
        </w:rPr>
      </w:pPr>
      <w:r w:rsidRPr="009472B7">
        <w:rPr>
          <w:sz w:val="16"/>
        </w:rPr>
        <w:t xml:space="preserve">is believed to be a source of persistent toxic substances and pieces of litter can transport exotic invasive species over large distances. Items such as </w:t>
      </w:r>
      <w:r w:rsidRPr="009472B7">
        <w:rPr>
          <w:rStyle w:val="StyleBoldUnderline"/>
        </w:rPr>
        <w:t>glass, plastic, rope, fishing lines and medical waste also pose immediate risks</w:t>
      </w:r>
      <w:r w:rsidRPr="009472B7">
        <w:rPr>
          <w:sz w:val="16"/>
        </w:rPr>
        <w:t xml:space="preserve"> to human safety. Bathers and divers can become entangled in submerged or floating debris or injured by syringes and medical waste can transmit pathogens. </w:t>
      </w:r>
      <w:r w:rsidRPr="009472B7">
        <w:rPr>
          <w:rStyle w:val="StyleBoldUnderline"/>
        </w:rPr>
        <w:t>Contact with such polluted water can result in a variety</w:t>
      </w:r>
    </w:p>
    <w:p w:rsidR="007C6AC9" w:rsidRPr="009472B7" w:rsidRDefault="007C6AC9" w:rsidP="007C6AC9">
      <w:pPr>
        <w:rPr>
          <w:sz w:val="16"/>
        </w:rPr>
      </w:pPr>
      <w:r w:rsidRPr="009472B7">
        <w:rPr>
          <w:rStyle w:val="StyleBoldUnderline"/>
        </w:rPr>
        <w:t>of infections</w:t>
      </w:r>
      <w:r w:rsidRPr="009472B7">
        <w:rPr>
          <w:sz w:val="16"/>
        </w:rPr>
        <w:t xml:space="preserve">, including skin rashes, diarrhoea, bacillary dysentery, hepatitis and even typhoid and cholera. </w:t>
      </w:r>
      <w:r w:rsidRPr="009472B7">
        <w:rPr>
          <w:rStyle w:val="StyleBoldUnderline"/>
        </w:rPr>
        <w:t>Military debris is a particularly serious problem: millions of tonnes of munitions, including explosives, incendiary devises as well as weapons containing arsenic, phosphorus and mustard</w:t>
      </w:r>
      <w:r w:rsidRPr="009472B7">
        <w:rPr>
          <w:sz w:val="16"/>
        </w:rPr>
        <w:t xml:space="preserve"> and nerve </w:t>
      </w:r>
      <w:r w:rsidRPr="009472B7">
        <w:rPr>
          <w:rStyle w:val="StyleBoldUnderline"/>
        </w:rPr>
        <w:t>gas</w:t>
      </w:r>
      <w:r w:rsidRPr="009472B7">
        <w:rPr>
          <w:sz w:val="16"/>
        </w:rPr>
        <w:t xml:space="preserve"> have been dumped in the oceans, sometimes washing-up on beaches, </w:t>
      </w:r>
      <w:r w:rsidRPr="009472B7">
        <w:rPr>
          <w:rStyle w:val="StyleBoldUnderline"/>
        </w:rPr>
        <w:t>pos</w:t>
      </w:r>
      <w:r w:rsidRPr="009472B7">
        <w:rPr>
          <w:sz w:val="16"/>
        </w:rPr>
        <w:t xml:space="preserve">ing </w:t>
      </w:r>
      <w:r w:rsidRPr="009472B7">
        <w:rPr>
          <w:rStyle w:val="StyleBoldUnderline"/>
        </w:rPr>
        <w:t>a serious hazard</w:t>
      </w:r>
      <w:r w:rsidRPr="009472B7">
        <w:rPr>
          <w:sz w:val="16"/>
        </w:rPr>
        <w:t xml:space="preserve"> (gesamp 2001).</w:t>
      </w:r>
    </w:p>
    <w:p w:rsidR="007C6AC9" w:rsidRDefault="007C6AC9" w:rsidP="007C6AC9"/>
    <w:p w:rsidR="0017246A" w:rsidRDefault="0017246A" w:rsidP="0017246A">
      <w:pPr>
        <w:pStyle w:val="Heading2"/>
      </w:pPr>
      <w:r>
        <w:lastRenderedPageBreak/>
        <w:t>Pharma Adv CP</w:t>
      </w:r>
    </w:p>
    <w:p w:rsidR="0017246A" w:rsidRDefault="0017246A" w:rsidP="0017246A">
      <w:pPr>
        <w:pStyle w:val="Heading3"/>
      </w:pPr>
      <w:r>
        <w:lastRenderedPageBreak/>
        <w:t>Reform CP---1NC</w:t>
      </w:r>
    </w:p>
    <w:p w:rsidR="0017246A" w:rsidRPr="0006111C" w:rsidRDefault="0017246A" w:rsidP="0017246A">
      <w:pPr>
        <w:pStyle w:val="Heading4"/>
      </w:pPr>
      <w:r>
        <w:t>CP text: the United States federal government should:</w:t>
      </w:r>
    </w:p>
    <w:p w:rsidR="0017246A" w:rsidRPr="0006111C" w:rsidRDefault="0017246A" w:rsidP="0017246A">
      <w:pPr>
        <w:pStyle w:val="Heading4"/>
      </w:pPr>
      <w:r w:rsidRPr="0006111C">
        <w:t>-reform and strengthen the</w:t>
      </w:r>
      <w:r>
        <w:t xml:space="preserve"> domestic</w:t>
      </w:r>
      <w:r w:rsidRPr="0006111C">
        <w:t xml:space="preserve"> </w:t>
      </w:r>
      <w:r>
        <w:t xml:space="preserve">intellectual property </w:t>
      </w:r>
      <w:r w:rsidRPr="0006111C">
        <w:t>system</w:t>
      </w:r>
    </w:p>
    <w:p w:rsidR="0017246A" w:rsidRPr="0006111C" w:rsidRDefault="0017246A" w:rsidP="0017246A">
      <w:pPr>
        <w:pStyle w:val="Heading4"/>
      </w:pPr>
      <w:r w:rsidRPr="0006111C">
        <w:t>-</w:t>
      </w:r>
      <w:r>
        <w:t xml:space="preserve">improve </w:t>
      </w:r>
      <w:r w:rsidRPr="0006111C">
        <w:t xml:space="preserve">access to </w:t>
      </w:r>
      <w:r>
        <w:t xml:space="preserve">and </w:t>
      </w:r>
      <w:r w:rsidRPr="0006111C">
        <w:t>health care coverage of new drugs</w:t>
      </w:r>
    </w:p>
    <w:p w:rsidR="0017246A" w:rsidRPr="0006111C" w:rsidRDefault="0017246A" w:rsidP="0017246A">
      <w:pPr>
        <w:pStyle w:val="Heading4"/>
      </w:pPr>
      <w:r w:rsidRPr="0006111C">
        <w:t xml:space="preserve">-increase certainty and transparency in the </w:t>
      </w:r>
      <w:r>
        <w:t>Federal Drug Administration</w:t>
      </w:r>
      <w:r w:rsidRPr="0006111C">
        <w:t xml:space="preserve"> drug review process</w:t>
      </w:r>
    </w:p>
    <w:p w:rsidR="0017246A" w:rsidRPr="0006111C" w:rsidRDefault="0017246A" w:rsidP="0017246A"/>
    <w:p w:rsidR="0017246A" w:rsidRDefault="0017246A" w:rsidP="0017246A">
      <w:pPr>
        <w:pStyle w:val="Heading4"/>
      </w:pPr>
      <w:r>
        <w:t>Intellectual property and regulatory reform is single most critical issue for pharmaceutical companies – most comprehensive study proves decline inevitable absent reform</w:t>
      </w:r>
    </w:p>
    <w:p w:rsidR="0017246A" w:rsidRPr="00584683" w:rsidRDefault="0017246A" w:rsidP="0017246A">
      <w:pPr>
        <w:rPr>
          <w:sz w:val="16"/>
          <w:szCs w:val="16"/>
        </w:rPr>
      </w:pPr>
      <w:r w:rsidRPr="00584683">
        <w:rPr>
          <w:rStyle w:val="StyleStyleBold12pt"/>
        </w:rPr>
        <w:t>Battelle 09</w:t>
      </w:r>
      <w:r w:rsidRPr="00584683">
        <w:rPr>
          <w:sz w:val="16"/>
          <w:szCs w:val="16"/>
        </w:rPr>
        <w:t xml:space="preserve"> (“The U.S. Biopharmaceutical Industry: Perspectives on Future Growth and The Factors That Will Drive It”, The Pharmaceutical Research and Manufacturers of America, 2009, http://www.phrma.org/sites/default/files/pdf/2014-economic-futures-report.pdf)</w:t>
      </w:r>
    </w:p>
    <w:p w:rsidR="0017246A" w:rsidRDefault="0017246A" w:rsidP="0017246A">
      <w:pPr>
        <w:rPr>
          <w:rStyle w:val="StyleBoldUnderline"/>
        </w:rPr>
      </w:pPr>
      <w:r w:rsidRPr="00DA374B">
        <w:rPr>
          <w:sz w:val="16"/>
          <w:szCs w:val="16"/>
        </w:rPr>
        <w:t>However, while opportunities abound for advancing biopharmaceutical R&amp;D and manufacturing in the U.S.,</w:t>
      </w:r>
      <w:r w:rsidRPr="00584683">
        <w:t xml:space="preserve"> </w:t>
      </w:r>
      <w:r w:rsidRPr="00584683">
        <w:rPr>
          <w:rStyle w:val="StyleBoldUnderline"/>
        </w:rPr>
        <w:t>future growth is not a given as other nations race to compete for the economic benefits that these innovative activities bring</w:t>
      </w:r>
      <w:r w:rsidRPr="00DA374B">
        <w:rPr>
          <w:sz w:val="16"/>
          <w:szCs w:val="16"/>
        </w:rPr>
        <w:t>. Given the economic contributions of this and other R&amp;D-intensive industries, the U.S. is now facing increasing competition not just from developed countries that want to expand their own innovative capacity in these areas, but also from emerging economies such as Brazil, China, and Singapore that are laying the groundwork for future growth. This report focuses on some of the key measures of the U.S. innovative biopharmaceutical industry’s economic contributions and explores policies critical to enabling future growth and sustainability in the years ahead</w:t>
      </w:r>
      <w:r w:rsidRPr="00584683">
        <w:t xml:space="preserve">. </w:t>
      </w:r>
      <w:r w:rsidRPr="00584683">
        <w:rPr>
          <w:rStyle w:val="StyleBoldUnderline"/>
        </w:rPr>
        <w:t>The report authors identified 10 broad policy areas central to improving the business climate for the biopharmaceutical industry, composed of a total of 38 sub-attributes.</w:t>
      </w:r>
      <w:r w:rsidRPr="00584683">
        <w:t xml:space="preserve"> </w:t>
      </w:r>
      <w:r w:rsidRPr="00584683">
        <w:rPr>
          <w:rStyle w:val="StyleBoldUnderline"/>
        </w:rPr>
        <w:t>This report is unique in that it provides an assessment of the relative importance of these policy factors by combining a quantitative approach with a real-world perspective incorporating the knowledge and insights of senior-level strategic planning executives from biopharmaceutical companies representing approximately 75 percent of U.S. biopharmaceutical sales</w:t>
      </w:r>
      <w:r w:rsidRPr="00584683">
        <w:t xml:space="preserve">. </w:t>
      </w:r>
      <w:r w:rsidRPr="00DA374B">
        <w:rPr>
          <w:sz w:val="16"/>
          <w:szCs w:val="16"/>
        </w:rPr>
        <w:t>These individuals are directly involved in making real-world decisions about where to locate biopharmaceutical R&amp;D and manufacturing operations and have substantial expertise in identifying and evaluating the most critical factors shaping biopharmaceutical investment decisions around the world. Key findings of the report include: • As the ability to innovate is increasingly becoming the most important determinant of a nation’s future potential for economic growth and global competitiveness, the biopharmaceutical industry ranks among the most innovative advanced manufacturing industries in the U.S. economy. This is reflected by a number of indicators including R&amp;D investment, intellectual property (IP) generation, venture capital investment, and share of total R&amp;D employment among manufacturing industries. • While the U.S. is currently the world leader in innovative biopharmaceutical R&amp;D and manufacturing, industry executives expressed concern that U.S. leadership cannot be taken for granted. Global trends suggest that U.S. leadership will be challenged as emerging economies implement more favorable policies to attract R&amp;D investment and spur growth in their own innovative capacity in biopharmaceutical manufacturing to meet domestic demand</w:t>
      </w:r>
      <w:r w:rsidRPr="00584683">
        <w:t xml:space="preserve">. </w:t>
      </w:r>
      <w:r w:rsidRPr="00584683">
        <w:rPr>
          <w:rStyle w:val="StyleBoldUnderline"/>
        </w:rPr>
        <w:t>The three policy factors identified as most critical for enabling innovation and the resulting economic contributions in biopharmaceutical R&amp;D and manufacturing are: (1) coverage and payment policies that support and encourage medical innovation; (2) a well-functioning, science-based regulatory system; and (3) strong IP protections</w:t>
      </w:r>
      <w:r w:rsidRPr="00584683">
        <w:t xml:space="preserve">. Of the 38 sub-attributes assessed, the </w:t>
      </w:r>
      <w:r w:rsidRPr="00584683">
        <w:rPr>
          <w:rStyle w:val="StyleBoldUnderline"/>
        </w:rPr>
        <w:t>single most important attribute identified as critical to driving future biopharmaceutical industry growth in the U.S. is a domestic IP system that provides adequate patent rights and data protection to sustain continued investment in the lengthy and costly R&amp;D process needed to develop new medicines</w:t>
      </w:r>
      <w:r>
        <w:t xml:space="preserve">. </w:t>
      </w:r>
      <w:r w:rsidRPr="00DA374B">
        <w:rPr>
          <w:rStyle w:val="StyleBoldUnderline"/>
        </w:rPr>
        <w:t>Insights from industry executives informed the development of two potential growth trajectories for the innovative biopharmaceutical industry</w:t>
      </w:r>
      <w:r w:rsidRPr="00DA374B">
        <w:rPr>
          <w:sz w:val="16"/>
          <w:szCs w:val="16"/>
        </w:rPr>
        <w:t xml:space="preserve"> in the U.S. over the next 10 years, with well over 300,000 retained and newly created jobs at stake between the two scenarios. The industry executives viewed </w:t>
      </w:r>
      <w:r w:rsidRPr="00DA374B">
        <w:rPr>
          <w:rStyle w:val="StyleBoldUnderline"/>
        </w:rPr>
        <w:t>the likelihood of achieving these alternative futures as highly dependent on policy choices made in the U.</w:t>
      </w:r>
      <w:r w:rsidRPr="00DA374B">
        <w:rPr>
          <w:sz w:val="16"/>
          <w:szCs w:val="16"/>
        </w:rPr>
        <w:t xml:space="preserve">S. - According to the industry executives, </w:t>
      </w:r>
      <w:r w:rsidRPr="00DA374B">
        <w:rPr>
          <w:rStyle w:val="StyleBoldUnderline"/>
        </w:rPr>
        <w:t>if negative trends in key policy areas continue, exacerbating uncertainties in the business climate, domestic R&amp;D and manufacturing activities in the biopharmaceutical industry are expected to record only modest gains</w:t>
      </w:r>
      <w:r w:rsidRPr="00DA374B">
        <w:rPr>
          <w:sz w:val="16"/>
          <w:szCs w:val="16"/>
        </w:rPr>
        <w:t xml:space="preserve"> over the next </w:t>
      </w:r>
      <w:r w:rsidRPr="00DA374B">
        <w:rPr>
          <w:sz w:val="16"/>
          <w:szCs w:val="16"/>
        </w:rPr>
        <w:lastRenderedPageBreak/>
        <w:t xml:space="preserve">decade. However, </w:t>
      </w:r>
      <w:r w:rsidRPr="00DA374B">
        <w:rPr>
          <w:rStyle w:val="StyleBoldUnderline"/>
        </w:rPr>
        <w:t xml:space="preserve">even with modest growth </w:t>
      </w:r>
      <w:r w:rsidRPr="00DA374B">
        <w:rPr>
          <w:sz w:val="16"/>
          <w:szCs w:val="16"/>
        </w:rPr>
        <w:t>projections</w:t>
      </w:r>
      <w:r w:rsidRPr="00DA374B">
        <w:rPr>
          <w:rStyle w:val="StyleBoldUnderline"/>
        </w:rPr>
        <w:t>, jobs supported</w:t>
      </w:r>
      <w:r w:rsidRPr="00DA374B">
        <w:rPr>
          <w:sz w:val="16"/>
          <w:szCs w:val="16"/>
        </w:rPr>
        <w:t xml:space="preserve"> by the biopharmaceutical industry </w:t>
      </w:r>
      <w:r w:rsidRPr="00DA374B">
        <w:rPr>
          <w:rStyle w:val="StyleBoldUnderline"/>
        </w:rPr>
        <w:t>are expected to decline over the next 10 years</w:t>
      </w:r>
      <w:r w:rsidRPr="00DA374B">
        <w:rPr>
          <w:sz w:val="16"/>
          <w:szCs w:val="16"/>
        </w:rPr>
        <w:t xml:space="preserve"> due to continued productivity gains projected across all manufacturing industries. Accounting for expected productivity gains, up to 149,000 jobs may be lost across the economy over the next decade if there are little to no improvements in the key policy areas that foster biopharmaceutical innovation.</w:t>
      </w:r>
      <w:r w:rsidRPr="00DA374B">
        <w:t xml:space="preserve"> </w:t>
      </w:r>
      <w:r w:rsidRPr="00DA374B">
        <w:rPr>
          <w:sz w:val="16"/>
          <w:szCs w:val="16"/>
        </w:rPr>
        <w:t xml:space="preserve">- The perspective of industry executives informed an alternative growth scenario – whereby </w:t>
      </w:r>
      <w:r w:rsidRPr="00DA374B">
        <w:rPr>
          <w:rStyle w:val="StyleBoldUnderline"/>
        </w:rPr>
        <w:t>modest improvements in key policy areas – e.g ., more favorable coverage and payment policies for medical innovation, improvements in regulatory policy to create efficiencies in the R&amp;D process, and improvements in IP policy</w:t>
      </w:r>
      <w:r w:rsidRPr="00DA374B">
        <w:rPr>
          <w:sz w:val="16"/>
          <w:szCs w:val="16"/>
        </w:rPr>
        <w:t xml:space="preserve"> to incentivize R&amp;D investment – </w:t>
      </w:r>
      <w:r w:rsidRPr="00DA374B">
        <w:rPr>
          <w:rStyle w:val="StyleBoldUnderline"/>
        </w:rPr>
        <w:t>would foster the continued growth of biopharmaceutical R&amp;D</w:t>
      </w:r>
      <w:r w:rsidRPr="00DA374B">
        <w:rPr>
          <w:sz w:val="16"/>
          <w:szCs w:val="16"/>
        </w:rPr>
        <w:t xml:space="preserve"> and manufacturing capacity in the U.S. </w:t>
      </w:r>
      <w:r w:rsidRPr="00DA374B">
        <w:rPr>
          <w:rStyle w:val="StyleBoldUnderline"/>
        </w:rPr>
        <w:t>This could conservatively lead to the creation of more than 185,000 additional jobs</w:t>
      </w:r>
      <w:r w:rsidRPr="00DA374B">
        <w:rPr>
          <w:sz w:val="16"/>
          <w:szCs w:val="16"/>
        </w:rPr>
        <w:t xml:space="preserve"> across the U.S. economy over the next 10 years, </w:t>
      </w:r>
      <w:r w:rsidRPr="00DA374B">
        <w:rPr>
          <w:rStyle w:val="StyleBoldUnderline"/>
        </w:rPr>
        <w:t xml:space="preserve">resulting in well over 300,000 retained and newly created jobs </w:t>
      </w:r>
      <w:r w:rsidRPr="00DA374B">
        <w:rPr>
          <w:sz w:val="16"/>
          <w:szCs w:val="16"/>
        </w:rPr>
        <w:t xml:space="preserve">when comparing the two scenarios. As an industry rooted in science and propelled by advanced manufacturing, </w:t>
      </w:r>
      <w:r w:rsidRPr="00DA374B">
        <w:rPr>
          <w:rStyle w:val="StyleBoldUnderline"/>
        </w:rPr>
        <w:t>the innovative biopharmaceutical industry is uniquely positioned to help maintain U.S. leadership in new technologies and scientific breakthroughs that will continue to create high-quality, high-wage R&amp;D and manufacturing jobs and enhance America’s global competitiveness in the future</w:t>
      </w:r>
      <w:r w:rsidRPr="00DA374B">
        <w:rPr>
          <w:sz w:val="16"/>
          <w:szCs w:val="16"/>
        </w:rPr>
        <w:t xml:space="preserve">. </w:t>
      </w:r>
      <w:r w:rsidRPr="00DA374B">
        <w:rPr>
          <w:rStyle w:val="StyleBoldUnderline"/>
        </w:rPr>
        <w:t>Today, the U.S. biopharmaceutical industry supports a total of 3.4 million jobs across the U.S. economy</w:t>
      </w:r>
      <w:r w:rsidRPr="00DA374B">
        <w:rPr>
          <w:sz w:val="16"/>
          <w:szCs w:val="16"/>
        </w:rPr>
        <w:t xml:space="preserve"> – including over 810,000 direct jobs – </w:t>
      </w:r>
      <w:r w:rsidRPr="00DA374B">
        <w:rPr>
          <w:rStyle w:val="StyleBoldUnderline"/>
        </w:rPr>
        <w:t xml:space="preserve">contributes $789 billion in economic output, and is responsible for about one in five dollars spent on domestic R&amp;D by U.S. businesses. </w:t>
      </w:r>
      <w:r w:rsidRPr="00DA374B">
        <w:rPr>
          <w:rStyle w:val="StyleBoldUnderline"/>
        </w:rPr>
        <w:cr/>
      </w:r>
    </w:p>
    <w:p w:rsidR="0017246A" w:rsidRDefault="0017246A" w:rsidP="0017246A">
      <w:pPr>
        <w:pStyle w:val="Heading3"/>
      </w:pPr>
      <w:r>
        <w:lastRenderedPageBreak/>
        <w:t>1AC Solvency Advocate</w:t>
      </w:r>
    </w:p>
    <w:p w:rsidR="0017246A" w:rsidRPr="00584683" w:rsidRDefault="0017246A" w:rsidP="0017246A">
      <w:pPr>
        <w:pStyle w:val="Heading4"/>
      </w:pPr>
      <w:r>
        <w:t>Regulatory reforms are key to a successful pharmaceutical industry – their 1AC ev</w:t>
      </w:r>
    </w:p>
    <w:p w:rsidR="0017246A" w:rsidRPr="00D507C8" w:rsidRDefault="0017246A" w:rsidP="0017246A">
      <w:pPr>
        <w:rPr>
          <w:rStyle w:val="StyleStyleBold12pt"/>
          <w:b w:val="0"/>
          <w:sz w:val="16"/>
        </w:rPr>
      </w:pPr>
      <w:r w:rsidRPr="00D507C8">
        <w:rPr>
          <w:rStyle w:val="StyleStyleBold12pt"/>
        </w:rPr>
        <w:t>Washington Post, 2014</w:t>
      </w:r>
      <w:r w:rsidRPr="00D507C8">
        <w:rPr>
          <w:rStyle w:val="StyleStyleBold12pt"/>
          <w:sz w:val="16"/>
        </w:rPr>
        <w:t xml:space="preserve"> </w:t>
      </w:r>
      <w:r w:rsidRPr="00D507C8">
        <w:rPr>
          <w:rStyle w:val="StyleStyleBold12pt"/>
          <w:b w:val="0"/>
          <w:sz w:val="16"/>
        </w:rPr>
        <w:t>(Pharmaceutical Research and Manufacturers of America, “One Perscription for U.S. Economic Growth”, May 5, http://www.washingtonpost.com/sf/brand-connect/wp/enterprise/one-prescription-for-u-s-economic-growth/)</w:t>
      </w:r>
    </w:p>
    <w:p w:rsidR="0017246A" w:rsidRDefault="0017246A" w:rsidP="0017246A">
      <w:pPr>
        <w:rPr>
          <w:sz w:val="16"/>
          <w:szCs w:val="16"/>
        </w:rPr>
      </w:pPr>
      <w:r w:rsidRPr="00584683">
        <w:rPr>
          <w:sz w:val="16"/>
          <w:szCs w:val="16"/>
        </w:rPr>
        <w:t>What are the factors that promote growth</w:t>
      </w:r>
      <w:r w:rsidRPr="00584683">
        <w:rPr>
          <w:rStyle w:val="StyleBoldUnderline"/>
        </w:rPr>
        <w:t>? The report outlines a number of recommendations, including the following: Increase understanding around the costs of new product development. Ensure appropriate protection for intellectual property and promote access to innovative medicines to give biopharmaceutical companies the incentive they need to continue to develop cutting-edge therapies. Ensure that startup efforts have the private financial backing they need to develop new medicines. Revise the drug-approval process to help get new medications to market more quickly. Back educational efforts to create a strong workforce. Provide economic innovation incentives to fuel growth. The current regulatory climate without these changes may stifle growth and have a negative effect on innovation</w:t>
      </w:r>
      <w:r w:rsidRPr="00584683">
        <w:rPr>
          <w:sz w:val="16"/>
          <w:szCs w:val="16"/>
        </w:rPr>
        <w:t>. “This report vividly illustrates the inextricable link between a healthy biopharmaceutical R&amp;D system and the health care policy environment,” says Robert J. Hugin, PhRMA Immediate Past Chairman and CEO of Celgene Corporation, in a written release. “Sustainable, market-based access and reimbursement for innovative medicines today is essential to incentivize the long-term, high-risk investment needed for new medical innovations in the future.”</w:t>
      </w:r>
    </w:p>
    <w:p w:rsidR="0017246A" w:rsidRDefault="0017246A" w:rsidP="0017246A">
      <w:pPr>
        <w:rPr>
          <w:sz w:val="16"/>
          <w:szCs w:val="16"/>
        </w:rPr>
      </w:pPr>
    </w:p>
    <w:p w:rsidR="0017246A" w:rsidRPr="0069550D" w:rsidRDefault="0017246A" w:rsidP="0017246A">
      <w:pPr>
        <w:pStyle w:val="Heading3"/>
      </w:pPr>
      <w:r w:rsidRPr="0069550D">
        <w:lastRenderedPageBreak/>
        <w:t>Gen</w:t>
      </w:r>
      <w:r>
        <w:t>eric</w:t>
      </w:r>
      <w:r w:rsidRPr="0069550D">
        <w:t xml:space="preserve"> Solvency</w:t>
      </w:r>
      <w:r>
        <w:t>---2NC</w:t>
      </w:r>
    </w:p>
    <w:p w:rsidR="0017246A" w:rsidRPr="00992ECC" w:rsidRDefault="0017246A" w:rsidP="0017246A">
      <w:pPr>
        <w:pStyle w:val="Heading4"/>
      </w:pPr>
      <w:r w:rsidRPr="00992ECC">
        <w:t xml:space="preserve">Biopharmaceutical industry proves – regulatory, </w:t>
      </w:r>
      <w:r>
        <w:t>intellectual property</w:t>
      </w:r>
      <w:r w:rsidRPr="00992ECC">
        <w:t>, and review reform is the critical factor for future growth</w:t>
      </w:r>
    </w:p>
    <w:p w:rsidR="0017246A" w:rsidRPr="00584683" w:rsidRDefault="0017246A" w:rsidP="0017246A">
      <w:pPr>
        <w:rPr>
          <w:sz w:val="16"/>
          <w:szCs w:val="16"/>
        </w:rPr>
      </w:pPr>
      <w:r w:rsidRPr="00584683">
        <w:rPr>
          <w:rStyle w:val="StyleStyleBold12pt"/>
        </w:rPr>
        <w:t>Battelle 09</w:t>
      </w:r>
      <w:r w:rsidRPr="00584683">
        <w:rPr>
          <w:sz w:val="16"/>
          <w:szCs w:val="16"/>
        </w:rPr>
        <w:t xml:space="preserve"> (“The U.S. Biopharmaceutical Industry: Perspectives on Future Growth and The Factors That Will Drive It”, The Pharmaceutical Research and Manufacturers of America, 2009, http://www.phrma.org/sites/default/files/pdf/2014-economic-futures-report.pdf)</w:t>
      </w:r>
    </w:p>
    <w:p w:rsidR="0017246A" w:rsidRDefault="0017246A" w:rsidP="0017246A">
      <w:pPr>
        <w:rPr>
          <w:rStyle w:val="StyleBoldUnderline"/>
        </w:rPr>
      </w:pPr>
      <w:r w:rsidRPr="00992ECC">
        <w:rPr>
          <w:rStyle w:val="StyleBoldUnderline"/>
        </w:rPr>
        <w:t>The views of senior-level biopharmaceutical executives were sought to help examine the many issues shaping the environment for innovation and the future growth of the U.S. biopharmaceutical industry</w:t>
      </w:r>
      <w:r w:rsidRPr="0006111C">
        <w:rPr>
          <w:sz w:val="16"/>
          <w:szCs w:val="16"/>
        </w:rPr>
        <w:t xml:space="preserve">. The executives were surveyed regarding the leading factors that would be most significant in improving the business operating environment in the U.S. and result in generating higher growth for the U.S. biopharmaceutical industry. </w:t>
      </w:r>
      <w:r w:rsidRPr="00992ECC">
        <w:rPr>
          <w:rStyle w:val="StyleBoldUnderline"/>
        </w:rPr>
        <w:t>The results of the survey offer a unique insider’s view of what it will take for the U.S. industry to stay competitive and maximize growth</w:t>
      </w:r>
      <w:r w:rsidRPr="0006111C">
        <w:rPr>
          <w:sz w:val="16"/>
          <w:szCs w:val="16"/>
        </w:rPr>
        <w:t xml:space="preserve">. The executives were asked to weight the relative importance of 10 primary attributes for advancing biopharmaceutical business operations in the U.S. over the next 10 years (see text box for listing). These attributes of the business operating environment were selected based on previous studies which have suggested that they are essential for providing the level of certainty needed by biopharmaceutical companies to make R&amp;D and manufacturing investment decisions. </w:t>
      </w:r>
      <w:r w:rsidRPr="00992ECC">
        <w:rPr>
          <w:rStyle w:val="StyleBoldUnderline"/>
        </w:rPr>
        <w:t>Three broad attributes stand out as critical to the competitiveness of the U.S. business operating environment for biopharmaceutical innovation: • Coverage and payment policies that value and support the use of new medicine</w:t>
      </w:r>
      <w:r w:rsidRPr="0006111C">
        <w:rPr>
          <w:sz w:val="16"/>
          <w:szCs w:val="16"/>
        </w:rPr>
        <w:t xml:space="preserve">s – New medicines not only save and extend patients’ lives by halting or slowing disease progression, they also improve quality of life, prevent unnecessary hospitalizations, reduce side effects, and provide options for patients with previously unmet needs. Often the full value of a medicine is not known upon Food and Drug Administration (FDA) approval as value evolves over time with new indications and uses, including demonstrated benefits in other disease areas, at earlier stages of disease, or in different patient populations. </w:t>
      </w:r>
      <w:r w:rsidRPr="00992ECC">
        <w:rPr>
          <w:rStyle w:val="StyleBoldUnderline"/>
        </w:rPr>
        <w:t>There is a perception among the executives that U.S. payers increasingly are not adequately valuing new treatments and are narrowly focusing on reducing prescription drug costs or creating cost-offsets in the short-term. The uncertainty regarding whether a payer will provide coverage and adequate payment for medical innovation can make companies more risk adverse</w:t>
      </w:r>
      <w:r w:rsidRPr="0006111C">
        <w:rPr>
          <w:sz w:val="16"/>
          <w:szCs w:val="16"/>
        </w:rPr>
        <w:t xml:space="preserve"> and impact R&amp;D decisions now and in the future. </w:t>
      </w:r>
      <w:r w:rsidRPr="00992ECC">
        <w:rPr>
          <w:rStyle w:val="StyleBoldUnderline"/>
        </w:rPr>
        <w:t>• A well-functioning, science-based regulatory system</w:t>
      </w:r>
      <w:r w:rsidRPr="0006111C">
        <w:rPr>
          <w:sz w:val="16"/>
          <w:szCs w:val="16"/>
        </w:rPr>
        <w:t xml:space="preserve"> – While the FDA has long been viewed as the gold standard for a science-based regulatory system, </w:t>
      </w:r>
      <w:r w:rsidRPr="00992ECC">
        <w:rPr>
          <w:rStyle w:val="StyleBoldUnderline"/>
        </w:rPr>
        <w:t>the number and complexity of regulatory requirements has increased over time. Some of the executives expressed concern that U.S. efforts to create efficiencies and improve R&amp;D effectiveness may not be moving fast enough</w:t>
      </w:r>
      <w:r w:rsidRPr="0006111C">
        <w:rPr>
          <w:sz w:val="16"/>
          <w:szCs w:val="16"/>
        </w:rPr>
        <w:t xml:space="preserve"> and they are concerned that the U.S. regulatory process may soon be less favorable than that of other countries. The European Medicines Agency, for example, is seeking to expand its collaboration with industry to improve the regulatory review and approval process. The emerging nations, as their regulatory systems evolve, have the potential to compete with the leadership position historically held by the FDA, according to interviews with the executives. The executives’ comments make it clear that, similar to other operating factors, the regulatory environment is becoming a competitive issue, not just with Europe and Japan, but increasingly with China and other emerging economies</w:t>
      </w:r>
      <w:r w:rsidRPr="00992ECC">
        <w:rPr>
          <w:rStyle w:val="StyleBoldUnderline"/>
        </w:rPr>
        <w:t>. It is not sufficient for the U.S. regulatory environment merely to improve—it must improve relative to the regulatory environments of other nations to remain competitive</w:t>
      </w:r>
      <w:r w:rsidRPr="0006111C">
        <w:rPr>
          <w:sz w:val="16"/>
          <w:szCs w:val="16"/>
        </w:rPr>
        <w:t xml:space="preserve">. </w:t>
      </w:r>
      <w:r w:rsidRPr="00992ECC">
        <w:rPr>
          <w:rStyle w:val="StyleBoldUnderline"/>
        </w:rPr>
        <w:t>• Strong IP protections in the U.S. and abroad</w:t>
      </w:r>
      <w:r w:rsidRPr="0006111C">
        <w:rPr>
          <w:sz w:val="16"/>
          <w:szCs w:val="16"/>
        </w:rPr>
        <w:t xml:space="preserve"> – While the executives surveyed viewed IP rights and enforcement as an area that the U.S. was fairly competitive in, </w:t>
      </w:r>
      <w:r w:rsidRPr="00992ECC">
        <w:rPr>
          <w:rStyle w:val="StyleBoldUnderline"/>
        </w:rPr>
        <w:t>they were particularly concerned with increased uncertainty related to patent challenges occurring earlier and more frequently and continued efforts by the Administration and some policymakers to reduce the favorability of IP rights in the U.S.</w:t>
      </w:r>
      <w:r w:rsidRPr="0006111C">
        <w:rPr>
          <w:sz w:val="16"/>
          <w:szCs w:val="16"/>
        </w:rPr>
        <w:t xml:space="preserve">, such as efforts to reduce the data protection period for biologic medicines. The respondents noted that </w:t>
      </w:r>
      <w:r w:rsidRPr="00992ECC">
        <w:rPr>
          <w:rStyle w:val="StyleBoldUnderline"/>
        </w:rPr>
        <w:t>the importance of IP protection cannot be overemphasized because it is directly linked to their ability to potentially recoup the significant investments needed for biopharmaceutical R&amp;D and to provide the revenues needed to make up for the many R&amp;D failures and continued investments</w:t>
      </w:r>
      <w:r w:rsidRPr="0006111C">
        <w:rPr>
          <w:sz w:val="16"/>
          <w:szCs w:val="16"/>
        </w:rPr>
        <w:t xml:space="preserve"> in the future. Likely in response to generally flat government agency budgets and the impact of sequestration, executives expressed concern that increased emphasis should be placed on ensuring that the U.S. Patent and Trademark Office can functio</w:t>
      </w:r>
      <w:r>
        <w:rPr>
          <w:sz w:val="16"/>
          <w:szCs w:val="16"/>
        </w:rPr>
        <w:t xml:space="preserve">n effectively and efficiently. </w:t>
      </w:r>
      <w:r w:rsidRPr="0006111C">
        <w:rPr>
          <w:sz w:val="16"/>
          <w:szCs w:val="16"/>
        </w:rPr>
        <w:t xml:space="preserve">While each of these broader attributes may have stood out for different reasons among the executives, a review of the specific sub-attributes associated with each area is valuable for identifying those which were, in their view, most critical to advancing a more favorable business operating environment in the U.S. and therefore, key to fostering the continued growth of the biopharmaceutical industry in the U.S. </w:t>
      </w:r>
      <w:r w:rsidRPr="0006111C">
        <w:rPr>
          <w:sz w:val="16"/>
          <w:szCs w:val="16"/>
        </w:rPr>
        <w:cr/>
        <w:t xml:space="preserve">From a policy perspective, these sub-attributes reflect more specific directions about issues that need to be prioritized to strengthen the U.S. biopharmaceutical industry. Altogether, respondents rated the importance of 38 sub-attributes across the 10 primary attribute areas. </w:t>
      </w:r>
      <w:r w:rsidRPr="00992ECC">
        <w:rPr>
          <w:rStyle w:val="StyleBoldUnderline"/>
        </w:rPr>
        <w:t xml:space="preserve">The sub-attributes (and their rank) viewed as most critical to the future growth and sustainability of the U.S. biopharmaceutical sector were: • Ensuring a robust IP system that </w:t>
      </w:r>
      <w:r w:rsidRPr="00992ECC">
        <w:rPr>
          <w:rStyle w:val="StyleBoldUnderline"/>
        </w:rPr>
        <w:lastRenderedPageBreak/>
        <w:t>provides adequate patent rights and data protection. (1) • Supportive U.S. government health policies and regulations to account for and encourage biopharmaceutical innovation in coverage and payment policies. (2) • Similarly, ensuring broad patient access to new medicines in public programs, such as through payment and coverage policies that recognize the value of innovative medicines (e.g., Medicare and Medicaid). (3) • High level of certainty in FDA review and approval process. (4)</w:t>
      </w:r>
    </w:p>
    <w:p w:rsidR="0017246A" w:rsidRDefault="0017246A" w:rsidP="0017246A">
      <w:pPr>
        <w:pStyle w:val="Heading4"/>
      </w:pPr>
      <w:r w:rsidRPr="007D2EE4">
        <w:t>Regulatory reform solves pharmaceutical innovation</w:t>
      </w:r>
    </w:p>
    <w:p w:rsidR="0017246A" w:rsidRPr="007D2EE4" w:rsidRDefault="0017246A" w:rsidP="0017246A">
      <w:pPr>
        <w:rPr>
          <w:sz w:val="16"/>
          <w:szCs w:val="16"/>
        </w:rPr>
      </w:pPr>
      <w:r w:rsidRPr="007D2EE4">
        <w:rPr>
          <w:rStyle w:val="StyleStyleBold12pt"/>
        </w:rPr>
        <w:t>Fitzwater 13</w:t>
      </w:r>
      <w:r w:rsidRPr="007D2EE4">
        <w:rPr>
          <w:sz w:val="16"/>
          <w:szCs w:val="16"/>
        </w:rPr>
        <w:t xml:space="preserve"> (Ron, “Perspective: Pharmaceutical industry in need of regulatory reform”, News Tribune, 12/3/13, http://m.newstribune.com/news/2013/dec/03/perspective-pharmaceutical-industry-need-regulator/#.U8V1avldWSo)</w:t>
      </w:r>
    </w:p>
    <w:p w:rsidR="0017246A" w:rsidRPr="007D2EE4" w:rsidRDefault="0017246A" w:rsidP="0017246A">
      <w:pPr>
        <w:rPr>
          <w:sz w:val="16"/>
          <w:szCs w:val="16"/>
        </w:rPr>
      </w:pPr>
      <w:r w:rsidRPr="007D2EE4">
        <w:rPr>
          <w:sz w:val="16"/>
          <w:szCs w:val="16"/>
        </w:rPr>
        <w:t xml:space="preserve">With the recent government shutdown still fresh in our memories, </w:t>
      </w:r>
      <w:r w:rsidRPr="007D2EE4">
        <w:rPr>
          <w:rStyle w:val="StyleBoldUnderline"/>
        </w:rPr>
        <w:t>our elected officials should forge a consensus on the most pressing economic concern for businesses, regulations.</w:t>
      </w:r>
      <w:r w:rsidRPr="007D2EE4">
        <w:rPr>
          <w:sz w:val="16"/>
          <w:szCs w:val="16"/>
        </w:rPr>
        <w:t xml:space="preserve"> </w:t>
      </w:r>
      <w:r w:rsidRPr="007D2EE4">
        <w:rPr>
          <w:rStyle w:val="StyleBoldUnderline"/>
        </w:rPr>
        <w:t>Working in the pharmaceutical industry has shown me the challenges businesses face in keeping up with the size and scope of increasing regulations</w:t>
      </w:r>
      <w:r w:rsidRPr="007D2EE4">
        <w:rPr>
          <w:sz w:val="16"/>
          <w:szCs w:val="16"/>
        </w:rPr>
        <w:t xml:space="preserve">, and I wonder whether our regulators understand the real burden of these policies. Of course, there are good and prudent reasons for regulation and licensing, especially in the pharmaceutical industry. The expertise and good judgment of the local pharmacist is crucial to sustaining a first-rate health care system and protecting the health of our customers. No one I know in the industry would dispute that. </w:t>
      </w:r>
      <w:r w:rsidRPr="007D2EE4">
        <w:rPr>
          <w:rStyle w:val="StyleBoldUnderline"/>
        </w:rPr>
        <w:t>The problems with regulations come when community pharmacies are subject to multiple, overlapping regulatory jurisdictions that are absorbing more and more time and expense</w:t>
      </w:r>
      <w:r w:rsidRPr="007D2EE4">
        <w:rPr>
          <w:sz w:val="16"/>
          <w:szCs w:val="16"/>
        </w:rPr>
        <w:t xml:space="preserve">. For example, we’re dealing with </w:t>
      </w:r>
      <w:r w:rsidRPr="007D2EE4">
        <w:rPr>
          <w:rStyle w:val="StyleBoldUnderline"/>
        </w:rPr>
        <w:t>not just the Food and Drug Administration, but a maze of other agencies, like the Drug Enforcement Agency, occupational safety regulators at the state and local levels, and trucking and shipping regulators</w:t>
      </w:r>
      <w:r w:rsidRPr="007D2EE4">
        <w:rPr>
          <w:sz w:val="16"/>
          <w:szCs w:val="16"/>
        </w:rPr>
        <w:t xml:space="preserve">. All of these regulations </w:t>
      </w:r>
      <w:r w:rsidRPr="007D2EE4">
        <w:rPr>
          <w:rStyle w:val="StyleBoldUnderline"/>
        </w:rPr>
        <w:t>come in addition to the massive regulatory expansion that attends the implementation of the Affordable Care Act</w:t>
      </w:r>
      <w:r w:rsidRPr="007D2EE4">
        <w:rPr>
          <w:sz w:val="16"/>
          <w:szCs w:val="16"/>
        </w:rPr>
        <w:t xml:space="preserve">. America’s community pharmacies generate more than $93 billion in economic output annually and employ more than 240,000 nationwide. Lately, I hear more and more busin ess owners talk about how they simply can’t invest, expand or hire because the unpredictability of these regulations make it difficult for industries, to invest in the future. It’s no secret that in the wider businesses sector government intervention in the economy has been increasing dramatically. Currently, there are some 3,500 new federal regulations in the Washington pipeline. And I read that since 2006, there has been a 60 percent increase in “significant” regulations, or those having a direct economic impact of $100 million or more. Reading these numbers, you get a concrete picture of why </w:t>
      </w:r>
      <w:r w:rsidRPr="007D2EE4">
        <w:rPr>
          <w:rStyle w:val="StyleBoldUnderline"/>
        </w:rPr>
        <w:t>small businesses are backing off hiring and investing</w:t>
      </w:r>
      <w:r w:rsidRPr="007D2EE4">
        <w:rPr>
          <w:sz w:val="16"/>
          <w:szCs w:val="16"/>
        </w:rPr>
        <w:t xml:space="preserve">. Some say they wouldn’t even have started a business if they’d known how burdensome the regulatory demands would have become. </w:t>
      </w:r>
      <w:r w:rsidRPr="007D2EE4">
        <w:rPr>
          <w:rStyle w:val="StyleBoldUnderline"/>
        </w:rPr>
        <w:t>One of the quickest, most effective and least costly ways to begin to forge consensus is on regulatory reform</w:t>
      </w:r>
      <w:r w:rsidRPr="007D2EE4">
        <w:rPr>
          <w:sz w:val="16"/>
          <w:szCs w:val="16"/>
        </w:rPr>
        <w:t xml:space="preserve">. While regulations play an important role in protecting the public and the environment, </w:t>
      </w:r>
      <w:r w:rsidRPr="007D2EE4">
        <w:rPr>
          <w:rStyle w:val="StyleBoldUnderline"/>
        </w:rPr>
        <w:t>the current regulatory system has become a drag on economic growth and job creation</w:t>
      </w:r>
      <w:r w:rsidRPr="007D2EE4">
        <w:rPr>
          <w:sz w:val="16"/>
          <w:szCs w:val="16"/>
        </w:rPr>
        <w:t xml:space="preserve">. Fortunately, Missouri’s U.S. Sen. Claire McCaskill, the Democrat chair of the Subcommittee on Financial and Contracting Oversight, could prove a highly influential role in reform. Her committee has jurisdiction over federal financial management, acquisition, and procurement in Homeland Security and Government Affairs. This position allows Sen. McCaskill to be a catalyst for change, relieving businesses from the unnecessary challenge of inconsistent regulations. </w:t>
      </w:r>
      <w:r w:rsidRPr="007D2EE4">
        <w:rPr>
          <w:rStyle w:val="StyleBoldUnderline"/>
        </w:rPr>
        <w:t>We can work toward a system of openness, where research and data models that underpin decisions are shared with business. Reviews of new regulatory proposals should be conducted by experts, with a thorough cost/benefit analysis.</w:t>
      </w:r>
      <w:r w:rsidRPr="007D2EE4">
        <w:rPr>
          <w:sz w:val="16"/>
          <w:szCs w:val="16"/>
        </w:rPr>
        <w:t xml:space="preserve"> Enforcement actions should be exercised with good judgment, allowing innocent mistakes and paperwork errors to be resolved without inordinate penalties and fines. We cannot afford to make keeping up with regulations a full-time job.</w:t>
      </w:r>
    </w:p>
    <w:p w:rsidR="0017246A" w:rsidRPr="0069550D" w:rsidRDefault="0017246A" w:rsidP="0017246A">
      <w:pPr>
        <w:pStyle w:val="Heading4"/>
      </w:pPr>
      <w:r w:rsidRPr="0069550D">
        <w:t>Regulatory reform key to bringing drugs to market – pharmaceutical industry will wither without it</w:t>
      </w:r>
    </w:p>
    <w:p w:rsidR="0017246A" w:rsidRPr="007D2EE4" w:rsidRDefault="0017246A" w:rsidP="0017246A">
      <w:pPr>
        <w:rPr>
          <w:sz w:val="16"/>
          <w:szCs w:val="16"/>
        </w:rPr>
      </w:pPr>
      <w:r w:rsidRPr="007D2EE4">
        <w:rPr>
          <w:rStyle w:val="StyleStyleBold12pt"/>
        </w:rPr>
        <w:t>Miller 12</w:t>
      </w:r>
      <w:r w:rsidRPr="007D2EE4">
        <w:rPr>
          <w:sz w:val="16"/>
          <w:szCs w:val="16"/>
        </w:rPr>
        <w:t xml:space="preserve"> (Henry, “Red Tape and Pink Slips: Obama’s Imaginary Regulatory Reform”, The American, 2/2/12, http://www.american.com/archive/2012/february/red-tape-and-pink-slips-obamas-imaginary-regulatory-reform)</w:t>
      </w:r>
    </w:p>
    <w:p w:rsidR="0017246A" w:rsidRDefault="0017246A" w:rsidP="0017246A">
      <w:pPr>
        <w:rPr>
          <w:sz w:val="16"/>
          <w:szCs w:val="16"/>
        </w:rPr>
      </w:pPr>
      <w:r w:rsidRPr="007D2EE4">
        <w:rPr>
          <w:sz w:val="16"/>
          <w:szCs w:val="16"/>
        </w:rPr>
        <w:t xml:space="preserve">Many of us who follow drug and medical device development and their regulation have seen this coming. </w:t>
      </w:r>
      <w:r w:rsidRPr="0069550D">
        <w:rPr>
          <w:rStyle w:val="StyleBoldUnderline"/>
        </w:rPr>
        <w:t xml:space="preserve">Bringing a new drug to market now requires 12 to 15 years and costs more than $1.4 billion, and the number of drugs approved by the FDA annually is trending downward </w:t>
      </w:r>
      <w:r w:rsidRPr="007D2EE4">
        <w:rPr>
          <w:sz w:val="16"/>
          <w:szCs w:val="16"/>
        </w:rPr>
        <w:t>(</w:t>
      </w:r>
      <w:r w:rsidRPr="0069550D">
        <w:rPr>
          <w:rStyle w:val="StyleBoldUnderline"/>
        </w:rPr>
        <w:t>in spite of years of significant increases in the agency's budget</w:t>
      </w:r>
      <w:r w:rsidRPr="007D2EE4">
        <w:rPr>
          <w:sz w:val="16"/>
          <w:szCs w:val="16"/>
        </w:rPr>
        <w:t xml:space="preserve">). Consider the numbers of approvals during recent five-year intervals. From 2007 to 2011, the FDA approved 123 new drugs; from 2002 to 2006, 129 drugs; and from 1997 to 2001, 178 drugs. That trend is destined to continue because in 2010 the number of applications for approval of new drugs was the lowest in decades. </w:t>
      </w:r>
      <w:r w:rsidRPr="0069550D">
        <w:rPr>
          <w:rStyle w:val="StyleBoldUnderline"/>
        </w:rPr>
        <w:t>Another metric that reflects what the drug companies are experiencing is the plummeting success rate of Phase 2 clinical trials, in which the efficacy of a new drug candidate begins to be assessed; from 28 percent in 2006-2007, it fell to 18 percent in 2008-2010,</w:t>
      </w:r>
      <w:r w:rsidRPr="007D2EE4">
        <w:rPr>
          <w:sz w:val="16"/>
          <w:szCs w:val="16"/>
        </w:rPr>
        <w:t xml:space="preserve"> according to an analysis published in the journal </w:t>
      </w:r>
      <w:r w:rsidRPr="007D2EE4">
        <w:rPr>
          <w:sz w:val="16"/>
          <w:szCs w:val="16"/>
        </w:rPr>
        <w:lastRenderedPageBreak/>
        <w:t xml:space="preserve">Nature Reviews Drug Discovery last May. </w:t>
      </w:r>
      <w:r w:rsidRPr="0069550D">
        <w:rPr>
          <w:rStyle w:val="StyleBoldUnderline"/>
        </w:rPr>
        <w:t>Facing regulatory uncertainty or obstructionism, companies are simply abandoning projects that in a more positive regulatory environment might have yielded medically useful, profitable products</w:t>
      </w:r>
      <w:r w:rsidRPr="007D2EE4">
        <w:rPr>
          <w:sz w:val="16"/>
          <w:szCs w:val="16"/>
        </w:rPr>
        <w:t xml:space="preserve">. </w:t>
      </w:r>
      <w:r w:rsidRPr="0069550D">
        <w:rPr>
          <w:rStyle w:val="StyleBoldUnderline"/>
        </w:rPr>
        <w:t>This lowers the probability that an American research-intensive company will come up with The Next Big Thing, for either its initial indication or subsequent ones</w:t>
      </w:r>
      <w:r w:rsidRPr="007D2EE4">
        <w:rPr>
          <w:sz w:val="16"/>
          <w:szCs w:val="16"/>
        </w:rPr>
        <w:t xml:space="preserve">. But perhaps the most ominous statistic of all is that drug manufacturers recoup their R&amp;D costs for only one in five approved drugs, a deterioration from one in four about a decade ago. </w:t>
      </w:r>
      <w:r w:rsidRPr="0069550D">
        <w:rPr>
          <w:rStyle w:val="StyleBoldUnderline"/>
        </w:rPr>
        <w:t>Is it any surprise that potential investors are disenchanted? The current sorry state of pharmaceutical development reflects the FDA's excessive risk aversion, unchecked by congressional oversight, which has forced companies to perform ever-larger, longer, more complex, and more expensive clinical trials</w:t>
      </w:r>
      <w:r w:rsidRPr="007D2EE4">
        <w:rPr>
          <w:sz w:val="16"/>
          <w:szCs w:val="16"/>
        </w:rPr>
        <w:t xml:space="preserve">. Expressing industry's frustration at the FDA's capriciousness and intransigence, Fred Hassan, then CEO of drug company Schering-Plough, said of the regulatory climate: "What will it take to get new drugs approved? The point is, we don't know." Kenneth Kaitin, director of the Tufts Center for the Study of Drug Development, described the obstructionist culture at the FDA as having caused it to become viewed as "an agency that is supposed to keep unsafe drugs off the market, not to speed access to life-saving drugs." Illustrating the kind of policy-making that has frustrated corporate innovators, </w:t>
      </w:r>
      <w:r w:rsidRPr="0069550D">
        <w:rPr>
          <w:rStyle w:val="StyleBoldUnderline"/>
        </w:rPr>
        <w:t>regulators have concocted additional criteria for granting marketing approval of a drug. The new criteria are above and beyond the statutory requirement for the demonstration of safety and efficacy and could inflict significant damage on both patients and pharmaceutical companies</w:t>
      </w:r>
      <w:r w:rsidRPr="007D2EE4">
        <w:rPr>
          <w:sz w:val="16"/>
          <w:szCs w:val="16"/>
        </w:rPr>
        <w:t xml:space="preserve">: Seemingly arbitrarily, the FDA sometimes requires that new drugs be not merely effective but actually superior to existing therapies, a new standard that is often difficult and extremely costly to meet. </w:t>
      </w:r>
      <w:r w:rsidRPr="0069550D">
        <w:rPr>
          <w:rStyle w:val="StyleBoldUnderline"/>
        </w:rPr>
        <w:t xml:space="preserve">For example, although the law requires that to be marketed a drug must simply be shown to be safe and effective, the agency denied approval of Merck's Arcoxia, a COX-2 enzyme inhibitor for the relief of arthritis pain, because the drug needed to be shown to be superior to existing drugs. </w:t>
      </w:r>
      <w:r w:rsidRPr="007D2EE4">
        <w:rPr>
          <w:sz w:val="16"/>
          <w:szCs w:val="16"/>
        </w:rPr>
        <w:t>Robert Meyer, director of the FDA office that oversees arthritis drugs, claimed that the agency's advisory committee had sent a clear message that "simply having another drug on the market . . . didn't seem to be sufficient reason" for approval. But whether or not the advisory committee meant to convey that (and in any case, advisory committee recommendations are not binding), it is specious reasoning—</w:t>
      </w:r>
      <w:r w:rsidRPr="0069550D">
        <w:rPr>
          <w:rStyle w:val="StyleBoldUnderline"/>
        </w:rPr>
        <w:t>and it epitomizes the flawed, anti-innovation decision-making that prevails at FDA and other regulatory agencies</w:t>
      </w:r>
      <w:r w:rsidRPr="0069550D">
        <w:t xml:space="preserve">. </w:t>
      </w:r>
      <w:r w:rsidRPr="0069550D">
        <w:rPr>
          <w:rStyle w:val="StyleBoldUnderline"/>
        </w:rPr>
        <w:t>For several reasons, it may be important to have “another drug on the market" even if it appears from clinical trials data to be no better than the alternatives. First, there are often critical differences between drugs that act through similar mechanisms</w:t>
      </w:r>
      <w:r w:rsidRPr="007D2EE4">
        <w:rPr>
          <w:sz w:val="16"/>
          <w:szCs w:val="16"/>
        </w:rPr>
        <w:t>: Different COX-2 inhibitors and statins, for example, were shown long after the initial approvals to have distinct advantages and disadvantages; depending on a variety of factors, physicians can select one over another. Second, if two drugs are each effective for 40 percent of patients with a given symptom or disease, it may not be clear whether they work for the same 40 percent. Thus, if the drugs are effective in different patient populations, the failure of regulators to approve the second drug could deprive a large number of patients of access to an efficacious drug. At best, practitioners and patients would have fewer choices. Third, a 2006 study by M.I.T. economist Ernst Berndt and his collaborators found that "supplemental," or secondary, approvals of drugs—which include new dosages, formulations, and indications—accounted for substantial use and public health benefits of the drugs. If the drug is not approved because the initial studies do not show superiority to comparators, these later benefits are lost. Finally, in a study published last year, Joseph DiMasi and Laura Faden of the Tufts Center for the Study of Drug Development persuasively debunked the myth that drug companies purposely produce duplicative me-too drugs. They carefully examined drug development patterns and timing and found that the process is best viewed as "a race in which several firms pursue investigational drugs with similar chemical structures or with the same mechanism of action before any drug in the class obtains regulatory marketing approval." In other words</w:t>
      </w:r>
      <w:r w:rsidRPr="0069550D">
        <w:rPr>
          <w:rStyle w:val="StyleBoldUnderline"/>
        </w:rPr>
        <w:t>, companies are not starting out to develop a me-too product any more than a marathon runner starts a race intending to be an also-ran</w:t>
      </w:r>
      <w:r w:rsidRPr="007D2EE4">
        <w:rPr>
          <w:sz w:val="16"/>
          <w:szCs w:val="16"/>
        </w:rPr>
        <w:t xml:space="preserve">. DiMasi and Faden concluded that "the distinctions that are often drawn between the relative innovative value of the development of the first-in-class and the me-too drugs in the same class may be misguided." Other Regulatory Overkill </w:t>
      </w:r>
      <w:r w:rsidRPr="0069550D">
        <w:rPr>
          <w:rStyle w:val="StyleBoldUnderline"/>
        </w:rPr>
        <w:t>Regulatory excesses harm more than just industries and individual companies. The diversion of resources to comply with regulation (useful or not) exerts an “income effect” that shows a correlation between wealth and health</w:t>
      </w:r>
      <w:r w:rsidRPr="007D2EE4">
        <w:rPr>
          <w:sz w:val="16"/>
          <w:szCs w:val="16"/>
        </w:rPr>
        <w:t>, an issue popularized by the late political scientist Aaron Wildavsky. It is no coincidence, he argued, that richer societies have lower mortality rates than poorer ones. To deprive communities of wealth, therefore, is to enhance their health risks. Wildavsky's argument is correct:</w:t>
      </w:r>
      <w:r w:rsidRPr="0069550D">
        <w:rPr>
          <w:rStyle w:val="StyleBoldUnderline"/>
        </w:rPr>
        <w:t xml:space="preserve"> Wealthier individuals are able to purchase better healthcare, enjoy more nutritious diets, and lead generally less stressful lives. Conversely, the deprivation of income itself has adverse health effects</w:t>
      </w:r>
      <w:r w:rsidRPr="007D2EE4">
        <w:rPr>
          <w:sz w:val="16"/>
          <w:szCs w:val="16"/>
        </w:rPr>
        <w:t xml:space="preserve">—for example, an increased incidence of stress-related problems including ulcers, hypertension, heart attacks, depression, and suicides. It is difficult to quantify precisely the relationship between mortality and the deprivation of income, but academic studies suggest as a conservative estimate that every $7.25 million of regulatory costs will induce one additional fatality through this “income effect.” </w:t>
      </w:r>
      <w:r w:rsidRPr="0069550D">
        <w:rPr>
          <w:rStyle w:val="StyleBoldUnderline"/>
        </w:rPr>
        <w:t>The excess costs in the tens of billions of dollars required annually by excessively precautionary regulation for various classes of consumer products would, therefore, be expected to cause thousands of deaths per year.</w:t>
      </w:r>
      <w:r w:rsidRPr="007D2EE4">
        <w:rPr>
          <w:sz w:val="16"/>
          <w:szCs w:val="16"/>
        </w:rPr>
        <w:t xml:space="preserve"> These are the real costs of regulators running amok in the guise of “erring on the side of safety.” </w:t>
      </w:r>
      <w:r w:rsidRPr="0069550D">
        <w:rPr>
          <w:rStyle w:val="StyleBoldUnderline"/>
        </w:rPr>
        <w:t xml:space="preserve">The expression “regulatory overkill” is not merely a figure of speech. Not only have we experienced several years of slow economic growth and job creation but for the third year in </w:t>
      </w:r>
      <w:r w:rsidRPr="0069550D">
        <w:rPr>
          <w:rStyle w:val="StyleBoldUnderline"/>
        </w:rPr>
        <w:lastRenderedPageBreak/>
        <w:t>a row, the United States has slipped in the World Economic Forum's (WEF) annual competitiveness survey</w:t>
      </w:r>
      <w:r w:rsidRPr="007D2EE4">
        <w:rPr>
          <w:sz w:val="16"/>
          <w:szCs w:val="16"/>
        </w:rPr>
        <w:t xml:space="preserve">. </w:t>
      </w:r>
      <w:r w:rsidRPr="0069550D">
        <w:rPr>
          <w:rStyle w:val="StyleBoldUnderline"/>
        </w:rPr>
        <w:t>Obama has too often advanced policies that inhibit innovation, discourage R&amp;D, blunt wealth creation, and kill jobs</w:t>
      </w:r>
      <w:r w:rsidRPr="007D2EE4">
        <w:rPr>
          <w:sz w:val="16"/>
          <w:szCs w:val="16"/>
        </w:rPr>
        <w:t>. If the president were serious about regulatory reform to boost the economic recovery, he would clean house and replace political appointees at the gatekeeper agencies which approve products such as pharmaceuticals, pesticides, and genetically engineered plant varieties.</w:t>
      </w:r>
    </w:p>
    <w:p w:rsidR="0017246A" w:rsidRPr="0069550D" w:rsidRDefault="0017246A" w:rsidP="0017246A">
      <w:pPr>
        <w:pStyle w:val="Heading3"/>
      </w:pPr>
      <w:r w:rsidRPr="0069550D">
        <w:lastRenderedPageBreak/>
        <w:t>IP Solvency</w:t>
      </w:r>
      <w:r>
        <w:t>---2NC</w:t>
      </w:r>
    </w:p>
    <w:p w:rsidR="0017246A" w:rsidRDefault="0017246A" w:rsidP="0017246A">
      <w:pPr>
        <w:pStyle w:val="Heading4"/>
      </w:pPr>
      <w:r w:rsidRPr="00992ECC">
        <w:t xml:space="preserve">Patent reform independently solves the economy </w:t>
      </w:r>
      <w:r>
        <w:t>and innovation</w:t>
      </w:r>
    </w:p>
    <w:p w:rsidR="0017246A" w:rsidRPr="007D2EE4" w:rsidRDefault="0017246A" w:rsidP="0017246A">
      <w:pPr>
        <w:rPr>
          <w:sz w:val="16"/>
          <w:szCs w:val="16"/>
        </w:rPr>
      </w:pPr>
      <w:r w:rsidRPr="007D2EE4">
        <w:rPr>
          <w:rStyle w:val="StyleStyleBold12pt"/>
        </w:rPr>
        <w:t>Black 4/30</w:t>
      </w:r>
      <w:r w:rsidRPr="007D2EE4">
        <w:rPr>
          <w:sz w:val="16"/>
          <w:szCs w:val="16"/>
        </w:rPr>
        <w:t xml:space="preserve"> (Edward J., “Senate's Turn to Act on Patent Reform This Week”, Huffington Post, 4/30/14, http://www.huffingtonpost.com/edward-j-black/senates-turn-to-act-on-patent-reform_b_5232913.html)</w:t>
      </w:r>
    </w:p>
    <w:p w:rsidR="0017246A" w:rsidRDefault="0017246A" w:rsidP="0017246A">
      <w:pPr>
        <w:rPr>
          <w:rStyle w:val="StyleBoldUnderline"/>
        </w:rPr>
      </w:pPr>
      <w:r w:rsidRPr="00992ECC">
        <w:rPr>
          <w:sz w:val="16"/>
          <w:szCs w:val="16"/>
        </w:rPr>
        <w:t xml:space="preserve">As I've </w:t>
      </w:r>
      <w:r w:rsidR="00DA51D8">
        <w:fldChar w:fldCharType="begin"/>
      </w:r>
      <w:r w:rsidR="00DA51D8">
        <w:instrText xml:space="preserve"> HYPERLINK "http://www.huffingtonpost.com/edward-j-black/senate-needs-to-stop-patent-trolls_b_4696466.html" \t "_hplink" </w:instrText>
      </w:r>
      <w:r w:rsidR="00DA51D8">
        <w:fldChar w:fldCharType="separate"/>
      </w:r>
      <w:r w:rsidRPr="00992ECC">
        <w:rPr>
          <w:rStyle w:val="Hyperlink"/>
          <w:sz w:val="16"/>
          <w:szCs w:val="16"/>
        </w:rPr>
        <w:t>written before</w:t>
      </w:r>
      <w:r w:rsidR="00DA51D8">
        <w:rPr>
          <w:rStyle w:val="Hyperlink"/>
          <w:sz w:val="16"/>
          <w:szCs w:val="16"/>
        </w:rPr>
        <w:fldChar w:fldCharType="end"/>
      </w:r>
      <w:r w:rsidRPr="00992ECC">
        <w:rPr>
          <w:sz w:val="16"/>
          <w:szCs w:val="16"/>
        </w:rPr>
        <w:t xml:space="preserve">, </w:t>
      </w:r>
      <w:r w:rsidRPr="007D2EE4">
        <w:rPr>
          <w:rStyle w:val="StyleBoldUnderline"/>
        </w:rPr>
        <w:t xml:space="preserve">patent trolls drain billions of dollars from the U.S. economy every year by exploiting a complex patent system to extort money from thousands of legitimate companies </w:t>
      </w:r>
      <w:r w:rsidRPr="00992ECC">
        <w:rPr>
          <w:sz w:val="16"/>
          <w:szCs w:val="16"/>
        </w:rPr>
        <w:t xml:space="preserve">around the country. The troll business model is as simple as it is malicious: </w:t>
      </w:r>
      <w:r w:rsidRPr="007D2EE4">
        <w:rPr>
          <w:rStyle w:val="StyleBoldUnderline"/>
        </w:rPr>
        <w:t>Because the patent system is heavily weighted towards patent owners, it's easy for a patent troll to mount an infringement suit and it's costly -- often $2-5 million -- for others to defend against it. That means large and small companies alike are willing to pay a troll solely to settle and avoid the time and expense of a protracted legal battle</w:t>
      </w:r>
      <w:r w:rsidRPr="00992ECC">
        <w:rPr>
          <w:sz w:val="16"/>
          <w:szCs w:val="16"/>
        </w:rPr>
        <w:t xml:space="preserve">. Because the costs of being a patent troll are comparatively low, this business model can be extremely profitable, and </w:t>
      </w:r>
      <w:r w:rsidRPr="007D2EE4">
        <w:rPr>
          <w:rStyle w:val="StyleBoldUnderline"/>
        </w:rPr>
        <w:t>more and more companies are starting up for the sole purpose of using patents to extract money from honest businesses</w:t>
      </w:r>
      <w:r w:rsidRPr="00992ECC">
        <w:rPr>
          <w:sz w:val="16"/>
          <w:szCs w:val="16"/>
        </w:rPr>
        <w:t xml:space="preserve">. </w:t>
      </w:r>
      <w:r w:rsidRPr="007D2EE4">
        <w:rPr>
          <w:rStyle w:val="StyleBoldUnderline"/>
        </w:rPr>
        <w:t xml:space="preserve">Nobody is immune to being a patent troll target, and that fact is beginning to drive some innovators away from founding new startups. </w:t>
      </w:r>
      <w:r w:rsidRPr="00992ECC">
        <w:rPr>
          <w:sz w:val="16"/>
          <w:szCs w:val="16"/>
        </w:rPr>
        <w:t xml:space="preserve">President Obama recognizes the problem; he called for patent reform both a year ago and again in his State of the Union address this year. And the House of Representatives has already passed the Innovation Act by an overwhelming bipartisan vote (325-91). Now it's the Senate's turn to act, and the Senate Judiciary Committee has been working long hours on its bill. Just before the Senate left for a two-week recess earlier this month, Chairman Patrick Leahy (D-Vermont) announced a "broad bipartisan agreement" on patent reform. Senator Leahy plans to release the revised bill when the Senate returns. The drafts that have circulated so far include balanced, bipartisan solutions that would address the patent troll problem in a few ways. First, they would require a patent holder to provide basic but important details, most critically what the defendant is actually accused of doing. Under the current law, a patent owner need only identify the patent it's asserting and state that the defendant is infringing, without having to point to anything more specific. This leaves businesses in the frustrating position of having to spend thousands of dollars just to find out what they're being accused of. Second, the drafts also discourage frivolous patent infringement suits by making it easier for those unfairly targeted to obtain an award of fees and expenses. Until now, courts have rarely awarded attorney fees even in meritless cases. And by putting limits on discovery, </w:t>
      </w:r>
      <w:r w:rsidRPr="007D2EE4">
        <w:rPr>
          <w:rStyle w:val="StyleBoldUnderline"/>
        </w:rPr>
        <w:t>the Innovation Act can prevent the trollish tactic of driving up discovery costs as a way to bully defendants into negotiation and settlement. These provisions work together to disincentivize the troll business model of manipulating patent litigation.</w:t>
      </w:r>
    </w:p>
    <w:p w:rsidR="0017246A" w:rsidRDefault="0017246A" w:rsidP="0017246A">
      <w:pPr>
        <w:pStyle w:val="Heading3"/>
      </w:pPr>
      <w:r>
        <w:lastRenderedPageBreak/>
        <w:t>FDA Solvency---2NC</w:t>
      </w:r>
    </w:p>
    <w:p w:rsidR="0017246A" w:rsidRPr="0069550D" w:rsidRDefault="0017246A" w:rsidP="0017246A">
      <w:pPr>
        <w:pStyle w:val="Heading4"/>
      </w:pPr>
      <w:r w:rsidRPr="0069550D">
        <w:t>F</w:t>
      </w:r>
      <w:r>
        <w:t>ederal Drug Administration</w:t>
      </w:r>
      <w:r w:rsidRPr="0069550D">
        <w:t xml:space="preserve"> reform solves – key to combat disease in time and increase GDP</w:t>
      </w:r>
    </w:p>
    <w:p w:rsidR="0017246A" w:rsidRPr="0069550D" w:rsidRDefault="0017246A" w:rsidP="0017246A">
      <w:pPr>
        <w:rPr>
          <w:sz w:val="16"/>
          <w:szCs w:val="16"/>
        </w:rPr>
      </w:pPr>
      <w:r w:rsidRPr="0069550D">
        <w:rPr>
          <w:rStyle w:val="StyleStyleBold12pt"/>
        </w:rPr>
        <w:t>Philipson and Von Eschenbach 13</w:t>
      </w:r>
      <w:r w:rsidRPr="0069550D">
        <w:rPr>
          <w:sz w:val="16"/>
          <w:szCs w:val="16"/>
        </w:rPr>
        <w:t xml:space="preserve"> (Tomas J. and Andrew, “FDA Reform Can Lift U.S. Economy”, Bloomberg View, 2/28/13, http://www.bloombergview.com/articles/2013-02-28/fda-reform-can-lift-u-s-economy)</w:t>
      </w:r>
    </w:p>
    <w:p w:rsidR="0017246A" w:rsidRPr="0069550D" w:rsidRDefault="0017246A" w:rsidP="0017246A">
      <w:pPr>
        <w:rPr>
          <w:sz w:val="16"/>
          <w:szCs w:val="16"/>
        </w:rPr>
      </w:pPr>
      <w:r w:rsidRPr="0069550D">
        <w:rPr>
          <w:rStyle w:val="StyleBoldUnderline"/>
        </w:rPr>
        <w:t>Without a growing economy that creates more high-paying jobs</w:t>
      </w:r>
      <w:r w:rsidRPr="0069550D">
        <w:rPr>
          <w:sz w:val="16"/>
          <w:szCs w:val="16"/>
        </w:rPr>
        <w:t xml:space="preserve">, both President </w:t>
      </w:r>
      <w:hyperlink r:id="rId48" w:tooltip="search_news_link" w:history="1">
        <w:r w:rsidRPr="0069550D">
          <w:rPr>
            <w:rStyle w:val="StyleBoldUnderline"/>
          </w:rPr>
          <w:t>Barack Obama</w:t>
        </w:r>
      </w:hyperlink>
      <w:r w:rsidRPr="0069550D">
        <w:rPr>
          <w:rStyle w:val="StyleBoldUnderline"/>
        </w:rPr>
        <w:t xml:space="preserve"> and congressional Republicans face the unpalatable prospect of much higher taxes or reductions to popular programs</w:t>
      </w:r>
      <w:r w:rsidRPr="0069550D">
        <w:rPr>
          <w:sz w:val="16"/>
          <w:szCs w:val="16"/>
        </w:rPr>
        <w:t xml:space="preserve"> (or both). </w:t>
      </w:r>
      <w:r w:rsidRPr="0069550D">
        <w:rPr>
          <w:rStyle w:val="StyleBoldUnderline"/>
        </w:rPr>
        <w:t>Growth is the best way to cut this Gordian knot. One place to start is by lowering unnecessary barriers facing innovative U.S. companies</w:t>
      </w:r>
      <w:r w:rsidRPr="0069550D">
        <w:rPr>
          <w:sz w:val="16"/>
          <w:szCs w:val="16"/>
        </w:rPr>
        <w:t xml:space="preserve"> that are trying to bring new products to market, </w:t>
      </w:r>
      <w:r w:rsidRPr="0069550D">
        <w:rPr>
          <w:rStyle w:val="StyleBoldUnderline"/>
        </w:rPr>
        <w:t>particularly in the biopharmaceutical sector</w:t>
      </w:r>
      <w:r w:rsidRPr="0069550D">
        <w:rPr>
          <w:sz w:val="16"/>
          <w:szCs w:val="16"/>
        </w:rPr>
        <w:t xml:space="preserve">. Less sensitive to the business cycle, </w:t>
      </w:r>
      <w:r w:rsidRPr="0069550D">
        <w:rPr>
          <w:rStyle w:val="StyleBoldUnderline"/>
        </w:rPr>
        <w:t>with jobs that pay about double the average private-sector salary, biopharma is a leading U.S. exporter</w:t>
      </w:r>
      <w:r w:rsidRPr="0069550D">
        <w:rPr>
          <w:sz w:val="16"/>
          <w:szCs w:val="16"/>
        </w:rPr>
        <w:t xml:space="preserve">. Both Democrats and </w:t>
      </w:r>
      <w:hyperlink r:id="rId49" w:tooltip="open_website_link" w:history="1">
        <w:r w:rsidRPr="0069550D">
          <w:rPr>
            <w:rStyle w:val="Hyperlink"/>
            <w:sz w:val="16"/>
            <w:szCs w:val="16"/>
          </w:rPr>
          <w:t>Republicans</w:t>
        </w:r>
      </w:hyperlink>
      <w:r w:rsidRPr="0069550D">
        <w:rPr>
          <w:sz w:val="16"/>
          <w:szCs w:val="16"/>
        </w:rPr>
        <w:t xml:space="preserve"> know that </w:t>
      </w:r>
      <w:r w:rsidRPr="0069550D">
        <w:rPr>
          <w:rStyle w:val="StyleBoldUnderline"/>
        </w:rPr>
        <w:t>excessive regulation is slowing innovation in the industry</w:t>
      </w:r>
      <w:r w:rsidRPr="0069550D">
        <w:rPr>
          <w:sz w:val="16"/>
          <w:szCs w:val="16"/>
        </w:rPr>
        <w:t xml:space="preserve">. Shortly before the 2012 election, the </w:t>
      </w:r>
      <w:hyperlink r:id="rId50" w:tooltip="open_website_link" w:history="1">
        <w:r w:rsidRPr="0069550D">
          <w:rPr>
            <w:rStyle w:val="Hyperlink"/>
            <w:sz w:val="16"/>
            <w:szCs w:val="16"/>
          </w:rPr>
          <w:t>President’s Council</w:t>
        </w:r>
      </w:hyperlink>
      <w:r w:rsidRPr="0069550D">
        <w:rPr>
          <w:sz w:val="16"/>
          <w:szCs w:val="16"/>
        </w:rPr>
        <w:t xml:space="preserve"> of Advisors on Science and Technology released a report, which received bipartisan praise, asserting “broad agreement that our current clinical trials system is inefficient.” </w:t>
      </w:r>
      <w:r w:rsidRPr="0069550D">
        <w:rPr>
          <w:rStyle w:val="StyleBoldUnderline"/>
        </w:rPr>
        <w:t xml:space="preserve">One inefficiency the report identifies is outdated regulation. The inability of the </w:t>
      </w:r>
      <w:hyperlink r:id="rId51" w:tooltip="open_website_link" w:history="1">
        <w:r w:rsidRPr="0069550D">
          <w:rPr>
            <w:rStyle w:val="StyleBoldUnderline"/>
          </w:rPr>
          <w:t>Food and Drug Administration</w:t>
        </w:r>
      </w:hyperlink>
      <w:r w:rsidRPr="0069550D">
        <w:rPr>
          <w:rStyle w:val="StyleBoldUnderline"/>
        </w:rPr>
        <w:t xml:space="preserve"> to keep pace with changes in medical science threatens both economic prosperity and public health.</w:t>
      </w:r>
      <w:r w:rsidRPr="0069550D">
        <w:rPr>
          <w:sz w:val="16"/>
          <w:szCs w:val="16"/>
        </w:rPr>
        <w:t xml:space="preserve"> </w:t>
      </w:r>
      <w:r w:rsidRPr="0069550D">
        <w:rPr>
          <w:rStyle w:val="StyleBoldUnderline"/>
        </w:rPr>
        <w:t>The drug-approval process is glacial: It takes about 12 years and $1.2 billion to develop a single new drug</w:t>
      </w:r>
      <w:r w:rsidRPr="0069550D">
        <w:rPr>
          <w:sz w:val="16"/>
          <w:szCs w:val="16"/>
        </w:rPr>
        <w:t xml:space="preserve"> that is approved by the FDA. </w:t>
      </w:r>
      <w:r w:rsidRPr="0069550D">
        <w:rPr>
          <w:rStyle w:val="StyleBoldUnderline"/>
        </w:rPr>
        <w:t>The council’s report establishes an ambitious, yet reachable, national goal: doubling the current annual output of new medicines for patients. We believe existing evidence suggests this goal can be met by altering the FDA’s onerous clinical-trial requirements</w:t>
      </w:r>
      <w:r w:rsidRPr="0069550D">
        <w:rPr>
          <w:sz w:val="16"/>
          <w:szCs w:val="16"/>
        </w:rPr>
        <w:t xml:space="preserve">. CLINICAL TRIALS The FDA </w:t>
      </w:r>
      <w:hyperlink r:id="rId52" w:tooltip="open_website_link" w:history="1">
        <w:r w:rsidRPr="0069550D">
          <w:rPr>
            <w:rStyle w:val="Hyperlink"/>
            <w:sz w:val="16"/>
            <w:szCs w:val="16"/>
          </w:rPr>
          <w:t>regulates</w:t>
        </w:r>
      </w:hyperlink>
      <w:r w:rsidRPr="0069550D">
        <w:rPr>
          <w:sz w:val="16"/>
          <w:szCs w:val="16"/>
        </w:rPr>
        <w:t xml:space="preserve"> the quality and safety of medical products, only granting marketing approval after increasingly laborious, expensive, three-phase clinical trials. Phase 1 trials involve a few dozen patients and focus on safety; Phase 2 trials are larger and look for evidence on optimal dosage and effectiveness; Phase 3 trials are focused exclusively on effectiveness. </w:t>
      </w:r>
      <w:r w:rsidRPr="0069550D">
        <w:rPr>
          <w:rStyle w:val="StyleBoldUnderline"/>
        </w:rPr>
        <w:t xml:space="preserve">Clinical trials </w:t>
      </w:r>
      <w:hyperlink r:id="rId53" w:tooltip="open_website_link" w:history="1">
        <w:r w:rsidRPr="0069550D">
          <w:rPr>
            <w:rStyle w:val="StyleBoldUnderline"/>
          </w:rPr>
          <w:t>account</w:t>
        </w:r>
      </w:hyperlink>
      <w:r w:rsidRPr="0069550D">
        <w:rPr>
          <w:rStyle w:val="StyleBoldUnderline"/>
        </w:rPr>
        <w:t xml:space="preserve"> for a large share of industry research and development costs, with Phase 3 trials accounting for about 25 percent and requiring (on average) three years for completion</w:t>
      </w:r>
      <w:r w:rsidRPr="0069550D">
        <w:rPr>
          <w:sz w:val="16"/>
          <w:szCs w:val="16"/>
        </w:rPr>
        <w:t xml:space="preserve">. Manufacturers that are obliged to satisfy shareholders and stay financially viable may choose not to take promising products into the prolonged Phase 3 process, often called “the valley of death.” For medicines that make it to market, the long process delays sales and shortens effective patent life, severely damping the industry’s incentive to invest in new treatments. These Phase 3 clinical trials served us well in the past. </w:t>
      </w:r>
      <w:r w:rsidRPr="0069550D">
        <w:rPr>
          <w:rStyle w:val="StyleBoldUnderline"/>
        </w:rPr>
        <w:t xml:space="preserve">Today, in an era of precision or personalized-drug development, when medicines increasingly work for very specific patient groups, the system may be causing </w:t>
      </w:r>
      <w:hyperlink r:id="rId54" w:tooltip="open_website_link" w:history="1">
        <w:r w:rsidRPr="0069550D">
          <w:rPr>
            <w:rStyle w:val="StyleBoldUnderline"/>
          </w:rPr>
          <w:t>more harm</w:t>
        </w:r>
      </w:hyperlink>
      <w:r w:rsidRPr="0069550D">
        <w:rPr>
          <w:rStyle w:val="StyleBoldUnderline"/>
        </w:rPr>
        <w:t xml:space="preserve"> than good</w:t>
      </w:r>
      <w:r w:rsidRPr="0069550D">
        <w:rPr>
          <w:sz w:val="16"/>
          <w:szCs w:val="16"/>
        </w:rPr>
        <w:t xml:space="preserve"> for several reasons. First, because of their restrictive design and the way the FDA interprets their results, </w:t>
      </w:r>
      <w:r w:rsidRPr="0069550D">
        <w:rPr>
          <w:rStyle w:val="StyleBoldUnderline"/>
        </w:rPr>
        <w:t>Phase 3 trials often fail to recognize the unique benefits that medicines can offer to smaller groups of patients than those required in trials. Second, information technologies have created improvements in our ability to monitor and improve product performance and safety after medicines are approved for sale. Post-market surveillance can and should reduce dependence on pre-market drug screening in Phase 3 trials. T</w:t>
      </w:r>
      <w:r w:rsidRPr="0069550D">
        <w:rPr>
          <w:sz w:val="16"/>
          <w:szCs w:val="16"/>
        </w:rPr>
        <w:t xml:space="preserve">hird, reducing reliance on Phase 3 trials is unlikely to introduce an offsetting harm induced by more dangerous drugs, since </w:t>
      </w:r>
      <w:hyperlink r:id="rId55" w:tooltip="open_website_link" w:history="1">
        <w:r w:rsidRPr="0069550D">
          <w:rPr>
            <w:rStyle w:val="Hyperlink"/>
            <w:sz w:val="16"/>
            <w:szCs w:val="16"/>
          </w:rPr>
          <w:t>evidence</w:t>
        </w:r>
      </w:hyperlink>
      <w:r>
        <w:rPr>
          <w:sz w:val="16"/>
          <w:szCs w:val="16"/>
        </w:rPr>
        <w:t xml:space="preserve"> </w:t>
      </w:r>
      <w:r w:rsidRPr="0069550D">
        <w:rPr>
          <w:sz w:val="16"/>
          <w:szCs w:val="16"/>
        </w:rPr>
        <w:t xml:space="preserve">supporting safety is produced in earlier phases. </w:t>
      </w:r>
      <w:r w:rsidRPr="0069550D">
        <w:rPr>
          <w:rStyle w:val="StyleBoldUnderline"/>
        </w:rPr>
        <w:t>Manufacturers</w:t>
      </w:r>
      <w:r w:rsidRPr="0069550D">
        <w:rPr>
          <w:sz w:val="16"/>
          <w:szCs w:val="16"/>
        </w:rPr>
        <w:t xml:space="preserve"> also </w:t>
      </w:r>
      <w:r w:rsidRPr="0069550D">
        <w:rPr>
          <w:rStyle w:val="StyleBoldUnderline"/>
        </w:rPr>
        <w:t>have powerful incentives to maintain drug safety, since they take enormous financial hits -- well beyond the loss of sales -- when drugs are withdrawn after approval</w:t>
      </w:r>
      <w:r w:rsidRPr="0069550D">
        <w:rPr>
          <w:sz w:val="16"/>
          <w:szCs w:val="16"/>
        </w:rPr>
        <w:t xml:space="preserve">. GLOBAL PRESSURE Finally, enormous global pressures for cost control have insurers demanding real-world evidence about product quality and effectiveness. For example, under the cost-sharing agreements in effect in many European countries, payers reimburse drug companies only if patients respond to therapy. Such arrangements provide an alternative to Phase 3 effectiveness trials after safety and baseline efficacy have been established in earlier phases. Reducing Phase 3 requirements would be particularly effective for some chronic diseases such as obesity, where options are often few, and the FDA typically requires large Phase 3 trials to catch rare side effects (which patients often are willing to endure anyway). Before July 2012, the FDA hadn’t approved any new obesity drugs in 13 years, after serious heart-valve problems with an earlier approved drug, </w:t>
      </w:r>
      <w:hyperlink r:id="rId56" w:tooltip="open_website_link" w:history="1">
        <w:r w:rsidRPr="0069550D">
          <w:rPr>
            <w:rStyle w:val="Hyperlink"/>
            <w:sz w:val="16"/>
            <w:szCs w:val="16"/>
          </w:rPr>
          <w:t>Fen-Phen</w:t>
        </w:r>
      </w:hyperlink>
      <w:r w:rsidRPr="0069550D">
        <w:rPr>
          <w:sz w:val="16"/>
          <w:szCs w:val="16"/>
        </w:rPr>
        <w:t>, led the agency to pull the drug in 1997. Afterward, the agency remained extremely wary of new obesity medicines. One new drug approved by the agency, Qsymia, is a combination of two older generic drugs. Still, the FDA required the drug’s maker,</w:t>
      </w:r>
      <w:hyperlink r:id="rId57" w:tooltip="get_quote_link" w:history="1">
        <w:r w:rsidRPr="0069550D">
          <w:rPr>
            <w:rStyle w:val="Hyperlink"/>
            <w:sz w:val="16"/>
            <w:szCs w:val="16"/>
          </w:rPr>
          <w:t>Vivus Inc.</w:t>
        </w:r>
      </w:hyperlink>
      <w:r w:rsidRPr="0069550D">
        <w:rPr>
          <w:sz w:val="16"/>
          <w:szCs w:val="16"/>
        </w:rPr>
        <w:t xml:space="preserve">, to conduct large Phase 3 clinical trials and agree to 10 post-marketing requirements, including a long-term study on heart safety. Under our proposed system, the drug could have come to market after promising early-stage research in targeted patients, with appropriate post-marketing studies required. Payers and patients would be the ultimate judge about the quality of the product, and companies could learn from the experience to develop superior products if needed. Companies would still be liable for unforeseen side effects, but patients and doctors would be warned -- through the drug’s labeling -- that the product had been approved based on promising but provisional research. </w:t>
      </w:r>
      <w:r w:rsidRPr="0069550D">
        <w:rPr>
          <w:rStyle w:val="StyleBoldUnderline"/>
        </w:rPr>
        <w:t xml:space="preserve">Gradually replacing or reducing dependence on Phase 3 trials with smaller, faster adaptive trials and post-market surveillance would have a positive impact on medical innovation </w:t>
      </w:r>
      <w:r w:rsidRPr="0069550D">
        <w:rPr>
          <w:rStyle w:val="StyleBoldUnderline"/>
        </w:rPr>
        <w:lastRenderedPageBreak/>
        <w:t>and the U.S. economy -- and meet the council’s goal of doubling medical innovation</w:t>
      </w:r>
      <w:r w:rsidRPr="0069550D">
        <w:rPr>
          <w:sz w:val="16"/>
          <w:szCs w:val="16"/>
        </w:rPr>
        <w:t xml:space="preserve">. FASTER APPROVALS Here’s how: consider that the profit margins for innovative drug development are about 10 percent greater than their costs. Based on data from the widely cited </w:t>
      </w:r>
      <w:hyperlink r:id="rId58" w:tooltip="open_website_link" w:history="1">
        <w:r w:rsidRPr="0069550D">
          <w:rPr>
            <w:rStyle w:val="Hyperlink"/>
            <w:sz w:val="16"/>
            <w:szCs w:val="16"/>
          </w:rPr>
          <w:t>Tufts Center for the Study of Drug Development</w:t>
        </w:r>
      </w:hyperlink>
      <w:r w:rsidRPr="0069550D">
        <w:rPr>
          <w:sz w:val="16"/>
          <w:szCs w:val="16"/>
        </w:rPr>
        <w:t xml:space="preserve">, doing away with Phase 3 trials would reduce development costs by 25 percent. Doing the arithmetic, </w:t>
      </w:r>
      <w:r w:rsidRPr="0069550D">
        <w:rPr>
          <w:rStyle w:val="StyleBoldUnderline"/>
        </w:rPr>
        <w:t>if the profit margin was 10 percent before, lowering costs by 25 percent increases the profit margin to 47 percent above costs. In the absence of Phase 3 trials, revenue would start coming in about three years earlier. This raises the present value of revenue by about an additional 10 percent, boosting returns further -- to about 60 percent more than development costs</w:t>
      </w:r>
      <w:r w:rsidRPr="0069550D">
        <w:rPr>
          <w:sz w:val="16"/>
          <w:szCs w:val="16"/>
        </w:rPr>
        <w:t xml:space="preserve">. A </w:t>
      </w:r>
      <w:hyperlink r:id="rId59" w:tooltip="open_website_link" w:history="1">
        <w:r w:rsidRPr="0069550D">
          <w:rPr>
            <w:rStyle w:val="Hyperlink"/>
            <w:sz w:val="16"/>
            <w:szCs w:val="16"/>
          </w:rPr>
          <w:t>study</w:t>
        </w:r>
      </w:hyperlink>
      <w:r w:rsidRPr="0069550D">
        <w:rPr>
          <w:sz w:val="16"/>
          <w:szCs w:val="16"/>
        </w:rPr>
        <w:t xml:space="preserve"> by the economist </w:t>
      </w:r>
      <w:hyperlink r:id="rId60" w:tooltip="search_news_link" w:history="1">
        <w:r w:rsidRPr="0069550D">
          <w:rPr>
            <w:rStyle w:val="Hyperlink"/>
            <w:sz w:val="16"/>
            <w:szCs w:val="16"/>
          </w:rPr>
          <w:t>Daron Acemoglu</w:t>
        </w:r>
      </w:hyperlink>
      <w:r w:rsidRPr="0069550D">
        <w:rPr>
          <w:sz w:val="16"/>
          <w:szCs w:val="16"/>
        </w:rPr>
        <w:t xml:space="preserve"> of the Massachusetts Institute of Technology and other research suggest that a 1 percent increase in innovative returns would raise the number of new products introduced by at least 4 percent. Boosting returns to 60 percent, then, implies a 240 percent gain in new products. </w:t>
      </w:r>
      <w:r w:rsidRPr="0069550D">
        <w:rPr>
          <w:rStyle w:val="StyleBoldUnderline"/>
        </w:rPr>
        <w:t>Even if we assume a much more conservative effect -- say, less than half of that -- the increase in new products would be 100 percent, doubling medical innovation</w:t>
      </w:r>
      <w:r w:rsidRPr="0069550D">
        <w:rPr>
          <w:sz w:val="16"/>
          <w:szCs w:val="16"/>
        </w:rPr>
        <w:t xml:space="preserve">. The benefits to patients and the economy from this innovative surge would probably be enormous. </w:t>
      </w:r>
      <w:r w:rsidRPr="0069550D">
        <w:rPr>
          <w:rStyle w:val="StyleBoldUnderline"/>
        </w:rPr>
        <w:t>The U.S. biopharmaceutical industry makes up about 2 percent of the national economy. Existing evidence</w:t>
      </w:r>
      <w:r w:rsidRPr="0069550D">
        <w:rPr>
          <w:sz w:val="16"/>
          <w:szCs w:val="16"/>
        </w:rPr>
        <w:t xml:space="preserve">, gathered across diverse drug classes that treat HIV, cancer and cardiovascular disease, </w:t>
      </w:r>
      <w:r w:rsidRPr="0069550D">
        <w:rPr>
          <w:rStyle w:val="StyleBoldUnderline"/>
        </w:rPr>
        <w:t>suggests that the gain to patients beyond the sales of treatments</w:t>
      </w:r>
      <w:r w:rsidRPr="0069550D">
        <w:rPr>
          <w:sz w:val="16"/>
          <w:szCs w:val="16"/>
        </w:rPr>
        <w:t xml:space="preserve"> (what economists call “consumer surplus”) </w:t>
      </w:r>
      <w:r w:rsidRPr="0069550D">
        <w:rPr>
          <w:rStyle w:val="StyleBoldUnderline"/>
        </w:rPr>
        <w:t>ranges from five to nine times the sales. That is, patients gain more in health and longevity than they pay for their treatments</w:t>
      </w:r>
      <w:r w:rsidRPr="0069550D">
        <w:rPr>
          <w:sz w:val="16"/>
          <w:szCs w:val="16"/>
        </w:rPr>
        <w:t xml:space="preserve">. Thus, </w:t>
      </w:r>
      <w:r w:rsidRPr="0069550D">
        <w:rPr>
          <w:rStyle w:val="StyleBoldUnderline"/>
        </w:rPr>
        <w:t>the value to patients from doubling an industry that is 2 percent of gross domestic product would range from 10 percent to 18 percent of GDP</w:t>
      </w:r>
      <w:r w:rsidRPr="0069550D">
        <w:rPr>
          <w:sz w:val="16"/>
          <w:szCs w:val="16"/>
        </w:rPr>
        <w:t xml:space="preserve">. Examining peer-reviewed research on how costs and profits affect innovation, as we have done, suggests very large patient benefits from reducing the burden of Phase 3 requirements. </w:t>
      </w:r>
      <w:r w:rsidRPr="0069550D">
        <w:rPr>
          <w:rStyle w:val="StyleBoldUnderline"/>
        </w:rPr>
        <w:t xml:space="preserve">Doubling innovation, to reach the presidential council’s goal and adding value on par with a tenth of GDP, is thus entirely feasible. It would promote economic growth and pay huge dividends in better health for millions of patients. </w:t>
      </w:r>
      <w:r w:rsidRPr="0069550D">
        <w:rPr>
          <w:sz w:val="16"/>
          <w:szCs w:val="16"/>
        </w:rPr>
        <w:t>What’s needed is the courage in the White House and Congress to make the necessary changes.</w:t>
      </w:r>
    </w:p>
    <w:p w:rsidR="0017246A" w:rsidRPr="00992ECC" w:rsidRDefault="0017246A" w:rsidP="0017246A">
      <w:pPr>
        <w:rPr>
          <w:sz w:val="16"/>
          <w:szCs w:val="16"/>
        </w:rPr>
      </w:pPr>
    </w:p>
    <w:p w:rsidR="0017246A" w:rsidRPr="00992ECC" w:rsidRDefault="0017246A" w:rsidP="0017246A">
      <w:pPr>
        <w:rPr>
          <w:rStyle w:val="StyleBoldUnderline"/>
        </w:rPr>
      </w:pPr>
    </w:p>
    <w:p w:rsidR="000757CC" w:rsidRDefault="000757CC" w:rsidP="000757CC">
      <w:pPr>
        <w:pStyle w:val="Heading2"/>
      </w:pPr>
      <w:r>
        <w:lastRenderedPageBreak/>
        <w:t>Science Leadership Adv CP</w:t>
      </w:r>
    </w:p>
    <w:p w:rsidR="000757CC" w:rsidRDefault="000757CC" w:rsidP="000757CC">
      <w:pPr>
        <w:pStyle w:val="Heading3"/>
      </w:pPr>
      <w:r>
        <w:lastRenderedPageBreak/>
        <w:t xml:space="preserve">PCAST </w:t>
      </w:r>
      <w:r w:rsidR="007C6AC9">
        <w:t>CP---1NC</w:t>
      </w:r>
    </w:p>
    <w:p w:rsidR="000757CC" w:rsidRPr="00077AA0" w:rsidRDefault="000757CC" w:rsidP="000757CC"/>
    <w:p w:rsidR="000757CC" w:rsidRPr="00077AA0" w:rsidRDefault="000757CC" w:rsidP="000757CC">
      <w:pPr>
        <w:rPr>
          <w:b/>
          <w:sz w:val="24"/>
          <w:szCs w:val="24"/>
        </w:rPr>
      </w:pPr>
      <w:r w:rsidRPr="00077AA0">
        <w:rPr>
          <w:b/>
          <w:sz w:val="24"/>
          <w:szCs w:val="24"/>
        </w:rPr>
        <w:t>CP text: the United States federal government should:</w:t>
      </w:r>
    </w:p>
    <w:p w:rsidR="000757CC" w:rsidRPr="00077AA0" w:rsidRDefault="000757CC" w:rsidP="000757CC">
      <w:pPr>
        <w:rPr>
          <w:b/>
          <w:sz w:val="24"/>
          <w:szCs w:val="24"/>
        </w:rPr>
      </w:pPr>
      <w:r w:rsidRPr="00077AA0">
        <w:rPr>
          <w:b/>
          <w:sz w:val="24"/>
          <w:szCs w:val="24"/>
        </w:rPr>
        <w:t>-</w:t>
      </w:r>
      <w:r>
        <w:rPr>
          <w:b/>
          <w:sz w:val="24"/>
          <w:szCs w:val="24"/>
        </w:rPr>
        <w:t>-</w:t>
      </w:r>
      <w:r w:rsidRPr="00077AA0">
        <w:rPr>
          <w:b/>
          <w:sz w:val="24"/>
          <w:szCs w:val="24"/>
        </w:rPr>
        <w:t>provide funding for training teachers in STEM areas</w:t>
      </w:r>
    </w:p>
    <w:p w:rsidR="000757CC" w:rsidRPr="00077AA0" w:rsidRDefault="000757CC" w:rsidP="000757CC">
      <w:pPr>
        <w:rPr>
          <w:b/>
          <w:sz w:val="24"/>
          <w:szCs w:val="24"/>
        </w:rPr>
      </w:pPr>
      <w:r w:rsidRPr="00077AA0">
        <w:rPr>
          <w:b/>
          <w:sz w:val="24"/>
          <w:szCs w:val="24"/>
        </w:rPr>
        <w:t>-</w:t>
      </w:r>
      <w:r>
        <w:rPr>
          <w:b/>
          <w:sz w:val="24"/>
          <w:szCs w:val="24"/>
        </w:rPr>
        <w:t>-</w:t>
      </w:r>
      <w:r w:rsidRPr="00077AA0">
        <w:rPr>
          <w:b/>
          <w:sz w:val="24"/>
          <w:szCs w:val="24"/>
        </w:rPr>
        <w:t>provide support for discovery-based science courses</w:t>
      </w:r>
    </w:p>
    <w:p w:rsidR="000757CC" w:rsidRPr="00077AA0" w:rsidRDefault="000757CC" w:rsidP="000757CC">
      <w:pPr>
        <w:rPr>
          <w:b/>
          <w:sz w:val="24"/>
          <w:szCs w:val="24"/>
        </w:rPr>
      </w:pPr>
      <w:r w:rsidRPr="00077AA0">
        <w:rPr>
          <w:b/>
          <w:sz w:val="24"/>
          <w:szCs w:val="24"/>
        </w:rPr>
        <w:t>-</w:t>
      </w:r>
      <w:r>
        <w:rPr>
          <w:b/>
          <w:sz w:val="24"/>
          <w:szCs w:val="24"/>
        </w:rPr>
        <w:t>-</w:t>
      </w:r>
      <w:r w:rsidRPr="00077AA0">
        <w:rPr>
          <w:b/>
          <w:sz w:val="24"/>
          <w:szCs w:val="24"/>
        </w:rPr>
        <w:t>launch a national experiment in postsecondary math education</w:t>
      </w:r>
    </w:p>
    <w:p w:rsidR="000757CC" w:rsidRDefault="000757CC" w:rsidP="000757CC">
      <w:pPr>
        <w:rPr>
          <w:b/>
          <w:sz w:val="24"/>
          <w:szCs w:val="24"/>
        </w:rPr>
      </w:pPr>
      <w:r w:rsidRPr="00077AA0">
        <w:rPr>
          <w:b/>
          <w:sz w:val="24"/>
          <w:szCs w:val="24"/>
        </w:rPr>
        <w:t>-</w:t>
      </w:r>
      <w:r>
        <w:rPr>
          <w:b/>
          <w:sz w:val="24"/>
          <w:szCs w:val="24"/>
        </w:rPr>
        <w:t>-</w:t>
      </w:r>
      <w:r w:rsidRPr="00077AA0">
        <w:rPr>
          <w:b/>
          <w:sz w:val="24"/>
          <w:szCs w:val="24"/>
        </w:rPr>
        <w:t>create a Presidential Council on STEM education</w:t>
      </w:r>
    </w:p>
    <w:p w:rsidR="000757CC" w:rsidRPr="00077AA0" w:rsidRDefault="000757CC" w:rsidP="000757CC">
      <w:pPr>
        <w:rPr>
          <w:b/>
          <w:sz w:val="24"/>
          <w:szCs w:val="24"/>
        </w:rPr>
      </w:pPr>
    </w:p>
    <w:p w:rsidR="000757CC" w:rsidRPr="00077AA0" w:rsidRDefault="000757CC" w:rsidP="000757CC">
      <w:pPr>
        <w:pStyle w:val="Heading4"/>
      </w:pPr>
      <w:r w:rsidRPr="00077AA0">
        <w:t>Adopting educational STEM reform solves – key to increasing numbers of STEM graduates, enthusiasm is not enough</w:t>
      </w:r>
    </w:p>
    <w:p w:rsidR="000757CC" w:rsidRPr="00077AA0" w:rsidRDefault="000757CC" w:rsidP="000757CC">
      <w:pPr>
        <w:rPr>
          <w:sz w:val="16"/>
          <w:szCs w:val="16"/>
        </w:rPr>
      </w:pPr>
      <w:r w:rsidRPr="00077AA0">
        <w:rPr>
          <w:rStyle w:val="StyleStyleBold12pt"/>
        </w:rPr>
        <w:t>AERA 12</w:t>
      </w:r>
      <w:r w:rsidRPr="00077AA0">
        <w:rPr>
          <w:sz w:val="16"/>
          <w:szCs w:val="16"/>
        </w:rPr>
        <w:t xml:space="preserve"> (American Educational Research Association, “PCAST Report Recommends Action to Increase Number of STEM Graduates”, February 2012, http://www.aera.net/Newsroom/AERAHighlightsE-newsletter/AERAHighlightsArchivalIssues/AERAHighlightsFebruary2012/PCASTReportRecommendsActiontoIncreaseNumber/tabid/12598/Default.aspx)</w:t>
      </w:r>
    </w:p>
    <w:p w:rsidR="000757CC" w:rsidRPr="00077AA0" w:rsidRDefault="000757CC" w:rsidP="000757CC">
      <w:pPr>
        <w:rPr>
          <w:rStyle w:val="StyleBoldUnderline"/>
        </w:rPr>
      </w:pPr>
      <w:r w:rsidRPr="00077AA0">
        <w:rPr>
          <w:rStyle w:val="StyleBoldUnderline"/>
        </w:rPr>
        <w:t>The President’s Council of Advisors on Science and Technology (PCAST) issued a report on February 7 with five recommendations to President Obama to</w:t>
      </w:r>
      <w:r w:rsidRPr="00077AA0">
        <w:rPr>
          <w:sz w:val="16"/>
          <w:szCs w:val="16"/>
        </w:rPr>
        <w:t xml:space="preserve"> </w:t>
      </w:r>
      <w:r w:rsidRPr="00077AA0">
        <w:rPr>
          <w:rStyle w:val="StyleBoldUnderline"/>
        </w:rPr>
        <w:t>increase the number of STEM graduates by one million in the next decade to meet projected employment needs</w:t>
      </w:r>
      <w:r w:rsidRPr="00077AA0">
        <w:rPr>
          <w:sz w:val="16"/>
          <w:szCs w:val="16"/>
        </w:rPr>
        <w:t xml:space="preserve">. These graduates would fill not only traditional STEM jobs but also “STEM-capable” jobs, or non-STEM positions that require STEM skills. </w:t>
      </w:r>
      <w:r w:rsidRPr="00077AA0">
        <w:rPr>
          <w:rStyle w:val="StyleBoldUnderline"/>
        </w:rPr>
        <w:t>The report</w:t>
      </w:r>
      <w:r w:rsidRPr="00077AA0">
        <w:rPr>
          <w:sz w:val="16"/>
          <w:szCs w:val="16"/>
        </w:rPr>
        <w:t xml:space="preserve">, Engage to Excel, </w:t>
      </w:r>
      <w:r w:rsidRPr="00077AA0">
        <w:rPr>
          <w:rStyle w:val="StyleBoldUnderline"/>
        </w:rPr>
        <w:t>focuses on the first two years of postsecondary education, wherein nearly 60% of students intending to graduate with a STEM degree switch to a non-STEM major</w:t>
      </w:r>
      <w:r w:rsidRPr="00077AA0">
        <w:rPr>
          <w:sz w:val="16"/>
          <w:szCs w:val="16"/>
        </w:rPr>
        <w:t xml:space="preserve">. </w:t>
      </w:r>
      <w:r w:rsidRPr="00077AA0">
        <w:rPr>
          <w:rStyle w:val="StyleBoldUnderline"/>
        </w:rPr>
        <w:t>Decreasing this</w:t>
      </w:r>
      <w:r w:rsidRPr="00077AA0">
        <w:rPr>
          <w:sz w:val="16"/>
          <w:szCs w:val="16"/>
        </w:rPr>
        <w:t xml:space="preserve"> percentage </w:t>
      </w:r>
      <w:r w:rsidRPr="00077AA0">
        <w:rPr>
          <w:rStyle w:val="StyleBoldUnderline"/>
        </w:rPr>
        <w:t>by 10 percentage points</w:t>
      </w:r>
      <w:r w:rsidRPr="00077AA0">
        <w:rPr>
          <w:sz w:val="16"/>
          <w:szCs w:val="16"/>
        </w:rPr>
        <w:t xml:space="preserve">, according to the report, </w:t>
      </w:r>
      <w:r w:rsidRPr="00077AA0">
        <w:rPr>
          <w:rStyle w:val="StyleBoldUnderline"/>
        </w:rPr>
        <w:t>would help reach the goal of one million additional STEM graduates. Potential STEM graduates also include students with a strong interest in STEM but with low mathematics proficiency. This group accounts for 12% of 12th graders</w:t>
      </w:r>
      <w:r w:rsidRPr="00077AA0">
        <w:rPr>
          <w:sz w:val="16"/>
          <w:szCs w:val="16"/>
        </w:rPr>
        <w:t xml:space="preserve">. The report cites three factors that contribute to a student’s likelihood of matriculating in a STEM field: intellectual engagement and achievement, motivation, and identification in the field. The report recommends improving the teaching of STEM through increasing engagement, providing tools to help students succeed, and diversifying pathways into STEM. </w:t>
      </w:r>
      <w:r w:rsidRPr="00077AA0">
        <w:rPr>
          <w:rStyle w:val="StyleBoldUnderline"/>
        </w:rPr>
        <w:t>The five recommendations are as follows: Catalyze widespread adoption of empirically validated teaching practices; Advocate and provide support for replacing standard laboratory courses with discovery-based courses; Launch a national experiment in postsecondary mathematics education to address the math preparation gap; Encourage partnerships among stakeholders to diversify pathways to STEM careers; and Create a Presidential Council on STEM Education.</w:t>
      </w:r>
    </w:p>
    <w:p w:rsidR="000757CC" w:rsidRDefault="000757CC" w:rsidP="000757CC">
      <w:pPr>
        <w:pStyle w:val="Heading3"/>
      </w:pPr>
      <w:r>
        <w:lastRenderedPageBreak/>
        <w:t>Solvency</w:t>
      </w:r>
      <w:r w:rsidR="007C6AC9">
        <w:t>---2NC</w:t>
      </w:r>
    </w:p>
    <w:p w:rsidR="000757CC" w:rsidRDefault="000757CC" w:rsidP="000757CC">
      <w:pPr>
        <w:pStyle w:val="Heading4"/>
      </w:pPr>
      <w:r>
        <w:t>Comprehensive study proves educational reform and focus is key to increasing STEM graduates</w:t>
      </w:r>
    </w:p>
    <w:p w:rsidR="000757CC" w:rsidRPr="00E51139" w:rsidRDefault="000757CC" w:rsidP="000757CC">
      <w:pPr>
        <w:rPr>
          <w:sz w:val="16"/>
          <w:szCs w:val="16"/>
        </w:rPr>
      </w:pPr>
      <w:r w:rsidRPr="00E51139">
        <w:rPr>
          <w:rStyle w:val="StyleStyleBold12pt"/>
        </w:rPr>
        <w:t>PCAST 12</w:t>
      </w:r>
      <w:r w:rsidRPr="00E51139">
        <w:rPr>
          <w:sz w:val="16"/>
          <w:szCs w:val="16"/>
        </w:rPr>
        <w:t xml:space="preserve"> (President’s Council of Advisors on Science and Technology, “REPORT TO THE PRESIDENT ENGAGE TO EXCEL: PRODUCING ONE MILLION ADDITIONAL COLLEGE GRADUATES WITH DEGREES IN SCIENCE, TECHNOLOGY, ENGINEERING, AND MATHEMATICS”, February 2012, http://www.whitehouse.gov/sites/default/files/microsites/ostp/pcast-engage-to-excel-final_feb.pdf)</w:t>
      </w:r>
    </w:p>
    <w:p w:rsidR="000757CC" w:rsidRDefault="000757CC" w:rsidP="000757CC">
      <w:pPr>
        <w:rPr>
          <w:rStyle w:val="StyleBoldUnderline"/>
        </w:rPr>
      </w:pPr>
      <w:r w:rsidRPr="00077AA0">
        <w:rPr>
          <w:sz w:val="16"/>
          <w:szCs w:val="16"/>
        </w:rPr>
        <w:t xml:space="preserve">In preparing this report, </w:t>
      </w:r>
      <w:r w:rsidRPr="00E51139">
        <w:rPr>
          <w:rStyle w:val="StyleBoldUnderline"/>
        </w:rPr>
        <w:t>PCAST assembled a Working Group of experts in postsecondary STEM teaching, learning­science research, curriculum development, higher­education administration, faculty training, educational technology, and successful interaction between industry and higher education</w:t>
      </w:r>
      <w:r w:rsidRPr="00077AA0">
        <w:rPr>
          <w:sz w:val="16"/>
          <w:szCs w:val="16"/>
        </w:rPr>
        <w:t xml:space="preserve">. The report was strengthened by input from additional experts in postsecondary STEM education, STEM practitioners, professional societies, private companies, educators, and Federal education officials. </w:t>
      </w:r>
      <w:r w:rsidRPr="00E51139">
        <w:rPr>
          <w:rStyle w:val="StyleBoldUnderline"/>
        </w:rPr>
        <w:t>PCAST found that economic forecasts point to a need for producing, over the next decade, approximately 1 million more college graduates in STEM fields than expected</w:t>
      </w:r>
      <w:r w:rsidRPr="00077AA0">
        <w:rPr>
          <w:sz w:val="16"/>
          <w:szCs w:val="16"/>
        </w:rPr>
        <w:t xml:space="preserve"> under current assumptions. </w:t>
      </w:r>
      <w:r w:rsidRPr="00E51139">
        <w:rPr>
          <w:rStyle w:val="StyleBoldUnderline"/>
        </w:rPr>
        <w:t>Fewer than 40% of students who enter college intending to major in a STEM field complete a STEM degree. Merely increasing the retention of STEM majors from 40% to 50% would generate three­quarters of the targeted 1 million additional STEM degrees</w:t>
      </w:r>
      <w:r w:rsidRPr="00077AA0">
        <w:rPr>
          <w:sz w:val="16"/>
          <w:szCs w:val="16"/>
        </w:rPr>
        <w:t xml:space="preserve"> over the next decade. </w:t>
      </w:r>
      <w:r w:rsidRPr="00E51139">
        <w:rPr>
          <w:rStyle w:val="StyleBoldUnderline"/>
        </w:rPr>
        <w:t>PCAST identified five overarching recommendations that it believes can achieve this goal: (1) catalyze widespread adoption of empirically validated teaching practices; (2) advocate and provide support for replacing standard laboratory courses with discovery­based research courses; (3) launch a national experiment in postsecondary mathematics education to address the mathematics­preparation gap; (4) encourage partnerships among stakeholders to diversify pathways to STEM careers; and (5) create a Presidential Council on STEM Education with leadership from the academic and business communities to provide strategic leadership for transformative and sustainable change in STEM undergraduate education</w:t>
      </w:r>
    </w:p>
    <w:p w:rsidR="000757CC" w:rsidRDefault="000757CC" w:rsidP="000757CC">
      <w:pPr>
        <w:pStyle w:val="Heading4"/>
      </w:pPr>
      <w:r w:rsidRPr="00E51139">
        <w:t>Teacher support is critical to student retention</w:t>
      </w:r>
      <w:r>
        <w:t xml:space="preserve"> – government support solves</w:t>
      </w:r>
    </w:p>
    <w:p w:rsidR="000757CC" w:rsidRPr="00E51139" w:rsidRDefault="000757CC" w:rsidP="000757CC">
      <w:pPr>
        <w:rPr>
          <w:sz w:val="16"/>
          <w:szCs w:val="16"/>
        </w:rPr>
      </w:pPr>
      <w:r w:rsidRPr="00E51139">
        <w:rPr>
          <w:rStyle w:val="StyleStyleBold12pt"/>
        </w:rPr>
        <w:t>PCAST 12</w:t>
      </w:r>
      <w:r w:rsidRPr="00E51139">
        <w:rPr>
          <w:sz w:val="16"/>
          <w:szCs w:val="16"/>
        </w:rPr>
        <w:t xml:space="preserve"> (President’s Council of Advisors on Science and Technology, “REPORT TO THE PRESIDENT ENGAGE TO EXCEL: PRODUCING ONE MILLION ADDITIONAL COLLEGE GRADUATES WITH DEGREES IN SCIENCE, TECHNOLOGY, ENGINEERING, AND MATHEMATICS”, February 2012, http://www.whitehouse.gov/sites/default/files/microsites/ostp/pcast-engage-to-excel-final_feb.pdf)</w:t>
      </w:r>
    </w:p>
    <w:p w:rsidR="000757CC" w:rsidRDefault="000757CC" w:rsidP="000757CC">
      <w:pPr>
        <w:rPr>
          <w:sz w:val="16"/>
          <w:szCs w:val="16"/>
        </w:rPr>
      </w:pPr>
      <w:r w:rsidRPr="00E51139">
        <w:rPr>
          <w:rStyle w:val="StyleBoldUnderline"/>
        </w:rPr>
        <w:t>Learning theory, empirical evidence about how people learn, and assessment of outcomes in STEM class­ rooms all point to a need to improve teaching methods to enhance learning and student persistence</w:t>
      </w:r>
      <w:r w:rsidRPr="00E51139">
        <w:rPr>
          <w:sz w:val="16"/>
          <w:szCs w:val="16"/>
        </w:rPr>
        <w:t xml:space="preserve">. Classroom approaches that engage students in “active learning” improve retention of information and critical thinking skills, compared with a sole reliance on lecturing, and increase persistence of students in STEM majors. STEM faculty need to adopt teaching methods supported by evidence derived from experimental learning research as well as from learning assessment in STEM courses. Evidence­based teaching methods have proven effective with a wide range of class sizes and increase learning outcomes even as enhancements of traditional lectures. </w:t>
      </w:r>
      <w:r w:rsidRPr="00E51139">
        <w:rPr>
          <w:rStyle w:val="StyleBoldUnderline"/>
        </w:rPr>
        <w:t>A significant barrier to broad implementation of evidence­based teaching approaches is that most faculty lack experience using these methods and are unfamiliar with the vast body of research indicating their impact on learning. The Federal Government could have a major impact by providing substantial support for programs that provide training for current and future faculty in evidence­based teaching methods and provide materials to support the application of such methods</w:t>
      </w:r>
      <w:r w:rsidRPr="00E51139">
        <w:rPr>
          <w:sz w:val="16"/>
          <w:szCs w:val="16"/>
        </w:rPr>
        <w:t xml:space="preserve">. Established programs run by the National Academies and the American Physical Society (APS) have trained many faculty, and evaluations of these programs have demonstrated that they change the participants’ teaching methods and have positive effects on student achievement and engagement. These programs provide successful models for replication and expansion. </w:t>
      </w:r>
      <w:r w:rsidRPr="00E51139">
        <w:rPr>
          <w:rStyle w:val="StyleBoldUnderline"/>
        </w:rPr>
        <w:t xml:space="preserve">Although evidence­based teaching methods do not necessarily require more resources than traditional lectures, the transition requires time and effort that can be costly for colleges and universities. Given the Federal Government’s interest in maintaining a strong STEM workforce, Federal support, in partnership with private and academic institutional investment, will be needed to initiate these </w:t>
      </w:r>
      <w:r w:rsidRPr="00E51139">
        <w:rPr>
          <w:rStyle w:val="StyleBoldUnderline"/>
        </w:rPr>
        <w:lastRenderedPageBreak/>
        <w:t>changes, after which they can be sustained over the long term without external assistance</w:t>
      </w:r>
      <w:r w:rsidRPr="00E51139">
        <w:rPr>
          <w:sz w:val="16"/>
          <w:szCs w:val="16"/>
        </w:rPr>
        <w:t xml:space="preserve">. </w:t>
      </w:r>
      <w:r w:rsidRPr="00E51139">
        <w:rPr>
          <w:sz w:val="16"/>
          <w:szCs w:val="16"/>
        </w:rPr>
        <w:cr/>
      </w:r>
    </w:p>
    <w:p w:rsidR="000757CC" w:rsidRDefault="000757CC" w:rsidP="000757CC">
      <w:pPr>
        <w:pStyle w:val="Heading4"/>
      </w:pPr>
      <w:r>
        <w:t>Federal funding solves more engaging courses – key to retention, enthusiasm isn’t enough</w:t>
      </w:r>
    </w:p>
    <w:p w:rsidR="000757CC" w:rsidRPr="00E51139" w:rsidRDefault="000757CC" w:rsidP="000757CC">
      <w:pPr>
        <w:rPr>
          <w:sz w:val="16"/>
          <w:szCs w:val="16"/>
        </w:rPr>
      </w:pPr>
      <w:r w:rsidRPr="00E51139">
        <w:rPr>
          <w:rStyle w:val="StyleStyleBold12pt"/>
        </w:rPr>
        <w:t>PCAST 12</w:t>
      </w:r>
      <w:r w:rsidRPr="00E51139">
        <w:rPr>
          <w:sz w:val="16"/>
          <w:szCs w:val="16"/>
        </w:rPr>
        <w:t xml:space="preserve"> (President’s Council of Advisors on Science and Technology, “REPORT TO THE PRESIDENT ENGAGE TO EXCEL: PRODUCING ONE MILLION ADDITIONAL COLLEGE GRADUATES WITH DEGREES IN SCIENCE, TECHNOLOGY, ENGINEERING, AND MATHEMATICS”, February 2012, http://www.whitehouse.gov/sites/default/files/microsites/ostp/pcast-engage-to-excel-final_feb.pdf)</w:t>
      </w:r>
    </w:p>
    <w:p w:rsidR="000757CC" w:rsidRDefault="000757CC" w:rsidP="000757CC">
      <w:pPr>
        <w:rPr>
          <w:sz w:val="16"/>
          <w:szCs w:val="16"/>
        </w:rPr>
      </w:pPr>
      <w:r w:rsidRPr="00E51139">
        <w:rPr>
          <w:rStyle w:val="StyleBoldUnderline"/>
        </w:rPr>
        <w:t>Traditional introductory laboratory courses generally do not capture the creativity of STEM disciplines.</w:t>
      </w:r>
      <w:r w:rsidRPr="00E51139">
        <w:rPr>
          <w:sz w:val="16"/>
          <w:szCs w:val="16"/>
        </w:rPr>
        <w:t xml:space="preserve"> They often involve repeating classical experiments to reproduce known results, rather than engaging students in experiments with the possibility of true discovery. </w:t>
      </w:r>
      <w:r w:rsidRPr="00E51139">
        <w:rPr>
          <w:rStyle w:val="StyleBoldUnderline"/>
        </w:rPr>
        <w:t>Students may infer from such courses that STEM fields involve repeating what is known to have worked in the past rather than exploring the unknown</w:t>
      </w:r>
      <w:r w:rsidRPr="00E51139">
        <w:rPr>
          <w:sz w:val="16"/>
          <w:szCs w:val="16"/>
        </w:rPr>
        <w:t xml:space="preserve">. Engineering curricula in the first two years have long made use of design courses that engage student creativity. Recently, research courses in STEM subjects have been implemented at diverse institutions, including universities with large introductory course enrollments. These courses make individual ownership of projects and discovery feasible in a classroom setting, engaging students in authentic STEM experiences and enhancing learning and, therefore, they provide models for what should be more widely implemented.2-1 </w:t>
      </w:r>
      <w:r w:rsidRPr="00E51139">
        <w:rPr>
          <w:rStyle w:val="StyleBoldUnderline"/>
        </w:rPr>
        <w:t>Expand the use of scientific research and engineering design courses in the first two years through an NSF program. The National Science Foundation</w:t>
      </w:r>
      <w:r w:rsidRPr="00E51139">
        <w:rPr>
          <w:sz w:val="16"/>
          <w:szCs w:val="16"/>
        </w:rPr>
        <w:t xml:space="preserve"> </w:t>
      </w:r>
      <w:r w:rsidRPr="00E51139">
        <w:rPr>
          <w:rStyle w:val="StyleBoldUnderline"/>
        </w:rPr>
        <w:t>should provide initial funding to replicate and scale­up model research or design courses, possibly through the existing Transforming Undergraduate Education in STEM (TUES) program or the Science, Technology, Engineering, and Mathematics Talent Expansion Program (STEP).</w:t>
      </w:r>
      <w:r w:rsidRPr="00E51139">
        <w:rPr>
          <w:sz w:val="16"/>
          <w:szCs w:val="16"/>
        </w:rPr>
        <w:t xml:space="preserve"> On the order of 30% of the existing programs across STEM disciplines could be focused on funding implemention of research courses at postsecondary academic institutions at an annual cost of approximately $12.5 million dollars (based on Fiscal Year 2010 funding levels). Based on the range of funding for Type 3 TUES grants and Type 1 STEP grants, </w:t>
      </w:r>
      <w:r w:rsidRPr="00E51139">
        <w:rPr>
          <w:rStyle w:val="StyleBoldUnderline"/>
        </w:rPr>
        <w:t>about 10 proposals per year at an average level of $1.2 million could be awarded, in order to impact 100 campuses over the next 10 years.</w:t>
      </w:r>
      <w:r w:rsidRPr="00E51139">
        <w:rPr>
          <w:sz w:val="16"/>
          <w:szCs w:val="16"/>
        </w:rPr>
        <w:t xml:space="preserve"> Colleges and universities should seek to match NSF funding with private and philan­ thropic sources. Research courses should be an encouraged element of STEM Institutional Transformation Awards. Because research courses will replace expensive introductory laboratory courses, they should not require ongoing external support once the transition is accomplished. 2-2 </w:t>
      </w:r>
      <w:r w:rsidRPr="00E51139">
        <w:rPr>
          <w:rStyle w:val="StyleBoldUnderline"/>
        </w:rPr>
        <w:t>Expand opportunities for student research and design in faculty research laboratories by reducing restrictions on Federal research funds and redefining a Department of Education program</w:t>
      </w:r>
      <w:r w:rsidRPr="00E51139">
        <w:rPr>
          <w:sz w:val="16"/>
          <w:szCs w:val="16"/>
        </w:rPr>
        <w:t xml:space="preserve">. Independent research on faculty projects is a direct way for students to experience real discovery and innovation and to be inspired by STEM subjects. </w:t>
      </w:r>
      <w:r w:rsidRPr="00E51139">
        <w:rPr>
          <w:rStyle w:val="StyleBoldUnderline"/>
        </w:rPr>
        <w:t>All relevant Federal agencies should exam­ ine their programs which support undergraduate research and where there exists prohibitions, either in policy or practice, which would interfere with the recommendations of this report to support early engagement of students in research, these should be changed</w:t>
      </w:r>
      <w:r w:rsidRPr="00E51139">
        <w:rPr>
          <w:sz w:val="16"/>
          <w:szCs w:val="16"/>
        </w:rPr>
        <w:t>. Federal agencies should encourage projects that establish collaborations between research universities and community colleges or other institutions that do not have research programs. Cross­institutional research opportunities could be funded through redefinition of the Department of Education’s $1 billion Carl D. Perkins Career and Technical Education program and by sharpening the focus of Federal investments in minority institutions.</w:t>
      </w:r>
    </w:p>
    <w:p w:rsidR="000757CC" w:rsidRDefault="000757CC" w:rsidP="000757CC">
      <w:pPr>
        <w:pStyle w:val="Heading4"/>
      </w:pPr>
      <w:r>
        <w:t>Math initiatives are key – student abilities lacking across the board</w:t>
      </w:r>
    </w:p>
    <w:p w:rsidR="000757CC" w:rsidRPr="00E51139" w:rsidRDefault="000757CC" w:rsidP="000757CC">
      <w:pPr>
        <w:rPr>
          <w:sz w:val="16"/>
          <w:szCs w:val="16"/>
        </w:rPr>
      </w:pPr>
      <w:r w:rsidRPr="00E51139">
        <w:rPr>
          <w:rStyle w:val="StyleStyleBold12pt"/>
        </w:rPr>
        <w:t>PCAST 12</w:t>
      </w:r>
      <w:r w:rsidRPr="00E51139">
        <w:rPr>
          <w:sz w:val="16"/>
          <w:szCs w:val="16"/>
        </w:rPr>
        <w:t xml:space="preserve"> (President’s Council of Advisors on Science and Technology, “REPORT TO THE PRESIDENT ENGAGE TO EXCEL: PRODUCING ONE MILLION ADDITIONAL COLLEGE GRADUATES WITH DEGREES IN SCIENCE, TECHNOLOGY, ENGINEERING, AND MATHEMATICS”, February 2012, http://www.whitehouse.gov/sites/default/files/microsites/ostp/pcast-engage-to-excel-final_feb.pdf)</w:t>
      </w:r>
    </w:p>
    <w:p w:rsidR="000757CC" w:rsidRDefault="000757CC" w:rsidP="000757CC">
      <w:pPr>
        <w:rPr>
          <w:rStyle w:val="StyleBoldUnderline"/>
        </w:rPr>
      </w:pPr>
      <w:r w:rsidRPr="00E51139">
        <w:rPr>
          <w:rStyle w:val="StyleBoldUnderline"/>
        </w:rPr>
        <w:t>College­level skills in mathematics and, increasingly, computation are a gateway to other STEM fields</w:t>
      </w:r>
      <w:r w:rsidRPr="00E51139">
        <w:rPr>
          <w:sz w:val="16"/>
          <w:szCs w:val="16"/>
        </w:rPr>
        <w:t xml:space="preserve">. Today </w:t>
      </w:r>
      <w:r w:rsidRPr="00E51139">
        <w:rPr>
          <w:rStyle w:val="StyleBoldUnderline"/>
        </w:rPr>
        <w:t>many students entering college lack these skills and need to learn them if they are to pursue STEM majors</w:t>
      </w:r>
      <w:r w:rsidRPr="00E51139">
        <w:rPr>
          <w:sz w:val="16"/>
          <w:szCs w:val="16"/>
        </w:rPr>
        <w:t xml:space="preserve">. In addition, employers in the private sector, government, and military frequently cite that they cannot find enough employees with needed levels of mathematics skills. This lack of preparation imposes a large burden on higher education and employers. </w:t>
      </w:r>
      <w:r w:rsidRPr="00E51139">
        <w:rPr>
          <w:rStyle w:val="StyleBoldUnderline"/>
        </w:rPr>
        <w:t>Higher education alone spends at least $2 billion per year on developmental education to compensate for deficiencies. Also, introductory math­ ematics courses often leave students with the impression that all STEM fields are dull and unimagina­ tive</w:t>
      </w:r>
      <w:r w:rsidRPr="00E51139">
        <w:rPr>
          <w:sz w:val="16"/>
          <w:szCs w:val="16"/>
        </w:rPr>
        <w:t xml:space="preserve">, which has particularly harmful effects for students who later become K­12 teachers. </w:t>
      </w:r>
      <w:r w:rsidRPr="00E51139">
        <w:rPr>
          <w:rStyle w:val="StyleBoldUnderline"/>
        </w:rPr>
        <w:t>Reducing or eliminating the mathematics­preparation gap is one of the most urgent challenges—and promising opportunities—in preparing the workforce of the 21st century</w:t>
      </w:r>
      <w:r w:rsidRPr="00E51139">
        <w:rPr>
          <w:sz w:val="16"/>
          <w:szCs w:val="16"/>
        </w:rPr>
        <w:t xml:space="preserve">. Closing this gap will require coordinated action on many fronts starting in the earliest grades. PCAST’s earlier report on K­12 STEM education, Prepare and Inspire: K-12 Education in Science, Technology, Engineering, and Math (STEM) for America’s Future, contains several recommendations that involve </w:t>
      </w:r>
      <w:r w:rsidRPr="00E51139">
        <w:rPr>
          <w:sz w:val="16"/>
          <w:szCs w:val="16"/>
        </w:rPr>
        <w:lastRenderedPageBreak/>
        <w:t xml:space="preserve">colleges and universities in this effort. In particular, </w:t>
      </w:r>
      <w:r w:rsidRPr="00E51139">
        <w:rPr>
          <w:rStyle w:val="StyleBoldUnderline"/>
        </w:rPr>
        <w:t>it calls for the Federal Government to establish the objective of recruiting, preparing, and providing induction support for at least 100,000 new STEM middle and high school teachers who have majors in STEM fields and strong content­specific pedagogical preparation</w:t>
      </w:r>
      <w:r w:rsidRPr="00E51139">
        <w:rPr>
          <w:sz w:val="16"/>
          <w:szCs w:val="16"/>
        </w:rPr>
        <w:t xml:space="preserve">. This Administration has embraced this goal, and production of 1 million additional STEM graduates over the next decade could contribute substantially to meeting it. </w:t>
      </w:r>
      <w:r w:rsidRPr="00E51139">
        <w:rPr>
          <w:rStyle w:val="StyleBoldUnderline"/>
        </w:rPr>
        <w:t>The Federal Government has a critical role in supporting the development of a knowledge base to close the mathematics­preparation gap. For example, research into the best ways to teach math to older students so they can pursue STEM subjects in the first two years of college is badly needed</w:t>
      </w:r>
      <w:r w:rsidRPr="00E51139">
        <w:rPr>
          <w:sz w:val="16"/>
          <w:szCs w:val="16"/>
        </w:rPr>
        <w:t>. Some developmental mathematics courses have demonstrated effectiveness in increasing math proficiency among those not ready for college­level math and even in encouraging students intending to major in STEM subjects to persist to graduation and a STEM degree</w:t>
      </w:r>
      <w:r w:rsidRPr="00E51139">
        <w:rPr>
          <w:rStyle w:val="StyleBoldUnderline"/>
        </w:rPr>
        <w:t>. Mathematics education research should explore the attributes of these successful classes and ways to disseminate best practices</w:t>
      </w:r>
    </w:p>
    <w:p w:rsidR="000757CC" w:rsidRPr="00E51139" w:rsidRDefault="000757CC" w:rsidP="000757CC">
      <w:pPr>
        <w:pStyle w:val="Heading4"/>
      </w:pPr>
      <w:r w:rsidRPr="00E51139">
        <w:t>A multifaceted approach is key – oceans alone can’t overcome structural barriers</w:t>
      </w:r>
    </w:p>
    <w:p w:rsidR="000757CC" w:rsidRPr="00E51139" w:rsidRDefault="000757CC" w:rsidP="000757CC">
      <w:pPr>
        <w:rPr>
          <w:sz w:val="16"/>
          <w:szCs w:val="16"/>
        </w:rPr>
      </w:pPr>
      <w:r w:rsidRPr="00E51139">
        <w:rPr>
          <w:rStyle w:val="StyleStyleBold12pt"/>
        </w:rPr>
        <w:t>PCAST 12</w:t>
      </w:r>
      <w:r w:rsidRPr="00E51139">
        <w:rPr>
          <w:sz w:val="16"/>
          <w:szCs w:val="16"/>
        </w:rPr>
        <w:t xml:space="preserve"> (President’s Council of Advisors on Science and Technology, “REPORT TO THE PRESIDENT ENGAGE TO EXCEL: PRODUCING ONE MILLION ADDITIONAL COLLEGE GRADUATES WITH DEGREES IN SCIENCE, TECHNOLOGY, ENGINEERING, AND MATHEMATICS”, February 2012, http://www.whitehouse.gov/sites/default/files/microsites/ostp/pcast-engage-to-excel-final_feb.pdf)</w:t>
      </w:r>
    </w:p>
    <w:p w:rsidR="000757CC" w:rsidRPr="00E51139" w:rsidRDefault="000757CC" w:rsidP="000757CC">
      <w:pPr>
        <w:rPr>
          <w:sz w:val="16"/>
          <w:szCs w:val="16"/>
        </w:rPr>
      </w:pPr>
      <w:r w:rsidRPr="00984F65">
        <w:rPr>
          <w:rStyle w:val="StyleBoldUnderline"/>
        </w:rPr>
        <w:t>No single strategy will generate 1 million additional undergraduate STEM degrees over the next decade, because the challenge has many dimensions</w:t>
      </w:r>
      <w:r w:rsidRPr="00E51139">
        <w:rPr>
          <w:sz w:val="16"/>
          <w:szCs w:val="16"/>
        </w:rPr>
        <w:t xml:space="preserve">. It entwines facts and logic with academic culture, incen­ tives, and belief systems. </w:t>
      </w:r>
      <w:r w:rsidRPr="00984F65">
        <w:rPr>
          <w:rStyle w:val="StyleBoldUnderline"/>
        </w:rPr>
        <w:t>Therefore the recommendations presented here address various stakeholders and use both tangible resources and persuasion to inspire and catalyze change in undergraduate STEM education</w:t>
      </w:r>
      <w:r w:rsidRPr="00E51139">
        <w:rPr>
          <w:sz w:val="16"/>
          <w:szCs w:val="16"/>
        </w:rPr>
        <w:t xml:space="preserve">. </w:t>
      </w:r>
      <w:r w:rsidRPr="00984F65">
        <w:rPr>
          <w:rStyle w:val="StyleBoldUnderline"/>
        </w:rPr>
        <w:t>By attacking the issue from a number of angles with various tools, including public exhorta­ tion, faculty incentives, resources, information, and institutional connections, the concerted forces can reach a point at which the movement takes on a momentum of its own and leads to sweeping change</w:t>
      </w:r>
      <w:r w:rsidRPr="00E51139">
        <w:rPr>
          <w:sz w:val="16"/>
          <w:szCs w:val="16"/>
        </w:rPr>
        <w:t xml:space="preserve">. Barriers to change vary with institution type and context. Some institutions may respond to a desire to be on the cutting edge of education, some to new resources, and others to the desire to maintain fund­ ing for and prestige of their graduate programs. Some faculty will be interested in change but will not know how to accomplish it; others will be waiting to hear from their administrations that this change is important and will be rewarded. Some students might benefit most from engaging in research, while others might be more in need of bolstering their math skills. Therefore, </w:t>
      </w:r>
      <w:r w:rsidRPr="00984F65">
        <w:rPr>
          <w:rStyle w:val="StyleBoldUnderline"/>
        </w:rPr>
        <w:t>we propose promoting change with actions that address diverse students, faculty, departments, institutional leadership, industrial interests, and professional societies.68 Our recommendations aim to overcome many barriers, from lack of faculty time for studying the education literature to the inability of students to re­enter college after they take a break from their education</w:t>
      </w:r>
      <w:r w:rsidRPr="00E51139">
        <w:rPr>
          <w:sz w:val="16"/>
          <w:szCs w:val="16"/>
        </w:rPr>
        <w:t>..</w:t>
      </w:r>
    </w:p>
    <w:p w:rsidR="000757CC" w:rsidRPr="004105A9" w:rsidRDefault="000757CC" w:rsidP="000757CC"/>
    <w:p w:rsidR="007C6AC9" w:rsidRDefault="007C6AC9" w:rsidP="007C6AC9">
      <w:pPr>
        <w:pStyle w:val="Heading3"/>
      </w:pPr>
      <w:r>
        <w:lastRenderedPageBreak/>
        <w:t>Other CP---1NC</w:t>
      </w:r>
    </w:p>
    <w:p w:rsidR="007C6AC9" w:rsidRDefault="007C6AC9" w:rsidP="007C6AC9">
      <w:pPr>
        <w:pStyle w:val="Heading4"/>
      </w:pPr>
      <w:r>
        <w:t xml:space="preserve">CP Text: The United States federal government should support focused developments of the following scientific disciplines: Medicine, Transportation, Energy, Education, Environmental Science, Manufacturing, and Information Access. </w:t>
      </w:r>
    </w:p>
    <w:p w:rsidR="007C6AC9" w:rsidRDefault="007C6AC9" w:rsidP="007C6AC9">
      <w:pPr>
        <w:rPr>
          <w:sz w:val="16"/>
        </w:rPr>
      </w:pPr>
    </w:p>
    <w:p w:rsidR="007C6AC9" w:rsidRDefault="007C6AC9" w:rsidP="007C6AC9">
      <w:pPr>
        <w:rPr>
          <w:sz w:val="16"/>
        </w:rPr>
      </w:pPr>
    </w:p>
    <w:p w:rsidR="007C6AC9" w:rsidRDefault="007C6AC9" w:rsidP="007C6AC9">
      <w:pPr>
        <w:pStyle w:val="Heading4"/>
      </w:pPr>
      <w:r>
        <w:t>Investment in these core areas is key to science leadership – concentrated efforts in key areas are seen as more important</w:t>
      </w:r>
    </w:p>
    <w:p w:rsidR="007C6AC9" w:rsidRDefault="007C6AC9" w:rsidP="007C6AC9">
      <w:pPr>
        <w:rPr>
          <w:rStyle w:val="StyleStyleBold12pt"/>
          <w:b w:val="0"/>
          <w:sz w:val="22"/>
        </w:rPr>
      </w:pPr>
      <w:r>
        <w:rPr>
          <w:rStyle w:val="StyleStyleBold12pt"/>
        </w:rPr>
        <w:t xml:space="preserve">Hummel 12 </w:t>
      </w:r>
      <w:r>
        <w:rPr>
          <w:rStyle w:val="StyleStyleBold12pt"/>
          <w:b w:val="0"/>
          <w:sz w:val="22"/>
        </w:rPr>
        <w:t xml:space="preserve">(Robert Hummel, PhD at </w:t>
      </w:r>
      <w:r w:rsidRPr="00861653">
        <w:rPr>
          <w:rStyle w:val="StyleStyleBold12pt"/>
          <w:b w:val="0"/>
          <w:sz w:val="22"/>
        </w:rPr>
        <w:t>Policy Research Division, Potomac Institute for Policy Studies</w:t>
      </w:r>
      <w:r>
        <w:rPr>
          <w:rStyle w:val="StyleStyleBold12pt"/>
          <w:b w:val="0"/>
          <w:sz w:val="22"/>
        </w:rPr>
        <w:t>, “U</w:t>
      </w:r>
      <w:r w:rsidRPr="00861653">
        <w:rPr>
          <w:rStyle w:val="StyleStyleBold12pt"/>
          <w:b w:val="0"/>
          <w:sz w:val="22"/>
        </w:rPr>
        <w:t>S Science and Technology Leadership, and Technology Grand Challenges</w:t>
      </w:r>
      <w:r>
        <w:rPr>
          <w:rStyle w:val="StyleStyleBold12pt"/>
          <w:b w:val="0"/>
          <w:sz w:val="22"/>
        </w:rPr>
        <w:t>,”</w:t>
      </w:r>
      <w:r w:rsidRPr="00861653">
        <w:t xml:space="preserve"> </w:t>
      </w:r>
      <w:hyperlink r:id="rId61" w:history="1">
        <w:r w:rsidRPr="00BC241A">
          <w:rPr>
            <w:rStyle w:val="Hyperlink"/>
          </w:rPr>
          <w:t>http://www.synesisjournal.com/vol3_g/Hummel_2012_G14-39.pdf</w:t>
        </w:r>
      </w:hyperlink>
      <w:r>
        <w:rPr>
          <w:rStyle w:val="StyleStyleBold12pt"/>
          <w:b w:val="0"/>
          <w:sz w:val="22"/>
        </w:rPr>
        <w:t>, accessed 7/15/14)</w:t>
      </w:r>
    </w:p>
    <w:p w:rsidR="007C6AC9" w:rsidRDefault="007C6AC9" w:rsidP="007C6AC9">
      <w:pPr>
        <w:rPr>
          <w:rStyle w:val="StyleBoldUnderline"/>
        </w:rPr>
      </w:pPr>
      <w:r w:rsidRPr="006373FB">
        <w:rPr>
          <w:rStyle w:val="StyleBoldUnderline"/>
        </w:rPr>
        <w:t>It is time that we challenge the research and engineering community to take “longer strides</w:t>
      </w:r>
      <w:r w:rsidRPr="00861653">
        <w:rPr>
          <w:sz w:val="16"/>
          <w:szCs w:val="26"/>
        </w:rPr>
        <w:t xml:space="preserve">,” as Kennedy said in 1961 (69).xiii </w:t>
      </w:r>
      <w:r w:rsidRPr="006373FB">
        <w:rPr>
          <w:rStyle w:val="StyleBoldUnderline"/>
        </w:rPr>
        <w:t>Rather than a “big science</w:t>
      </w:r>
      <w:r w:rsidRPr="00861653">
        <w:rPr>
          <w:sz w:val="16"/>
          <w:szCs w:val="26"/>
        </w:rPr>
        <w:t xml:space="preserve">” goal, it is our opinion that </w:t>
      </w:r>
      <w:r w:rsidRPr="006373FB">
        <w:rPr>
          <w:rStyle w:val="StyleBoldUnderline"/>
        </w:rPr>
        <w:t>the community should set a “clear leading role” in each of many domains</w:t>
      </w:r>
      <w:r w:rsidRPr="00861653">
        <w:rPr>
          <w:sz w:val="16"/>
          <w:szCs w:val="26"/>
        </w:rPr>
        <w:t xml:space="preserve">. Whereas in 1961 Kennedy saw space as possibly holding the key to our future on earth, </w:t>
      </w:r>
      <w:r w:rsidRPr="006373FB">
        <w:rPr>
          <w:rStyle w:val="StyleBoldUnderline"/>
        </w:rPr>
        <w:t>we now believe that domains such as medicine, energy production, clean environment, transportation, manufacturing, and education</w:t>
      </w:r>
      <w:r w:rsidRPr="00861653">
        <w:rPr>
          <w:sz w:val="16"/>
          <w:szCs w:val="26"/>
        </w:rPr>
        <w:t xml:space="preserve">—these in combination </w:t>
      </w:r>
      <w:r w:rsidRPr="006373FB">
        <w:rPr>
          <w:rStyle w:val="StyleBoldUnderline"/>
        </w:rPr>
        <w:t>hold the keys to our economic and security future</w:t>
      </w:r>
      <w:r w:rsidRPr="00861653">
        <w:rPr>
          <w:sz w:val="16"/>
          <w:szCs w:val="26"/>
        </w:rPr>
        <w:t>.</w:t>
      </w:r>
      <w:r w:rsidRPr="00861653">
        <w:rPr>
          <w:sz w:val="12"/>
          <w:szCs w:val="26"/>
        </w:rPr>
        <w:t>¶</w:t>
      </w:r>
      <w:r w:rsidRPr="00861653">
        <w:rPr>
          <w:sz w:val="16"/>
          <w:szCs w:val="26"/>
        </w:rPr>
        <w:t xml:space="preserve"> Rather than expecting scientists to continue to make incremental progress in the body of knowledge in each of these domains, we believe that </w:t>
      </w:r>
      <w:r w:rsidRPr="006373FB">
        <w:rPr>
          <w:rStyle w:val="StyleBoldUnderline"/>
        </w:rPr>
        <w:t>technical leadership demands that a certain amount of research and engineering be focused on specific application challenges</w:t>
      </w:r>
      <w:r w:rsidRPr="00861653">
        <w:rPr>
          <w:sz w:val="16"/>
          <w:szCs w:val="26"/>
        </w:rPr>
        <w:t xml:space="preserve">, to achieve grand accomplishments for the betterment of mankind, with specific goals in domains of human endeavors. As President Kennedy said back then, the decision to undertake these challenges “demands a major national commitment of scientific and technical manpower, material and facilities, and the possibility of their diversion from other important activities where they are already thinly spread. </w:t>
      </w:r>
      <w:r w:rsidRPr="00861653">
        <w:rPr>
          <w:rStyle w:val="StyleBoldUnderline"/>
        </w:rPr>
        <w:t>It means a degree of dedication, organization and discipline</w:t>
      </w:r>
      <w:r w:rsidRPr="00861653">
        <w:rPr>
          <w:sz w:val="16"/>
          <w:szCs w:val="26"/>
        </w:rPr>
        <w:t xml:space="preserve"> which have not always characterized our research and development efforts.” (69) The challenges that we outline here would </w:t>
      </w:r>
      <w:r w:rsidRPr="00861653">
        <w:rPr>
          <w:rStyle w:val="StyleBoldUnderline"/>
        </w:rPr>
        <w:t>give a purpose and direction to our scientific endeavors</w:t>
      </w:r>
      <w:r w:rsidRPr="00861653">
        <w:rPr>
          <w:sz w:val="16"/>
          <w:szCs w:val="26"/>
        </w:rPr>
        <w:t xml:space="preserve">, and open new frontiers for America and the world. We might not achieve all of them. We might achieve goals different than the ones we set out to achieve. Some goals might be achievable within this decade, and others might require multiple decades. But </w:t>
      </w:r>
      <w:r w:rsidRPr="00861653">
        <w:rPr>
          <w:rStyle w:val="StyleBoldUnderline"/>
        </w:rPr>
        <w:t>these are goals that</w:t>
      </w:r>
      <w:r w:rsidRPr="00861653">
        <w:rPr>
          <w:sz w:val="16"/>
          <w:szCs w:val="26"/>
        </w:rPr>
        <w:t xml:space="preserve"> we can all agree </w:t>
      </w:r>
      <w:r w:rsidRPr="00861653">
        <w:rPr>
          <w:rStyle w:val="StyleBoldUnderline"/>
        </w:rPr>
        <w:t>are worthy of a great nation</w:t>
      </w:r>
      <w:r w:rsidRPr="00861653">
        <w:rPr>
          <w:sz w:val="16"/>
          <w:szCs w:val="26"/>
        </w:rPr>
        <w:t xml:space="preserve">, that </w:t>
      </w:r>
      <w:r w:rsidRPr="00861653">
        <w:rPr>
          <w:rStyle w:val="StyleBoldUnderline"/>
        </w:rPr>
        <w:t>can enable our economic recovery</w:t>
      </w:r>
      <w:r w:rsidRPr="00861653">
        <w:rPr>
          <w:sz w:val="16"/>
          <w:szCs w:val="26"/>
        </w:rPr>
        <w:t xml:space="preserve"> to </w:t>
      </w:r>
      <w:r w:rsidRPr="00861653">
        <w:rPr>
          <w:rStyle w:val="StyleBoldUnderline"/>
        </w:rPr>
        <w:t>lead to prosperity</w:t>
      </w:r>
      <w:r w:rsidRPr="00861653">
        <w:rPr>
          <w:sz w:val="16"/>
          <w:szCs w:val="26"/>
        </w:rPr>
        <w:t xml:space="preserve"> with new businesses, new jobs, and new benefits for all. </w:t>
      </w:r>
      <w:r w:rsidRPr="00861653">
        <w:rPr>
          <w:rStyle w:val="StyleBoldUnderline"/>
        </w:rPr>
        <w:t>Our challenge is to pursue radical new opportunities</w:t>
      </w:r>
      <w:r w:rsidRPr="00861653">
        <w:rPr>
          <w:sz w:val="16"/>
          <w:szCs w:val="26"/>
        </w:rPr>
        <w:t xml:space="preserve">, to open new frontiers by the end of this decade, with seminal and very specific breakthroughs </w:t>
      </w:r>
      <w:r w:rsidRPr="00861653">
        <w:rPr>
          <w:rStyle w:val="StyleBoldUnderline"/>
        </w:rPr>
        <w:t xml:space="preserve">in each of the following disciplines: Medicine, Transportation, Energy, Education, Environmental Science, Manufacturing, and Information Access. </w:t>
      </w:r>
    </w:p>
    <w:p w:rsidR="007C6AC9" w:rsidRDefault="007C6AC9" w:rsidP="007C6AC9">
      <w:pPr>
        <w:rPr>
          <w:rStyle w:val="StyleBoldUnderline"/>
        </w:rPr>
      </w:pPr>
    </w:p>
    <w:p w:rsidR="007C6AC9" w:rsidRPr="008C4732" w:rsidRDefault="007C6AC9" w:rsidP="007C6AC9">
      <w:pPr>
        <w:pStyle w:val="Heading4"/>
        <w:rPr>
          <w:rStyle w:val="StyleBoldUnderline"/>
          <w:b w:val="0"/>
          <w:szCs w:val="26"/>
        </w:rPr>
      </w:pPr>
      <w:r>
        <w:rPr>
          <w:rStyle w:val="StyleBoldUnderline"/>
          <w:szCs w:val="26"/>
        </w:rPr>
        <w:t>Basic research solves US leadership – empirics prove</w:t>
      </w:r>
    </w:p>
    <w:p w:rsidR="007C6AC9" w:rsidRDefault="007C6AC9" w:rsidP="007C6AC9">
      <w:pPr>
        <w:rPr>
          <w:rStyle w:val="StyleStyleBold12pt"/>
          <w:b w:val="0"/>
          <w:sz w:val="22"/>
        </w:rPr>
      </w:pPr>
      <w:r>
        <w:rPr>
          <w:rStyle w:val="StyleStyleBold12pt"/>
        </w:rPr>
        <w:t xml:space="preserve">Hummel 12 </w:t>
      </w:r>
      <w:r>
        <w:rPr>
          <w:rStyle w:val="StyleStyleBold12pt"/>
          <w:b w:val="0"/>
          <w:sz w:val="22"/>
        </w:rPr>
        <w:t xml:space="preserve">(Robert Hummel, PhD at </w:t>
      </w:r>
      <w:r w:rsidRPr="00861653">
        <w:rPr>
          <w:rStyle w:val="StyleStyleBold12pt"/>
          <w:b w:val="0"/>
          <w:sz w:val="22"/>
        </w:rPr>
        <w:t>Policy Research Division, Potomac Institute for Policy Studies</w:t>
      </w:r>
      <w:r>
        <w:rPr>
          <w:rStyle w:val="StyleStyleBold12pt"/>
          <w:b w:val="0"/>
          <w:sz w:val="22"/>
        </w:rPr>
        <w:t>, “U</w:t>
      </w:r>
      <w:r w:rsidRPr="00861653">
        <w:rPr>
          <w:rStyle w:val="StyleStyleBold12pt"/>
          <w:b w:val="0"/>
          <w:sz w:val="22"/>
        </w:rPr>
        <w:t>S Science and Technology Leadership, and Technology Grand Challenges</w:t>
      </w:r>
      <w:r>
        <w:rPr>
          <w:rStyle w:val="StyleStyleBold12pt"/>
          <w:b w:val="0"/>
          <w:sz w:val="22"/>
        </w:rPr>
        <w:t>,”</w:t>
      </w:r>
      <w:r w:rsidRPr="00861653">
        <w:t xml:space="preserve"> </w:t>
      </w:r>
      <w:hyperlink r:id="rId62" w:history="1">
        <w:r w:rsidRPr="00BC241A">
          <w:rPr>
            <w:rStyle w:val="Hyperlink"/>
          </w:rPr>
          <w:t>http://www.synesisjournal.com/vol3_g/Hummel_2012_G14-39.pdf</w:t>
        </w:r>
      </w:hyperlink>
      <w:r>
        <w:rPr>
          <w:rStyle w:val="StyleStyleBold12pt"/>
          <w:b w:val="0"/>
          <w:sz w:val="22"/>
        </w:rPr>
        <w:t>, accessed 7/15/14)</w:t>
      </w:r>
    </w:p>
    <w:p w:rsidR="007C6AC9" w:rsidRPr="008C4732" w:rsidRDefault="007C6AC9" w:rsidP="007C6AC9">
      <w:pPr>
        <w:rPr>
          <w:sz w:val="16"/>
        </w:rPr>
      </w:pPr>
      <w:r w:rsidRPr="008C4732">
        <w:rPr>
          <w:sz w:val="16"/>
        </w:rPr>
        <w:t>Basic science</w:t>
      </w:r>
      <w:r w:rsidRPr="008C4732">
        <w:rPr>
          <w:sz w:val="12"/>
        </w:rPr>
        <w:t>¶</w:t>
      </w:r>
      <w:r w:rsidRPr="008C4732">
        <w:rPr>
          <w:sz w:val="16"/>
        </w:rPr>
        <w:t xml:space="preserve"> In 1945, </w:t>
      </w:r>
      <w:r w:rsidRPr="00861653">
        <w:rPr>
          <w:rStyle w:val="StyleBoldUnderline"/>
        </w:rPr>
        <w:t>Vannevar Bush</w:t>
      </w:r>
      <w:r w:rsidRPr="008C4732">
        <w:rPr>
          <w:sz w:val="16"/>
        </w:rPr>
        <w:t xml:space="preserve">—then the President’s Director of Scientific Research and Development—outlined a vision for US scientific research activities in the post-war period. In his report, entitled “Science: The Endless Frontier” (1), Bush </w:t>
      </w:r>
      <w:r w:rsidRPr="00861653">
        <w:rPr>
          <w:rStyle w:val="StyleBoldUnderline"/>
        </w:rPr>
        <w:t>laid out the importance of basic research to the Nation’s science research enterprise. Basic research—</w:t>
      </w:r>
      <w:r w:rsidRPr="008C4732">
        <w:rPr>
          <w:sz w:val="16"/>
        </w:rPr>
        <w:t>though “performed without thought of practical ends”—</w:t>
      </w:r>
      <w:r w:rsidRPr="00861653">
        <w:rPr>
          <w:rStyle w:val="StyleBoldUnderline"/>
        </w:rPr>
        <w:t>was the “pacemaker of technological progress</w:t>
      </w:r>
      <w:r w:rsidRPr="008C4732">
        <w:rPr>
          <w:sz w:val="16"/>
        </w:rPr>
        <w:t xml:space="preserve">,” and “created the fund from which the practical applications of knowledge must be drawn.” Bush further argued that </w:t>
      </w:r>
      <w:r w:rsidRPr="00861653">
        <w:rPr>
          <w:rStyle w:val="StyleBoldUnderline"/>
        </w:rPr>
        <w:t>the “simplest and most effective way” that Government resources could be brought to the service of the nation’s industrial research endeavors would be to “to support basic research and to develop scientific talent</w:t>
      </w:r>
      <w:r w:rsidRPr="008C4732">
        <w:rPr>
          <w:sz w:val="16"/>
        </w:rPr>
        <w:t xml:space="preserve">.” With this vision, Bush’s “Endless Frontier” resulted in the establishment of the Office of Naval Research, the National Science Foundation, and, later, the National Institutes of Health, the Defense Advanced Research Projects Agency, and NASA—as well as </w:t>
      </w:r>
      <w:r w:rsidRPr="00861653">
        <w:rPr>
          <w:rStyle w:val="StyleBoldUnderline"/>
        </w:rPr>
        <w:t>a robust national program of basic research at universities, research centers, laboratories</w:t>
      </w:r>
      <w:r w:rsidRPr="008C4732">
        <w:rPr>
          <w:sz w:val="16"/>
        </w:rPr>
        <w:t xml:space="preserve">, and institutes and a </w:t>
      </w:r>
      <w:r w:rsidRPr="00861653">
        <w:rPr>
          <w:rStyle w:val="StyleBoldUnderline"/>
        </w:rPr>
        <w:t>quadrupl</w:t>
      </w:r>
      <w:r w:rsidRPr="008C4732">
        <w:rPr>
          <w:sz w:val="16"/>
        </w:rPr>
        <w:t xml:space="preserve">ing of </w:t>
      </w:r>
      <w:r w:rsidRPr="00861653">
        <w:rPr>
          <w:rStyle w:val="StyleBoldUnderline"/>
        </w:rPr>
        <w:t xml:space="preserve">the number of research scientists dedicated to </w:t>
      </w:r>
      <w:r w:rsidRPr="00861653">
        <w:rPr>
          <w:rStyle w:val="StyleBoldUnderline"/>
        </w:rPr>
        <w:lastRenderedPageBreak/>
        <w:t>fundamental science</w:t>
      </w:r>
      <w:r w:rsidRPr="008C4732">
        <w:rPr>
          <w:sz w:val="16"/>
        </w:rPr>
        <w:t xml:space="preserve"> in just a few decades (95). Semiconductors, microelectronics, medical diagnostic technologies CT and MRI, and </w:t>
      </w:r>
      <w:r w:rsidRPr="00861653">
        <w:rPr>
          <w:rStyle w:val="StyleBoldUnderline"/>
        </w:rPr>
        <w:t>key developments in computer science all emerged from basic science developments</w:t>
      </w:r>
      <w:r w:rsidRPr="008C4732">
        <w:rPr>
          <w:sz w:val="16"/>
        </w:rPr>
        <w:t xml:space="preserve"> in the post-war period. In short order, American science and engineering advances became the envy of the world and gave rise to technical resources and capabilities that fueled unparalleled economic success.</w:t>
      </w:r>
      <w:r w:rsidRPr="008C4732">
        <w:rPr>
          <w:sz w:val="12"/>
        </w:rPr>
        <w:t>¶</w:t>
      </w:r>
      <w:r w:rsidRPr="008C4732">
        <w:rPr>
          <w:sz w:val="16"/>
        </w:rPr>
        <w:t xml:space="preserve"> </w:t>
      </w:r>
      <w:r w:rsidRPr="00861653">
        <w:rPr>
          <w:rStyle w:val="StyleBoldUnderline"/>
        </w:rPr>
        <w:t>Other nations around the globe aspire to similar economic advances, and are investing heavily in science</w:t>
      </w:r>
      <w:r w:rsidRPr="008C4732">
        <w:rPr>
          <w:sz w:val="16"/>
        </w:rPr>
        <w:t xml:space="preserve"> and the application of science to new technologies and capabilities. China, for example, has launched an effort to become an “innovative nation” by 2020 and a global scientific power by 2050 (96), and has reserved 15% of its science and technology investment for the 973 program that funds basic research (97).</w:t>
      </w:r>
      <w:r w:rsidRPr="008C4732">
        <w:rPr>
          <w:sz w:val="12"/>
        </w:rPr>
        <w:t>¶</w:t>
      </w:r>
      <w:r w:rsidRPr="008C4732">
        <w:rPr>
          <w:sz w:val="16"/>
        </w:rPr>
        <w:t xml:space="preserve"> </w:t>
      </w:r>
      <w:r w:rsidRPr="00861653">
        <w:rPr>
          <w:rStyle w:val="StyleBoldUnderline"/>
        </w:rPr>
        <w:t>Extending the American S&amp;T-driven economic boom will require continued and enhanced American leadership in basic and applied science</w:t>
      </w:r>
      <w:r w:rsidRPr="008C4732">
        <w:rPr>
          <w:sz w:val="16"/>
        </w:rPr>
        <w:t xml:space="preserve">. For American technological progress to remain at the forefront, </w:t>
      </w:r>
      <w:r w:rsidRPr="008C4732">
        <w:rPr>
          <w:rStyle w:val="StyleBoldUnderline"/>
        </w:rPr>
        <w:t>we will need to foster more effective and integrative relationships between the basic research community and applied researchers</w:t>
      </w:r>
      <w:r w:rsidRPr="008C4732">
        <w:rPr>
          <w:sz w:val="16"/>
        </w:rPr>
        <w:t xml:space="preserve">, to decrease the time in which fundamental science discoveries are translated into practical technologies. </w:t>
      </w:r>
      <w:r w:rsidRPr="008C4732">
        <w:rPr>
          <w:rStyle w:val="StyleBoldUnderline"/>
        </w:rPr>
        <w:t>We need to re-infuse our research communities with the characteristically American spirit of competitiveness</w:t>
      </w:r>
      <w:r w:rsidRPr="008C4732">
        <w:rPr>
          <w:sz w:val="16"/>
        </w:rPr>
        <w:t xml:space="preserve"> to drive our success in a more competitive age. </w:t>
      </w:r>
      <w:r w:rsidRPr="008C4732">
        <w:rPr>
          <w:rStyle w:val="StyleBoldUnderline"/>
        </w:rPr>
        <w:t>American leadership in the 21st Century requires that American scientists strongly participate in basic research</w:t>
      </w:r>
      <w:r w:rsidRPr="008C4732">
        <w:rPr>
          <w:sz w:val="16"/>
        </w:rPr>
        <w:t>, and stay current with a body of basic science in a globalized research environment. Leadership also requires that we facilitate and expedite the creation of practical applications and knowledge from the fund of basic science. Being first to codify and utilize basic science is more important than being alone in possession of the fund.</w:t>
      </w:r>
    </w:p>
    <w:p w:rsidR="007C6AC9" w:rsidRPr="007C6AC9" w:rsidRDefault="007C6AC9" w:rsidP="007C6AC9"/>
    <w:p w:rsidR="00756B88" w:rsidRDefault="00756B88" w:rsidP="00756B88">
      <w:pPr>
        <w:pStyle w:val="Heading1"/>
      </w:pPr>
      <w:r>
        <w:lastRenderedPageBreak/>
        <w:t>DISADS</w:t>
      </w:r>
    </w:p>
    <w:p w:rsidR="0017246A" w:rsidRDefault="0017246A" w:rsidP="0017246A">
      <w:pPr>
        <w:pStyle w:val="Heading2"/>
      </w:pPr>
      <w:r>
        <w:lastRenderedPageBreak/>
        <w:t>Bioprospecting DA</w:t>
      </w:r>
    </w:p>
    <w:p w:rsidR="0017246A" w:rsidRDefault="0017246A" w:rsidP="0017246A">
      <w:pPr>
        <w:pStyle w:val="Heading3"/>
      </w:pPr>
      <w:r>
        <w:lastRenderedPageBreak/>
        <w:t>UQ</w:t>
      </w:r>
    </w:p>
    <w:p w:rsidR="0017246A" w:rsidRDefault="0017246A" w:rsidP="0017246A">
      <w:pPr>
        <w:pStyle w:val="Heading4"/>
      </w:pPr>
      <w:r>
        <w:t xml:space="preserve">Current bioprospecting activities are small-scale and limited </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Default="0017246A" w:rsidP="0017246A">
      <w:pPr>
        <w:rPr>
          <w:sz w:val="16"/>
          <w:szCs w:val="16"/>
        </w:rPr>
      </w:pPr>
      <w:r w:rsidRPr="00213239">
        <w:rPr>
          <w:rStyle w:val="StyleBoldUnderline"/>
        </w:rPr>
        <w:t>Exploration activities related to deep seabed ecosystems are described</w:t>
      </w:r>
      <w:r w:rsidRPr="00206C6D">
        <w:rPr>
          <w:sz w:val="16"/>
          <w:szCs w:val="16"/>
        </w:rPr>
        <w:t xml:space="preserve"> in a 2005 United Nations University</w:t>
      </w:r>
      <w:r>
        <w:rPr>
          <w:sz w:val="16"/>
          <w:szCs w:val="16"/>
        </w:rPr>
        <w:t xml:space="preserve"> </w:t>
      </w:r>
      <w:r w:rsidRPr="00206C6D">
        <w:rPr>
          <w:sz w:val="16"/>
          <w:szCs w:val="16"/>
        </w:rPr>
        <w:t>lnstitute of Advanced Studies (UNUIIAS) report on "Bioprospecting of Genetic Resources in the Deep Seabed: Scientitic, Legal and Policy Aspects</w:t>
      </w:r>
      <w:r w:rsidRPr="00213239">
        <w:rPr>
          <w:rStyle w:val="StyleBoldUnderline"/>
        </w:rPr>
        <w:t>" as "scattered, small scale, independent research activities and programmes ongoing in many universities and research institutions in the world" which while not directly commercially oriented represent the backbone of any commercial application of deep seabed genetic resources as they generate the necessary scientific information</w:t>
      </w:r>
      <w:r w:rsidRPr="00206C6D">
        <w:rPr>
          <w:sz w:val="16"/>
          <w:szCs w:val="16"/>
        </w:rPr>
        <w:t xml:space="preserve"> for bioprospecting." The report contains several examples of joint public and private ventures involved in deep seabed exploration which operate at the interface of research and development, linking research activities with the development of products and processes." </w:t>
      </w:r>
      <w:r w:rsidRPr="00213239">
        <w:rPr>
          <w:rStyle w:val="StyleBoldUnderline"/>
        </w:rPr>
        <w:t>The majority of research cruises to the deep sea are conducted by state sponsored operators but there are now numerous examples of the results of such cruises being shared by state research institutions with commercial enterprises</w:t>
      </w:r>
      <w:r w:rsidRPr="00206C6D">
        <w:rPr>
          <w:sz w:val="16"/>
          <w:szCs w:val="16"/>
        </w:rPr>
        <w:t xml:space="preserve"> under joint venture agreements." The list of patents involving genetic resources from the deep seabed is steadily growing and reveals increasing potential for sustained commercial interest and investment in this use of </w:t>
      </w:r>
      <w:r>
        <w:rPr>
          <w:sz w:val="16"/>
          <w:szCs w:val="16"/>
        </w:rPr>
        <w:t>the</w:t>
      </w:r>
      <w:r w:rsidRPr="00206C6D">
        <w:rPr>
          <w:sz w:val="16"/>
          <w:szCs w:val="16"/>
        </w:rPr>
        <w:t xml:space="preserve"> deep seabed which has already eclipsed current commercial interest in mining for deep seabed minerals."</w:t>
      </w:r>
    </w:p>
    <w:p w:rsidR="0017246A" w:rsidRDefault="0017246A" w:rsidP="0017246A">
      <w:pPr>
        <w:pStyle w:val="Heading4"/>
      </w:pPr>
      <w:r>
        <w:t>Current bioprospecting is limited by consensus but increased volume wrecks ecosystems – it’s on the brink</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Pr="00141DF5" w:rsidRDefault="0017246A" w:rsidP="0017246A">
      <w:pPr>
        <w:rPr>
          <w:sz w:val="16"/>
          <w:szCs w:val="16"/>
        </w:rPr>
      </w:pPr>
      <w:r w:rsidRPr="00141DF5">
        <w:rPr>
          <w:rStyle w:val="StyleBoldUnderline"/>
        </w:rPr>
        <w:t>The remote nature and extreme conditions of deep seabed environments impose automatic limitations on the numbers of scientific expeditions whi</w:t>
      </w:r>
      <w:r>
        <w:rPr>
          <w:rStyle w:val="StyleBoldUnderline"/>
        </w:rPr>
        <w:t>ch can reach areas deeper than1</w:t>
      </w:r>
      <w:r w:rsidRPr="00141DF5">
        <w:rPr>
          <w:rStyle w:val="StyleBoldUnderline"/>
        </w:rPr>
        <w:t>000 metres</w:t>
      </w:r>
      <w:r w:rsidRPr="00141DF5">
        <w:rPr>
          <w:sz w:val="16"/>
          <w:szCs w:val="16"/>
        </w:rPr>
        <w:t xml:space="preserve"> below the surface of the ocean."</w:t>
      </w:r>
      <w:r>
        <w:rPr>
          <w:sz w:val="16"/>
          <w:szCs w:val="16"/>
        </w:rPr>
        <w:t xml:space="preserve"> Nevertheless th</w:t>
      </w:r>
      <w:r w:rsidRPr="00141DF5">
        <w:rPr>
          <w:sz w:val="16"/>
          <w:szCs w:val="16"/>
        </w:rPr>
        <w:t xml:space="preserve">ere are now a wide array of independent public and private research institutions engaged in deep seabed research with </w:t>
      </w:r>
      <w:r>
        <w:rPr>
          <w:sz w:val="16"/>
          <w:szCs w:val="16"/>
        </w:rPr>
        <w:t>defin</w:t>
      </w:r>
      <w:r w:rsidRPr="00141DF5">
        <w:rPr>
          <w:sz w:val="16"/>
          <w:szCs w:val="16"/>
        </w:rPr>
        <w:t xml:space="preserve">ite physical impacts on the marine environment." Several commentators note that </w:t>
      </w:r>
      <w:r w:rsidRPr="00141DF5">
        <w:rPr>
          <w:rStyle w:val="StyleBoldUnderline"/>
        </w:rPr>
        <w:t>deep sea science has now moved from a descriptive and observational phase to a more interventionist stage which involves sampling and the installation of scientific equipment on the deep sea floor to conduct in situ experiments</w:t>
      </w:r>
      <w:r w:rsidRPr="00141DF5">
        <w:rPr>
          <w:sz w:val="16"/>
          <w:szCs w:val="16"/>
        </w:rPr>
        <w:t xml:space="preserve">." A 2005 United Nations University/Institute of Advanced Studies report on Bioprospecting of Genetic Resources on the Deep Seabed describes the second American Museum of Natural History black smokers expedition to the Endeavour segment of the Juan de Fuca mid ocean ridge which removed four chimneys of several tons each from this hydrothermal vent area at a depth of 2,300 metres." Other reported impacts include the removal of benthic fauna and the introduction of alien elements such as light and noise into the deep sea environment." Some deep sea experiments have resulted in changes of water temperature and the disposal of biological material in areas different from the sampling area. </w:t>
      </w:r>
      <w:r w:rsidRPr="00141DF5">
        <w:rPr>
          <w:rStyle w:val="StyleBoldUnderline"/>
        </w:rPr>
        <w:t>Scientists are also concerned about the rising frequency of visits to hydrothermal vents and the pressure caused by concentrated observation and sampling on a few well known vent communities which have been subjected to multiple research expeditions</w:t>
      </w:r>
      <w:r w:rsidRPr="00141DF5">
        <w:rPr>
          <w:sz w:val="16"/>
          <w:szCs w:val="16"/>
        </w:rPr>
        <w:t xml:space="preserve">." </w:t>
      </w:r>
      <w:r w:rsidRPr="00141DF5">
        <w:rPr>
          <w:rStyle w:val="StyleBoldUnderline"/>
        </w:rPr>
        <w:t>The absence of restrictions on access to the deep seabed has led to different research institutions proposing duplicate and incompatible scientific experiments for the same deep seabed area</w:t>
      </w:r>
      <w:r w:rsidRPr="00141DF5">
        <w:rPr>
          <w:sz w:val="16"/>
          <w:szCs w:val="16"/>
        </w:rPr>
        <w:t xml:space="preserve">." </w:t>
      </w:r>
      <w:r w:rsidRPr="00141DF5">
        <w:rPr>
          <w:rStyle w:val="StyleBoldUnderline"/>
        </w:rPr>
        <w:t>While the deep sea scientists themselves have begun to impose some constraints on their research expeditions through a research reserve system</w:t>
      </w:r>
      <w:r w:rsidRPr="00141DF5">
        <w:rPr>
          <w:sz w:val="16"/>
          <w:szCs w:val="16"/>
        </w:rPr>
        <w:t xml:space="preserve"> </w:t>
      </w:r>
      <w:r w:rsidRPr="00141DF5">
        <w:rPr>
          <w:rStyle w:val="StyleBoldUnderline"/>
        </w:rPr>
        <w:t>which operates by consensus</w:t>
      </w:r>
      <w:r w:rsidRPr="00141DF5">
        <w:rPr>
          <w:sz w:val="16"/>
          <w:szCs w:val="16"/>
        </w:rPr>
        <w:t xml:space="preserve"> between scientists, </w:t>
      </w:r>
      <w:r w:rsidRPr="00141DF5">
        <w:rPr>
          <w:rStyle w:val="StyleBoldUnderline"/>
        </w:rPr>
        <w:t>amplified research of deep seabed sites in the future may require a more systematic approach where access to certain sites is controlled to reduce adverse impacts on the marine environment</w:t>
      </w:r>
      <w:r w:rsidRPr="00141DF5">
        <w:rPr>
          <w:sz w:val="16"/>
          <w:szCs w:val="16"/>
        </w:rPr>
        <w:t>."</w:t>
      </w:r>
    </w:p>
    <w:p w:rsidR="0017246A" w:rsidRDefault="0017246A" w:rsidP="0017246A">
      <w:pPr>
        <w:pStyle w:val="Heading4"/>
      </w:pPr>
      <w:r>
        <w:t>Deep-sea research has been limited so far – aff opens it up to commercial exploitation</w:t>
      </w:r>
    </w:p>
    <w:p w:rsidR="0017246A" w:rsidRPr="00141DF5" w:rsidRDefault="0017246A" w:rsidP="0017246A">
      <w:pPr>
        <w:rPr>
          <w:sz w:val="16"/>
          <w:szCs w:val="16"/>
        </w:rPr>
      </w:pPr>
      <w:r w:rsidRPr="00141DF5">
        <w:rPr>
          <w:rStyle w:val="StyleStyleBold12pt"/>
        </w:rPr>
        <w:t>Leary 04</w:t>
      </w:r>
      <w:r w:rsidRPr="00141DF5">
        <w:rPr>
          <w:sz w:val="16"/>
          <w:szCs w:val="16"/>
        </w:rPr>
        <w:t xml:space="preserve"> (David K., “Bioprospecting and the Genetic Resources of Hydrothermal Vents on the High Seas: What is the Existing Legal Position, Where are we Heading and What are our Options?”, Macquarie Journal of International and Comparative Environmental Law 7, 2004, http://www.austlii.edu.au/au/journals/MqJlICEnvLaw/2004/7.html#Heading58)</w:t>
      </w:r>
    </w:p>
    <w:p w:rsidR="0017246A" w:rsidRPr="00141DF5" w:rsidRDefault="0017246A" w:rsidP="0017246A">
      <w:pPr>
        <w:rPr>
          <w:sz w:val="16"/>
          <w:szCs w:val="16"/>
        </w:rPr>
      </w:pPr>
      <w:r w:rsidRPr="00141DF5">
        <w:rPr>
          <w:rStyle w:val="StyleBoldUnderline"/>
        </w:rPr>
        <w:lastRenderedPageBreak/>
        <w:t>So far sample collection from hydrothermal vents is exclusively conducted by scientific research institutions</w:t>
      </w:r>
      <w:r w:rsidRPr="00141DF5">
        <w:rPr>
          <w:sz w:val="16"/>
          <w:szCs w:val="16"/>
        </w:rPr>
        <w:t>. There are numerous national research institutions involved in research in relation to hydrothermal vents. These include the Japan Agency for Marine Earth Science and Technology (formerly the Japan Marine Science and Technology Centre) (</w:t>
      </w:r>
      <w:r w:rsidRPr="00141DF5">
        <w:rPr>
          <w:rStyle w:val="StyleBoldUnderline"/>
        </w:rPr>
        <w:t>JAMSTEC)</w:t>
      </w:r>
      <w:r w:rsidRPr="00141DF5">
        <w:rPr>
          <w:sz w:val="16"/>
          <w:szCs w:val="16"/>
        </w:rPr>
        <w:t>, Australia’s Commonwealth Scientific Industrial and Research Organisation (</w:t>
      </w:r>
      <w:r w:rsidRPr="00141DF5">
        <w:rPr>
          <w:rStyle w:val="StyleBoldUnderline"/>
        </w:rPr>
        <w:t>CSIRO</w:t>
      </w:r>
      <w:r w:rsidRPr="00141DF5">
        <w:rPr>
          <w:sz w:val="16"/>
          <w:szCs w:val="16"/>
        </w:rPr>
        <w:t xml:space="preserve">), Institut français de recherche </w:t>
      </w:r>
      <w:r w:rsidRPr="00141DF5">
        <w:rPr>
          <w:rStyle w:val="StyleBoldUnderline"/>
        </w:rPr>
        <w:t>(IFREMER</w:t>
      </w:r>
      <w:r w:rsidRPr="00141DF5">
        <w:rPr>
          <w:sz w:val="16"/>
          <w:szCs w:val="16"/>
        </w:rPr>
        <w:t>), the Korean Ocean Research and Development Institute (</w:t>
      </w:r>
      <w:r w:rsidRPr="00141DF5">
        <w:rPr>
          <w:rStyle w:val="StyleBoldUnderline"/>
        </w:rPr>
        <w:t>KORDI)</w:t>
      </w:r>
      <w:r w:rsidRPr="00141DF5">
        <w:rPr>
          <w:sz w:val="16"/>
          <w:szCs w:val="16"/>
        </w:rPr>
        <w:t xml:space="preserve">, the Woods Hole Oceanographic Institute, and the New Zealand Institute of Geological and Nuclear Sciences, to name but a few. </w:t>
      </w:r>
      <w:r w:rsidRPr="00141DF5">
        <w:rPr>
          <w:rStyle w:val="StyleBoldUnderline"/>
        </w:rPr>
        <w:t>Commercial interests gain access to samples collected through research collaboration with such institutions, or through national culture collections where samples are deposited by research institutions</w:t>
      </w:r>
      <w:r w:rsidRPr="00141DF5">
        <w:rPr>
          <w:sz w:val="16"/>
          <w:szCs w:val="16"/>
        </w:rPr>
        <w:t>.</w:t>
      </w:r>
      <w:bookmarkStart w:id="1" w:name="fnB53"/>
      <w:r w:rsidRPr="00141DF5">
        <w:rPr>
          <w:sz w:val="16"/>
          <w:szCs w:val="16"/>
        </w:rPr>
        <w:fldChar w:fldCharType="begin"/>
      </w:r>
      <w:r w:rsidRPr="00141DF5">
        <w:rPr>
          <w:sz w:val="16"/>
          <w:szCs w:val="16"/>
        </w:rPr>
        <w:instrText xml:space="preserve"> HYPERLINK "http://www.austlii.edu.au/au/journals/MqJlICEnvLaw/2004/7.html" \l "fn53" </w:instrText>
      </w:r>
      <w:r w:rsidRPr="00141DF5">
        <w:rPr>
          <w:sz w:val="16"/>
          <w:szCs w:val="16"/>
        </w:rPr>
        <w:fldChar w:fldCharType="separate"/>
      </w:r>
      <w:r w:rsidRPr="00141DF5">
        <w:rPr>
          <w:rStyle w:val="Hyperlink"/>
          <w:sz w:val="16"/>
          <w:szCs w:val="16"/>
        </w:rPr>
        <w:t>[52]</w:t>
      </w:r>
      <w:r w:rsidRPr="00141DF5">
        <w:rPr>
          <w:sz w:val="16"/>
          <w:szCs w:val="16"/>
        </w:rPr>
        <w:fldChar w:fldCharType="end"/>
      </w:r>
      <w:bookmarkEnd w:id="1"/>
      <w:r w:rsidRPr="00141DF5">
        <w:rPr>
          <w:sz w:val="16"/>
          <w:szCs w:val="16"/>
        </w:rPr>
        <w:t xml:space="preserve"> There are a number of examples of scientific research institutions, Universities, and National Culture Collections that are involved in collaborative research with industry. For example, the Frontier Research program for extremophiles at JAMSTEC collaborates with industry on the development of biotechnology from extremophiles collected by JAMSTEC through its Bioventure Centre</w:t>
      </w:r>
      <w:r w:rsidRPr="00141DF5">
        <w:rPr>
          <w:rStyle w:val="StyleBoldUnderline"/>
        </w:rPr>
        <w:t>. There is no substantiated evidence that any company has mounted their own dive</w:t>
      </w:r>
      <w:r w:rsidRPr="00141DF5">
        <w:rPr>
          <w:sz w:val="16"/>
          <w:szCs w:val="16"/>
        </w:rPr>
        <w:t xml:space="preserve"> (as distinct from those in collaboration with scientific research institutions) to hydrothermal </w:t>
      </w:r>
      <w:r w:rsidRPr="00141DF5">
        <w:rPr>
          <w:rStyle w:val="StyleBoldUnderline"/>
        </w:rPr>
        <w:t>vents for sample collection purposes</w:t>
      </w:r>
      <w:r w:rsidRPr="00141DF5">
        <w:rPr>
          <w:sz w:val="16"/>
          <w:szCs w:val="16"/>
        </w:rPr>
        <w:t>. There is anecdotal evidence, though, that at least one company is planning its own series of dives, independent from any research institution. It is not known precisely what the purposes of these dives are or indeed whether such dives have taken place.</w:t>
      </w:r>
      <w:bookmarkStart w:id="2" w:name="fnB54"/>
      <w:r w:rsidRPr="00141DF5">
        <w:rPr>
          <w:sz w:val="16"/>
          <w:szCs w:val="16"/>
        </w:rPr>
        <w:fldChar w:fldCharType="begin"/>
      </w:r>
      <w:r w:rsidRPr="00141DF5">
        <w:rPr>
          <w:sz w:val="16"/>
          <w:szCs w:val="16"/>
        </w:rPr>
        <w:instrText xml:space="preserve"> HYPERLINK "http://www.austlii.edu.au/au/journals/MqJlICEnvLaw/2004/7.html" \l "fn54" </w:instrText>
      </w:r>
      <w:r w:rsidRPr="00141DF5">
        <w:rPr>
          <w:sz w:val="16"/>
          <w:szCs w:val="16"/>
        </w:rPr>
        <w:fldChar w:fldCharType="separate"/>
      </w:r>
      <w:r w:rsidRPr="00141DF5">
        <w:rPr>
          <w:rStyle w:val="Hyperlink"/>
          <w:sz w:val="16"/>
          <w:szCs w:val="16"/>
        </w:rPr>
        <w:t>[53]</w:t>
      </w:r>
      <w:r w:rsidRPr="00141DF5">
        <w:rPr>
          <w:sz w:val="16"/>
          <w:szCs w:val="16"/>
        </w:rPr>
        <w:fldChar w:fldCharType="end"/>
      </w:r>
      <w:bookmarkEnd w:id="2"/>
    </w:p>
    <w:p w:rsidR="0017246A" w:rsidRPr="00206C6D" w:rsidRDefault="0017246A" w:rsidP="0017246A"/>
    <w:p w:rsidR="0017246A" w:rsidRPr="00A227BD" w:rsidRDefault="0017246A" w:rsidP="0017246A">
      <w:pPr>
        <w:pStyle w:val="Heading3"/>
      </w:pPr>
      <w:r>
        <w:lastRenderedPageBreak/>
        <w:t>Links – Environment Impact</w:t>
      </w:r>
    </w:p>
    <w:p w:rsidR="0017246A" w:rsidRPr="00213239" w:rsidRDefault="0017246A" w:rsidP="0017246A">
      <w:pPr>
        <w:pStyle w:val="Heading4"/>
      </w:pPr>
      <w:r w:rsidRPr="00213239">
        <w:t>Ocean exploration is too unregulated – leads to mining and fishing that destroy the environment before we know what we’re doing to it</w:t>
      </w:r>
    </w:p>
    <w:p w:rsidR="0017246A" w:rsidRPr="00A227BD" w:rsidRDefault="0017246A" w:rsidP="0017246A">
      <w:pPr>
        <w:rPr>
          <w:sz w:val="16"/>
          <w:szCs w:val="16"/>
        </w:rPr>
      </w:pPr>
      <w:r w:rsidRPr="00A227BD">
        <w:rPr>
          <w:rStyle w:val="StyleStyleBold12pt"/>
        </w:rPr>
        <w:t>Levitt 10</w:t>
      </w:r>
      <w:r w:rsidRPr="00A227BD">
        <w:rPr>
          <w:sz w:val="16"/>
          <w:szCs w:val="16"/>
        </w:rPr>
        <w:t xml:space="preserve"> (Tom, “How deep-sea mining could destroy the 'cradle of life on earth'”, Ecologist, 10/28/10, www.theecologist.org/News/news_analysis/653840/how_deepsea_mining_could_destroy_the_cradle_of_life_on_earth.html)</w:t>
      </w:r>
    </w:p>
    <w:p w:rsidR="0017246A" w:rsidRDefault="0017246A" w:rsidP="0017246A">
      <w:pPr>
        <w:rPr>
          <w:sz w:val="16"/>
          <w:szCs w:val="16"/>
        </w:rPr>
      </w:pPr>
      <w:r w:rsidRPr="00A227BD">
        <w:rPr>
          <w:sz w:val="16"/>
          <w:szCs w:val="16"/>
        </w:rPr>
        <w:t>I don’t think the project would be allowed to proceed anywhere else in the world based on such a poor analysis of risks,’ says Steiner. The USA is known to have similar deposits off the coast of Washington as has Canada but mining is not thought to be imminent. Dr Fujita suggests Nautilus is just the latest overseas mining giant to take advantage of lax regulations in the country. ‘In PNG they have a poor record of mining on land resulting in lots of poor conditions and that bad record and lack of oversight is now moving from land to sea,’ he says.</w:t>
      </w:r>
      <w:r w:rsidRPr="00A227BD">
        <w:rPr>
          <w:rFonts w:ascii="MS Gothic" w:eastAsia="MS Gothic" w:hAnsi="MS Gothic" w:cs="MS Gothic" w:hint="eastAsia"/>
          <w:sz w:val="16"/>
          <w:szCs w:val="16"/>
        </w:rPr>
        <w:t>  </w:t>
      </w:r>
      <w:r w:rsidRPr="00A227BD">
        <w:rPr>
          <w:sz w:val="16"/>
          <w:szCs w:val="16"/>
        </w:rPr>
        <w:t xml:space="preserve"> Only this week the PNG government was accused by Greenpeace of allowing rampant logging and failing to respect the rights of indigenous groups who depend on the forests. Nautilus has reportedly suggested the country would benefit by more than $200 million from the mining but Steiner says the benefits to local people or the economy of PNG were likely to be disproportionately low compared to the scale and risk of the project. ‘While the project could gross almost $1 billion USD in its 30-month lifetime, it expects to provide only $41 million in total taxes and royalties to the government, a $1.5 million development fund and a few dozen jobs at most to PNG nationals,’ he said. Prof Steiner is also acting as a science advisor to Mas Kagin, a group formed in 2008 to give a voice to coastal indigenous people in PNG oppose any commercial mining. The group says it depends on the coastal waters for their ‘livelihood, culture and way of life’ and has a right to oppose the seabed mining. In a </w:t>
      </w:r>
      <w:r w:rsidR="00DA51D8">
        <w:fldChar w:fldCharType="begin"/>
      </w:r>
      <w:r w:rsidR="00DA51D8">
        <w:instrText xml:space="preserve"> HYPERLINK "http://www.youtube.com/watch?v=nK3ln2E9ZlU&amp;feature=channel" \t "_self" </w:instrText>
      </w:r>
      <w:r w:rsidR="00DA51D8">
        <w:fldChar w:fldCharType="separate"/>
      </w:r>
      <w:r w:rsidRPr="00A227BD">
        <w:rPr>
          <w:rStyle w:val="Hyperlink"/>
          <w:sz w:val="16"/>
          <w:szCs w:val="16"/>
        </w:rPr>
        <w:t>campaign video community groups</w:t>
      </w:r>
      <w:r w:rsidR="00DA51D8">
        <w:rPr>
          <w:rStyle w:val="Hyperlink"/>
          <w:sz w:val="16"/>
          <w:szCs w:val="16"/>
        </w:rPr>
        <w:fldChar w:fldCharType="end"/>
      </w:r>
      <w:r w:rsidRPr="00A227BD">
        <w:rPr>
          <w:sz w:val="16"/>
          <w:szCs w:val="16"/>
        </w:rPr>
        <w:t>from two provinces expressed their fears.</w:t>
      </w:r>
      <w:r w:rsidRPr="00A227BD">
        <w:rPr>
          <w:rFonts w:ascii="MS Gothic" w:eastAsia="MS Gothic" w:hAnsi="MS Gothic" w:cs="MS Gothic" w:hint="eastAsia"/>
          <w:sz w:val="16"/>
          <w:szCs w:val="16"/>
        </w:rPr>
        <w:t>  </w:t>
      </w:r>
      <w:r w:rsidRPr="00A227BD">
        <w:rPr>
          <w:sz w:val="16"/>
          <w:szCs w:val="16"/>
        </w:rPr>
        <w:t xml:space="preserve"> ‘When we first heard that Nautilus was going to mine the seabed using technology that had never been used anywhere else it felt as though we were becoming a science lab…and our very lives part of an experiment to test this new technology,’ it says. </w:t>
      </w:r>
      <w:r w:rsidRPr="00A227BD">
        <w:rPr>
          <w:rStyle w:val="StyleBoldUnderline"/>
        </w:rPr>
        <w:t xml:space="preserve">Nautilus conducted workshops with local villages to explain its proposals but rejected calls to set up a permanent citizens advisory council. The company also declined to respond to concerns raised in this article but has previously said it took great pride in ‘leading the mining industry into the deep ocean’. </w:t>
      </w:r>
      <w:r w:rsidRPr="00A227BD">
        <w:rPr>
          <w:rStyle w:val="StyleBoldUnderline"/>
          <w:rFonts w:ascii="MS Gothic" w:eastAsia="MS Gothic" w:hAnsi="MS Gothic" w:cs="MS Gothic" w:hint="eastAsia"/>
        </w:rPr>
        <w:t>  </w:t>
      </w:r>
      <w:r w:rsidRPr="00A227BD">
        <w:rPr>
          <w:rStyle w:val="StyleBoldUnderline"/>
        </w:rPr>
        <w:t xml:space="preserve"> Opening the floodgates It has estimated several billions tons of copper could be extracted from seafloor sites around the world</w:t>
      </w:r>
      <w:r w:rsidRPr="00A227BD">
        <w:rPr>
          <w:sz w:val="16"/>
          <w:szCs w:val="16"/>
        </w:rPr>
        <w:t xml:space="preserve">. Dr Tyler acknowledges that </w:t>
      </w:r>
      <w:r w:rsidRPr="00A227BD">
        <w:rPr>
          <w:rStyle w:val="StyleBoldUnderline"/>
        </w:rPr>
        <w:t>the deep-sea has ‘not even had its surface scratched with what it might contribute to the economy’ but fears PNG’s decision to approve Nautilus mining plans will ‘open the floodgates’ before proper assessments have been made of the impact</w:t>
      </w:r>
      <w:r w:rsidRPr="00A227BD">
        <w:rPr>
          <w:sz w:val="16"/>
          <w:szCs w:val="16"/>
        </w:rPr>
        <w:t xml:space="preserve">. </w:t>
      </w:r>
      <w:r w:rsidRPr="00A227BD">
        <w:rPr>
          <w:rStyle w:val="StyleBoldUnderline"/>
        </w:rPr>
        <w:t>China is known to be seeking to mine similar deposits in the South-West Indian Ocean</w:t>
      </w:r>
      <w:r w:rsidRPr="00A227BD">
        <w:rPr>
          <w:sz w:val="16"/>
          <w:szCs w:val="16"/>
        </w:rPr>
        <w:t xml:space="preserve">. </w:t>
      </w:r>
      <w:r w:rsidRPr="00A227BD">
        <w:rPr>
          <w:rStyle w:val="StyleBoldUnderline"/>
        </w:rPr>
        <w:t>‘Deep-sea fishing is a good example. We can ring alarm bells but there is no regulation of it.</w:t>
      </w:r>
      <w:r w:rsidRPr="00A227BD">
        <w:rPr>
          <w:sz w:val="16"/>
          <w:szCs w:val="16"/>
        </w:rPr>
        <w:t xml:space="preserve"> </w:t>
      </w:r>
      <w:r w:rsidRPr="00A227BD">
        <w:rPr>
          <w:rStyle w:val="StyleBoldUnderline"/>
        </w:rPr>
        <w:t>If I had my way the whole area of deep-sea would become a protected area and people who want to exploit it would have to apply to a body who can ensure that they were doing a proper environmental analysis</w:t>
      </w:r>
      <w:r w:rsidRPr="00A227BD">
        <w:rPr>
          <w:sz w:val="16"/>
          <w:szCs w:val="16"/>
        </w:rPr>
        <w:t xml:space="preserve"> before they were allowed to exploit it. </w:t>
      </w:r>
      <w:r w:rsidRPr="00A227BD">
        <w:rPr>
          <w:rStyle w:val="StyleBoldUnderline"/>
        </w:rPr>
        <w:t>At the moment there is no requirement at all and we end up looking at the damage done</w:t>
      </w:r>
      <w:r w:rsidRPr="00A227BD">
        <w:rPr>
          <w:sz w:val="16"/>
          <w:szCs w:val="16"/>
        </w:rPr>
        <w:t>,’ he says. Steiner agrees and says there is too much wrong with the PNG project: ‘the way this first deep-sea mine proceeds will set the tone for all others, and this is a very, very bad start’. He argues investment in reusing copper and gold made more sense than continuing to pay mining companies to take bigger risks in an effort to dig up more. ‘The global economy simply does not need the gold or copper that would be recovered at these deep-sea hydrothermal vents. We know how to recycle and reuse much of the copper already up out of the ground, run through the economy, and discarded in waste dumps. It is a unidirectional waste of resources, energy and money. And we know better.’</w:t>
      </w:r>
    </w:p>
    <w:p w:rsidR="0017246A" w:rsidRPr="00213239" w:rsidRDefault="0017246A" w:rsidP="0017246A">
      <w:pPr>
        <w:pStyle w:val="Heading4"/>
      </w:pPr>
      <w:r w:rsidRPr="00213239">
        <w:t>Deep-ocean exploration leads to dangerous commercial exploitation – profit motive overcomes environmental considerations</w:t>
      </w:r>
    </w:p>
    <w:p w:rsidR="0017246A" w:rsidRPr="00A227BD" w:rsidRDefault="0017246A" w:rsidP="0017246A">
      <w:pPr>
        <w:rPr>
          <w:sz w:val="16"/>
          <w:szCs w:val="16"/>
        </w:rPr>
      </w:pPr>
      <w:r w:rsidRPr="00A227BD">
        <w:rPr>
          <w:rStyle w:val="StyleStyleBold12pt"/>
        </w:rPr>
        <w:t>Ruth 06</w:t>
      </w:r>
      <w:r w:rsidRPr="00A227BD">
        <w:rPr>
          <w:sz w:val="16"/>
          <w:szCs w:val="16"/>
        </w:rPr>
        <w:t xml:space="preserve"> (Laura, “Gambling in the deep sea”, EMBO Reports 7:1, January 2006, http://www.ncbi.nlm.nih.gov/pmc/articles/PMC1369241/</w:t>
      </w:r>
      <w:r>
        <w:rPr>
          <w:sz w:val="16"/>
          <w:szCs w:val="16"/>
        </w:rPr>
        <w:t>)</w:t>
      </w:r>
    </w:p>
    <w:p w:rsidR="0017246A" w:rsidRPr="00A227BD" w:rsidRDefault="0017246A" w:rsidP="0017246A">
      <w:pPr>
        <w:rPr>
          <w:rStyle w:val="StyleBoldUnderline"/>
        </w:rPr>
      </w:pPr>
      <w:r w:rsidRPr="00A227BD">
        <w:rPr>
          <w:rStyle w:val="StyleBoldUnderline"/>
        </w:rPr>
        <w:t>For decades, the depths of the oceans have fascinated researchers.</w:t>
      </w:r>
      <w:r w:rsidRPr="00A227BD">
        <w:rPr>
          <w:sz w:val="16"/>
          <w:szCs w:val="16"/>
        </w:rPr>
        <w:t xml:space="preserve"> The discovery of strange creatures perfectly adapted to eternal darkness, high pressure, and other unusual conditions has raised enormous interest in how life emerged on Earth and how it flourishes in such extreme environments (</w:t>
      </w:r>
      <w:r w:rsidR="00DA51D8">
        <w:fldChar w:fldCharType="begin"/>
      </w:r>
      <w:r w:rsidR="00DA51D8">
        <w:instrText xml:space="preserve"> HYPERLINK "http://www.nc</w:instrText>
      </w:r>
      <w:r w:rsidR="00DA51D8">
        <w:instrText xml:space="preserve">bi.nlm.nih.gov/pmc/articles/PMC1369241/figure/f1/" \t "figure" </w:instrText>
      </w:r>
      <w:r w:rsidR="00DA51D8">
        <w:fldChar w:fldCharType="separate"/>
      </w:r>
      <w:r w:rsidRPr="00A227BD">
        <w:rPr>
          <w:rStyle w:val="Hyperlink"/>
          <w:sz w:val="16"/>
          <w:szCs w:val="16"/>
        </w:rPr>
        <w:t>Fig 1</w:t>
      </w:r>
      <w:r w:rsidR="00DA51D8">
        <w:rPr>
          <w:rStyle w:val="Hyperlink"/>
          <w:sz w:val="16"/>
          <w:szCs w:val="16"/>
        </w:rPr>
        <w:fldChar w:fldCharType="end"/>
      </w:r>
      <w:r w:rsidRPr="00A227BD">
        <w:rPr>
          <w:sz w:val="16"/>
          <w:szCs w:val="16"/>
        </w:rPr>
        <w:t xml:space="preserve">). </w:t>
      </w:r>
      <w:r w:rsidRPr="00A227BD">
        <w:rPr>
          <w:rStyle w:val="StyleBoldUnderline"/>
        </w:rPr>
        <w:t>This abundance of life has also lured researchers and biotech companies to the oceans in the hope of finding unknown genes, proteins, and other compounds that could be exploited commercially</w:t>
      </w:r>
      <w:r w:rsidRPr="00A227BD">
        <w:rPr>
          <w:sz w:val="16"/>
          <w:szCs w:val="16"/>
        </w:rPr>
        <w:t xml:space="preserve">. </w:t>
      </w:r>
      <w:r w:rsidRPr="00A227BD">
        <w:rPr>
          <w:rStyle w:val="StyleBoldUnderline"/>
        </w:rPr>
        <w:t>Despite the enormous costs that still pose a considerable barrier to deep-sea research and exploitation, some now worry about the negative side effects of deep-sea bioprospecting</w:t>
      </w:r>
      <w:r w:rsidRPr="00A227BD">
        <w:rPr>
          <w:sz w:val="16"/>
          <w:szCs w:val="16"/>
        </w:rPr>
        <w:t>. Scientists, entrepreneurs, politicians and legal experts have begun to debate problematic issues, such as the preservation of deep-sea biodiversity, habitat protection and sharing of benefits. Their aim is to draft international regulations to prevent environmental and scientific tragedies without hampering discovery. Scientists have made—and continue to make—exciting discoveries in the depths of the oceans. In the early 1980s, Karl Stetter, a microbiologist from the University of Regensburg, Germany, discovered a hyperthermophilic archaebacterium that flourishes near submarine vents (</w:t>
      </w:r>
      <w:r w:rsidR="00DA51D8">
        <w:fldChar w:fldCharType="begin"/>
      </w:r>
      <w:r w:rsidR="00DA51D8">
        <w:instrText xml:space="preserve"> HYPERLINK "http://www.ncbi.nlm.nih.gov/pmc/articles/PMC1369241/figure/f2/" \t "figure" </w:instrText>
      </w:r>
      <w:r w:rsidR="00DA51D8">
        <w:fldChar w:fldCharType="separate"/>
      </w:r>
      <w:r w:rsidRPr="00A227BD">
        <w:rPr>
          <w:rStyle w:val="Hyperlink"/>
          <w:sz w:val="16"/>
          <w:szCs w:val="16"/>
        </w:rPr>
        <w:t>Fig 2</w:t>
      </w:r>
      <w:r w:rsidR="00DA51D8">
        <w:rPr>
          <w:rStyle w:val="Hyperlink"/>
          <w:sz w:val="16"/>
          <w:szCs w:val="16"/>
        </w:rPr>
        <w:fldChar w:fldCharType="end"/>
      </w:r>
      <w:r w:rsidRPr="00A227BD">
        <w:rPr>
          <w:sz w:val="16"/>
          <w:szCs w:val="16"/>
        </w:rPr>
        <w:t>) at temperatures of about 100 °C (</w:t>
      </w:r>
      <w:hyperlink r:id="rId63" w:anchor="b6" w:history="1">
        <w:r w:rsidRPr="00A227BD">
          <w:rPr>
            <w:rStyle w:val="Hyperlink"/>
            <w:sz w:val="16"/>
            <w:szCs w:val="16"/>
          </w:rPr>
          <w:t>Stetter, 1982</w:t>
        </w:r>
      </w:hyperlink>
      <w:r w:rsidRPr="00A227BD">
        <w:rPr>
          <w:sz w:val="16"/>
          <w:szCs w:val="16"/>
        </w:rPr>
        <w:t xml:space="preserve">). Stetter and his colleagues described another archaebacterium in 2002, termedNanoarchaeum equitans. This organism is parasitic with an unusually small ribosomal </w:t>
      </w:r>
      <w:r w:rsidRPr="00A227BD">
        <w:rPr>
          <w:sz w:val="16"/>
          <w:szCs w:val="16"/>
        </w:rPr>
        <w:lastRenderedPageBreak/>
        <w:t>RNA and now represents a new phylum in the bacterial world (</w:t>
      </w:r>
      <w:hyperlink r:id="rId64" w:anchor="b9" w:history="1">
        <w:r w:rsidRPr="00A227BD">
          <w:rPr>
            <w:rStyle w:val="Hyperlink"/>
            <w:sz w:val="16"/>
            <w:szCs w:val="16"/>
          </w:rPr>
          <w:t>Waters et al, 2003</w:t>
        </w:r>
      </w:hyperlink>
      <w:r w:rsidRPr="00A227BD">
        <w:rPr>
          <w:sz w:val="16"/>
          <w:szCs w:val="16"/>
        </w:rPr>
        <w:t xml:space="preserve">; </w:t>
      </w:r>
      <w:hyperlink r:id="rId65" w:anchor="b4" w:history="1">
        <w:r w:rsidRPr="00A227BD">
          <w:rPr>
            <w:rStyle w:val="Hyperlink"/>
            <w:sz w:val="16"/>
            <w:szCs w:val="16"/>
          </w:rPr>
          <w:t>Huber et al, 2002</w:t>
        </w:r>
      </w:hyperlink>
      <w:r w:rsidRPr="00A227BD">
        <w:rPr>
          <w:sz w:val="16"/>
          <w:szCs w:val="16"/>
        </w:rPr>
        <w:t>). he first six months of 2005 saw the publication of the discovery of a jellyfish that uses red fluorescent flashes to lure fish (</w:t>
      </w:r>
      <w:hyperlink r:id="rId66" w:anchor="b3" w:history="1">
        <w:r w:rsidRPr="00A227BD">
          <w:rPr>
            <w:rStyle w:val="Hyperlink"/>
            <w:sz w:val="16"/>
            <w:szCs w:val="16"/>
          </w:rPr>
          <w:t>Haddock et al, 2005</w:t>
        </w:r>
      </w:hyperlink>
      <w:r w:rsidRPr="00A227BD">
        <w:rPr>
          <w:sz w:val="16"/>
          <w:szCs w:val="16"/>
        </w:rPr>
        <w:t>) and the genome sequence of Photobacterium profundumstrain SS9 (</w:t>
      </w:r>
      <w:hyperlink r:id="rId67" w:anchor="b8" w:history="1">
        <w:r w:rsidRPr="00A227BD">
          <w:rPr>
            <w:rStyle w:val="Hyperlink"/>
            <w:sz w:val="16"/>
            <w:szCs w:val="16"/>
          </w:rPr>
          <w:t>Vezzi et al, 2005</w:t>
        </w:r>
      </w:hyperlink>
      <w:r w:rsidRPr="00A227BD">
        <w:rPr>
          <w:sz w:val="16"/>
          <w:szCs w:val="16"/>
        </w:rPr>
        <w:t>), 20 years after the microorganism was isolated from an amphipod animal living 2,500 m deep in the Philippine Sulu Sea (</w:t>
      </w:r>
      <w:hyperlink r:id="rId68" w:anchor="b10" w:history="1">
        <w:r w:rsidRPr="00A227BD">
          <w:rPr>
            <w:rStyle w:val="Hyperlink"/>
            <w:sz w:val="16"/>
            <w:szCs w:val="16"/>
          </w:rPr>
          <w:t>Yayanos, 1995</w:t>
        </w:r>
      </w:hyperlink>
      <w:r w:rsidRPr="00A227BD">
        <w:rPr>
          <w:sz w:val="16"/>
          <w:szCs w:val="16"/>
        </w:rPr>
        <w:t>). Tim Shank, a biologist at Woods Hole Oceanographic Institution (WHOI; Woods Hole, MA, USA), is studying a worm that lives at 80 °C in an oily tar-like pit near submarine vents. The organism lives in the presence of carcinogenic amounts of polyaromatic hydrocarbons, but does not develop cancer. According to Shank, studying the DNA-repair mechanisms of the organism may lead to new insights about cancer growth and even possible treatments. Shank's research is just one example of the potential commercial possibilities emerging from the genetic wealth in the deep sea, sometimes coined ‘blue gold'. Until now, only a few products have made it from research to market. Diversa (San Diego, CA, USA) and New England Biolabs (NEB; Ipswich, MA, USA) sell DNA polymerases isolated from deep-sea vents that offer advantages such as increased thermostability and improved proofreading capabilities for the polymerase chain reaction. Sederma (Le Perray en Yvelines, France) sells Venuceane™, a skin protection product that includes a radical-scavenging enzyme originally discovered in extremophile bacteria from the Gulf of California (</w:t>
      </w:r>
      <w:hyperlink r:id="rId69" w:anchor="b5" w:history="1">
        <w:r w:rsidRPr="00A227BD">
          <w:rPr>
            <w:rStyle w:val="Hyperlink"/>
            <w:sz w:val="16"/>
            <w:szCs w:val="16"/>
          </w:rPr>
          <w:t>Lintner et al, 2002</w:t>
        </w:r>
      </w:hyperlink>
      <w:r w:rsidRPr="00A227BD">
        <w:rPr>
          <w:sz w:val="16"/>
          <w:szCs w:val="16"/>
        </w:rPr>
        <w:t>). However, the global sales of marine biotechnology products in 2002, including anti-cancer compounds, antibiotics and antivirals, were estimated at about US$2.4 billion (</w:t>
      </w:r>
      <w:hyperlink r:id="rId70" w:anchor="b2" w:history="1">
        <w:r w:rsidRPr="00A227BD">
          <w:rPr>
            <w:rStyle w:val="Hyperlink"/>
            <w:sz w:val="16"/>
            <w:szCs w:val="16"/>
          </w:rPr>
          <w:t>BCC, 2003</w:t>
        </w:r>
      </w:hyperlink>
      <w:r w:rsidRPr="00A227BD">
        <w:rPr>
          <w:sz w:val="16"/>
          <w:szCs w:val="16"/>
        </w:rPr>
        <w:t xml:space="preserve">). Such a healthy market for products encourages companies and academics to explore the oceans further for interesting organisms. Diversa, which produces enzymes, proteins and biologically active compounds for pharmaceutical, agricultural and industrial use, maintains an active deep-sea research programme, although it is not the focus of their research, according to Leif Christoffersen, Biodiversity Product Manager at Diversa. … a healthy market for products encourages companies and academics to explore the oceans further for interesting organisms </w:t>
      </w:r>
      <w:r w:rsidRPr="00A227BD">
        <w:rPr>
          <w:rStyle w:val="StyleBoldUnderline"/>
        </w:rPr>
        <w:t>However, the lines between academia and industry are becoming increasingly blurred</w:t>
      </w:r>
      <w:r w:rsidRPr="00A227BD">
        <w:rPr>
          <w:sz w:val="16"/>
          <w:szCs w:val="16"/>
        </w:rPr>
        <w:t>. Stetter, one of the world's leading experts on extremophilic archaebacteria, is a co-founder of Diversa. Craig Venter, founder of Celera Genomics, launched the Sorcerer II Expedition in Nova Scotia, Canada, in 2003, to create a genomic catalogue of marine microorganisms. The expedition, now situated off the east coast of Australia, has already shown insights into the diversity and abundance of organisms in samples from the Sargasso Sea near Bermuda (</w:t>
      </w:r>
      <w:hyperlink r:id="rId71" w:anchor="b7" w:history="1">
        <w:r w:rsidRPr="00A227BD">
          <w:rPr>
            <w:rStyle w:val="Hyperlink"/>
            <w:sz w:val="16"/>
            <w:szCs w:val="16"/>
          </w:rPr>
          <w:t>Venter et al, 2004</w:t>
        </w:r>
      </w:hyperlink>
      <w:r w:rsidRPr="00A227BD">
        <w:rPr>
          <w:sz w:val="16"/>
          <w:szCs w:val="16"/>
        </w:rPr>
        <w:t xml:space="preserve">). Melanie Wranaker, media contact at the J. Craig Venter Institute (Rockville, MD, USA), said that the research includes the study of extreme environment sites, such as hydrothermal warm seeps, hypersaline lagoons and low-oxygen environments, which may be similar to deep-sea environments and therefore useful for comparative studies. All data collected will be deposited into the public domain for researchers. The Ocean Genome Legacy (OGL) is another non-profit marine research organization that explores the abundance of life in the deep sea. Their headquarters are located in Ipswich, MA, USA, near NEB, from which the organization receives financial support. </w:t>
      </w:r>
      <w:r w:rsidRPr="00A227BD">
        <w:rPr>
          <w:rStyle w:val="StyleBoldUnderline"/>
        </w:rPr>
        <w:t>One reason why academic scientists and institutions team up with commercial partners is the high cost of deep-sea research. Few countries can afford dedicated academic deep-sea research programmes and equipment such as specialized ships and submarines</w:t>
      </w:r>
      <w:r w:rsidRPr="00A227BD">
        <w:rPr>
          <w:sz w:val="16"/>
          <w:szCs w:val="16"/>
        </w:rPr>
        <w:t xml:space="preserve"> (see </w:t>
      </w:r>
      <w:r w:rsidR="00DA51D8">
        <w:fldChar w:fldCharType="begin"/>
      </w:r>
      <w:r w:rsidR="00DA51D8">
        <w:instrText xml:space="preserve"> HYPERLINK "http://www.</w:instrText>
      </w:r>
      <w:r w:rsidR="00DA51D8">
        <w:instrText xml:space="preserve">ncbi.nlm.nih.gov/pmc/articles/PMC1369241/figure/f3/" \t "figure" </w:instrText>
      </w:r>
      <w:r w:rsidR="00DA51D8">
        <w:fldChar w:fldCharType="separate"/>
      </w:r>
      <w:r w:rsidRPr="00A227BD">
        <w:rPr>
          <w:rStyle w:val="Hyperlink"/>
          <w:sz w:val="16"/>
          <w:szCs w:val="16"/>
        </w:rPr>
        <w:t>Fig 3</w:t>
      </w:r>
      <w:r w:rsidR="00DA51D8">
        <w:rPr>
          <w:rStyle w:val="Hyperlink"/>
          <w:sz w:val="16"/>
          <w:szCs w:val="16"/>
        </w:rPr>
        <w:fldChar w:fldCharType="end"/>
      </w:r>
      <w:r w:rsidRPr="00A227BD">
        <w:rPr>
          <w:sz w:val="16"/>
          <w:szCs w:val="16"/>
        </w:rPr>
        <w:t xml:space="preserve">): namely the USA and Japan, although France, the UK and Russia also have deep-sea research capabilities. A 30-day expedition cruise costs roughly US$1 million, with an average daily operating cost of about US$30,000. Diversa, which collaborates with Deep Ocean Expeditions, estimate its annual costs to be approximately US$5–6.5 million to operate the RV Akademik Keldysh ship, owned and operated by the PP Shirshov Institute of Oceanology in Moscow, Russia. These </w:t>
      </w:r>
      <w:r w:rsidRPr="00A227BD">
        <w:rPr>
          <w:rStyle w:val="StyleBoldUnderline"/>
        </w:rPr>
        <w:t>high costs usually require academic and commercial partnerships—academic institutions have the equipment and the knowledge, and the commercial partners provide funds and other useful capabilities</w:t>
      </w:r>
      <w:r w:rsidRPr="00A227BD">
        <w:rPr>
          <w:sz w:val="16"/>
          <w:szCs w:val="16"/>
        </w:rPr>
        <w:t xml:space="preserve">. Justin Manley, Lead Ocean Engineer at Mitretek Systems, a non-profit scientific research and engineering corporation (Falls Church, VA, USA), explained that alliances between the biotechnology and pharmaceutical sector with other industries, such as the oil and shipwreck salvaging businesses, might become fruitful avenues in the future. “One million dollars is a drop in the bucket compared to what oil companies spend on oil rigs,” he commented. Shank also thinks that as soon as more benefits from deep-sea research materialize, such as new chemicals, proteins and enzymes with new properties, other industries will get into the game. </w:t>
      </w:r>
      <w:r w:rsidRPr="00A227BD">
        <w:rPr>
          <w:rStyle w:val="StyleBoldUnderline"/>
        </w:rPr>
        <w:t xml:space="preserve">Although the funding is welcome, Shank noted, “We are wary of companies taking the samples and not communicating results…As a result, some academics do not provide samples to industry.” </w:t>
      </w:r>
      <w:r w:rsidRPr="00A227BD">
        <w:rPr>
          <w:sz w:val="16"/>
          <w:szCs w:val="16"/>
        </w:rPr>
        <w:t xml:space="preserve">Past experience shows that </w:t>
      </w:r>
      <w:r w:rsidRPr="00A227BD">
        <w:rPr>
          <w:rStyle w:val="StyleBoldUnderline"/>
        </w:rPr>
        <w:t>this concern is valid</w:t>
      </w:r>
      <w:r w:rsidRPr="00A227BD">
        <w:rPr>
          <w:sz w:val="16"/>
          <w:szCs w:val="16"/>
        </w:rPr>
        <w:t xml:space="preserve">. Although researchers discovered the Thermus aquaticus microorganism in Yellowstone National Park in 1967, the park does not benefit in any way from sales of the heat-stable Taq polymerase for polymerase chain reactions. This situation changed with the passage of the </w:t>
      </w:r>
      <w:r w:rsidRPr="00A227BD">
        <w:rPr>
          <w:rStyle w:val="StyleBoldUnderline"/>
        </w:rPr>
        <w:t>Convention on Biological Diversity (CBD) in 1992, which allows governments and organizations to negotiate contracts with scientists when they give them access to national land and water resources.</w:t>
      </w:r>
      <w:r w:rsidRPr="00A227BD">
        <w:rPr>
          <w:sz w:val="16"/>
          <w:szCs w:val="16"/>
        </w:rPr>
        <w:t xml:space="preserve"> According to Eric Mathur, Vice President of Scientific Affairs and Molecular Diversity at Diversa, before the passage of the CBD, academics had the freedom to patent discoveries and transfer samples to interested industrial partners. The contract between the discoverers of P. profundum and the Philippine government, which prohibits any financial gains from discoveries in the Sulu Sea, is an example of how things have changed. Still, fears remain: environmental groups sued Yellowstone National Park in August 1997 for making the first biodiversity agreement in the USA to share scientific and monetary benefits with Diversa. In a historic decision, a federal court in Washington, DC, approved this agreement between Yellowstone National Park and Diversa on April 12, 2000. In addition, the US National Park Service began conducting environmental analyses to evaluate the impacts of bioprospecting benefit-sharing agreements in US national parks. This review may represent the first nationwide study of the environmental impacts of bioprospecting benefit-sharing activities ever undertaken by any country. </w:t>
      </w:r>
      <w:r w:rsidRPr="00A227BD">
        <w:rPr>
          <w:rStyle w:val="StyleBoldUnderline"/>
        </w:rPr>
        <w:t>Critics also fear that industrial exploitation may create environmental problems similar to overfishing and mining of marine areas.</w:t>
      </w:r>
      <w:r w:rsidRPr="00A227BD">
        <w:rPr>
          <w:sz w:val="16"/>
          <w:szCs w:val="16"/>
        </w:rPr>
        <w:t xml:space="preserve"> According to Shank, the establishment of thermal-vent marine preserves off the coasts of Oregon and Portugal in the past two years was in part a response to such concerns. However, Barbara Moore, Director of the US National Oceanic and Atmospheric Administration's Undersea Research Program (NOAA; Silver Spring, MD, USA), is less pessimistic about the environmental impact of deep-sea research. She pointed out that the combination of small samples of microorganisms, non-specific sampling techniques and high costs make deep-sea bioprospecting less of a threat to the environment. She added that sea-floor </w:t>
      </w:r>
      <w:r w:rsidRPr="00A227BD">
        <w:rPr>
          <w:sz w:val="16"/>
          <w:szCs w:val="16"/>
        </w:rPr>
        <w:lastRenderedPageBreak/>
        <w:t>tectonics and ‘plumbing' of the vents continually change the environments and their living communities</w:t>
      </w:r>
      <w:r w:rsidRPr="00A227BD">
        <w:rPr>
          <w:rStyle w:val="StyleBoldUnderline"/>
        </w:rPr>
        <w:t>. Moore also stressed that other deep-sea ecosystems, such as cold seeps, methane hydrate seeps and deep-sea corals, also known as cold-water corals, are as important to the overall ecosystem as the deep-sea vents.</w:t>
      </w:r>
    </w:p>
    <w:p w:rsidR="0017246A" w:rsidRPr="00213239" w:rsidRDefault="0017246A" w:rsidP="0017246A">
      <w:pPr>
        <w:pStyle w:val="Heading4"/>
      </w:pPr>
      <w:r w:rsidRPr="00213239">
        <w:t>Lack of regulations means the aff’s bio-prospecting causes irreversible environmental damage</w:t>
      </w:r>
    </w:p>
    <w:p w:rsidR="0017246A" w:rsidRPr="00A227BD" w:rsidRDefault="0017246A" w:rsidP="0017246A">
      <w:pPr>
        <w:rPr>
          <w:sz w:val="16"/>
          <w:szCs w:val="16"/>
        </w:rPr>
      </w:pPr>
      <w:r w:rsidRPr="00A227BD">
        <w:rPr>
          <w:rStyle w:val="StyleStyleBold12pt"/>
        </w:rPr>
        <w:t>Ruth 06</w:t>
      </w:r>
      <w:r w:rsidRPr="00A227BD">
        <w:rPr>
          <w:sz w:val="16"/>
          <w:szCs w:val="16"/>
        </w:rPr>
        <w:t xml:space="preserve"> (Laura, “Gambling in the deep sea”, EMBO Reports 7:1, January 2006, http://www.ncbi.nlm.nih.gov/pmc/articles/PMC1369241/</w:t>
      </w:r>
      <w:r>
        <w:rPr>
          <w:sz w:val="16"/>
          <w:szCs w:val="16"/>
        </w:rPr>
        <w:t>)</w:t>
      </w:r>
    </w:p>
    <w:p w:rsidR="0017246A" w:rsidRDefault="0017246A" w:rsidP="0017246A">
      <w:r w:rsidRPr="00CD4D21">
        <w:rPr>
          <w:rStyle w:val="StyleBoldUnderline"/>
        </w:rPr>
        <w:t>The problem is further hampered by the fact that the open seas</w:t>
      </w:r>
      <w:r w:rsidRPr="00CD4D21">
        <w:rPr>
          <w:sz w:val="16"/>
          <w:szCs w:val="16"/>
        </w:rPr>
        <w:t>—</w:t>
      </w:r>
      <w:r w:rsidRPr="00CD4D21">
        <w:rPr>
          <w:rStyle w:val="StyleBoldUnderline"/>
        </w:rPr>
        <w:t>and most of the world's seabed ecosystems—lie in international waters beyond national laws and unregulated by international laws</w:t>
      </w:r>
      <w:r w:rsidRPr="00CD4D21">
        <w:rPr>
          <w:sz w:val="16"/>
          <w:szCs w:val="16"/>
        </w:rPr>
        <w:t xml:space="preserve">. According to Salvatore Arico of the United Nations Educational, Scientific and Cultural Organization (UNESCO; Paris, France), the UN began to address this problem in 1995 and started to debate international regulations, realizing that the extreme environments of the deep sea would be of academic and commercial interest, similar to the Yellowstone's geysers. Arico commented that </w:t>
      </w:r>
      <w:r w:rsidRPr="00CD4D21">
        <w:rPr>
          <w:rStyle w:val="StyleBoldUnderline"/>
        </w:rPr>
        <w:t>the debate</w:t>
      </w:r>
      <w:r w:rsidRPr="00CD4D21">
        <w:rPr>
          <w:sz w:val="16"/>
          <w:szCs w:val="16"/>
        </w:rPr>
        <w:t xml:space="preserve"> then </w:t>
      </w:r>
      <w:r w:rsidRPr="00CD4D21">
        <w:rPr>
          <w:rStyle w:val="StyleBoldUnderline"/>
        </w:rPr>
        <w:t>stalled for years owing to a lack of support by some nations that actively conduct deep-sea research, most notably the USA and Japan</w:t>
      </w:r>
      <w:r w:rsidRPr="00CD4D21">
        <w:rPr>
          <w:sz w:val="16"/>
          <w:szCs w:val="16"/>
        </w:rPr>
        <w:t>. Eventually, in 2004, Sam Johnston, a member of the UN University Institute for Advanced Studies (UNU–IAS; Yokohama, Japan), commissioned the deep-sea genetic resources report to catalyse further policy development (</w:t>
      </w:r>
      <w:hyperlink r:id="rId72" w:anchor="b1" w:history="1">
        <w:r w:rsidRPr="00CD4D21">
          <w:rPr>
            <w:rStyle w:val="Hyperlink"/>
            <w:sz w:val="16"/>
            <w:szCs w:val="16"/>
          </w:rPr>
          <w:t>Arico &amp; Salpin, 2005</w:t>
        </w:r>
      </w:hyperlink>
      <w:r w:rsidRPr="00CD4D21">
        <w:rPr>
          <w:sz w:val="16"/>
          <w:szCs w:val="16"/>
        </w:rPr>
        <w:t xml:space="preserve">). …the open seas—and most of the world's seabed ecosystems—lie in international waters beyond national laws and unregulated by international laws </w:t>
      </w:r>
      <w:r w:rsidRPr="00CD4D21">
        <w:rPr>
          <w:rStyle w:val="StyleBoldUnderline"/>
        </w:rPr>
        <w:t>The report</w:t>
      </w:r>
      <w:r w:rsidRPr="00CD4D21">
        <w:rPr>
          <w:sz w:val="16"/>
          <w:szCs w:val="16"/>
        </w:rPr>
        <w:t xml:space="preserve">, a joint effort between Arico and Charlotte Salpin, a law and policy expert associated with UNU–IAS, makes several key recommendations. First, it </w:t>
      </w:r>
      <w:r w:rsidRPr="00CD4D21">
        <w:rPr>
          <w:rStyle w:val="StyleBoldUnderline"/>
        </w:rPr>
        <w:t>emphasizes the need for further study of the “whole world down there—knowing how these ecosystems function is important for the planet”,</w:t>
      </w:r>
      <w:r w:rsidRPr="00CD4D21">
        <w:rPr>
          <w:sz w:val="16"/>
          <w:szCs w:val="16"/>
        </w:rPr>
        <w:t xml:space="preserve"> according to Arico. Second,</w:t>
      </w:r>
      <w:r w:rsidRPr="00CD4D21">
        <w:rPr>
          <w:rStyle w:val="StyleBoldUnderline"/>
        </w:rPr>
        <w:t xml:space="preserve"> </w:t>
      </w:r>
      <w:r w:rsidRPr="00CD4D21">
        <w:rPr>
          <w:sz w:val="16"/>
          <w:szCs w:val="16"/>
        </w:rPr>
        <w:t>any international regulation should take into account that some deep-sea ecosystems are already threatened by unsustainable use. “</w:t>
      </w:r>
      <w:r w:rsidRPr="00CD4D21">
        <w:rPr>
          <w:rStyle w:val="StyleBoldUnderline"/>
        </w:rPr>
        <w:t>While it is impossible to quantify the damage caused by such research on the deep seabed environment, threats include destruction of habitats, unsustainable collection, alteration of local hydrological and environmental conditions, and pollution of various nature,” the report states. “The same activities can have very different impacts in various deep sea ecosystems, and cumulative impacts over time…”</w:t>
      </w:r>
      <w:r w:rsidRPr="00CD4D21">
        <w:rPr>
          <w:sz w:val="16"/>
          <w:szCs w:val="16"/>
        </w:rPr>
        <w:t xml:space="preserve"> Third</w:t>
      </w:r>
      <w:r w:rsidRPr="00CD4D21">
        <w:rPr>
          <w:rStyle w:val="StyleBoldUnderline"/>
        </w:rPr>
        <w:t>, it should address the problem that at present, scientific research in international waters is unregulated</w:t>
      </w:r>
      <w:r w:rsidRPr="00CD4D21">
        <w:rPr>
          <w:sz w:val="16"/>
          <w:szCs w:val="16"/>
        </w:rPr>
        <w:t xml:space="preserve">. Johnston added that bioprospecting, to be distinguished from pure academic research, has already begun. </w:t>
      </w:r>
      <w:r w:rsidRPr="00CD4D21">
        <w:rPr>
          <w:rStyle w:val="StyleBoldUnderline"/>
        </w:rPr>
        <w:t>The absence of international regulations has therefore created negative effects for academic research, most notably secretive scientific protocols, which force each expedition to start de novo</w:t>
      </w:r>
      <w:r w:rsidRPr="00CD4D21">
        <w:rPr>
          <w:sz w:val="16"/>
          <w:szCs w:val="16"/>
        </w:rPr>
        <w:t>. He also highlighted the difficulty that governments face when creating regulations for benefit sharing</w:t>
      </w:r>
      <w:r>
        <w:t>.</w:t>
      </w:r>
    </w:p>
    <w:p w:rsidR="0017246A" w:rsidRPr="00213239" w:rsidRDefault="0017246A" w:rsidP="0017246A">
      <w:pPr>
        <w:pStyle w:val="Heading4"/>
      </w:pPr>
      <w:r w:rsidRPr="00213239">
        <w:t>Pharmaceutical exploration of the ocean is dangerous – environment and indigenous issues, lack of regulation</w:t>
      </w:r>
    </w:p>
    <w:p w:rsidR="0017246A" w:rsidRPr="00CD4D21" w:rsidRDefault="0017246A" w:rsidP="0017246A">
      <w:pPr>
        <w:rPr>
          <w:sz w:val="16"/>
          <w:szCs w:val="16"/>
        </w:rPr>
      </w:pPr>
      <w:r w:rsidRPr="00CD4D21">
        <w:rPr>
          <w:rStyle w:val="StyleStyleBold12pt"/>
        </w:rPr>
        <w:t>Neill 13</w:t>
      </w:r>
      <w:r w:rsidRPr="00CD4D21">
        <w:rPr>
          <w:sz w:val="16"/>
          <w:szCs w:val="16"/>
        </w:rPr>
        <w:t xml:space="preserve"> (Peter, Director of the World Ocean Observatory “Ocean Bio-Prospecting”, Huffington Post, 7/12/13, http://www.huffingtonpost.com/peter-neill/law-of-the-sea-ocean-bioprospecting_b_3575098.html)</w:t>
      </w:r>
    </w:p>
    <w:p w:rsidR="0017246A" w:rsidRDefault="0017246A" w:rsidP="0017246A">
      <w:pPr>
        <w:rPr>
          <w:rStyle w:val="StyleBoldUnderline"/>
        </w:rPr>
      </w:pPr>
      <w:r w:rsidRPr="00CD4D21">
        <w:rPr>
          <w:rStyle w:val="StyleBoldUnderline"/>
        </w:rPr>
        <w:t>But it is the pharmaceutical exploration that should also be of great concern</w:t>
      </w:r>
      <w:r w:rsidRPr="00CD4D21">
        <w:rPr>
          <w:sz w:val="16"/>
          <w:szCs w:val="16"/>
        </w:rPr>
        <w:t xml:space="preserve">. Again, there are structures in place -the </w:t>
      </w:r>
      <w:r w:rsidR="00DA51D8">
        <w:fldChar w:fldCharType="begin"/>
      </w:r>
      <w:r w:rsidR="00DA51D8">
        <w:instrText xml:space="preserve"> HYPERLINK "http://www.cbd.int/convention/" \t "_hplink" </w:instrText>
      </w:r>
      <w:r w:rsidR="00DA51D8">
        <w:fldChar w:fldCharType="separate"/>
      </w:r>
      <w:r w:rsidRPr="00CD4D21">
        <w:rPr>
          <w:rStyle w:val="Hyperlink"/>
          <w:sz w:val="16"/>
          <w:szCs w:val="16"/>
        </w:rPr>
        <w:t>Convention on Biological Diversity</w:t>
      </w:r>
      <w:r w:rsidR="00DA51D8">
        <w:rPr>
          <w:rStyle w:val="Hyperlink"/>
          <w:sz w:val="16"/>
          <w:szCs w:val="16"/>
        </w:rPr>
        <w:fldChar w:fldCharType="end"/>
      </w:r>
      <w:r w:rsidRPr="00CD4D21">
        <w:rPr>
          <w:sz w:val="16"/>
          <w:szCs w:val="16"/>
        </w:rPr>
        <w:t xml:space="preserve"> foremost among them. But </w:t>
      </w:r>
      <w:r w:rsidRPr="00CD4D21">
        <w:rPr>
          <w:rStyle w:val="StyleBoldUnderline"/>
        </w:rPr>
        <w:t>this exploration is less physical in a way, and much more complicated, with the knowledge and value available from ocean resources located everywhere -in the length of the water column, coral reefs, deep ocean vents, and the sea floor</w:t>
      </w:r>
      <w:r w:rsidRPr="00CD4D21">
        <w:rPr>
          <w:sz w:val="16"/>
          <w:szCs w:val="16"/>
        </w:rPr>
        <w:t xml:space="preserve">. </w:t>
      </w:r>
      <w:r w:rsidRPr="00CD4D21">
        <w:rPr>
          <w:rStyle w:val="StyleBoldUnderline"/>
        </w:rPr>
        <w:t>The issues are many: access, research costs, transaction costs, intellectual property and patent issues, regulatory structure, benefit-sharing, fairness and equity issues, and the right to traditional knowledge sustained by indigenous peoples</w:t>
      </w:r>
      <w:r w:rsidRPr="00CD4D21">
        <w:rPr>
          <w:sz w:val="16"/>
          <w:szCs w:val="16"/>
        </w:rPr>
        <w:t xml:space="preserve">. All the major pharmaceutical companies and research institutions are already fully engaged in the drug development and profit implications of these resources, make no mistake about it. At a conference on bioscience and the ocean, sponsored in 2012 by the </w:t>
      </w:r>
      <w:r w:rsidR="00DA51D8">
        <w:fldChar w:fldCharType="begin"/>
      </w:r>
      <w:r w:rsidR="00DA51D8">
        <w:instrText xml:space="preserve"> HYPERLINK "http://www.nyas.org/" \t "_hplink" </w:instrText>
      </w:r>
      <w:r w:rsidR="00DA51D8">
        <w:fldChar w:fldCharType="separate"/>
      </w:r>
      <w:r w:rsidRPr="00CD4D21">
        <w:rPr>
          <w:rStyle w:val="Hyperlink"/>
          <w:sz w:val="16"/>
          <w:szCs w:val="16"/>
        </w:rPr>
        <w:t>New York Academy of Sciences</w:t>
      </w:r>
      <w:r w:rsidR="00DA51D8">
        <w:rPr>
          <w:rStyle w:val="Hyperlink"/>
          <w:sz w:val="16"/>
          <w:szCs w:val="16"/>
        </w:rPr>
        <w:fldChar w:fldCharType="end"/>
      </w:r>
      <w:r w:rsidRPr="00CD4D21">
        <w:rPr>
          <w:sz w:val="16"/>
          <w:szCs w:val="16"/>
        </w:rPr>
        <w:t>, the extent of this research potential was apparent, with presentations on the synthesis of DNA from ocean species such as sponges and mollusks, imitating certain biological functions that could be applied to disease in humans</w:t>
      </w:r>
      <w:r w:rsidRPr="00CD4D21">
        <w:rPr>
          <w:rStyle w:val="StyleBoldUnderline"/>
        </w:rPr>
        <w:t>. A significant number of new drugs in preliminary testing for cancer treatment are derived this way from the information decoded from marine plants and animals</w:t>
      </w:r>
      <w:r w:rsidRPr="00CD4D21">
        <w:rPr>
          <w:sz w:val="16"/>
          <w:szCs w:val="16"/>
        </w:rPr>
        <w:t xml:space="preserve">. A very recent </w:t>
      </w:r>
      <w:r w:rsidR="00DA51D8">
        <w:fldChar w:fldCharType="begin"/>
      </w:r>
      <w:r w:rsidR="00DA51D8">
        <w:instrText xml:space="preserve"> HYPERLINK "http://www.supremecourt.gov/opinions/12pdf/12-398_1b7d.pdf" \t "_hplink" </w:instrText>
      </w:r>
      <w:r w:rsidR="00DA51D8">
        <w:fldChar w:fldCharType="separate"/>
      </w:r>
      <w:r w:rsidRPr="00CD4D21">
        <w:rPr>
          <w:rStyle w:val="Hyperlink"/>
          <w:sz w:val="16"/>
          <w:szCs w:val="16"/>
        </w:rPr>
        <w:t>U.S. Supreme Court decision</w:t>
      </w:r>
      <w:r w:rsidR="00DA51D8">
        <w:rPr>
          <w:rStyle w:val="Hyperlink"/>
          <w:sz w:val="16"/>
          <w:szCs w:val="16"/>
        </w:rPr>
        <w:fldChar w:fldCharType="end"/>
      </w:r>
      <w:r w:rsidRPr="00CD4D21">
        <w:rPr>
          <w:sz w:val="16"/>
          <w:szCs w:val="16"/>
        </w:rPr>
        <w:t xml:space="preserve">clarified one of the larger questions for such research: by protecting knowledge derived from the discovery of such natural processes from the exclusivity of patent protection, while nonetheless permitting "ownership" of processes invented or synthesized from them for manufacture and application as vaccines or medicines beneficial to human health. It is a profound distinction, and a major step toward protection of such ocean resources over time. It is interesting to note, however, that this U.S. judicial decision notwithstanding, </w:t>
      </w:r>
      <w:r w:rsidRPr="00CD4D21">
        <w:rPr>
          <w:rStyle w:val="StyleBoldUnderline"/>
        </w:rPr>
        <w:t xml:space="preserve">the United States </w:t>
      </w:r>
      <w:r w:rsidRPr="00CD4D21">
        <w:rPr>
          <w:rStyle w:val="StyleBoldUnderline"/>
        </w:rPr>
        <w:lastRenderedPageBreak/>
        <w:t>Congress has not approved either the UN Convention on Biological Diversity or the UN Convention on the Law of the Sea, even though both are now international</w:t>
      </w:r>
      <w:r w:rsidRPr="00CD4D21">
        <w:rPr>
          <w:sz w:val="16"/>
          <w:szCs w:val="16"/>
        </w:rPr>
        <w:t xml:space="preserve"> law, having been ratified by the requisite number of nations. Frankly, </w:t>
      </w:r>
      <w:r w:rsidRPr="00CD4D21">
        <w:rPr>
          <w:rStyle w:val="StyleBoldUnderline"/>
        </w:rPr>
        <w:t>this enormous potential is as threatened by ocean acidification, the changing pH of the ocean with its impact on all macro and microscopic organisms, as it is on governance and the profit motive.</w:t>
      </w:r>
      <w:r w:rsidRPr="00CD4D21">
        <w:rPr>
          <w:sz w:val="16"/>
          <w:szCs w:val="16"/>
        </w:rPr>
        <w:t xml:space="preserve"> All these ocean challenges add up to the same question that we have not yet answered: </w:t>
      </w:r>
      <w:r w:rsidRPr="00CD4D21">
        <w:rPr>
          <w:rStyle w:val="StyleBoldUnderline"/>
        </w:rPr>
        <w:t>how do we control ourselves and our actions so that the benefits of the world ocean will be available to us for all time to come?</w:t>
      </w:r>
    </w:p>
    <w:p w:rsidR="0017246A" w:rsidRPr="00213239" w:rsidRDefault="0017246A" w:rsidP="0017246A">
      <w:pPr>
        <w:pStyle w:val="Heading4"/>
      </w:pPr>
      <w:r w:rsidRPr="00213239">
        <w:t>The aff’s bioprospecting disrupts marine ecosystems – kills biodiversity</w:t>
      </w:r>
    </w:p>
    <w:p w:rsidR="0017246A" w:rsidRPr="00206C6D" w:rsidRDefault="0017246A" w:rsidP="0017246A">
      <w:pPr>
        <w:rPr>
          <w:sz w:val="16"/>
          <w:szCs w:val="16"/>
        </w:rPr>
      </w:pPr>
      <w:r w:rsidRPr="00206C6D">
        <w:rPr>
          <w:rStyle w:val="StyleStyleBold12pt"/>
        </w:rPr>
        <w:t>Slobodian et al. 10</w:t>
      </w:r>
      <w:r w:rsidRPr="00206C6D">
        <w:rPr>
          <w:sz w:val="16"/>
          <w:szCs w:val="16"/>
        </w:rPr>
        <w:t xml:space="preserve"> (Lydia Slobodian, Rémy Kinna, Alphonse Kambu and Lara Ognibene, “BIOPROSPECTING IN THE GLOBAL COMMONS: LEGAL ISSUES BRIEF”, United Nations Environment Programme, 2010, http://www.unep.org/delc/Portals/119/Biosprecting-Issuepaper.pdf)</w:t>
      </w:r>
    </w:p>
    <w:p w:rsidR="0017246A" w:rsidRPr="00206C6D" w:rsidRDefault="0017246A" w:rsidP="0017246A">
      <w:pPr>
        <w:rPr>
          <w:sz w:val="16"/>
          <w:szCs w:val="16"/>
        </w:rPr>
      </w:pPr>
      <w:r w:rsidRPr="00206C6D">
        <w:rPr>
          <w:rStyle w:val="StyleBoldUnderline"/>
        </w:rPr>
        <w:t>Bioprospecting has the added potential to cause negative impacts on delicate ecosystems of the deep seabed and Antarctica</w:t>
      </w:r>
      <w:r w:rsidRPr="00206C6D">
        <w:rPr>
          <w:sz w:val="16"/>
          <w:szCs w:val="16"/>
        </w:rPr>
        <w:t xml:space="preserve">. </w:t>
      </w:r>
      <w:r w:rsidRPr="00206C6D">
        <w:rPr>
          <w:rStyle w:val="StyleBoldUnderline"/>
        </w:rPr>
        <w:t>ln situ experiments</w:t>
      </w:r>
      <w:r w:rsidRPr="00206C6D">
        <w:rPr>
          <w:sz w:val="16"/>
          <w:szCs w:val="16"/>
        </w:rPr>
        <w:t xml:space="preserve"> in and around the Deep Seabed </w:t>
      </w:r>
      <w:r w:rsidRPr="00206C6D">
        <w:rPr>
          <w:rStyle w:val="StyleBoldUnderline"/>
        </w:rPr>
        <w:t>can introduce light and noise or change water temperature, which, in-tum, can affect procreation and the survival of organisms in these areas</w:t>
      </w:r>
      <w:r w:rsidRPr="00206C6D">
        <w:rPr>
          <w:sz w:val="16"/>
          <w:szCs w:val="16"/>
        </w:rPr>
        <w:t xml:space="preserve">. </w:t>
      </w:r>
      <w:r w:rsidRPr="00206C6D">
        <w:rPr>
          <w:rStyle w:val="StyleBoldUnderline"/>
        </w:rPr>
        <w:t>Bioprospecting activities can also produce pollution in the form of debris or discharge from vessels and equipment. Additionally, inadvertent movement of organisms through disrupting currents</w:t>
      </w:r>
      <w:r w:rsidRPr="00206C6D">
        <w:rPr>
          <w:sz w:val="16"/>
          <w:szCs w:val="16"/>
        </w:rPr>
        <w:t xml:space="preserve"> or discarding of scientific samples </w:t>
      </w:r>
      <w:r w:rsidRPr="00206C6D">
        <w:rPr>
          <w:rStyle w:val="StyleBoldUnderline"/>
        </w:rPr>
        <w:t>can lead to biological contamination</w:t>
      </w:r>
      <w:r w:rsidRPr="00206C6D">
        <w:rPr>
          <w:sz w:val="16"/>
          <w:szCs w:val="16"/>
        </w:rPr>
        <w:t xml:space="preserve">. </w:t>
      </w:r>
      <w:r w:rsidRPr="00206C6D">
        <w:rPr>
          <w:rStyle w:val="StyleBoldUnderline"/>
        </w:rPr>
        <w:t>Finally, there is the usual possibility of over-exploitation in harvesting organisms in these regions and the flow on environmental impacts.</w:t>
      </w:r>
      <w:r w:rsidRPr="00206C6D">
        <w:rPr>
          <w:sz w:val="16"/>
          <w:szCs w:val="16"/>
        </w:rPr>
        <w:t xml:space="preserve"> Yet, this aspect is unclear due to the lack of information about ecosystems in these marine habitats. ln this respect, </w:t>
      </w:r>
      <w:r w:rsidRPr="00206C6D">
        <w:rPr>
          <w:rStyle w:val="StyleBoldUnderline"/>
        </w:rPr>
        <w:t>the precautionary principle' would seemingly apply to any fixture environmental regulations developed to govern bioprospecting activities</w:t>
      </w:r>
      <w:r w:rsidRPr="00206C6D">
        <w:rPr>
          <w:sz w:val="16"/>
          <w:szCs w:val="16"/>
        </w:rPr>
        <w:t xml:space="preserve"> in the High Seas and Antarctica.</w:t>
      </w:r>
    </w:p>
    <w:p w:rsidR="0017246A" w:rsidRPr="00213239" w:rsidRDefault="0017246A" w:rsidP="0017246A">
      <w:pPr>
        <w:pStyle w:val="Heading4"/>
      </w:pPr>
      <w:r w:rsidRPr="00213239">
        <w:t>Bioprospecting kills ocean ecosystems – foreign species, light and noise pollution</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Pr="00213239" w:rsidRDefault="0017246A" w:rsidP="0017246A">
      <w:pPr>
        <w:rPr>
          <w:sz w:val="16"/>
          <w:szCs w:val="16"/>
        </w:rPr>
      </w:pPr>
      <w:r w:rsidRPr="00213239">
        <w:rPr>
          <w:rStyle w:val="StyleBoldUnderline"/>
        </w:rPr>
        <w:t>Bioprospecting</w:t>
      </w:r>
      <w:r w:rsidRPr="00213239">
        <w:rPr>
          <w:sz w:val="16"/>
          <w:szCs w:val="16"/>
        </w:rPr>
        <w:t xml:space="preserve">, while not as invasive as deep seabed mineral exploration, </w:t>
      </w:r>
      <w:r w:rsidRPr="00213239">
        <w:rPr>
          <w:rStyle w:val="StyleBoldUnderline"/>
        </w:rPr>
        <w:t>does entail physical disturbance, alteration and introduction of alien elements to deep sea habitats</w:t>
      </w:r>
      <w:r w:rsidRPr="00213239">
        <w:rPr>
          <w:sz w:val="16"/>
          <w:szCs w:val="16"/>
        </w:rPr>
        <w:t>." Current deep sea research projects, principally on hydrothermal vent sites, have progressed beyond simple observation of the benthic fauna from manned or remotely controlled submersible v</w:t>
      </w:r>
      <w:r>
        <w:rPr>
          <w:sz w:val="16"/>
          <w:szCs w:val="16"/>
        </w:rPr>
        <w:t>essels to actual sampling of th</w:t>
      </w:r>
      <w:r w:rsidRPr="00213239">
        <w:rPr>
          <w:sz w:val="16"/>
          <w:szCs w:val="16"/>
        </w:rPr>
        <w:t xml:space="preserve">e fauna and faunal infrastructure and installation </w:t>
      </w:r>
      <w:r>
        <w:rPr>
          <w:sz w:val="16"/>
          <w:szCs w:val="16"/>
        </w:rPr>
        <w:t>of scientific instruments in th</w:t>
      </w:r>
      <w:r w:rsidRPr="00213239">
        <w:rPr>
          <w:sz w:val="16"/>
          <w:szCs w:val="16"/>
        </w:rPr>
        <w:t xml:space="preserve">e deep seabed environment to record experimental observations </w:t>
      </w:r>
      <w:r>
        <w:rPr>
          <w:sz w:val="16"/>
          <w:szCs w:val="16"/>
        </w:rPr>
        <w:t>on a regular basis.</w:t>
      </w:r>
      <w:r w:rsidRPr="00213239">
        <w:rPr>
          <w:sz w:val="16"/>
          <w:szCs w:val="16"/>
        </w:rPr>
        <w:t xml:space="preserve"> </w:t>
      </w:r>
      <w:r w:rsidRPr="00213239">
        <w:rPr>
          <w:rStyle w:val="StyleBoldUnderline"/>
        </w:rPr>
        <w:t>As well as disturbing the physical habitat, research vessels and scientific equipment also introduce light and different noise pattems into the fragile deep sea environment and may discharge marine pollutants and alien biological material into the previously pristine environment of the deep seabed</w:t>
      </w:r>
      <w:r>
        <w:rPr>
          <w:sz w:val="16"/>
          <w:szCs w:val="16"/>
        </w:rPr>
        <w:t>.</w:t>
      </w:r>
      <w:r w:rsidRPr="00213239">
        <w:rPr>
          <w:sz w:val="16"/>
          <w:szCs w:val="16"/>
        </w:rPr>
        <w:t xml:space="preserve"> </w:t>
      </w:r>
      <w:r w:rsidRPr="00213239">
        <w:rPr>
          <w:rStyle w:val="StyleBoldUnderline"/>
        </w:rPr>
        <w:t>The negative impact of frequent research expeditions on particular deep seabed sites and the potential for conflicting or incompatible research activities which duplicate adverse effects</w:t>
      </w:r>
      <w:r w:rsidRPr="00213239">
        <w:rPr>
          <w:sz w:val="16"/>
          <w:szCs w:val="16"/>
        </w:rPr>
        <w:t xml:space="preserve"> on fragile deep sea sites </w:t>
      </w:r>
      <w:r w:rsidRPr="00213239">
        <w:rPr>
          <w:rStyle w:val="StyleBoldUnderline"/>
        </w:rPr>
        <w:t>has also been noted by scientists</w:t>
      </w:r>
      <w:r w:rsidRPr="00213239">
        <w:rPr>
          <w:sz w:val="16"/>
          <w:szCs w:val="16"/>
        </w:rPr>
        <w:t xml:space="preserve"> and o</w:t>
      </w:r>
      <w:r>
        <w:rPr>
          <w:sz w:val="16"/>
          <w:szCs w:val="16"/>
        </w:rPr>
        <w:t>ther commentators.</w:t>
      </w:r>
      <w:r w:rsidRPr="00213239">
        <w:rPr>
          <w:sz w:val="16"/>
          <w:szCs w:val="16"/>
        </w:rPr>
        <w:t xml:space="preserve"> </w:t>
      </w:r>
      <w:r w:rsidRPr="00213239">
        <w:rPr>
          <w:rStyle w:val="StyleBoldUnderline"/>
        </w:rPr>
        <w:t>The absence of compulsory environmental protection measures such as environmental baseline data collection, ongoing environmental impact assessment of sampling sites and impact reference zones could result in substantial loss of deep seabed biodiversity over time</w:t>
      </w:r>
      <w:r>
        <w:rPr>
          <w:sz w:val="16"/>
          <w:szCs w:val="16"/>
        </w:rPr>
        <w:t>.</w:t>
      </w:r>
      <w:r w:rsidRPr="00213239">
        <w:rPr>
          <w:sz w:val="16"/>
          <w:szCs w:val="16"/>
        </w:rPr>
        <w:t xml:space="preserve"> Scientists involved in deep sea research have developed some voluntary protocols to reduce the negative impacts of their research on </w:t>
      </w:r>
      <w:r>
        <w:rPr>
          <w:sz w:val="16"/>
          <w:szCs w:val="16"/>
        </w:rPr>
        <w:t>the</w:t>
      </w:r>
      <w:r w:rsidRPr="00213239">
        <w:rPr>
          <w:sz w:val="16"/>
          <w:szCs w:val="16"/>
        </w:rPr>
        <w:t xml:space="preserve"> deep seabed environment including requests to the global scientific community to consider certain deep seabed sites as scientific reserves and voluntary codes of conduct which seek to minimise adverse effects on the environment and to coordinate deep seabed research to reduce the occurrence of simultaneous expeditions to deep seabed sites and conflicting use of these sites." As bioprospecting activities are currently intermingled with marine scientific research, these initiatives have the dual purpose of reducing the adverse effects of botl1 bioprospecting and marine scientific research activities on the deep sea environment.</w:t>
      </w:r>
    </w:p>
    <w:p w:rsidR="0017246A" w:rsidRPr="00141DF5" w:rsidRDefault="0017246A" w:rsidP="0017246A">
      <w:pPr>
        <w:pStyle w:val="Heading4"/>
      </w:pPr>
      <w:r w:rsidRPr="00141DF5">
        <w:lastRenderedPageBreak/>
        <w:t>Unregulated bioprospecting leads to widespread exploitation – kills ecosystems and turns the case</w:t>
      </w:r>
    </w:p>
    <w:p w:rsidR="0017246A" w:rsidRPr="00213239" w:rsidRDefault="0017246A" w:rsidP="0017246A">
      <w:pPr>
        <w:rPr>
          <w:sz w:val="16"/>
          <w:szCs w:val="16"/>
        </w:rPr>
      </w:pPr>
      <w:r w:rsidRPr="00213239">
        <w:rPr>
          <w:rStyle w:val="StyleStyleBold12pt"/>
        </w:rPr>
        <w:t>Warner 08</w:t>
      </w:r>
      <w:r w:rsidRPr="00213239">
        <w:rPr>
          <w:sz w:val="16"/>
          <w:szCs w:val="16"/>
        </w:rPr>
        <w:t xml:space="preserve"> (Robin M., University of Wollongong, “Protecting the diversity of the depths: environmental regulation of bioprospecting and marine scientific research beyond national jurisdiction”, Ocean Yearbook 22, http://ro.uow.edu.au/cgi/viewcontent.cgi?article=1178&amp;context=lawpapers)</w:t>
      </w:r>
    </w:p>
    <w:p w:rsidR="0017246A" w:rsidRPr="00141DF5" w:rsidRDefault="0017246A" w:rsidP="0017246A">
      <w:pPr>
        <w:rPr>
          <w:rStyle w:val="StyleBoldUnderline"/>
        </w:rPr>
      </w:pPr>
      <w:r w:rsidRPr="00141DF5">
        <w:rPr>
          <w:sz w:val="16"/>
          <w:szCs w:val="16"/>
        </w:rPr>
        <w:t xml:space="preserve">A fourth option to consider </w:t>
      </w:r>
      <w:r w:rsidRPr="00141DF5">
        <w:rPr>
          <w:rStyle w:val="StyleBoldUnderline"/>
        </w:rPr>
        <w:t xml:space="preserve">is leaving the open access situation which currently applies to the genetic and biochemical resources of the deep seabed </w:t>
      </w:r>
      <w:r w:rsidRPr="00141DF5">
        <w:rPr>
          <w:sz w:val="16"/>
          <w:szCs w:val="16"/>
        </w:rPr>
        <w:t xml:space="preserve">and to bioprospecting activities in these areas undisturbed. This option </w:t>
      </w:r>
      <w:r w:rsidRPr="00141DF5">
        <w:rPr>
          <w:rStyle w:val="StyleBoldUnderline"/>
        </w:rPr>
        <w:t xml:space="preserve">would parallel the free market conditions which applied to all </w:t>
      </w:r>
      <w:r>
        <w:rPr>
          <w:rStyle w:val="StyleBoldUnderline"/>
        </w:rPr>
        <w:t>high seas f</w:t>
      </w:r>
      <w:r w:rsidRPr="00141DF5">
        <w:rPr>
          <w:rStyle w:val="StyleBoldUnderline"/>
        </w:rPr>
        <w:t>isheries before the advent of the UN Fish Stocks Agreement</w:t>
      </w:r>
      <w:r w:rsidRPr="00141DF5">
        <w:rPr>
          <w:sz w:val="16"/>
          <w:szCs w:val="16"/>
        </w:rPr>
        <w:t xml:space="preserve"> and regional fisheries management organization involvement in the management and conservation of straddling stocks and highly migratory stocks in marine areas beyond national jurisdiction. As one commentator has observed, this may lead to some long term advantages for human kind in general as the competition engendered competitive exploitation of genetic and biochemical resources found on the deep seabed will stimulate new inventions and research techniques." On the other hand </w:t>
      </w:r>
      <w:r w:rsidRPr="00141DF5">
        <w:rPr>
          <w:rStyle w:val="StyleBoldUnderline"/>
        </w:rPr>
        <w:t xml:space="preserve">commercial investors will have little incentive to introduce costly measures for the conservation and sustainable use of genetic and biochemical resources and the protection of deep seabed biodiversity. </w:t>
      </w:r>
      <w:r w:rsidRPr="00141DF5">
        <w:rPr>
          <w:sz w:val="16"/>
          <w:szCs w:val="16"/>
        </w:rPr>
        <w:t xml:space="preserve">Marine scientists and other commentators have predicted that </w:t>
      </w:r>
      <w:r w:rsidRPr="00141DF5">
        <w:rPr>
          <w:rStyle w:val="StyleBoldUnderline"/>
        </w:rPr>
        <w:t>the failure to</w:t>
      </w:r>
      <w:r>
        <w:rPr>
          <w:rStyle w:val="StyleBoldUnderline"/>
        </w:rPr>
        <w:t xml:space="preserve"> implem</w:t>
      </w:r>
      <w:r w:rsidRPr="00141DF5">
        <w:rPr>
          <w:rStyle w:val="StyleBoldUnderline"/>
        </w:rPr>
        <w:t>ent environmental protection measures for deep seabed environments such as hydrothermal vents, cold seeps and seamounts risks rapid loss of species and general degradation of fragile habitats</w:t>
      </w:r>
      <w:r w:rsidRPr="00141DF5">
        <w:rPr>
          <w:sz w:val="16"/>
          <w:szCs w:val="16"/>
        </w:rPr>
        <w:t xml:space="preserve">." ln addition, </w:t>
      </w:r>
      <w:r w:rsidRPr="00141DF5">
        <w:rPr>
          <w:rStyle w:val="StyleBoldUnderline"/>
        </w:rPr>
        <w:t>the primary motive for commercial invesm</w:t>
      </w:r>
      <w:r>
        <w:rPr>
          <w:rStyle w:val="StyleBoldUnderline"/>
        </w:rPr>
        <w:t>t</w:t>
      </w:r>
      <w:r w:rsidRPr="00141DF5">
        <w:rPr>
          <w:rStyle w:val="StyleBoldUnderline"/>
        </w:rPr>
        <w:t>ent will be the maximisation of profits rather than any commitment to the fair and equitable benelit sharing of global commons resources for current and future generations</w:t>
      </w:r>
      <w:r w:rsidRPr="00141DF5">
        <w:rPr>
          <w:sz w:val="16"/>
          <w:szCs w:val="16"/>
        </w:rPr>
        <w:t xml:space="preserve">. While bioprospecting activities continue to be predominantly conducted by state sponsored research institutions with the dual purpose of marine scientific research, voluntary codes of conduct introduced by deep sea scientists will afford some level of protection for the surrounding marine environment. The next section will examine the content of one of these codes. These measures are voluntary, however, and will not bind commercial operators who conduct bioprospecting activities in a private enterprise framework. </w:t>
      </w:r>
      <w:r w:rsidRPr="00141DF5">
        <w:rPr>
          <w:rStyle w:val="StyleBoldUnderline"/>
        </w:rPr>
        <w:t>Ultimately failure to address the regulation of bioprospecting activities could lead to rapid over exploitation of these valuable resources of the deep seabed and the loss of important genetic and biochemical material not yet discovered by marine scientists.</w:t>
      </w:r>
    </w:p>
    <w:p w:rsidR="0017246A" w:rsidRPr="00CD4D21" w:rsidRDefault="0017246A" w:rsidP="0017246A">
      <w:pPr>
        <w:rPr>
          <w:rStyle w:val="StyleBoldUnderline"/>
        </w:rPr>
      </w:pPr>
    </w:p>
    <w:p w:rsidR="0017246A" w:rsidRDefault="0017246A" w:rsidP="0017246A">
      <w:pPr>
        <w:pStyle w:val="Heading3"/>
      </w:pPr>
      <w:r>
        <w:lastRenderedPageBreak/>
        <w:t>Link – International Ownership/Conflict Impact?</w:t>
      </w:r>
    </w:p>
    <w:p w:rsidR="0017246A" w:rsidRDefault="0017246A" w:rsidP="0017246A">
      <w:pPr>
        <w:pStyle w:val="Heading4"/>
      </w:pPr>
      <w:r>
        <w:t>The aff’s bioprospecting causes international conflict – lack of regulations means no agreement over resource sharing and environmental protection</w:t>
      </w:r>
    </w:p>
    <w:p w:rsidR="0017246A" w:rsidRPr="00206C6D" w:rsidRDefault="0017246A" w:rsidP="0017246A">
      <w:pPr>
        <w:rPr>
          <w:sz w:val="16"/>
          <w:szCs w:val="16"/>
        </w:rPr>
      </w:pPr>
      <w:r w:rsidRPr="00206C6D">
        <w:rPr>
          <w:rStyle w:val="StyleStyleBold12pt"/>
        </w:rPr>
        <w:t>Slobodian et al. 10</w:t>
      </w:r>
      <w:r w:rsidRPr="00206C6D">
        <w:rPr>
          <w:sz w:val="16"/>
          <w:szCs w:val="16"/>
        </w:rPr>
        <w:t xml:space="preserve"> (Lydia Slobodian, Rémy Kinna, Alphonse Kambu and Lara Ognibene, “BIOPROSPECTING IN THE GLOBAL COMMONS: LEGAL ISSUES BRIEF”, United Nations Environment Programme, 2010, http://www.unep.org/delc/Portals/119/Biosprecting-Issuepaper.pdf)</w:t>
      </w:r>
    </w:p>
    <w:p w:rsidR="0017246A" w:rsidRDefault="0017246A" w:rsidP="0017246A">
      <w:pPr>
        <w:rPr>
          <w:sz w:val="16"/>
          <w:szCs w:val="16"/>
        </w:rPr>
      </w:pPr>
      <w:r w:rsidRPr="00206C6D">
        <w:rPr>
          <w:rStyle w:val="StyleBoldUnderline"/>
        </w:rPr>
        <w:t>The most serious legal issue facing bioprospecting in</w:t>
      </w:r>
      <w:r w:rsidRPr="00CD4D21">
        <w:rPr>
          <w:sz w:val="16"/>
          <w:szCs w:val="16"/>
        </w:rPr>
        <w:t xml:space="preserve"> the Global Commons, </w:t>
      </w:r>
      <w:r w:rsidRPr="00206C6D">
        <w:rPr>
          <w:rStyle w:val="StyleBoldUnderline"/>
        </w:rPr>
        <w:t xml:space="preserve">areas beyond national jurisdiction </w:t>
      </w:r>
      <w:r w:rsidRPr="00CD4D21">
        <w:rPr>
          <w:sz w:val="16"/>
          <w:szCs w:val="16"/>
        </w:rPr>
        <w:t xml:space="preserve">intemationally recognised as the shared resources of humankind, </w:t>
      </w:r>
      <w:r w:rsidRPr="00206C6D">
        <w:rPr>
          <w:rStyle w:val="StyleBoldUnderline"/>
        </w:rPr>
        <w:t>is the lack of clear rules and guidelines</w:t>
      </w:r>
      <w:r w:rsidRPr="00CD4D21">
        <w:rPr>
          <w:sz w:val="16"/>
          <w:szCs w:val="16"/>
        </w:rPr>
        <w:t xml:space="preserve">. Various </w:t>
      </w:r>
      <w:r w:rsidRPr="00206C6D">
        <w:rPr>
          <w:rStyle w:val="StyleBoldUnderline"/>
        </w:rPr>
        <w:t>environmental, trade, and geographically-specific agreements currently offer incomplete, ambiguous, or conflicting provisions relating to bioprospecting activities</w:t>
      </w:r>
      <w:r w:rsidRPr="00CD4D21">
        <w:rPr>
          <w:sz w:val="16"/>
          <w:szCs w:val="16"/>
        </w:rPr>
        <w:t xml:space="preserve">. Consequently, </w:t>
      </w:r>
      <w:r>
        <w:rPr>
          <w:rStyle w:val="StyleBoldUnderline"/>
        </w:rPr>
        <w:t>there are no clear ru</w:t>
      </w:r>
      <w:r w:rsidRPr="00206C6D">
        <w:rPr>
          <w:rStyle w:val="StyleBoldUnderline"/>
        </w:rPr>
        <w:t>les on ownership, acces</w:t>
      </w:r>
      <w:r>
        <w:rPr>
          <w:rStyle w:val="StyleBoldUnderline"/>
        </w:rPr>
        <w:t>s, benefit-sharing, and environm</w:t>
      </w:r>
      <w:r w:rsidRPr="00206C6D">
        <w:rPr>
          <w:rStyle w:val="StyleBoldUnderline"/>
        </w:rPr>
        <w:t>ental responsibility</w:t>
      </w:r>
      <w:r w:rsidRPr="00CD4D21">
        <w:rPr>
          <w:sz w:val="16"/>
          <w:szCs w:val="16"/>
        </w:rPr>
        <w:t xml:space="preserve"> for bioprospecting in the Global Commons. </w:t>
      </w:r>
      <w:r w:rsidRPr="00206C6D">
        <w:rPr>
          <w:rStyle w:val="StyleBoldUnderline"/>
        </w:rPr>
        <w:t>Lack of clarity and distinct gaps in the existing laws encourages bioprospecting by companies keen to exploit the fragmented legal frameworks and policies for their own commerical benefit</w:t>
      </w:r>
      <w:r w:rsidRPr="00CD4D21">
        <w:rPr>
          <w:sz w:val="16"/>
          <w:szCs w:val="16"/>
        </w:rPr>
        <w:t xml:space="preserve">. lt also obstmcts the participation of developing States in exploration and use of the rich biological resources </w:t>
      </w:r>
      <w:r w:rsidRPr="00206C6D">
        <w:rPr>
          <w:rStyle w:val="StyleBoldUnderline"/>
        </w:rPr>
        <w:t>in areas designated as the Global Commons, such as the High Seas and the Deep Seabed</w:t>
      </w:r>
      <w:r w:rsidRPr="00CD4D21">
        <w:rPr>
          <w:sz w:val="16"/>
          <w:szCs w:val="16"/>
        </w:rPr>
        <w:t xml:space="preserve">. This is due to the inherent financial resources and technical capacity required for scientific research in extreme marine environments as well as for commercial development of biological materials. </w:t>
      </w:r>
      <w:r w:rsidRPr="00206C6D">
        <w:rPr>
          <w:rStyle w:val="StyleBoldUnderline"/>
        </w:rPr>
        <w:t>Hence, equitable access to and sharing of benefits fiom bioprospecting is a critical aspect of many proposed solutions to this burgeoning intemational enviromnental law issue</w:t>
      </w:r>
      <w:r w:rsidRPr="00CD4D21">
        <w:rPr>
          <w:sz w:val="16"/>
          <w:szCs w:val="16"/>
        </w:rPr>
        <w:t xml:space="preserve"> 2. Bioprospecting: what is it, and why is it an issue? 2.1 Definition of Bioprospecting The Convention on Biological Diversity (</w:t>
      </w:r>
      <w:r w:rsidRPr="00206C6D">
        <w:rPr>
          <w:rStyle w:val="StyleBoldUnderline"/>
        </w:rPr>
        <w:t>CBD</w:t>
      </w:r>
      <w:r w:rsidRPr="00CD4D21">
        <w:rPr>
          <w:sz w:val="16"/>
          <w:szCs w:val="16"/>
        </w:rPr>
        <w:t xml:space="preserve">) Secretariat </w:t>
      </w:r>
      <w:r w:rsidRPr="00206C6D">
        <w:rPr>
          <w:rStyle w:val="StyleBoldUnderline"/>
        </w:rPr>
        <w:t xml:space="preserve">defines </w:t>
      </w:r>
      <w:r>
        <w:rPr>
          <w:rStyle w:val="StyleBoldUnderline"/>
        </w:rPr>
        <w:t>bioprospecting as "</w:t>
      </w:r>
      <w:r w:rsidRPr="00206C6D">
        <w:rPr>
          <w:rStyle w:val="StyleBoldUnderline"/>
        </w:rPr>
        <w:t>the exploration of biodiversity for commercially valuable genetic and biochemical resources.</w:t>
      </w:r>
      <w:r>
        <w:rPr>
          <w:rStyle w:val="StyleBoldUnderline"/>
        </w:rPr>
        <w:t>”</w:t>
      </w:r>
      <w:r w:rsidRPr="00CD4D21">
        <w:rPr>
          <w:sz w:val="16"/>
          <w:szCs w:val="16"/>
        </w:rPr>
        <w:t xml:space="preserve"> However, its defmition varies in scope between countries, with some defining bioprospecting narrowly to include only the search for valuable genetic materials, whereas others encompass the development andapplication of such materials.; Hence, the commercialisation aspects of bioprospecting and potential profitablity remain the critical impasse regarding its legal definition. ln particular, where the distinction lies between Marine Scientific Research (MSR)3 </w:t>
      </w:r>
      <w:r>
        <w:rPr>
          <w:sz w:val="16"/>
          <w:szCs w:val="16"/>
        </w:rPr>
        <w:t>and bioprospecting, as concern</w:t>
      </w:r>
      <w:r w:rsidRPr="00CD4D21">
        <w:rPr>
          <w:sz w:val="16"/>
          <w:szCs w:val="16"/>
        </w:rPr>
        <w:t>s any property rights arising from the intended future development of marine genetic resources discovered on scientific expeditions, is the subject of ongoing debate.</w:t>
      </w:r>
    </w:p>
    <w:p w:rsidR="00756B88" w:rsidRDefault="00756B88" w:rsidP="00756B88">
      <w:pPr>
        <w:pStyle w:val="Heading2"/>
      </w:pPr>
      <w:r>
        <w:lastRenderedPageBreak/>
        <w:t>Politics</w:t>
      </w:r>
    </w:p>
    <w:p w:rsidR="00756B88" w:rsidRPr="004A0CBB" w:rsidRDefault="00756B88" w:rsidP="00756B88">
      <w:pPr>
        <w:pStyle w:val="Heading3"/>
        <w:rPr>
          <w:rFonts w:eastAsia="MS Gothic"/>
        </w:rPr>
      </w:pPr>
      <w:r>
        <w:rPr>
          <w:rFonts w:eastAsia="MS Gothic"/>
        </w:rPr>
        <w:lastRenderedPageBreak/>
        <w:t>1NC Politics</w:t>
      </w:r>
    </w:p>
    <w:p w:rsidR="00756B88" w:rsidRPr="004A0CBB" w:rsidRDefault="00756B88" w:rsidP="00756B88">
      <w:pPr>
        <w:keepNext/>
        <w:keepLines/>
        <w:spacing w:before="40"/>
        <w:outlineLvl w:val="3"/>
        <w:rPr>
          <w:rFonts w:ascii="Cambria" w:eastAsia="MS Gothic" w:hAnsi="Cambria" w:cs="Times New Roman"/>
          <w:b/>
          <w:iCs/>
          <w:sz w:val="26"/>
        </w:rPr>
      </w:pPr>
      <w:r w:rsidRPr="004A0CBB">
        <w:rPr>
          <w:rFonts w:ascii="Cambria" w:eastAsia="MS Gothic" w:hAnsi="Cambria" w:cs="Times New Roman"/>
          <w:b/>
          <w:iCs/>
          <w:sz w:val="26"/>
        </w:rPr>
        <w:t>The vast majority of Americans support ocean exploration – the public views the condition of seas as innately connected with humanity’s wellbeing</w:t>
      </w:r>
    </w:p>
    <w:p w:rsidR="00756B88" w:rsidRPr="004A0CBB" w:rsidRDefault="00756B88" w:rsidP="00756B88">
      <w:pPr>
        <w:rPr>
          <w:rFonts w:ascii="Cambria" w:eastAsia="Cambria" w:hAnsi="Cambria" w:cs="Times New Roman"/>
          <w:b/>
          <w:bCs/>
          <w:sz w:val="26"/>
        </w:rPr>
      </w:pPr>
      <w:r w:rsidRPr="004A0CBB">
        <w:rPr>
          <w:rFonts w:ascii="Cambria" w:eastAsia="Cambria" w:hAnsi="Cambria" w:cs="Times New Roman"/>
          <w:b/>
          <w:bCs/>
          <w:sz w:val="26"/>
        </w:rPr>
        <w:t>Nichols et al. 3</w:t>
      </w:r>
    </w:p>
    <w:p w:rsidR="00756B88" w:rsidRPr="004A0CBB" w:rsidRDefault="00756B88" w:rsidP="00756B88">
      <w:pPr>
        <w:rPr>
          <w:rFonts w:ascii="Cambria" w:eastAsia="Cambria" w:hAnsi="Cambria" w:cs="Times New Roman"/>
        </w:rPr>
      </w:pPr>
      <w:r w:rsidRPr="004A0CBB">
        <w:rPr>
          <w:rFonts w:ascii="Cambria" w:eastAsia="Cambria" w:hAnsi="Cambria" w:cs="Times New Roman"/>
        </w:rPr>
        <w:t>Reid Nichols – President of the Marine Information Resources Corporation with four decades of military, commercial, and research experience in oceanographic fields, M.S. in Physical Oceanography from North Carolina State University, former oceanographer for NOAA; David Porter – Principal Senior Staff Oceanographer for the Johns Hopkins University Applied Physics Laboratory's Ocean Remote Sensing Group and Senior Physical Oceanographer for MIRC etc.</w:t>
      </w:r>
    </w:p>
    <w:p w:rsidR="00756B88" w:rsidRPr="004A0CBB" w:rsidRDefault="00756B88" w:rsidP="00756B88">
      <w:pPr>
        <w:rPr>
          <w:rFonts w:ascii="Cambria" w:eastAsia="Cambria" w:hAnsi="Cambria" w:cs="Times New Roman"/>
        </w:rPr>
      </w:pPr>
      <w:r w:rsidRPr="004A0CBB">
        <w:rPr>
          <w:rFonts w:ascii="Cambria" w:eastAsia="Cambria" w:hAnsi="Cambria" w:cs="Times New Roman"/>
        </w:rPr>
        <w:t>(“Recent Advances and Issues in Oceanography”, June 30 2003, pgs. 197-198,  http://books.google.com/books?id=IjxpKwHgbqkC&amp;dq)//EO</w:t>
      </w:r>
    </w:p>
    <w:p w:rsidR="00756B88" w:rsidRPr="004A0CBB" w:rsidRDefault="00756B88" w:rsidP="00756B88">
      <w:pPr>
        <w:rPr>
          <w:rFonts w:ascii="Cambria" w:eastAsia="Cambria" w:hAnsi="Cambria" w:cs="Times New Roman"/>
        </w:rPr>
      </w:pPr>
      <w:r w:rsidRPr="004A0CBB">
        <w:rPr>
          <w:rFonts w:ascii="Cambria" w:eastAsia="Cambria" w:hAnsi="Cambria" w:cs="Times New Roman"/>
          <w:b/>
          <w:u w:val="single"/>
        </w:rPr>
        <w:t>Public opinion polls indicate that Americans care strongly about the ocean and are prepared to support ocean exploration</w:t>
      </w:r>
      <w:r w:rsidRPr="004A0CBB">
        <w:rPr>
          <w:rFonts w:ascii="Cambria" w:eastAsia="Cambria" w:hAnsi="Cambria" w:cs="Times New Roman"/>
        </w:rPr>
        <w:t xml:space="preserve"> over space ex-ploration. </w:t>
      </w:r>
      <w:r w:rsidRPr="004A0CBB">
        <w:rPr>
          <w:rFonts w:ascii="Cambria" w:eastAsia="Cambria" w:hAnsi="Cambria" w:cs="Times New Roman"/>
          <w:b/>
          <w:u w:val="single"/>
        </w:rPr>
        <w:t>According to a recent survey, eighty percent say that the condition of the ocean is a matter of personal importance.</w:t>
      </w:r>
      <w:r w:rsidRPr="004A0CBB">
        <w:rPr>
          <w:rFonts w:ascii="Cambria" w:eastAsia="Cambria" w:hAnsi="Cambria" w:cs="Times New Roman"/>
        </w:rPr>
        <w:t xml:space="preserve"> A full 55 percent give priority to funding ocean exploration over space explo-ration. </w:t>
      </w:r>
      <w:r w:rsidRPr="004A0CBB">
        <w:rPr>
          <w:rFonts w:ascii="Cambria" w:eastAsia="Cambria" w:hAnsi="Cambria" w:cs="Times New Roman"/>
          <w:b/>
          <w:u w:val="single"/>
        </w:rPr>
        <w:t xml:space="preserve">The survey participants, nearly three quarters (72 percent), also see the health of the ocean as intimately connected to the future well-being of humankind. </w:t>
      </w:r>
      <w:r w:rsidRPr="004A0CBB">
        <w:rPr>
          <w:rFonts w:ascii="Cambria" w:eastAsia="Cambria" w:hAnsi="Cambria" w:cs="Times New Roman"/>
        </w:rPr>
        <w:t xml:space="preserve">The Future </w:t>
      </w:r>
      <w:r w:rsidRPr="004A0CBB">
        <w:rPr>
          <w:rFonts w:ascii="Cambria" w:eastAsia="Cambria" w:hAnsi="Cambria" w:cs="Times New Roman"/>
          <w:b/>
          <w:u w:val="single"/>
        </w:rPr>
        <w:t>Ocean exploration gives mankind a sense of human progress and heritage. It provides the experience and knowledge necessary to undertake stewardship of the occan and its resources, and thus sets a course for future generations to navigate.</w:t>
      </w:r>
      <w:r w:rsidRPr="004A0CBB">
        <w:rPr>
          <w:rFonts w:ascii="Cambria" w:eastAsia="Cambria" w:hAnsi="Cambria" w:cs="Times New Roman"/>
        </w:rPr>
        <w:t xml:space="preserve"> What lies ahead is still unknown. Whatever it is, however, will be influenced by what is found through tomorrow's exploration—and will likely be different from today's predictions0021</w:t>
      </w:r>
    </w:p>
    <w:p w:rsidR="00756B88" w:rsidRPr="004105A9" w:rsidRDefault="00756B88" w:rsidP="00756B88"/>
    <w:p w:rsidR="00984FEB" w:rsidRDefault="00756B88" w:rsidP="00984FEB">
      <w:pPr>
        <w:pStyle w:val="Heading1"/>
      </w:pPr>
      <w:r>
        <w:lastRenderedPageBreak/>
        <w:t>AT: CASE</w:t>
      </w:r>
    </w:p>
    <w:p w:rsidR="00984FEB" w:rsidRDefault="00756B88" w:rsidP="00984FEB">
      <w:pPr>
        <w:pStyle w:val="Heading2"/>
      </w:pPr>
      <w:r>
        <w:lastRenderedPageBreak/>
        <w:t>Biofuels Advantage</w:t>
      </w:r>
    </w:p>
    <w:p w:rsidR="00984FEB" w:rsidRDefault="00984FEB" w:rsidP="00984FEB">
      <w:pPr>
        <w:pStyle w:val="Heading3"/>
      </w:pPr>
      <w:r>
        <w:lastRenderedPageBreak/>
        <w:t>cyberattack turn</w:t>
      </w:r>
    </w:p>
    <w:p w:rsidR="00984FEB" w:rsidRDefault="00984FEB" w:rsidP="00984FEB">
      <w:pPr>
        <w:pStyle w:val="Heading4"/>
      </w:pPr>
      <w:r>
        <w:t>Algae biofuel development leads to Chinese cyberattacks to steal secrets – turns science leadership and tech development</w:t>
      </w:r>
    </w:p>
    <w:p w:rsidR="00984FEB" w:rsidRPr="00F85F44" w:rsidRDefault="00984FEB" w:rsidP="00984FEB">
      <w:pPr>
        <w:rPr>
          <w:sz w:val="16"/>
          <w:szCs w:val="16"/>
        </w:rPr>
      </w:pPr>
      <w:r w:rsidRPr="00F85F44">
        <w:rPr>
          <w:rStyle w:val="StyleStyleBold12pt"/>
        </w:rPr>
        <w:t>Mufson 14</w:t>
      </w:r>
      <w:r w:rsidRPr="00F85F44">
        <w:rPr>
          <w:sz w:val="16"/>
          <w:szCs w:val="16"/>
        </w:rPr>
        <w:t xml:space="preserve"> (Steven, “Why were this company’s computers attacked millions of times this year? Algae.”, Washington Post, 7/12/14, http://www.washingtonpost.com/business/economy/why-were-this-companys-computers-attacked-millions-of-times-this-year-algae/2014/07/10/ac4df98c-f59a-11e3-a3a5-42be35962a52_story.html)</w:t>
      </w:r>
    </w:p>
    <w:p w:rsidR="00984FEB" w:rsidRPr="00F85F44" w:rsidRDefault="00984FEB" w:rsidP="00984FEB">
      <w:pPr>
        <w:rPr>
          <w:rStyle w:val="StyleBoldUnderline"/>
        </w:rPr>
      </w:pPr>
      <w:r w:rsidRPr="00F85F44">
        <w:rPr>
          <w:sz w:val="16"/>
          <w:szCs w:val="16"/>
        </w:rPr>
        <w:t xml:space="preserve">About 16 months ago, a Florida-based biofuel company called </w:t>
      </w:r>
      <w:r w:rsidRPr="00F85F44">
        <w:rPr>
          <w:rStyle w:val="StyleBoldUnderline"/>
        </w:rPr>
        <w:t>Algenol noticed that its Internet service was slowing down</w:t>
      </w:r>
      <w:r w:rsidRPr="00F85F44">
        <w:rPr>
          <w:sz w:val="16"/>
          <w:szCs w:val="16"/>
        </w:rPr>
        <w:t>. In checking that out, Jack Voth, Algen</w:t>
      </w:r>
      <w:r>
        <w:rPr>
          <w:sz w:val="16"/>
          <w:szCs w:val="16"/>
        </w:rPr>
        <w:t>of</w:t>
      </w:r>
      <w:r w:rsidRPr="00F85F44">
        <w:rPr>
          <w:sz w:val="16"/>
          <w:szCs w:val="16"/>
        </w:rPr>
        <w:t xml:space="preserve">s information technology chief, stumbled on something odd: </w:t>
      </w:r>
      <w:r w:rsidRPr="00F85F44">
        <w:rPr>
          <w:rStyle w:val="StyleBoldUnderline"/>
        </w:rPr>
        <w:t>a telnet connection to its videoconference camera from an Internet Protocol address in China, a country where Algenol has never sought to do business</w:t>
      </w:r>
      <w:r w:rsidRPr="00F85F44">
        <w:rPr>
          <w:sz w:val="16"/>
          <w:szCs w:val="16"/>
        </w:rPr>
        <w:t xml:space="preserve">. That was only the beginning. </w:t>
      </w:r>
      <w:r w:rsidRPr="00F85F44">
        <w:rPr>
          <w:rStyle w:val="StyleBoldUnderline"/>
        </w:rPr>
        <w:t>Ever since, Algenol has been on high alert for what Voth describes as “nefarious activity;” the company estimates that hackers have attempted to break into its computers 39 million times in four months this year, triple the level of a year earlier</w:t>
      </w:r>
      <w:r w:rsidRPr="00F85F44">
        <w:rPr>
          <w:sz w:val="16"/>
          <w:szCs w:val="16"/>
        </w:rPr>
        <w:t xml:space="preserve">. The most serious of these were more than </w:t>
      </w:r>
      <w:r w:rsidRPr="00F85F44">
        <w:rPr>
          <w:rStyle w:val="StyleBoldUnderline"/>
        </w:rPr>
        <w:t>63,000 attempts that came directly from China, including 6,653 attempts over 15 months from IP addresses and servers that Algenol says are the same as the Peoples’ Liberation Army addresses</w:t>
      </w:r>
      <w:r w:rsidRPr="00F85F44">
        <w:rPr>
          <w:sz w:val="16"/>
          <w:szCs w:val="16"/>
        </w:rPr>
        <w:t xml:space="preserve"> identified in a public report by </w:t>
      </w:r>
      <w:hyperlink r:id="rId73" w:history="1">
        <w:r w:rsidRPr="00F85F44">
          <w:rPr>
            <w:rStyle w:val="Hyperlink"/>
            <w:sz w:val="16"/>
            <w:szCs w:val="16"/>
          </w:rPr>
          <w:t>Mandiant</w:t>
        </w:r>
      </w:hyperlink>
      <w:r w:rsidRPr="00F85F44">
        <w:rPr>
          <w:sz w:val="16"/>
          <w:szCs w:val="16"/>
        </w:rPr>
        <w:t xml:space="preserve">, a leading computer security firm. Another Internet trail led Algenol to Aliyun Computing, the cloud computing subsidiary of Alibaba, one of the most powerful online commerce and retail giants in China. Interest in the company is running high because it is set to launch what may turn out to be the largest initial stock offering in U.S. history. Alibaba says Algenol mischaracterized ordinary Internet traffic as attacks. </w:t>
      </w:r>
      <w:r w:rsidRPr="00F85F44">
        <w:rPr>
          <w:rStyle w:val="StyleBoldUnderline"/>
        </w:rPr>
        <w:t>What makes a small company in Florida so interesting to cyberspies? Algae. It’s not usually the stuff of trade secrets, but Algenol</w:t>
      </w:r>
      <w:r w:rsidRPr="00F85F44">
        <w:rPr>
          <w:sz w:val="16"/>
          <w:szCs w:val="16"/>
        </w:rPr>
        <w:t xml:space="preserve">, a company with about 125 employees, </w:t>
      </w:r>
      <w:r w:rsidRPr="00F85F44">
        <w:rPr>
          <w:rStyle w:val="StyleBoldUnderline"/>
        </w:rPr>
        <w:t>is developing technology that converts algae biomass into transportation fuels, including biodiesel and gasoline</w:t>
      </w:r>
      <w:r w:rsidRPr="00F85F44">
        <w:rPr>
          <w:sz w:val="16"/>
          <w:szCs w:val="16"/>
        </w:rPr>
        <w:t xml:space="preserve"> — all while consuming the greenhouse gas carbon dioxide rather than producing it. Algen</w:t>
      </w:r>
      <w:r>
        <w:rPr>
          <w:sz w:val="16"/>
          <w:szCs w:val="16"/>
        </w:rPr>
        <w:t>of</w:t>
      </w:r>
      <w:r w:rsidRPr="00F85F44">
        <w:rPr>
          <w:sz w:val="16"/>
          <w:szCs w:val="16"/>
        </w:rPr>
        <w:t xml:space="preserve">s work would interest anyone who wants to curb climate change. </w:t>
      </w:r>
      <w:r w:rsidRPr="00F85F44">
        <w:rPr>
          <w:rStyle w:val="StyleBoldUnderline"/>
        </w:rPr>
        <w:t>As the Chinese government tries to limit the hazardous pollution that has upset its citizens, it has set out to increase biofuel production tenfold. That might be enough incentive for Chinese cyberspies.</w:t>
      </w:r>
      <w:r w:rsidRPr="00F85F44">
        <w:rPr>
          <w:sz w:val="16"/>
          <w:szCs w:val="16"/>
        </w:rPr>
        <w:t xml:space="preserve"> “This is not at all unusual. China has made the decision to focus on alternative energy as a topic of industrial espionage,” said James Andrew Lewis, a cybersecurity expert at the Center for Strategic and International Studies. He said the Chinese government and state-owned enterprises have targeted trade secrets for soap, house paint and wooden furniture. “It doesn’t have to be about national security,” Lewis said. Algenol isn’t alone in its battle against Chinese computer attacks. In May, the Justice Department </w:t>
      </w:r>
      <w:hyperlink r:id="rId74" w:history="1">
        <w:r w:rsidRPr="00F85F44">
          <w:rPr>
            <w:rStyle w:val="Hyperlink"/>
            <w:sz w:val="16"/>
            <w:szCs w:val="16"/>
          </w:rPr>
          <w:t xml:space="preserve">indicted five members </w:t>
        </w:r>
      </w:hyperlink>
      <w:r w:rsidRPr="00F85F44">
        <w:rPr>
          <w:sz w:val="16"/>
          <w:szCs w:val="16"/>
        </w:rPr>
        <w:t xml:space="preserve">of the Chinese military on charges of hacking into computers and stealing trade secrets from leading steel, nuclear-power and solar-power firms. China denied the charges. Foreign Ministry spokesman Qin Gang said in a statement that they were “purely ungrounded and absurd,” adding that the United States had “fabricated facts” in the indictment. </w:t>
      </w:r>
      <w:r w:rsidRPr="00F85F44">
        <w:rPr>
          <w:rStyle w:val="StyleBoldUnderline"/>
        </w:rPr>
        <w:t>Algenol chief executive Paul Woods says little has changed following the indictments and expressed frustration about the rising tide of attacks.</w:t>
      </w:r>
      <w:r w:rsidRPr="00F85F44">
        <w:rPr>
          <w:sz w:val="16"/>
          <w:szCs w:val="16"/>
        </w:rPr>
        <w:t xml:space="preserve"> Hacking attacks come from many countries, he says, but most are efforts to steal credit-card information. </w:t>
      </w:r>
      <w:r w:rsidRPr="00F85F44">
        <w:rPr>
          <w:rStyle w:val="StyleBoldUnderline"/>
        </w:rPr>
        <w:t>Chinese hackers,</w:t>
      </w:r>
      <w:r w:rsidRPr="00F85F44">
        <w:rPr>
          <w:sz w:val="16"/>
          <w:szCs w:val="16"/>
        </w:rPr>
        <w:t xml:space="preserve"> by contrast, </w:t>
      </w:r>
      <w:r w:rsidRPr="00F85F44">
        <w:rPr>
          <w:rStyle w:val="StyleBoldUnderline"/>
        </w:rPr>
        <w:t>tend to target trade secrets and unique technology</w:t>
      </w:r>
      <w:r w:rsidRPr="00F85F44">
        <w:rPr>
          <w:sz w:val="16"/>
          <w:szCs w:val="16"/>
        </w:rPr>
        <w:t xml:space="preserve">. “What are you going to do? Sue them in a Chinese court? </w:t>
      </w:r>
      <w:r w:rsidRPr="00F85F44">
        <w:rPr>
          <w:rStyle w:val="StyleBoldUnderline"/>
        </w:rPr>
        <w:t>You have no recourse</w:t>
      </w:r>
      <w:r w:rsidRPr="00F85F44">
        <w:rPr>
          <w:sz w:val="16"/>
          <w:szCs w:val="16"/>
        </w:rPr>
        <w:t xml:space="preserve">,” said Woods, adding that the Justice Department indictments would not touch the alleged culprits or change behavior and were “a joke.” </w:t>
      </w:r>
      <w:r w:rsidRPr="00F85F44">
        <w:rPr>
          <w:rStyle w:val="StyleBoldUnderline"/>
        </w:rPr>
        <w:t>Algenol</w:t>
      </w:r>
      <w:r w:rsidRPr="00F85F44">
        <w:rPr>
          <w:sz w:val="16"/>
          <w:szCs w:val="16"/>
        </w:rPr>
        <w:t xml:space="preserve">, which hasn’t built a large-scale plant, </w:t>
      </w:r>
      <w:r w:rsidRPr="00F85F44">
        <w:rPr>
          <w:rStyle w:val="StyleBoldUnderline"/>
        </w:rPr>
        <w:t>has spent hundreds of thousands of dollars on technology to protect its computers, but the volume of attacks</w:t>
      </w:r>
      <w:r w:rsidRPr="00F85F44">
        <w:rPr>
          <w:sz w:val="16"/>
          <w:szCs w:val="16"/>
        </w:rPr>
        <w:t xml:space="preserve"> — not only from China, but also from the United States, Germany, Russia and Taiwan — </w:t>
      </w:r>
      <w:r w:rsidRPr="00F85F44">
        <w:rPr>
          <w:rStyle w:val="StyleBoldUnderline"/>
        </w:rPr>
        <w:t>has made it impossible to track all the sources and log complaints with them.</w:t>
      </w:r>
    </w:p>
    <w:p w:rsidR="00984FEB" w:rsidRPr="00F85F44" w:rsidRDefault="00984FEB" w:rsidP="00984FEB">
      <w:pPr>
        <w:pStyle w:val="Heading4"/>
      </w:pPr>
      <w:r w:rsidRPr="00F85F44">
        <w:t>China will cyberattack algae development efforts – they’re desperate for new energy sources</w:t>
      </w:r>
    </w:p>
    <w:p w:rsidR="00984FEB" w:rsidRPr="00F85F44" w:rsidRDefault="00984FEB" w:rsidP="00984FEB">
      <w:pPr>
        <w:rPr>
          <w:sz w:val="16"/>
          <w:szCs w:val="16"/>
        </w:rPr>
      </w:pPr>
      <w:r w:rsidRPr="00F85F44">
        <w:rPr>
          <w:rStyle w:val="StyleStyleBold12pt"/>
        </w:rPr>
        <w:t>Mufson 14</w:t>
      </w:r>
      <w:r w:rsidRPr="00F85F44">
        <w:rPr>
          <w:sz w:val="16"/>
          <w:szCs w:val="16"/>
        </w:rPr>
        <w:t xml:space="preserve"> (Steven, “Why were this company’s computers attacked millions of times this year? Algae.”, Washington Post, 7/12/14, http://www.washingtonpost.com/business/economy/why-were-this-companys-computers-attacked-millions-of-times-this-year-algae/2014/07/10/ac4df98c-f59a-11e3-a3a5-42be35962a52_story.html)</w:t>
      </w:r>
    </w:p>
    <w:p w:rsidR="00984FEB" w:rsidRDefault="00984FEB" w:rsidP="00984FEB">
      <w:pPr>
        <w:rPr>
          <w:rStyle w:val="StyleBoldUnderline"/>
        </w:rPr>
      </w:pPr>
      <w:r w:rsidRPr="00F85F44">
        <w:rPr>
          <w:rStyle w:val="StyleBoldUnderline"/>
        </w:rPr>
        <w:t>China has made the search for commercial biofuels a priority</w:t>
      </w:r>
      <w:r w:rsidRPr="00F85F44">
        <w:rPr>
          <w:sz w:val="16"/>
          <w:szCs w:val="16"/>
        </w:rPr>
        <w:t>. “With rapid economic development, energy consumption in China has tripled in the past 20 years,” wrote a group of six Chinese biochemical engineers, four of whom work at the Institute of Process Engineering at the Chinese Academy of Sciences</w:t>
      </w:r>
      <w:r w:rsidRPr="00F85F44">
        <w:rPr>
          <w:rStyle w:val="StyleBoldUnderline"/>
        </w:rPr>
        <w:t xml:space="preserve">. “The search for new green energy as substitutes for nonrenewable energy resources has become an urgent task,” </w:t>
      </w:r>
      <w:hyperlink r:id="rId75" w:history="1">
        <w:r w:rsidRPr="00F85F44">
          <w:rPr>
            <w:rStyle w:val="StyleBoldUnderline"/>
          </w:rPr>
          <w:t xml:space="preserve">they wrote in an overview of existing literature </w:t>
        </w:r>
      </w:hyperlink>
      <w:r w:rsidRPr="00F85F44">
        <w:rPr>
          <w:sz w:val="16"/>
          <w:szCs w:val="16"/>
        </w:rPr>
        <w:t xml:space="preserve">in the October 2011 issue of Applied Energy, a publication of the Dutch giant Elseviers. </w:t>
      </w:r>
      <w:r w:rsidRPr="00F85F44">
        <w:rPr>
          <w:rStyle w:val="StyleBoldUnderline"/>
        </w:rPr>
        <w:t xml:space="preserve">Internet security experts say that some Chinese individuals or entities are trying to take a short </w:t>
      </w:r>
      <w:r w:rsidRPr="00F85F44">
        <w:rPr>
          <w:rStyle w:val="StyleBoldUnderline"/>
        </w:rPr>
        <w:lastRenderedPageBreak/>
        <w:t>cut to acquiring biofuel technology, including converting algae to fuel</w:t>
      </w:r>
      <w:r w:rsidRPr="00F85F44">
        <w:rPr>
          <w:sz w:val="16"/>
          <w:szCs w:val="16"/>
        </w:rPr>
        <w:t xml:space="preserve">. In tracing the source of the attacks on Algenol, Voth has looked to </w:t>
      </w:r>
      <w:hyperlink r:id="rId76" w:history="1">
        <w:r w:rsidRPr="00F85F44">
          <w:rPr>
            <w:rStyle w:val="Hyperlink"/>
            <w:sz w:val="16"/>
            <w:szCs w:val="16"/>
          </w:rPr>
          <w:t xml:space="preserve">a public report </w:t>
        </w:r>
      </w:hyperlink>
      <w:r w:rsidRPr="00F85F44">
        <w:rPr>
          <w:sz w:val="16"/>
          <w:szCs w:val="16"/>
        </w:rPr>
        <w:t xml:space="preserve">by Mandiant, a reputable Alexandria-based Internet security firm. </w:t>
      </w:r>
      <w:r w:rsidRPr="00F85F44">
        <w:rPr>
          <w:rStyle w:val="StyleBoldUnderline"/>
        </w:rPr>
        <w:t>The firm traced “advanced persistent threats” to a cyber-espionage unit of the People’s Liberation Army — the second bureau of the general staff’s third department</w:t>
      </w:r>
      <w:r w:rsidRPr="00F85F44">
        <w:rPr>
          <w:sz w:val="16"/>
          <w:szCs w:val="16"/>
        </w:rPr>
        <w:t xml:space="preserve">. Voth said the IP addresses and servers he tracked were the same as the ones in the Mandiant report. Jen Weedon, manager of threat intelligence at </w:t>
      </w:r>
      <w:hyperlink r:id="rId77" w:history="1">
        <w:r w:rsidRPr="00F85F44">
          <w:rPr>
            <w:rStyle w:val="Hyperlink"/>
            <w:sz w:val="16"/>
            <w:szCs w:val="16"/>
          </w:rPr>
          <w:t>FireEye</w:t>
        </w:r>
      </w:hyperlink>
      <w:r w:rsidRPr="00F85F44">
        <w:rPr>
          <w:sz w:val="16"/>
          <w:szCs w:val="16"/>
        </w:rPr>
        <w:t xml:space="preserve">, which acquired Mandiant in December, said </w:t>
      </w:r>
      <w:r w:rsidRPr="00F85F44">
        <w:rPr>
          <w:rStyle w:val="StyleBoldUnderline"/>
        </w:rPr>
        <w:t>FireEye had identified 25 Chinese groups engaged in cyber-espionage. “We’ve seen six of those 25 pursue companies involved in biofuels,”</w:t>
      </w:r>
      <w:r w:rsidRPr="00F85F44">
        <w:rPr>
          <w:sz w:val="16"/>
          <w:szCs w:val="16"/>
        </w:rPr>
        <w:t xml:space="preserve"> she said, all of them tied to intelligence agencies, the military, other parts of the government or government contractors. “</w:t>
      </w:r>
      <w:r w:rsidRPr="00F85F44">
        <w:rPr>
          <w:rStyle w:val="StyleBoldUnderline"/>
        </w:rPr>
        <w:t>The biofuels industry fits squarely in what they call strategic emerging industries.”</w:t>
      </w:r>
    </w:p>
    <w:p w:rsidR="00984FEB" w:rsidRDefault="00984FEB" w:rsidP="00984FEB">
      <w:pPr>
        <w:pStyle w:val="Heading3"/>
      </w:pPr>
      <w:r>
        <w:lastRenderedPageBreak/>
        <w:t>invasive species/envt turn</w:t>
      </w:r>
    </w:p>
    <w:p w:rsidR="00984FEB" w:rsidRDefault="00984FEB" w:rsidP="00984FEB">
      <w:pPr>
        <w:pStyle w:val="Heading4"/>
      </w:pPr>
      <w:r>
        <w:t>Algae biofuel development leads to invasive HAB species – damage human health and create marine dead zones</w:t>
      </w:r>
    </w:p>
    <w:p w:rsidR="00984FEB" w:rsidRPr="002E7F6D" w:rsidRDefault="00984FEB" w:rsidP="00984FEB">
      <w:pPr>
        <w:rPr>
          <w:sz w:val="16"/>
          <w:szCs w:val="16"/>
        </w:rPr>
      </w:pPr>
      <w:r w:rsidRPr="002E7F6D">
        <w:rPr>
          <w:rStyle w:val="StyleStyleBold12pt"/>
        </w:rPr>
        <w:t>Chimera et al. 10</w:t>
      </w:r>
      <w:r w:rsidRPr="002E7F6D">
        <w:rPr>
          <w:sz w:val="16"/>
          <w:szCs w:val="16"/>
        </w:rPr>
        <w:t xml:space="preserve"> (Charles G Chimera, Christopher E Buddenhagen &amp; Patti M Clifford, “Biofuels: the risks and dangers of introducing invasive species”, Biofuels 1:5, 2010, http://www.future-science.com/doi/abs/10.4155/bfs.10.47)</w:t>
      </w:r>
    </w:p>
    <w:p w:rsidR="00984FEB" w:rsidRDefault="00984FEB" w:rsidP="00984FEB">
      <w:pPr>
        <w:rPr>
          <w:sz w:val="16"/>
          <w:szCs w:val="16"/>
        </w:rPr>
      </w:pPr>
      <w:r w:rsidRPr="002E7F6D">
        <w:rPr>
          <w:rStyle w:val="StyleBoldUnderline"/>
        </w:rPr>
        <w:t>The R&amp;D of microalgal-based biofuels has seen a resurgence of interest in the past few years</w:t>
      </w:r>
      <w:r w:rsidRPr="002E7F6D">
        <w:rPr>
          <w:sz w:val="16"/>
          <w:szCs w:val="16"/>
        </w:rPr>
        <w:t xml:space="preserve"> [66,67]. Significant funding and collaborative partnerships are promoting algal-based biofuels as an important component of</w:t>
      </w:r>
      <w:r>
        <w:rPr>
          <w:sz w:val="16"/>
          <w:szCs w:val="16"/>
        </w:rPr>
        <w:t xml:space="preserve"> </w:t>
      </w:r>
      <w:r w:rsidRPr="002E7F6D">
        <w:rPr>
          <w:sz w:val="16"/>
          <w:szCs w:val="16"/>
        </w:rPr>
        <w:t>a sustainable energy future [68 ,691 . The potential benefits of</w:t>
      </w:r>
      <w:r>
        <w:rPr>
          <w:sz w:val="16"/>
          <w:szCs w:val="16"/>
        </w:rPr>
        <w:t xml:space="preserve"> </w:t>
      </w:r>
      <w:r w:rsidRPr="002E7F6D">
        <w:rPr>
          <w:sz w:val="16"/>
          <w:szCs w:val="16"/>
        </w:rPr>
        <w:t>microalgae include its high per-acre productivity, ability to thrive in a variety of</w:t>
      </w:r>
      <w:r>
        <w:rPr>
          <w:sz w:val="16"/>
          <w:szCs w:val="16"/>
        </w:rPr>
        <w:t xml:space="preserve"> </w:t>
      </w:r>
      <w:r w:rsidRPr="002E7F6D">
        <w:rPr>
          <w:sz w:val="16"/>
          <w:szCs w:val="16"/>
        </w:rPr>
        <w:t>water sources, non-arable land use, mitigation of GHGS, and production of</w:t>
      </w:r>
      <w:r>
        <w:rPr>
          <w:sz w:val="16"/>
          <w:szCs w:val="16"/>
        </w:rPr>
        <w:t xml:space="preserve"> </w:t>
      </w:r>
      <w:r w:rsidRPr="002E7F6D">
        <w:rPr>
          <w:sz w:val="16"/>
          <w:szCs w:val="16"/>
        </w:rPr>
        <w:t xml:space="preserve">biofuels and other valuable coproducts [70]. However, </w:t>
      </w:r>
      <w:r w:rsidRPr="002E7F6D">
        <w:rPr>
          <w:rStyle w:val="StyleBoldUnderline"/>
        </w:rPr>
        <w:t>microalgae introduced into new environments also have the potential to become invasive species</w:t>
      </w:r>
      <w:r w:rsidRPr="002E7F6D">
        <w:rPr>
          <w:sz w:val="16"/>
          <w:szCs w:val="16"/>
        </w:rPr>
        <w:t>. As stated by Phalan, "</w:t>
      </w:r>
      <w:r w:rsidRPr="002E7F6D">
        <w:rPr>
          <w:rStyle w:val="StyleBoldUnderline"/>
        </w:rPr>
        <w:t>the features which make them attractive biofuel crops wide environmental tolerance, rapid growth, ease of establishment, low water demand, ability to resprout when harvested are precisely those traits which predispose species to become alien invasives</w:t>
      </w:r>
      <w:r w:rsidRPr="002E7F6D">
        <w:rPr>
          <w:sz w:val="16"/>
          <w:szCs w:val="16"/>
        </w:rPr>
        <w:t xml:space="preserve">" [71]. </w:t>
      </w:r>
      <w:r>
        <w:rPr>
          <w:sz w:val="16"/>
          <w:szCs w:val="16"/>
        </w:rPr>
        <w:t>l There are an estimated 1</w:t>
      </w:r>
      <w:r w:rsidRPr="002E7F6D">
        <w:rPr>
          <w:sz w:val="16"/>
          <w:szCs w:val="16"/>
        </w:rPr>
        <w:t>-10 million algae species on Earth, with the majority being microalgae [72]. Microalgae are photosynthetic prokaryotic and eukaryotic organisms with fast growth rates [73]. They inhabit fresh, brackish and marine waters around the world [74] and are ecologically important, accounting for 50% of CO2 fixation [75</w:t>
      </w:r>
      <w:r w:rsidRPr="002E7F6D">
        <w:rPr>
          <w:rStyle w:val="StyleBoldUnderline"/>
        </w:rPr>
        <w:t>]. Microalgae that are native or introduced to an area and become invasive are often referred to as harmful algal blooms</w:t>
      </w:r>
      <w:r>
        <w:rPr>
          <w:sz w:val="16"/>
          <w:szCs w:val="16"/>
        </w:rPr>
        <w:t xml:space="preserve"> (H</w:t>
      </w:r>
      <w:r w:rsidRPr="002E7F6D">
        <w:rPr>
          <w:sz w:val="16"/>
          <w:szCs w:val="16"/>
        </w:rPr>
        <w:t xml:space="preserve">ABs). </w:t>
      </w:r>
      <w:r w:rsidRPr="002E7F6D">
        <w:rPr>
          <w:rStyle w:val="StyleBoldUnderline"/>
        </w:rPr>
        <w:t>HABs are species of phytoplankton that cause negative effects on human health</w:t>
      </w:r>
      <w:r w:rsidRPr="002E7F6D">
        <w:rPr>
          <w:sz w:val="16"/>
          <w:szCs w:val="16"/>
        </w:rPr>
        <w:t xml:space="preserve"> (through the production of toxins), </w:t>
      </w:r>
      <w:r w:rsidRPr="002E7F6D">
        <w:rPr>
          <w:rStyle w:val="StyleBoldUnderline"/>
        </w:rPr>
        <w:t>impact living marine sources</w:t>
      </w:r>
      <w:r w:rsidRPr="002E7F6D">
        <w:rPr>
          <w:sz w:val="16"/>
          <w:szCs w:val="16"/>
        </w:rPr>
        <w:t xml:space="preserve"> (wild and cultivated fish), </w:t>
      </w:r>
      <w:r w:rsidRPr="002E7F6D">
        <w:rPr>
          <w:rStyle w:val="StyleBoldUnderline"/>
        </w:rPr>
        <w:t xml:space="preserve">impact tourism and recreation of coastal waters </w:t>
      </w:r>
      <w:r w:rsidRPr="002E7F6D">
        <w:rPr>
          <w:sz w:val="16"/>
          <w:szCs w:val="16"/>
        </w:rPr>
        <w:t xml:space="preserve">(through "˜red tides'); </w:t>
      </w:r>
      <w:r w:rsidRPr="002E7F6D">
        <w:rPr>
          <w:rStyle w:val="StyleBoldUnderline"/>
        </w:rPr>
        <w:t>and damage marine ecosystems by creating anoxic areas that kill marine life</w:t>
      </w:r>
      <w:r w:rsidRPr="002E7F6D">
        <w:rPr>
          <w:sz w:val="16"/>
          <w:szCs w:val="16"/>
        </w:rPr>
        <w:t xml:space="preserve">. There are approximately 80 toxic and 200 noxious microalgal species involved in HABs out of a total of 4000 described marine planktonic microalgae [76]. Research indicates that the rise in HABs shows the signs of a global epidemic of HABS. Whether this recognition is the result of an increase of scientific awareness of toxic algal species, utilization of coastal waters for aquaculture, cultural eutrophication of waters, unusual climatalogical conditions or the transport of dinoflagellates by ships ballast water or shellfish stock is unclear [77-801. </w:t>
      </w:r>
      <w:r>
        <w:rPr>
          <w:sz w:val="16"/>
          <w:szCs w:val="16"/>
        </w:rPr>
        <w:t>The invasion pattern</w:t>
      </w:r>
      <w:r w:rsidRPr="002E7F6D">
        <w:rPr>
          <w:sz w:val="16"/>
          <w:szCs w:val="16"/>
        </w:rPr>
        <w:t>s of</w:t>
      </w:r>
      <w:r>
        <w:rPr>
          <w:sz w:val="16"/>
          <w:szCs w:val="16"/>
        </w:rPr>
        <w:t xml:space="preserve"> </w:t>
      </w:r>
      <w:r w:rsidRPr="002E7F6D">
        <w:rPr>
          <w:sz w:val="16"/>
          <w:szCs w:val="16"/>
        </w:rPr>
        <w:t>microalgae are dependent on human vectors and subsequent adaptation ofthe algae to their new environment. In the North Sea ofthe Atlantic Ocean, a shift in the successional pattern of flagellate and dinoflagellate species has been attributed to human</w:t>
      </w:r>
      <w:r>
        <w:rPr>
          <w:sz w:val="16"/>
          <w:szCs w:val="16"/>
        </w:rPr>
        <w:t>-</w:t>
      </w:r>
      <w:r w:rsidRPr="002E7F6D">
        <w:rPr>
          <w:sz w:val="16"/>
          <w:szCs w:val="16"/>
        </w:rPr>
        <w:t xml:space="preserve">induced climate and ocean salinity changes. HABs have increased and resulted in a proportional change in the community composition of diatoms and dinoflagellates. Continued climatic change could result in a successional change in the phytoplankton of the area [81]. Anthropogenic nutrient enrichment of coastal areas has also been linked to HAB events around the world [82]. </w:t>
      </w:r>
      <w:r w:rsidRPr="002E7F6D">
        <w:rPr>
          <w:rStyle w:val="StyleBoldUnderline"/>
        </w:rPr>
        <w:t>Microalgal genera or species proposed for biofuel pro</w:t>
      </w:r>
      <w:r>
        <w:rPr>
          <w:rStyle w:val="StyleBoldUnderline"/>
        </w:rPr>
        <w:t>duction that have had H</w:t>
      </w:r>
      <w:r w:rsidRPr="002E7F6D">
        <w:rPr>
          <w:rStyle w:val="StyleBoldUnderline"/>
        </w:rPr>
        <w:t>AB incidents include Amphom, Mmschia, Pseudo-nitzsc/Jia and Prymnesium parvum</w:t>
      </w:r>
      <w:r w:rsidRPr="002E7F6D">
        <w:rPr>
          <w:sz w:val="16"/>
          <w:szCs w:val="16"/>
        </w:rPr>
        <w:t xml:space="preserve">. </w:t>
      </w:r>
      <w:r w:rsidRPr="002E7F6D">
        <w:rPr>
          <w:rStyle w:val="StyleBoldUnderline"/>
        </w:rPr>
        <w:t>It has been suggested that locating algal biofuel production plants close to seawater will remove the need for fresh water resources</w:t>
      </w:r>
      <w:r w:rsidRPr="002E7F6D">
        <w:rPr>
          <w:sz w:val="16"/>
          <w:szCs w:val="16"/>
        </w:rPr>
        <w:t xml:space="preserve"> and increase their sustainability [83]. </w:t>
      </w:r>
      <w:r w:rsidRPr="002E7F6D">
        <w:rPr>
          <w:rStyle w:val="StyleBoldUnderline"/>
        </w:rPr>
        <w:t>However there is little discussion on the ecological impacts resulting from an accidental introduction of a microalgal biofuel species into the surrounding environment</w:t>
      </w:r>
      <w:r w:rsidRPr="002E7F6D">
        <w:rPr>
          <w:sz w:val="16"/>
          <w:szCs w:val="16"/>
        </w:rPr>
        <w:t xml:space="preserve">. </w:t>
      </w:r>
      <w:r w:rsidRPr="002E7F6D">
        <w:rPr>
          <w:rStyle w:val="StyleBoldUnderline"/>
        </w:rPr>
        <w:t>Microscopic species can easily be moved from one site to another unintentionally</w:t>
      </w:r>
      <w:r w:rsidRPr="002E7F6D">
        <w:rPr>
          <w:sz w:val="16"/>
          <w:szCs w:val="16"/>
        </w:rPr>
        <w:t>; for example, rock snot (</w:t>
      </w:r>
      <w:r w:rsidRPr="002E7F6D">
        <w:rPr>
          <w:rStyle w:val="StyleBoldUnderline"/>
        </w:rPr>
        <w:t>Didymosphenia geminata</w:t>
      </w:r>
      <w:r w:rsidRPr="002E7F6D">
        <w:rPr>
          <w:sz w:val="16"/>
          <w:szCs w:val="16"/>
        </w:rPr>
        <w:t xml:space="preserve">) </w:t>
      </w:r>
      <w:r w:rsidRPr="002E7F6D">
        <w:rPr>
          <w:rStyle w:val="StyleBoldUnderline"/>
        </w:rPr>
        <w:t>is a one-celled diatom that</w:t>
      </w:r>
      <w:r w:rsidRPr="002E7F6D">
        <w:rPr>
          <w:sz w:val="16"/>
          <w:szCs w:val="16"/>
        </w:rPr>
        <w:t xml:space="preserve"> </w:t>
      </w:r>
      <w:r w:rsidRPr="002E7F6D">
        <w:rPr>
          <w:rStyle w:val="StyleBoldUnderline"/>
        </w:rPr>
        <w:t>can spread in a drop of water, on clothing, pets or other gear</w:t>
      </w:r>
      <w:r w:rsidRPr="002E7F6D">
        <w:rPr>
          <w:sz w:val="16"/>
          <w:szCs w:val="16"/>
        </w:rPr>
        <w:t xml:space="preserve">. </w:t>
      </w:r>
      <w:r w:rsidRPr="002E7F6D">
        <w:rPr>
          <w:rStyle w:val="StyleBoldUnderline"/>
        </w:rPr>
        <w:t>It is an emerging global invasive species</w:t>
      </w:r>
      <w:r w:rsidRPr="002E7F6D">
        <w:rPr>
          <w:sz w:val="16"/>
          <w:szCs w:val="16"/>
        </w:rPr>
        <w:t xml:space="preserve">, particularly in parts ofthe USA and New Zealand [84]. In invaded habitats, D. geminata blooms can affect trophic levels in fresh water systems, impacting ecosystem structure and function [85] _ The authors suggest that because D. geminata is microscopic, its invasion patterns may have more in common with global diseases than with higher taxonomic organism invaders. </w:t>
      </w:r>
      <w:r w:rsidRPr="002E7F6D">
        <w:rPr>
          <w:rStyle w:val="StyleBoldUnderline"/>
        </w:rPr>
        <w:t>While there is a rush to develop an algal-based biofuel industry, the development of risk assessment procedures and risk mitigation measures have not kept pace. There is a lack of information on what the negative effects could be to an ecosystem by introducing a non-native, native or GM algal species</w:t>
      </w:r>
      <w:r w:rsidRPr="002E7F6D">
        <w:rPr>
          <w:sz w:val="16"/>
          <w:szCs w:val="16"/>
        </w:rPr>
        <w:t>. While there are numerous risk assessment procedures developed for I-IABs [86], risk assessment for I-IAB species is complicated due to algal species diversity and the degree of taxonomic expertise that is required to identify the species in question. Research efforts are needed to develop tools for taxonomic classification and the identification of population dynamics of I-IAB species to improve monitoring and risk assessment efforts, and to develop management and mitigation procedures that limit the impacts of I-IABs to the environment [76].</w:t>
      </w:r>
    </w:p>
    <w:p w:rsidR="00984FEB" w:rsidRPr="002E7F6D" w:rsidRDefault="00984FEB" w:rsidP="00984FEB">
      <w:pPr>
        <w:pStyle w:val="Heading4"/>
      </w:pPr>
      <w:r w:rsidRPr="002E7F6D">
        <w:t>Algae biofuels risk harmful toxins and upsetting fragile ecosystems</w:t>
      </w:r>
    </w:p>
    <w:p w:rsidR="00984FEB" w:rsidRPr="002E7F6D" w:rsidRDefault="00984FEB" w:rsidP="00984FEB">
      <w:pPr>
        <w:rPr>
          <w:sz w:val="16"/>
          <w:szCs w:val="16"/>
        </w:rPr>
      </w:pPr>
      <w:r w:rsidRPr="002E7F6D">
        <w:rPr>
          <w:rStyle w:val="StyleStyleBold12pt"/>
        </w:rPr>
        <w:t>OSU 12</w:t>
      </w:r>
      <w:r w:rsidRPr="002E7F6D">
        <w:rPr>
          <w:sz w:val="16"/>
          <w:szCs w:val="16"/>
        </w:rPr>
        <w:t xml:space="preserve"> (Ohio State University, “Genetically engineered algae for biofuel pose potential risks”, Science Daily, 8/20/12, http://www.sciencedaily.com/releases/2012/08/120820121044.htm)</w:t>
      </w:r>
    </w:p>
    <w:p w:rsidR="00984FEB" w:rsidRDefault="00984FEB" w:rsidP="00984FEB">
      <w:pPr>
        <w:rPr>
          <w:rStyle w:val="StyleBoldUnderline"/>
        </w:rPr>
      </w:pPr>
      <w:r w:rsidRPr="002E7F6D">
        <w:rPr>
          <w:rStyle w:val="StyleBoldUnderline"/>
        </w:rPr>
        <w:t>Algae are high on the genetic engineering agenda as a potential source for biofuel, and they should be subjected to independent studies of any environmental risks</w:t>
      </w:r>
      <w:r w:rsidRPr="002E7F6D">
        <w:rPr>
          <w:sz w:val="16"/>
          <w:szCs w:val="16"/>
        </w:rPr>
        <w:t xml:space="preserve"> that could be linked to cultivating </w:t>
      </w:r>
      <w:r w:rsidRPr="002E7F6D">
        <w:rPr>
          <w:sz w:val="16"/>
          <w:szCs w:val="16"/>
        </w:rPr>
        <w:lastRenderedPageBreak/>
        <w:t xml:space="preserve">algae for this purpose, </w:t>
      </w:r>
      <w:r w:rsidRPr="002E7F6D">
        <w:rPr>
          <w:rStyle w:val="StyleBoldUnderline"/>
        </w:rPr>
        <w:t>two prominent researchers say</w:t>
      </w:r>
      <w:r w:rsidRPr="002E7F6D">
        <w:rPr>
          <w:sz w:val="16"/>
          <w:szCs w:val="16"/>
        </w:rPr>
        <w:t xml:space="preserve">. Writing in the August 2012 issue of the journal BioScience, the researchers argue that ecology experts should be among scientists given independent authority and adequate funding to explore any potential unintended consequences of this technological pursuit. </w:t>
      </w:r>
      <w:r w:rsidRPr="002E7F6D">
        <w:rPr>
          <w:rStyle w:val="StyleBoldUnderline"/>
        </w:rPr>
        <w:t>A critical baseline concern is whether genetically engineered algae would be able to survive in the wild</w:t>
      </w:r>
      <w:r w:rsidRPr="002E7F6D">
        <w:rPr>
          <w:sz w:val="16"/>
          <w:szCs w:val="16"/>
        </w:rPr>
        <w:t xml:space="preserve">, said Allison Snow, professor of evolution, ecology and organismal biology at Ohio State University and lead author of the paper. "If they're grown in big, open ponds, which is mainly what were talking about, could the newer types of microalgae get out into nature and mingle? We need to know if they can survive and whether they can hybridize or evolve to become more prolific when they get out of a controlled environment," Snow said. "If they can survive, we also need to know whether </w:t>
      </w:r>
      <w:r w:rsidRPr="002E7F6D">
        <w:rPr>
          <w:rStyle w:val="StyleBoldUnderline"/>
        </w:rPr>
        <w:t>some types of genetically engineered blue-green algae, for example, could produce toxins or harmful algal blooms -- or both</w:t>
      </w:r>
      <w:r w:rsidRPr="002E7F6D">
        <w:rPr>
          <w:sz w:val="16"/>
          <w:szCs w:val="16"/>
        </w:rPr>
        <w:t xml:space="preserve">," Snow noted. And </w:t>
      </w:r>
      <w:r w:rsidRPr="002E7F6D">
        <w:rPr>
          <w:rStyle w:val="StyleBoldUnderline"/>
        </w:rPr>
        <w:t>because algae are so small and could be dispersed by rough weather or wildlife activity, biologists worry that any transgenes they contain to enhance their growth and strength could be transferred to other species in a way that could upset a fragile ecosystem</w:t>
      </w:r>
      <w:r w:rsidRPr="002E7F6D">
        <w:rPr>
          <w:sz w:val="16"/>
          <w:szCs w:val="16"/>
        </w:rPr>
        <w:t xml:space="preserve">. "The applications are new and the organisms are less well-known. They range from being very tame 'lab rats' that won't survive in nature to wild organisms that can presumably cross with each other unless some measures are taken to prevent crossing. It's a very new situation," Snow said. Snow co-authored the article with aquatic ecologist Val Smith, a professor in the Department of Ecology and Evolutionary Biology at the University of Kansas. Snow has a history in this area of research. She led a study in 2002 that was the first to show that a gene artificially inserted into crop plants to fend off pests could migrate to weeds in a natural environment and make the weeds stronger. She also has served on national panels that monitor and make recommendations about the release of genetically engineered species into the environment. </w:t>
      </w:r>
      <w:r w:rsidRPr="002E7F6D">
        <w:rPr>
          <w:rStyle w:val="StyleBoldUnderline"/>
        </w:rPr>
        <w:t>There are a lot of unknowns about this area of research and development in microalgae, and that's largely because algae don't have the breeding history that, say, corn and soybeans have</w:t>
      </w:r>
      <w:r w:rsidRPr="002E7F6D">
        <w:rPr>
          <w:sz w:val="16"/>
          <w:szCs w:val="16"/>
        </w:rPr>
        <w:t xml:space="preserve">, Snow said. In addition, </w:t>
      </w:r>
      <w:r w:rsidRPr="002E7F6D">
        <w:rPr>
          <w:rStyle w:val="StyleBoldUnderline"/>
        </w:rPr>
        <w:t>few details are publicly available because much of this information remains confidential as businesses compete to be the first to commercialize their genetically altered algae.</w:t>
      </w:r>
    </w:p>
    <w:p w:rsidR="00984FEB" w:rsidRPr="00457ADE" w:rsidRDefault="00984FEB" w:rsidP="00984FEB">
      <w:pPr>
        <w:pStyle w:val="Heading4"/>
      </w:pPr>
      <w:r w:rsidRPr="00457ADE">
        <w:t>Algae biofuel development leads to ecosystem destruction – eutrophication and kills biodiversity</w:t>
      </w:r>
    </w:p>
    <w:p w:rsidR="00984FEB" w:rsidRPr="00457ADE" w:rsidRDefault="00984FEB" w:rsidP="00984FEB">
      <w:pPr>
        <w:rPr>
          <w:sz w:val="16"/>
          <w:szCs w:val="16"/>
        </w:rPr>
      </w:pPr>
      <w:r w:rsidRPr="00457ADE">
        <w:rPr>
          <w:rStyle w:val="StyleStyleBold12pt"/>
        </w:rPr>
        <w:t>Zhu and Ketola 12</w:t>
      </w:r>
      <w:r w:rsidRPr="00457ADE">
        <w:rPr>
          <w:sz w:val="16"/>
          <w:szCs w:val="16"/>
        </w:rPr>
        <w:t xml:space="preserve"> (Liandong and Tarja, “Microalgae production as a biofuel feedstock: risks and challenges”, International Journal of Sustainable Development &amp; World Ecology 19:3, June 2012, http://www.academia.edu/3459816/Microalgae_production_as_a_biofuel_feedstock_risks_and_challenges)</w:t>
      </w:r>
    </w:p>
    <w:p w:rsidR="00984FEB" w:rsidRDefault="00984FEB" w:rsidP="00984FEB">
      <w:pPr>
        <w:rPr>
          <w:sz w:val="16"/>
          <w:szCs w:val="16"/>
        </w:rPr>
      </w:pPr>
      <w:r w:rsidRPr="00457ADE">
        <w:rPr>
          <w:sz w:val="16"/>
          <w:szCs w:val="16"/>
        </w:rPr>
        <w:t>The term biodiversity is used to refer to the richness of the life forms and their associations in a biome (Suneetha2010). In a balanced system, weather, predators, diseases and availability of food sources all affect species presence and population size (Benton 2001). Water contamination and the presence of alien invasive species will threaten the development and stability of biodiversity in any system</w:t>
      </w:r>
      <w:r w:rsidRPr="00457ADE">
        <w:rPr>
          <w:rStyle w:val="StyleBoldUnderline"/>
        </w:rPr>
        <w:t>.</w:t>
      </w:r>
      <w:r>
        <w:rPr>
          <w:rStyle w:val="StyleBoldUnderline"/>
        </w:rPr>
        <w:t xml:space="preserve"> </w:t>
      </w:r>
      <w:r w:rsidRPr="00457ADE">
        <w:rPr>
          <w:rStyle w:val="StyleBoldUnderline"/>
        </w:rPr>
        <w:t>A microalgae culture facility, whether a closed or open system, can be established in a water-rich delta, a desert or in the open sea. In an open system, the use of large quanti-ties of fertiliser for microalgae cultivation can lead to direct and indirect releases of reactive N species into the environ-ment</w:t>
      </w:r>
      <w:r w:rsidRPr="00457ADE">
        <w:rPr>
          <w:sz w:val="16"/>
          <w:szCs w:val="16"/>
        </w:rPr>
        <w:t xml:space="preserve">. Moreover, in microalgae culture systems </w:t>
      </w:r>
      <w:r w:rsidRPr="00457ADE">
        <w:rPr>
          <w:rStyle w:val="StyleBoldUnderline"/>
        </w:rPr>
        <w:t>chemicals and disinfectants are widely used for pest prevention water treatment, and cleaning and disinfection of equip-ment. Moreover, during biomass harvest, ﬂocculants are</w:t>
      </w:r>
      <w:r>
        <w:rPr>
          <w:rStyle w:val="StyleBoldUnderline"/>
        </w:rPr>
        <w:t xml:space="preserve"> </w:t>
      </w:r>
      <w:r w:rsidRPr="00457ADE">
        <w:rPr>
          <w:rStyle w:val="StyleBoldUnderline"/>
        </w:rPr>
        <w:t>also essential.</w:t>
      </w:r>
      <w:r w:rsidRPr="00457ADE">
        <w:rPr>
          <w:sz w:val="16"/>
          <w:szCs w:val="16"/>
        </w:rPr>
        <w:t xml:space="preserve"> </w:t>
      </w:r>
      <w:r w:rsidRPr="00457ADE">
        <w:rPr>
          <w:rStyle w:val="StyleBoldUnderline"/>
        </w:rPr>
        <w:t>As a result, the downstream discharge of residual chemical nutrients can lead to net increases in nutrient levels in the receiving water body</w:t>
      </w:r>
      <w:r w:rsidRPr="00457ADE">
        <w:rPr>
          <w:sz w:val="16"/>
          <w:szCs w:val="16"/>
        </w:rPr>
        <w:t xml:space="preserve">. Although fur-ther environmental effects have not yet been fully known assessed, </w:t>
      </w:r>
      <w:r w:rsidRPr="00457ADE">
        <w:rPr>
          <w:rStyle w:val="StyleBoldUnderline"/>
        </w:rPr>
        <w:t>eutrophication resulting from nutrient imbalance in water will give rise to toxic algal blooms and ﬁsh kills in the natural environment</w:t>
      </w:r>
      <w:r w:rsidRPr="00457ADE">
        <w:rPr>
          <w:sz w:val="16"/>
          <w:szCs w:val="16"/>
        </w:rPr>
        <w:t xml:space="preserve"> (Glibert et al. 2005; Estradaet al. 2009).There are over 100,000 microalgal species, and only a</w:t>
      </w:r>
      <w:r>
        <w:rPr>
          <w:sz w:val="16"/>
          <w:szCs w:val="16"/>
        </w:rPr>
        <w:t xml:space="preserve"> </w:t>
      </w:r>
      <w:r w:rsidRPr="00457ADE">
        <w:rPr>
          <w:sz w:val="16"/>
          <w:szCs w:val="16"/>
        </w:rPr>
        <w:t>handful have been well studied and adopted for widespread cultivation in the aquaculture and food industry. Creating pure microalgae culture is difﬁcult, and involves the limi-tation</w:t>
      </w:r>
      <w:r>
        <w:rPr>
          <w:sz w:val="16"/>
          <w:szCs w:val="16"/>
        </w:rPr>
        <w:t xml:space="preserve"> </w:t>
      </w:r>
      <w:r w:rsidRPr="00457ADE">
        <w:rPr>
          <w:sz w:val="16"/>
          <w:szCs w:val="16"/>
        </w:rPr>
        <w:t>or</w:t>
      </w:r>
      <w:r>
        <w:rPr>
          <w:sz w:val="16"/>
          <w:szCs w:val="16"/>
        </w:rPr>
        <w:t xml:space="preserve"> </w:t>
      </w:r>
      <w:r w:rsidRPr="00457ADE">
        <w:rPr>
          <w:sz w:val="16"/>
          <w:szCs w:val="16"/>
        </w:rPr>
        <w:t>exclusion</w:t>
      </w:r>
      <w:r>
        <w:rPr>
          <w:sz w:val="16"/>
          <w:szCs w:val="16"/>
        </w:rPr>
        <w:t xml:space="preserve"> </w:t>
      </w:r>
      <w:r w:rsidRPr="00457ADE">
        <w:rPr>
          <w:sz w:val="16"/>
          <w:szCs w:val="16"/>
        </w:rPr>
        <w:t>of</w:t>
      </w:r>
      <w:r>
        <w:rPr>
          <w:sz w:val="16"/>
          <w:szCs w:val="16"/>
        </w:rPr>
        <w:t xml:space="preserve"> </w:t>
      </w:r>
      <w:r w:rsidRPr="00457ADE">
        <w:rPr>
          <w:sz w:val="16"/>
          <w:szCs w:val="16"/>
        </w:rPr>
        <w:t>natural</w:t>
      </w:r>
      <w:r>
        <w:rPr>
          <w:sz w:val="16"/>
          <w:szCs w:val="16"/>
        </w:rPr>
        <w:t xml:space="preserve"> </w:t>
      </w:r>
      <w:r w:rsidRPr="00457ADE">
        <w:rPr>
          <w:sz w:val="16"/>
          <w:szCs w:val="16"/>
        </w:rPr>
        <w:t>and</w:t>
      </w:r>
      <w:r>
        <w:rPr>
          <w:sz w:val="16"/>
          <w:szCs w:val="16"/>
        </w:rPr>
        <w:t xml:space="preserve"> </w:t>
      </w:r>
      <w:r w:rsidRPr="00457ADE">
        <w:rPr>
          <w:sz w:val="16"/>
          <w:szCs w:val="16"/>
        </w:rPr>
        <w:t>native species.</w:t>
      </w:r>
      <w:r>
        <w:rPr>
          <w:sz w:val="16"/>
          <w:szCs w:val="16"/>
        </w:rPr>
        <w:t xml:space="preserve"> </w:t>
      </w:r>
      <w:r w:rsidRPr="00457ADE">
        <w:rPr>
          <w:sz w:val="16"/>
          <w:szCs w:val="16"/>
        </w:rPr>
        <w:t>Any</w:t>
      </w:r>
      <w:r>
        <w:rPr>
          <w:sz w:val="16"/>
          <w:szCs w:val="16"/>
        </w:rPr>
        <w:t xml:space="preserve"> </w:t>
      </w:r>
      <w:r w:rsidRPr="00457ADE">
        <w:rPr>
          <w:rStyle w:val="StyleBoldUnderline"/>
        </w:rPr>
        <w:t>exotic or potentially invasive microalgae species from system wastewater that are released into the natural environment will threaten the integrity of local and regional ecosys-tems, since downstream water may contain non-harvested microalgal cells.</w:t>
      </w:r>
      <w:r w:rsidRPr="00457ADE">
        <w:rPr>
          <w:sz w:val="16"/>
          <w:szCs w:val="16"/>
        </w:rPr>
        <w:t xml:space="preserve"> The </w:t>
      </w:r>
      <w:r w:rsidRPr="00457ADE">
        <w:rPr>
          <w:rStyle w:val="StyleBoldUnderline"/>
        </w:rPr>
        <w:t>movement or drift of microalgae carries risks for wild species, and may result in biolog-ical invasions</w:t>
      </w:r>
      <w:r w:rsidRPr="00457ADE">
        <w:rPr>
          <w:sz w:val="16"/>
          <w:szCs w:val="16"/>
        </w:rPr>
        <w:t>. Through species competition, l</w:t>
      </w:r>
      <w:r w:rsidRPr="00457ADE">
        <w:rPr>
          <w:rStyle w:val="StyleBoldUnderline"/>
        </w:rPr>
        <w:t>arge-scale microalgal reproduction will threaten the safety of native species, and could even cause a biological disaster – species extinction (</w:t>
      </w:r>
      <w:r w:rsidRPr="00457ADE">
        <w:rPr>
          <w:sz w:val="16"/>
          <w:szCs w:val="16"/>
        </w:rPr>
        <w:t>Fritts and Rodda 1998)</w:t>
      </w:r>
    </w:p>
    <w:p w:rsidR="00984FEB" w:rsidRPr="00C51F93" w:rsidRDefault="00984FEB" w:rsidP="00984FEB">
      <w:pPr>
        <w:pStyle w:val="Heading4"/>
        <w:rPr>
          <w:rStyle w:val="StyleStyleBold12pt"/>
          <w:b/>
        </w:rPr>
      </w:pPr>
      <w:r>
        <w:rPr>
          <w:rStyle w:val="StyleStyleBold12pt"/>
          <w:b/>
        </w:rPr>
        <w:lastRenderedPageBreak/>
        <w:t>Algae biofuels hurt the environment—releases more GHG emissions &amp; threatens water resources</w:t>
      </w:r>
    </w:p>
    <w:p w:rsidR="00984FEB" w:rsidRPr="00C51F93" w:rsidRDefault="00984FEB" w:rsidP="00984FEB">
      <w:pPr>
        <w:rPr>
          <w:rStyle w:val="StyleStyleBold12pt"/>
          <w:b w:val="0"/>
          <w:sz w:val="16"/>
        </w:rPr>
      </w:pPr>
      <w:r w:rsidRPr="00C51F93">
        <w:rPr>
          <w:rStyle w:val="StyleStyleBold12pt"/>
        </w:rPr>
        <w:t>Rampton &amp; Zabarenko, 2012</w:t>
      </w:r>
      <w:r w:rsidRPr="00C51F93">
        <w:rPr>
          <w:rStyle w:val="StyleStyleBold12pt"/>
          <w:sz w:val="16"/>
        </w:rPr>
        <w:t xml:space="preserve"> </w:t>
      </w:r>
      <w:r w:rsidRPr="00C51F93">
        <w:rPr>
          <w:rStyle w:val="StyleStyleBold12pt"/>
          <w:b w:val="0"/>
          <w:sz w:val="16"/>
        </w:rPr>
        <w:t>(Roberta Rampton and Deborah Zabarenko- environmental correspondents for Reuters, “</w:t>
      </w:r>
      <w:r w:rsidRPr="00C51F93">
        <w:rPr>
          <w:rStyle w:val="StyleBoldUnderline"/>
        </w:rPr>
        <w:t>Algae biofuel not sustainable now-U.S. research council</w:t>
      </w:r>
      <w:r w:rsidRPr="00C51F93">
        <w:rPr>
          <w:rStyle w:val="StyleStyleBold12pt"/>
          <w:b w:val="0"/>
          <w:sz w:val="16"/>
        </w:rPr>
        <w:t>”, Reuters, 10/24/2014, http://uk.reuters.com/article/2012/10/24/us-usa-biofuels-algae-idUKBRE89N1Q820121024)</w:t>
      </w:r>
    </w:p>
    <w:p w:rsidR="00984FEB" w:rsidRPr="00C51F93" w:rsidRDefault="00984FEB" w:rsidP="00984FEB">
      <w:pPr>
        <w:rPr>
          <w:sz w:val="16"/>
        </w:rPr>
      </w:pPr>
      <w:r w:rsidRPr="00C51F93">
        <w:rPr>
          <w:sz w:val="16"/>
        </w:rPr>
        <w:t xml:space="preserve">It said a main reason to use alternative fuels for transportation is to cut climate-warming greenhouse gas emissions created by burning fossil fuel. But </w:t>
      </w:r>
      <w:r w:rsidRPr="00557640">
        <w:rPr>
          <w:rStyle w:val="StyleBoldUnderline"/>
          <w:highlight w:val="green"/>
        </w:rPr>
        <w:t>estimates of</w:t>
      </w:r>
      <w:r w:rsidRPr="00C51F93">
        <w:rPr>
          <w:rStyle w:val="StyleBoldUnderline"/>
        </w:rPr>
        <w:t xml:space="preserve"> greenhouse </w:t>
      </w:r>
      <w:r w:rsidRPr="00557640">
        <w:rPr>
          <w:rStyle w:val="StyleBoldUnderline"/>
          <w:highlight w:val="green"/>
        </w:rPr>
        <w:t>emissions from algal biofuels</w:t>
      </w:r>
      <w:r w:rsidRPr="00C51F93">
        <w:rPr>
          <w:sz w:val="16"/>
        </w:rPr>
        <w:t xml:space="preserve"> cover a wide range, with some </w:t>
      </w:r>
      <w:r w:rsidRPr="00557640">
        <w:rPr>
          <w:rStyle w:val="StyleBoldUnderline"/>
          <w:highlight w:val="green"/>
        </w:rPr>
        <w:t>suggest</w:t>
      </w:r>
      <w:r w:rsidRPr="00C51F93">
        <w:rPr>
          <w:sz w:val="16"/>
        </w:rPr>
        <w:t xml:space="preserve">ing </w:t>
      </w:r>
      <w:r w:rsidRPr="00C51F93">
        <w:rPr>
          <w:rStyle w:val="StyleBoldUnderline"/>
        </w:rPr>
        <w:t xml:space="preserve">that over their life cycle, </w:t>
      </w:r>
      <w:r w:rsidRPr="00557640">
        <w:rPr>
          <w:rStyle w:val="Emphasis"/>
          <w:highlight w:val="green"/>
        </w:rPr>
        <w:t>the fuels release more climate-warming gas than petroleum,</w:t>
      </w:r>
      <w:r w:rsidRPr="00C51F93">
        <w:rPr>
          <w:rStyle w:val="Emphasis"/>
        </w:rPr>
        <w:t xml:space="preserve"> </w:t>
      </w:r>
      <w:r w:rsidRPr="00C51F93">
        <w:rPr>
          <w:sz w:val="16"/>
        </w:rPr>
        <w:t xml:space="preserve">it said. The product now made in small quantities by Sapphire uses algae, sunlight and carbon dioxide as feedstocks to make fuel that is not dependent on food crops or farmland. The company calls it "green crude." Tim Zenk,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U.S. Navy used algal biofuel along with fuel made from cooking oil waste as part of its "Green Fleet" military exercises demonstration this summer, drawing fire from Republican lawmakers for its nearly $27 per gallon cost. The council study also said </w:t>
      </w:r>
      <w:r w:rsidRPr="00C51F93">
        <w:rPr>
          <w:rStyle w:val="StyleBoldUnderline"/>
        </w:rPr>
        <w:t>it was unclear whether producing that much biofuel from algae would actually lead to reduced greenhouse gas emissions</w:t>
      </w:r>
      <w:r w:rsidRPr="00C51F93">
        <w:rPr>
          <w:sz w:val="16"/>
        </w:rPr>
        <w:t xml:space="preserve">. The report </w:t>
      </w:r>
      <w:r w:rsidRPr="00C51F93">
        <w:rPr>
          <w:rStyle w:val="StyleBoldUnderline"/>
        </w:rPr>
        <w:t xml:space="preserve">shows </w:t>
      </w:r>
      <w:r w:rsidRPr="00557640">
        <w:rPr>
          <w:rStyle w:val="StyleBoldUnderline"/>
          <w:highlight w:val="green"/>
        </w:rPr>
        <w:t>the strategy is too risky</w:t>
      </w:r>
      <w:r w:rsidRPr="00557640">
        <w:rPr>
          <w:sz w:val="16"/>
          <w:highlight w:val="green"/>
        </w:rPr>
        <w:t>,</w:t>
      </w:r>
      <w:r w:rsidRPr="00C51F93">
        <w:rPr>
          <w:sz w:val="16"/>
        </w:rPr>
        <w:t xml:space="preserve"> said Friends of the Earth, an environmental group. "</w:t>
      </w:r>
      <w:r w:rsidRPr="00557640">
        <w:rPr>
          <w:rStyle w:val="Emphasis"/>
          <w:highlight w:val="green"/>
        </w:rPr>
        <w:t>Algae production poses a double-edged threat to our water resources</w:t>
      </w:r>
      <w:r w:rsidRPr="00C51F93">
        <w:rPr>
          <w:rStyle w:val="Emphasis"/>
        </w:rPr>
        <w:t>, already strained by the drought</w:t>
      </w:r>
      <w:r w:rsidRPr="00C51F93">
        <w:rPr>
          <w:sz w:val="16"/>
        </w:rPr>
        <w:t xml:space="preserve">," Michal Rosenoer, a biofuels campaigner with the group, said in a statement. </w:t>
      </w:r>
    </w:p>
    <w:p w:rsidR="00984FEB" w:rsidRPr="00457ADE" w:rsidRDefault="00984FEB" w:rsidP="00984FEB">
      <w:pPr>
        <w:rPr>
          <w:sz w:val="16"/>
          <w:szCs w:val="16"/>
        </w:rPr>
      </w:pPr>
    </w:p>
    <w:p w:rsidR="00984FEB" w:rsidRDefault="00984FEB" w:rsidP="00984FEB">
      <w:pPr>
        <w:pStyle w:val="Heading3"/>
      </w:pPr>
      <w:r>
        <w:lastRenderedPageBreak/>
        <w:t>eutrophication turn</w:t>
      </w:r>
    </w:p>
    <w:p w:rsidR="00984FEB" w:rsidRDefault="00984FEB" w:rsidP="00984FEB">
      <w:pPr>
        <w:pStyle w:val="Heading4"/>
      </w:pPr>
      <w:r>
        <w:t>Algae cultivation leads to eutrophication of water systems – kills seagrasses that are key to maintain marine life</w:t>
      </w:r>
    </w:p>
    <w:p w:rsidR="00984FEB" w:rsidRPr="004C60D0" w:rsidRDefault="00984FEB" w:rsidP="00984FEB">
      <w:pPr>
        <w:rPr>
          <w:sz w:val="16"/>
          <w:szCs w:val="16"/>
        </w:rPr>
      </w:pPr>
      <w:r w:rsidRPr="004C60D0">
        <w:rPr>
          <w:rStyle w:val="StyleStyleBold12pt"/>
        </w:rPr>
        <w:t>NRC 12</w:t>
      </w:r>
      <w:r w:rsidRPr="004C60D0">
        <w:rPr>
          <w:sz w:val="16"/>
          <w:szCs w:val="16"/>
        </w:rPr>
        <w:t xml:space="preserve"> (National Research Council, “Sustainable Development of Algal Biofuels in the United States”, Committee on the Sustainable Development of Algal Biofuels, 2012, http://www.laboratoryequipment.com/sites/laboratoryequipment.com/files/legacyimages/101412_report.pdf)</w:t>
      </w:r>
    </w:p>
    <w:p w:rsidR="00984FEB" w:rsidRDefault="00984FEB" w:rsidP="00984FEB">
      <w:pPr>
        <w:rPr>
          <w:sz w:val="16"/>
          <w:szCs w:val="16"/>
        </w:rPr>
      </w:pPr>
      <w:r w:rsidRPr="00351F34">
        <w:rPr>
          <w:rStyle w:val="StyleBoldUnderline"/>
        </w:rPr>
        <w:t>Large-scale algae cultivation requires the provision of large quantities of nutrients, especially nitrogen and phosphorus, to ensure high yield</w:t>
      </w:r>
      <w:r w:rsidRPr="00351F34">
        <w:rPr>
          <w:sz w:val="16"/>
          <w:szCs w:val="16"/>
        </w:rPr>
        <w:t xml:space="preserve"> (see section Nutrients in Chapter 4). </w:t>
      </w:r>
      <w:r w:rsidRPr="00351F34">
        <w:rPr>
          <w:rStyle w:val="StyleBoldUnderline"/>
        </w:rPr>
        <w:t>Even where nitrogen and phosphorus are not in oversupply, the total nutrient concentrations in algal biomass will be high</w:t>
      </w:r>
      <w:r w:rsidRPr="00351F34">
        <w:rPr>
          <w:sz w:val="16"/>
          <w:szCs w:val="16"/>
        </w:rPr>
        <w:t xml:space="preserve">. Although </w:t>
      </w:r>
      <w:r w:rsidRPr="00351F34">
        <w:rPr>
          <w:rStyle w:val="StyleBoldUnderline"/>
        </w:rPr>
        <w:t>accidental release of cultivation water</w:t>
      </w:r>
      <w:r w:rsidRPr="00351F34">
        <w:rPr>
          <w:sz w:val="16"/>
          <w:szCs w:val="16"/>
        </w:rPr>
        <w:t xml:space="preserve"> into surface water and soil is unlikely, such an event </w:t>
      </w:r>
      <w:r w:rsidRPr="00351F34">
        <w:rPr>
          <w:rStyle w:val="StyleBoldUnderline"/>
        </w:rPr>
        <w:t>could lead to eutrophication of downstream freshwater and marine ecosystems,</w:t>
      </w:r>
      <w:r w:rsidRPr="00351F34">
        <w:rPr>
          <w:sz w:val="16"/>
          <w:szCs w:val="16"/>
        </w:rPr>
        <w:t xml:space="preserve"> depending on the proximity of algal ponds to surface and grormdwater sources. </w:t>
      </w:r>
      <w:r w:rsidRPr="00351F34">
        <w:rPr>
          <w:rStyle w:val="StyleBoldUnderline"/>
        </w:rPr>
        <w:t>Eutrophication occurs when a body of water receives high concentrations of inorganic nutrients, particularly nitrogen and phosphorus, stimulating algal growth and resulting in excessive algal biomass</w:t>
      </w:r>
      <w:r w:rsidRPr="00351F34">
        <w:rPr>
          <w:sz w:val="16"/>
          <w:szCs w:val="16"/>
        </w:rPr>
        <w:t xml:space="preserve">. As the algae die off and decompose, </w:t>
      </w:r>
      <w:r w:rsidRPr="00351F34">
        <w:rPr>
          <w:rStyle w:val="StyleBoldUnderline"/>
        </w:rPr>
        <w:t>high levels of organic matter and the decomposition processes deplete oxygen in the water and result in anoxic conditions</w:t>
      </w:r>
      <w:r w:rsidRPr="00351F34">
        <w:rPr>
          <w:sz w:val="16"/>
          <w:szCs w:val="16"/>
        </w:rPr>
        <w:t xml:space="preserve"> (Smith, 2003; Breitburg et al., 2009; Rabalais et al., 2009; Smith and Schindler, 2009). In some cases, </w:t>
      </w:r>
      <w:r w:rsidRPr="00351F34">
        <w:rPr>
          <w:rStyle w:val="StyleBoldUnderline"/>
        </w:rPr>
        <w:t>eutrophication-induced changes could be</w:t>
      </w:r>
      <w:r w:rsidRPr="00351F34">
        <w:rPr>
          <w:sz w:val="16"/>
          <w:szCs w:val="16"/>
        </w:rPr>
        <w:t xml:space="preserve"> difficult or </w:t>
      </w:r>
      <w:r w:rsidRPr="00351F34">
        <w:rPr>
          <w:rStyle w:val="StyleBoldUnderline"/>
        </w:rPr>
        <w:t>impossible to reverse if altemative stable states can occur in the affected ecosystem</w:t>
      </w:r>
      <w:r w:rsidRPr="00351F34">
        <w:rPr>
          <w:sz w:val="16"/>
          <w:szCs w:val="16"/>
        </w:rPr>
        <w:t xml:space="preserve"> (Scheffer et al., 2001; Carpenter, 2005). Eutrophication effects have been well studied, and they depend on the nutrient loadings to the receiving waters and the volume and residence time of water of these systems (Smith et al., 1999; Smith, 2003). High nutrient loading could lead to anoxia in the deep cool portion of lakes or in hypoxia in the receiving water bodies.</w:t>
      </w:r>
      <w:r w:rsidRPr="00351F34">
        <w:rPr>
          <w:rStyle w:val="StyleBoldUnderline"/>
        </w:rPr>
        <w:t xml:space="preserve"> Potential biotic effects of eutrophication include changes in algal density and in the structure and biomass of the broader ecological community</w:t>
      </w:r>
      <w:r w:rsidRPr="00351F34">
        <w:rPr>
          <w:sz w:val="16"/>
          <w:szCs w:val="16"/>
        </w:rPr>
        <w:t xml:space="preserve"> (Scheffer et al., 1997; Reynolds et al., 2002; Smayda and Reynolds, 2003). </w:t>
      </w:r>
      <w:r w:rsidRPr="00351F34">
        <w:rPr>
          <w:rStyle w:val="StyleBoldUnderline"/>
        </w:rPr>
        <w:t>Fish yield is affected by phytoplanktonl biomass and by the nutrient ratios in the edibility of phytoplankton</w:t>
      </w:r>
      <w:r w:rsidRPr="00351F34">
        <w:rPr>
          <w:sz w:val="16"/>
          <w:szCs w:val="16"/>
        </w:rPr>
        <w:t xml:space="preserve"> (Oglesby, 1977; Bachmann et al., 1996). </w:t>
      </w:r>
      <w:r w:rsidRPr="00351F34">
        <w:rPr>
          <w:rStyle w:val="StyleBoldUnderline"/>
        </w:rPr>
        <w:t>Nutrient levels play a key role in determining the productivity and structure of the primary producing community in estuaries and coastal marine waters</w:t>
      </w:r>
      <w:r w:rsidRPr="00351F34">
        <w:rPr>
          <w:sz w:val="16"/>
          <w:szCs w:val="16"/>
        </w:rPr>
        <w:t xml:space="preserve"> (Deegan et al., 2002; Smith, 2006) </w:t>
      </w:r>
      <w:r w:rsidRPr="00351F34">
        <w:rPr>
          <w:rStyle w:val="StyleBoldUnderline"/>
        </w:rPr>
        <w:t>and by extension, the productivity and structure of higher trophic levels</w:t>
      </w:r>
      <w:r w:rsidRPr="00351F34">
        <w:rPr>
          <w:sz w:val="16"/>
          <w:szCs w:val="16"/>
        </w:rPr>
        <w:t xml:space="preserve">. Nutrient- enriched shallow marine systems </w:t>
      </w:r>
      <w:r w:rsidRPr="00351F34">
        <w:rPr>
          <w:rStyle w:val="StyleBoldUnderline"/>
        </w:rPr>
        <w:t>tend to have a reduced seagrass community</w:t>
      </w:r>
      <w:r w:rsidRPr="00351F34">
        <w:rPr>
          <w:sz w:val="16"/>
          <w:szCs w:val="16"/>
        </w:rPr>
        <w:t xml:space="preserve"> (Burkholder et al., 1992; Hauxwell et al., 2003) because elevated nitrogen concentrations and loadings adversely affect seagrass (Efroymson et al., 2007 and references cited therein). In high-nitrate environments, </w:t>
      </w:r>
      <w:r w:rsidRPr="00351F34">
        <w:rPr>
          <w:rStyle w:val="StyleBoldUnderline"/>
        </w:rPr>
        <w:t>seagrasses can be shaded by epiphytic algae and macroalgae</w:t>
      </w:r>
      <w:r w:rsidRPr="00351F34">
        <w:rPr>
          <w:sz w:val="16"/>
          <w:szCs w:val="16"/>
        </w:rPr>
        <w:t xml:space="preserve"> (Drake et al., 2003) or sometimes by phytoplankton bl</w:t>
      </w:r>
      <w:r>
        <w:rPr>
          <w:sz w:val="16"/>
          <w:szCs w:val="16"/>
        </w:rPr>
        <w:t xml:space="preserve">ooms (Nixon et al., 2001). </w:t>
      </w:r>
      <w:r w:rsidRPr="00351F34">
        <w:rPr>
          <w:rStyle w:val="StyleBoldUnderline"/>
        </w:rPr>
        <w:t>Seagrasses affect the entire estuarine food web because they stabilize sediments; serve as habitats and temporary nurseries for fish and shellfish; are sources of food for fish, waterfowl, benthic invertebrates, or manatees and provide refuges from predation. Eutrophication and other nutrient-related effects could be a concem for cultivation of microalgae or macroalgae in large suspended offshore enclosures</w:t>
      </w:r>
      <w:r w:rsidRPr="00351F34">
        <w:rPr>
          <w:sz w:val="16"/>
          <w:szCs w:val="16"/>
        </w:rPr>
        <w:t xml:space="preserve"> (for example, Honkanen and Helminen, 2000).</w:t>
      </w:r>
    </w:p>
    <w:p w:rsidR="00984FEB" w:rsidRPr="00351F34" w:rsidRDefault="00984FEB" w:rsidP="00984FEB">
      <w:pPr>
        <w:rPr>
          <w:sz w:val="16"/>
          <w:szCs w:val="16"/>
        </w:rPr>
      </w:pPr>
      <w:r>
        <w:rPr>
          <w:sz w:val="16"/>
          <w:szCs w:val="16"/>
        </w:rPr>
        <w:t>[note to self: seagrass impact card? regular ecosystems impact card?]</w:t>
      </w:r>
    </w:p>
    <w:p w:rsidR="00984FEB" w:rsidRDefault="00984FEB" w:rsidP="00984FEB">
      <w:pPr>
        <w:pStyle w:val="Heading3"/>
      </w:pPr>
      <w:r>
        <w:lastRenderedPageBreak/>
        <w:t>toxins turn</w:t>
      </w:r>
    </w:p>
    <w:p w:rsidR="00984FEB" w:rsidRPr="004C60D0" w:rsidRDefault="00984FEB" w:rsidP="00984FEB">
      <w:pPr>
        <w:pStyle w:val="Heading4"/>
      </w:pPr>
      <w:r w:rsidRPr="004C60D0">
        <w:t>Algae cultivation leads to water contamination – dangerous to human health and turns pollution</w:t>
      </w:r>
    </w:p>
    <w:p w:rsidR="00984FEB" w:rsidRPr="004C60D0" w:rsidRDefault="00984FEB" w:rsidP="00984FEB">
      <w:pPr>
        <w:rPr>
          <w:sz w:val="16"/>
          <w:szCs w:val="16"/>
        </w:rPr>
      </w:pPr>
      <w:r w:rsidRPr="004C60D0">
        <w:rPr>
          <w:rStyle w:val="StyleStyleBold12pt"/>
        </w:rPr>
        <w:t>NRC 12</w:t>
      </w:r>
      <w:r w:rsidRPr="004C60D0">
        <w:rPr>
          <w:sz w:val="16"/>
          <w:szCs w:val="16"/>
        </w:rPr>
        <w:t xml:space="preserve"> (National Research Council, “Sustainable Development of Algal Biofuels in the United States”, Committee on the Sustainable Development of Algal Biofuels, 2012, http://www.laboratoryequipment.com/sites/laboratoryequipment.com/files/legacyimages/101412_report.pdf)</w:t>
      </w:r>
    </w:p>
    <w:p w:rsidR="00984FEB" w:rsidRPr="004C60D0" w:rsidRDefault="00984FEB" w:rsidP="00984FEB">
      <w:pPr>
        <w:rPr>
          <w:sz w:val="16"/>
          <w:szCs w:val="16"/>
        </w:rPr>
      </w:pPr>
      <w:r w:rsidRPr="004C60D0">
        <w:rPr>
          <w:rStyle w:val="StyleBoldUnderline"/>
        </w:rPr>
        <w:t xml:space="preserve">Some compounds present in algal ponds or photobioreactors could be toxic to humans or other organisms </w:t>
      </w:r>
      <w:r w:rsidRPr="004C60D0">
        <w:rPr>
          <w:sz w:val="16"/>
          <w:szCs w:val="16"/>
        </w:rPr>
        <w:t xml:space="preserve">depending on exposure levels. Herbicides often are added to open systems to prevent growth of macrophytes and for selective control of algae (NALMS, 2004), but their application likely would be regulated as in the case of agriculture. </w:t>
      </w:r>
      <w:r w:rsidRPr="004C60D0">
        <w:rPr>
          <w:rStyle w:val="StyleBoldUnderline"/>
        </w:rPr>
        <w:t>If wastewater or oil well- produced water</w:t>
      </w:r>
      <w:r w:rsidRPr="004C60D0">
        <w:rPr>
          <w:sz w:val="16"/>
          <w:szCs w:val="16"/>
        </w:rPr>
        <w:t xml:space="preserve"> (Shpiner et al., 2009) </w:t>
      </w:r>
      <w:r w:rsidRPr="004C60D0">
        <w:rPr>
          <w:rStyle w:val="StyleBoldUnderline"/>
        </w:rPr>
        <w:t>is used as a water source</w:t>
      </w:r>
      <w:r w:rsidRPr="004C60D0">
        <w:rPr>
          <w:sz w:val="16"/>
          <w:szCs w:val="16"/>
        </w:rPr>
        <w:t xml:space="preserve"> for algae cultivation, </w:t>
      </w:r>
      <w:r w:rsidRPr="004C60D0">
        <w:rPr>
          <w:rStyle w:val="StyleBoldUnderline"/>
        </w:rPr>
        <w:t>heavy metals could be present</w:t>
      </w:r>
      <w:r w:rsidRPr="004C60D0">
        <w:rPr>
          <w:sz w:val="16"/>
          <w:szCs w:val="16"/>
        </w:rPr>
        <w:t xml:space="preserve">. </w:t>
      </w:r>
      <w:r w:rsidRPr="004C60D0">
        <w:rPr>
          <w:rStyle w:val="StyleBoldUnderline"/>
        </w:rPr>
        <w:t>Wastewater could include industrial effluent</w:t>
      </w:r>
      <w:r w:rsidRPr="004C60D0">
        <w:rPr>
          <w:sz w:val="16"/>
          <w:szCs w:val="16"/>
        </w:rPr>
        <w:t xml:space="preserve"> (Chirmasamy et al., 2010) and municipal wastewater that has undergone various levels of treatment (Wang et al., 2010). </w:t>
      </w:r>
      <w:r w:rsidRPr="004C60D0">
        <w:rPr>
          <w:rStyle w:val="StyleBoldUnderline"/>
        </w:rPr>
        <w:t>The composition and amount of toxicants vary by the type of wastewater</w:t>
      </w:r>
      <w:r w:rsidRPr="004C60D0">
        <w:rPr>
          <w:sz w:val="16"/>
          <w:szCs w:val="16"/>
        </w:rPr>
        <w:t xml:space="preserve">. Produced water (water contained in oil and gas reservoirs that is produced in conjunction with the fossil fuel) may contain high levels of organic compounds, oil and grease, boron, and ammonia (NH3) (Drewes et al., 2009). </w:t>
      </w:r>
      <w:r w:rsidRPr="004C60D0">
        <w:rPr>
          <w:rStyle w:val="StyleBoldUnderline"/>
        </w:rPr>
        <w:t xml:space="preserve">Many algal species including cyanobacteria, diatoms, and chlorophytes can bioconcentrate heavy metals </w:t>
      </w:r>
      <w:r w:rsidRPr="004C60D0">
        <w:rPr>
          <w:sz w:val="16"/>
          <w:szCs w:val="16"/>
        </w:rPr>
        <w:t xml:space="preserve">(Watras and Bloom, 1992; Vymazal, 1995; Mathews and Fisher, </w:t>
      </w:r>
      <w:r>
        <w:rPr>
          <w:sz w:val="16"/>
          <w:szCs w:val="16"/>
        </w:rPr>
        <w:t xml:space="preserve">2008). </w:t>
      </w:r>
      <w:r w:rsidRPr="004C60D0">
        <w:rPr>
          <w:rStyle w:val="StyleBoldUnderline"/>
        </w:rPr>
        <w:t>Mercury could be introduced into feedstock produc</w:t>
      </w:r>
      <w:r>
        <w:rPr>
          <w:rStyle w:val="StyleBoldUnderline"/>
        </w:rPr>
        <w:t>tion waters if un</w:t>
      </w:r>
      <w:r w:rsidRPr="004C60D0">
        <w:rPr>
          <w:rStyle w:val="StyleBoldUnderline"/>
        </w:rPr>
        <w:t>scrubbed flue gas from coal-fired power plants is used as a carbon dioxide (CO2) source</w:t>
      </w:r>
      <w:r w:rsidRPr="004C60D0">
        <w:rPr>
          <w:sz w:val="16"/>
          <w:szCs w:val="16"/>
        </w:rPr>
        <w:t xml:space="preserve"> (0'Dowd et al., 2006). Therefore, potential risks from using each type of produced water need to be identified so that adequate containment and mitigation measures can be implemented in cultivation and processing. </w:t>
      </w:r>
      <w:r w:rsidRPr="004C60D0">
        <w:rPr>
          <w:rStyle w:val="StyleBoldUnderline"/>
        </w:rPr>
        <w:t>Waterbome toxicants</w:t>
      </w:r>
      <w:r w:rsidRPr="004C60D0">
        <w:rPr>
          <w:sz w:val="16"/>
          <w:szCs w:val="16"/>
        </w:rPr>
        <w:t xml:space="preserve"> (toxic substances made or introduced into the environment anthropogenically, not including algal toxins) </w:t>
      </w:r>
      <w:r w:rsidRPr="004C60D0">
        <w:rPr>
          <w:rStyle w:val="StyleBoldUnderline"/>
        </w:rPr>
        <w:t>potentially pose risk to humans or other animals if exposures occur. Occupational exposures could be significant</w:t>
      </w:r>
      <w:r w:rsidRPr="004C60D0">
        <w:rPr>
          <w:sz w:val="16"/>
          <w:szCs w:val="16"/>
        </w:rPr>
        <w:t xml:space="preserve">, especially during the harvesting phase. Thus, monitoring of toxic compounds in the culture media is important. Potential toxicity exposure to animals through drinking is discussed in the section on terrestrial biodiversity. </w:t>
      </w:r>
      <w:r w:rsidRPr="004C60D0">
        <w:rPr>
          <w:rStyle w:val="StyleBoldUnderline"/>
        </w:rPr>
        <w:t>The release of culture waters to natural environments could pose other risks to animal consumers.</w:t>
      </w:r>
      <w:r w:rsidRPr="004C60D0">
        <w:rPr>
          <w:sz w:val="16"/>
          <w:szCs w:val="16"/>
        </w:rPr>
        <w:t xml:space="preserve"> Toxic concentrations and doses for various chemicals are available in the Environmental Protection Agency (EPA) Integrated Risk Information System database for humans (EPA, 2012) in Suter and Tsao (1996) for aquatic biota, in Sample et al. (1996) for terrestrial wildlife, and in other government and independent compilations. </w:t>
      </w:r>
      <w:r w:rsidRPr="004C60D0">
        <w:rPr>
          <w:rStyle w:val="StyleBoldUnderline"/>
        </w:rPr>
        <w:t>Cultivation of algae in wastewater may require special handling and means of containment</w:t>
      </w:r>
      <w:r w:rsidRPr="004C60D0">
        <w:rPr>
          <w:sz w:val="16"/>
          <w:szCs w:val="16"/>
        </w:rPr>
        <w:t>. Monitoring for the presence of toxicants or pathogens might be necessary to ensure the quality of the culture water.</w:t>
      </w:r>
    </w:p>
    <w:p w:rsidR="00984FEB" w:rsidRDefault="00984FEB" w:rsidP="00984FEB">
      <w:r>
        <w:t>1</w:t>
      </w:r>
    </w:p>
    <w:p w:rsidR="00984FEB" w:rsidRPr="004C60D0" w:rsidRDefault="00984FEB" w:rsidP="00984FEB"/>
    <w:p w:rsidR="00984FEB" w:rsidRDefault="00984FEB" w:rsidP="00984FEB">
      <w:pPr>
        <w:pStyle w:val="Heading3"/>
      </w:pPr>
      <w:r>
        <w:lastRenderedPageBreak/>
        <w:t>gm algae turn</w:t>
      </w:r>
    </w:p>
    <w:p w:rsidR="00984FEB" w:rsidRDefault="00984FEB" w:rsidP="00984FEB">
      <w:pPr>
        <w:pStyle w:val="Heading4"/>
      </w:pPr>
      <w:r>
        <w:t xml:space="preserve">Only GM algae have a chance of solving </w:t>
      </w:r>
    </w:p>
    <w:p w:rsidR="00984FEB" w:rsidRPr="00351F34" w:rsidRDefault="00984FEB" w:rsidP="00984FEB">
      <w:pPr>
        <w:rPr>
          <w:sz w:val="16"/>
          <w:szCs w:val="16"/>
        </w:rPr>
      </w:pPr>
      <w:r w:rsidRPr="00351F34">
        <w:rPr>
          <w:rStyle w:val="StyleStyleBold12pt"/>
        </w:rPr>
        <w:t>Fehrenbacher 11</w:t>
      </w:r>
      <w:r w:rsidRPr="00351F34">
        <w:rPr>
          <w:sz w:val="16"/>
          <w:szCs w:val="16"/>
        </w:rPr>
        <w:t xml:space="preserve"> (Katie, “Craig Venter: Algae fuel that can replace oil will not come from nature”, Gigaom, 10/23/11, http://gigaom.com/2011/10/23/craig-venter-algae-fuel-that-can-replace-oil-will-not-be-from-nature/)</w:t>
      </w:r>
    </w:p>
    <w:p w:rsidR="00984FEB" w:rsidRPr="00351F34" w:rsidRDefault="00984FEB" w:rsidP="00984FEB">
      <w:pPr>
        <w:rPr>
          <w:rStyle w:val="StyleBoldUnderline"/>
        </w:rPr>
      </w:pPr>
      <w:r w:rsidRPr="00351F34">
        <w:rPr>
          <w:rStyle w:val="StyleBoldUnderline"/>
        </w:rPr>
        <w:t xml:space="preserve">Biofuels made from algae that will be able to scale, and compete with oil, will have to be synthesized and will not come from nature, said </w:t>
      </w:r>
      <w:r w:rsidRPr="00351F34">
        <w:rPr>
          <w:sz w:val="16"/>
          <w:szCs w:val="16"/>
        </w:rPr>
        <w:t xml:space="preserve">controversial genomics scientist and entrepreneur Craig </w:t>
      </w:r>
      <w:r w:rsidRPr="00351F34">
        <w:rPr>
          <w:rStyle w:val="StyleBoldUnderline"/>
        </w:rPr>
        <w:t xml:space="preserve">Venter </w:t>
      </w:r>
      <w:hyperlink r:id="rId78" w:history="1">
        <w:r w:rsidRPr="00351F34">
          <w:rPr>
            <w:rStyle w:val="Hyperlink"/>
          </w:rPr>
          <w:t>last week at a conference</w:t>
        </w:r>
      </w:hyperlink>
      <w:r>
        <w:rPr>
          <w:rStyle w:val="StyleBoldUnderline"/>
        </w:rPr>
        <w:t xml:space="preserve"> </w:t>
      </w:r>
      <w:r w:rsidRPr="00351F34">
        <w:rPr>
          <w:sz w:val="16"/>
          <w:szCs w:val="16"/>
        </w:rPr>
        <w:t xml:space="preserve">on the future of energy at the New America Foundation in Washington, D.C. (see video below). Venter said in an interview, “It’s pretty obvious that </w:t>
      </w:r>
      <w:r w:rsidRPr="00351F34">
        <w:rPr>
          <w:rStyle w:val="StyleBoldUnderline"/>
        </w:rPr>
        <w:t>there’s nothing in the natural world to make the levels that are needed</w:t>
      </w:r>
      <w:r w:rsidRPr="00351F34">
        <w:rPr>
          <w:sz w:val="16"/>
          <w:szCs w:val="16"/>
        </w:rPr>
        <w:t xml:space="preserve">,” and </w:t>
      </w:r>
      <w:r w:rsidRPr="00351F34">
        <w:rPr>
          <w:rStyle w:val="StyleBoldUnderline"/>
        </w:rPr>
        <w:t>he pointed to algae oil yield volumes needing approximately 20,000 gallons per acre equivalent of algae</w:t>
      </w:r>
      <w:r w:rsidRPr="00351F34">
        <w:rPr>
          <w:sz w:val="16"/>
          <w:szCs w:val="16"/>
        </w:rPr>
        <w:t xml:space="preserve">. Venter and his research team, of course, </w:t>
      </w:r>
      <w:hyperlink r:id="rId79" w:history="1">
        <w:r w:rsidRPr="00351F34">
          <w:rPr>
            <w:rStyle w:val="Hyperlink"/>
            <w:sz w:val="16"/>
            <w:szCs w:val="16"/>
          </w:rPr>
          <w:t>in spring 2010</w:t>
        </w:r>
      </w:hyperlink>
      <w:r w:rsidRPr="00351F34">
        <w:rPr>
          <w:sz w:val="16"/>
          <w:szCs w:val="16"/>
        </w:rPr>
        <w:t xml:space="preserve">, successfully created the first synthetic bacterial cell, which was controlled completely by a synthetic genome. Or as Venter explained it in his recent interview, as the first cell “to have a computer for a parent,” or “designed DNA on a living system.” Venter now says he has increasingly realized that </w:t>
      </w:r>
      <w:r w:rsidRPr="00351F34">
        <w:rPr>
          <w:rStyle w:val="StyleBoldUnderline"/>
        </w:rPr>
        <w:t>a fully synthetic cell is the way to go to create competitive algae fuel. When it comes to tweaking naturally occurring algae cells, he says, “you’ll never get there with that. We need a fundamental change to how we approach all this.”</w:t>
      </w:r>
    </w:p>
    <w:p w:rsidR="00984FEB" w:rsidRPr="00351F34" w:rsidRDefault="00984FEB" w:rsidP="00984FEB"/>
    <w:p w:rsidR="00984FEB" w:rsidRDefault="00984FEB" w:rsidP="00984FEB">
      <w:pPr>
        <w:pStyle w:val="Heading4"/>
      </w:pPr>
      <w:r>
        <w:t>GM algae required to make biofuels viable are dangerous – destroy ecosystems and cause bioterrorism</w:t>
      </w:r>
    </w:p>
    <w:p w:rsidR="00984FEB" w:rsidRPr="00351F34" w:rsidRDefault="00984FEB" w:rsidP="00984FEB">
      <w:pPr>
        <w:rPr>
          <w:sz w:val="16"/>
          <w:szCs w:val="16"/>
        </w:rPr>
      </w:pPr>
      <w:r w:rsidRPr="00351F34">
        <w:rPr>
          <w:rStyle w:val="StyleStyleBold12pt"/>
        </w:rPr>
        <w:t>Maron 10</w:t>
      </w:r>
      <w:r w:rsidRPr="00351F34">
        <w:rPr>
          <w:sz w:val="16"/>
          <w:szCs w:val="16"/>
        </w:rPr>
        <w:t xml:space="preserve"> (Dina Fine, “The Race to Make Fuel Out of Algae Poses Risks as Well as Benefits”, The New York Times, 7/22/10)</w:t>
      </w:r>
    </w:p>
    <w:p w:rsidR="00984FEB" w:rsidRDefault="00984FEB" w:rsidP="00984FEB">
      <w:pPr>
        <w:rPr>
          <w:rStyle w:val="StyleBoldUnderline"/>
        </w:rPr>
      </w:pPr>
      <w:r>
        <w:rPr>
          <w:sz w:val="16"/>
          <w:szCs w:val="16"/>
        </w:rPr>
        <w:t>T</w:t>
      </w:r>
      <w:r w:rsidRPr="002E7F6D">
        <w:rPr>
          <w:sz w:val="16"/>
          <w:szCs w:val="16"/>
        </w:rPr>
        <w:t xml:space="preserve">he first is simply supply. A central question dominating algal biofuel conferences is whether </w:t>
      </w:r>
      <w:r w:rsidRPr="00351F34">
        <w:rPr>
          <w:rStyle w:val="StyleBoldUnderline"/>
        </w:rPr>
        <w:t>the best</w:t>
      </w:r>
      <w:r w:rsidRPr="002E7F6D">
        <w:rPr>
          <w:sz w:val="16"/>
          <w:szCs w:val="16"/>
        </w:rPr>
        <w:t xml:space="preserve"> </w:t>
      </w:r>
      <w:r w:rsidRPr="00351F34">
        <w:rPr>
          <w:rStyle w:val="StyleBoldUnderline"/>
        </w:rPr>
        <w:t>oil-producing algae crop will</w:t>
      </w:r>
      <w:r w:rsidRPr="002E7F6D">
        <w:rPr>
          <w:sz w:val="16"/>
          <w:szCs w:val="16"/>
        </w:rPr>
        <w:t xml:space="preserve"> come from strains occurring in nature, or if they will </w:t>
      </w:r>
      <w:r w:rsidRPr="00351F34">
        <w:rPr>
          <w:rStyle w:val="StyleBoldUnderline"/>
        </w:rPr>
        <w:t>need to be genetically modified to enhance their fuel-producing potential</w:t>
      </w:r>
      <w:r w:rsidRPr="002E7F6D">
        <w:rPr>
          <w:sz w:val="16"/>
          <w:szCs w:val="16"/>
        </w:rPr>
        <w:t xml:space="preserve">. If researchers choose to modify them, then the </w:t>
      </w:r>
      <w:r w:rsidRPr="00351F34">
        <w:rPr>
          <w:rStyle w:val="StyleBoldUnderline"/>
        </w:rPr>
        <w:t>algae basking in open pools under the sun's rays will have genomes dotted with genes from foreign species. Those algae could cause problems</w:t>
      </w:r>
      <w:r w:rsidRPr="002E7F6D">
        <w:rPr>
          <w:sz w:val="16"/>
          <w:szCs w:val="16"/>
        </w:rPr>
        <w:t xml:space="preserve">, according to a small group of academics and researchers. Their concerns begin with </w:t>
      </w:r>
      <w:r w:rsidRPr="00351F34">
        <w:rPr>
          <w:rStyle w:val="StyleBoldUnderline"/>
        </w:rPr>
        <w:t>something as ephemeral as a breeze that could pick up genetically modified microalgae and carry them into nearby fields and streams to displace natural strains, alter the ecosystem, and perhaps get into the human food chain</w:t>
      </w:r>
      <w:r w:rsidRPr="002E7F6D">
        <w:rPr>
          <w:sz w:val="16"/>
          <w:szCs w:val="16"/>
        </w:rPr>
        <w:t>. Just what would happen then is unknown, but the uncertainty is what is keeping them up at night. When it comes to genetically modified algae, they say, no one is asking the difficult questions, so it is impossible to get any of the answers. History shows that in general, genetically modified organisms (</w:t>
      </w:r>
      <w:r w:rsidRPr="00351F34">
        <w:rPr>
          <w:rStyle w:val="StyleBoldUnderline"/>
        </w:rPr>
        <w:t>GMOs) can be difficult to contain.</w:t>
      </w:r>
      <w:r w:rsidRPr="002E7F6D">
        <w:rPr>
          <w:sz w:val="16"/>
          <w:szCs w:val="16"/>
        </w:rPr>
        <w:t xml:space="preserve"> A 2008 Government Accountability Office report, for example, found there have been half a dozen documented cases where GMO were released unintentionally. "Moreover, the actual number of unauthorized releases is unknown," the report notes. </w:t>
      </w:r>
      <w:r w:rsidRPr="00351F34">
        <w:rPr>
          <w:rStyle w:val="StyleBoldUnderline"/>
        </w:rPr>
        <w:t>Unlike genetically modified, or GM, corn, which has been used for some 15 years, similarly altered algae are newcomers to the scene and have not been tried outdoors before</w:t>
      </w:r>
      <w:r w:rsidRPr="002E7F6D">
        <w:rPr>
          <w:sz w:val="16"/>
          <w:szCs w:val="16"/>
        </w:rPr>
        <w:t xml:space="preserve">. "Being a nascent industry, there are no existing standards for various aspects of algal biofuels production," said an Energy Department algae road map issued last month. No single regulator Currently, all genetically modified organisms are primarily regulated under a splintered regulatory system overseen by U.S. EPA, the Department of Agriculture and the Food and Drug Administration. There is no single body in charge of GMO oversight, according to Mark Duvall, a lawyer who works on these issues at Beveridge &amp; Diamond PCs. But some researchers and energy insiders fear that </w:t>
      </w:r>
      <w:r w:rsidRPr="00351F34">
        <w:rPr>
          <w:rStyle w:val="StyleBoldUnderline"/>
        </w:rPr>
        <w:t>even if there were a standard set of regulations in place, that may not be enough to minimize the risks if GM algae were grown in outdoor ponds</w:t>
      </w:r>
      <w:r w:rsidRPr="002E7F6D">
        <w:rPr>
          <w:sz w:val="16"/>
          <w:szCs w:val="16"/>
        </w:rPr>
        <w:t xml:space="preserve">. "The reality is that </w:t>
      </w:r>
      <w:r w:rsidRPr="00351F34">
        <w:rPr>
          <w:rStyle w:val="StyleBoldUnderline"/>
        </w:rPr>
        <w:t>algae escapes. Algae is everywhere, and algae is not something that is easily contained</w:t>
      </w:r>
      <w:r w:rsidRPr="002E7F6D">
        <w:rPr>
          <w:sz w:val="16"/>
          <w:szCs w:val="16"/>
        </w:rPr>
        <w:t>," energy consultant David Haberman told a biotechnology conference last month. "</w:t>
      </w:r>
      <w:r w:rsidRPr="00351F34">
        <w:rPr>
          <w:rStyle w:val="StyleBoldUnderline"/>
        </w:rPr>
        <w:t>It's going to get out</w:t>
      </w:r>
      <w:r w:rsidRPr="002E7F6D">
        <w:rPr>
          <w:sz w:val="16"/>
          <w:szCs w:val="16"/>
        </w:rPr>
        <w:t xml:space="preserve">," he warned. Haberman, an electrical engineer by training, served from 2000 to 2005 as a member of the Energy Department's Hydrogen Technical Advisory Panel, (now known as the Hydrogen and Fuel Cell Technical Advisory Committee). He has been a leading voice calling for an overarching risk analysis of genetically modified algae and its impacts to human health and environment. In a worst-case scenario, Haberman asserts, </w:t>
      </w:r>
      <w:r w:rsidRPr="00351F34">
        <w:rPr>
          <w:rStyle w:val="StyleBoldUnderline"/>
        </w:rPr>
        <w:t>the genetically modified algae might even be used in weapons to destroy fisheries or make large numbers of people sick.</w:t>
      </w:r>
    </w:p>
    <w:p w:rsidR="00984FEB" w:rsidRDefault="00984FEB" w:rsidP="00984FEB">
      <w:pPr>
        <w:pStyle w:val="Heading4"/>
      </w:pPr>
      <w:r w:rsidRPr="004C60D0">
        <w:t>GM algae escapes – dangerous to the environment and causes disease</w:t>
      </w:r>
    </w:p>
    <w:p w:rsidR="00984FEB" w:rsidRPr="004C60D0" w:rsidRDefault="00984FEB" w:rsidP="00984FEB">
      <w:pPr>
        <w:rPr>
          <w:sz w:val="16"/>
          <w:szCs w:val="16"/>
        </w:rPr>
      </w:pPr>
      <w:r w:rsidRPr="004C60D0">
        <w:rPr>
          <w:rStyle w:val="StyleStyleBold12pt"/>
        </w:rPr>
        <w:t>Laskow 11</w:t>
      </w:r>
      <w:r w:rsidRPr="004C60D0">
        <w:rPr>
          <w:sz w:val="16"/>
          <w:szCs w:val="16"/>
        </w:rPr>
        <w:t xml:space="preserve"> (Sarah, “Attack of the Killer Algae? The Risks of Creating Biofuels”, GOOD, 10/7/11, http://magazine.good.is/articles/attack-of-the-killer-algae-the-risks-of-creating-biofuels)</w:t>
      </w:r>
    </w:p>
    <w:p w:rsidR="00984FEB" w:rsidRPr="004C60D0" w:rsidRDefault="00984FEB" w:rsidP="00984FEB">
      <w:pPr>
        <w:rPr>
          <w:rStyle w:val="StyleBoldUnderline"/>
        </w:rPr>
      </w:pPr>
      <w:r w:rsidRPr="004C60D0">
        <w:rPr>
          <w:sz w:val="16"/>
          <w:szCs w:val="16"/>
        </w:rPr>
        <w:lastRenderedPageBreak/>
        <w:t xml:space="preserve">“One of the problems with algae is that they tend not to stay where they are,” says Todd Kuiken, a senior research associate with the Wilson Center’s </w:t>
      </w:r>
      <w:hyperlink r:id="rId80" w:history="1">
        <w:r w:rsidRPr="004C60D0">
          <w:rPr>
            <w:rStyle w:val="Hyperlink"/>
            <w:sz w:val="16"/>
            <w:szCs w:val="16"/>
          </w:rPr>
          <w:t>Synthetic Biology Project</w:t>
        </w:r>
      </w:hyperlink>
      <w:r w:rsidRPr="004C60D0">
        <w:rPr>
          <w:sz w:val="16"/>
          <w:szCs w:val="16"/>
        </w:rPr>
        <w:t>. “</w:t>
      </w:r>
      <w:r w:rsidRPr="004C60D0">
        <w:rPr>
          <w:rStyle w:val="StyleBoldUnderline"/>
        </w:rPr>
        <w:t>If anyone tells you that algae won’t escape, they're lying or they don't understand how algae works</w:t>
      </w:r>
      <w:r w:rsidRPr="004C60D0">
        <w:rPr>
          <w:sz w:val="16"/>
          <w:szCs w:val="16"/>
        </w:rPr>
        <w:t xml:space="preserve">.” </w:t>
      </w:r>
      <w:r w:rsidRPr="004C60D0">
        <w:rPr>
          <w:rStyle w:val="StyleBoldUnderline"/>
        </w:rPr>
        <w:t>It doesn’t matter if the algae are grown in contained systems or in open-air ponds</w:t>
      </w:r>
      <w:r w:rsidRPr="004C60D0">
        <w:rPr>
          <w:sz w:val="16"/>
          <w:szCs w:val="16"/>
        </w:rPr>
        <w:t xml:space="preserve">, although the latter system offers more opportunities for a breakout. </w:t>
      </w:r>
      <w:r w:rsidRPr="004C60D0">
        <w:rPr>
          <w:rStyle w:val="StyleBoldUnderline"/>
        </w:rPr>
        <w:t>The algae that scientists have altered to help produce biofuels will escape into nature, whether on a quick breeze, a shirtsleeve, or a bird’s foot</w:t>
      </w:r>
      <w:r w:rsidRPr="004C60D0">
        <w:rPr>
          <w:sz w:val="16"/>
          <w:szCs w:val="16"/>
        </w:rPr>
        <w:t xml:space="preserve">. </w:t>
      </w:r>
      <w:r w:rsidRPr="004C60D0">
        <w:rPr>
          <w:rStyle w:val="StyleBoldUnderline"/>
        </w:rPr>
        <w:t>They will bring with them genetic material that humans have tinkered with and, in some cases, manufactured wholesale</w:t>
      </w:r>
      <w:r w:rsidRPr="004C60D0">
        <w:rPr>
          <w:sz w:val="16"/>
          <w:szCs w:val="16"/>
        </w:rPr>
        <w:t xml:space="preserve">. The results are often nothing, but in a worst case scenario, </w:t>
      </w:r>
      <w:r w:rsidRPr="004C60D0">
        <w:rPr>
          <w:rStyle w:val="StyleBoldUnderline"/>
        </w:rPr>
        <w:t>the engineered algae thrive or transfer their human-made genes to other algae, and a piece of DNA made in a lab leads to irrevocable changes in a once-diverse and thriving ecosystem</w:t>
      </w:r>
      <w:r w:rsidRPr="004C60D0">
        <w:rPr>
          <w:sz w:val="16"/>
          <w:szCs w:val="16"/>
        </w:rPr>
        <w:t xml:space="preserve">. Synthetic biology is a somewhat mushy term, but think of it as a more ambitious form of genetic engineering. Humans started manipulating the genes of plants through cross-breeding and later graduated to genetically modifying plants to perform super-vegetal feats of strength like resisting pesticides or producing their own. Scientists now know enough about genes that they can use them to program simple organisms, which will spit out a specified product. For scientists working to create better biofuels, that product is often sugar, which can be processed into a fuel like ethanol. Algae, yeast, and bacteria like E. coli—the organisms used in biofuel plants—can be manipulated, and scientists are </w:t>
      </w:r>
      <w:hyperlink r:id="rId81" w:history="1">
        <w:r w:rsidRPr="004C60D0">
          <w:rPr>
            <w:rStyle w:val="Hyperlink"/>
            <w:sz w:val="16"/>
            <w:szCs w:val="16"/>
          </w:rPr>
          <w:t>seeking</w:t>
        </w:r>
      </w:hyperlink>
      <w:r w:rsidRPr="004C60D0">
        <w:rPr>
          <w:sz w:val="16"/>
          <w:szCs w:val="16"/>
        </w:rPr>
        <w:t xml:space="preserve"> </w:t>
      </w:r>
      <w:hyperlink r:id="rId82" w:history="1">
        <w:r w:rsidRPr="004C60D0">
          <w:rPr>
            <w:rStyle w:val="Hyperlink"/>
            <w:sz w:val="16"/>
            <w:szCs w:val="16"/>
          </w:rPr>
          <w:t>out</w:t>
        </w:r>
      </w:hyperlink>
      <w:r w:rsidRPr="004C60D0">
        <w:rPr>
          <w:sz w:val="16"/>
          <w:szCs w:val="16"/>
        </w:rPr>
        <w:t xml:space="preserve"> strands of genetic materials that will allow those organisms to produce sugar or break down plant materials into sugar more efficiently. In some cases, scientists create the genes themselves, either by splicing together different strands from nature or creating synthetic bits of DNA. Concerns about the organisms engineered for biofuel production are similar to the those about genetically modified crops, but there’s little information about specific risks of synthetic biology. Last year, the President’s Commission on Bioethics published </w:t>
      </w:r>
      <w:hyperlink r:id="rId83" w:history="1">
        <w:r w:rsidRPr="004C60D0">
          <w:rPr>
            <w:rStyle w:val="Hyperlink"/>
            <w:sz w:val="16"/>
            <w:szCs w:val="16"/>
          </w:rPr>
          <w:t>a report on synthetic biology</w:t>
        </w:r>
      </w:hyperlink>
      <w:r w:rsidRPr="004C60D0">
        <w:rPr>
          <w:sz w:val="16"/>
          <w:szCs w:val="16"/>
        </w:rPr>
        <w:t xml:space="preserve">, which concluded that the government should keep a close eye on the field. There haven’t been many studies of these organisms, and there aren’t many examples of algae breaking into the wild. “I don’t think we can say all synthetic organisms are safe or all of them are dangerous,” Dr. Allison Snow, who’s an expert in the risks of genetically modified crops, </w:t>
      </w:r>
      <w:hyperlink r:id="rId84" w:history="1">
        <w:r w:rsidRPr="004C60D0">
          <w:rPr>
            <w:rStyle w:val="Hyperlink"/>
            <w:sz w:val="16"/>
            <w:szCs w:val="16"/>
          </w:rPr>
          <w:t>told the commission</w:t>
        </w:r>
      </w:hyperlink>
      <w:r w:rsidRPr="004C60D0">
        <w:rPr>
          <w:sz w:val="16"/>
          <w:szCs w:val="16"/>
        </w:rPr>
        <w:t xml:space="preserve">. Over the summer, the Wilson Center gathered a group of ecologists and other experts to discuss potential problems. “You're basically worried about gene transfer and what that implies in the nature ecosystem, and how that can change the balance,” Kuiken says. At the end of the session, the participants were </w:t>
      </w:r>
      <w:hyperlink r:id="rId85" w:history="1">
        <w:r w:rsidRPr="004C60D0">
          <w:rPr>
            <w:rStyle w:val="Hyperlink"/>
            <w:sz w:val="16"/>
            <w:szCs w:val="16"/>
          </w:rPr>
          <w:t>most interested</w:t>
        </w:r>
      </w:hyperlink>
      <w:r w:rsidRPr="004C60D0">
        <w:rPr>
          <w:sz w:val="16"/>
          <w:szCs w:val="16"/>
        </w:rPr>
        <w:t xml:space="preserve"> in pursuing research about what would happen to the man-made DNA after its host organism died and how a “novel organism” comes to differ from its “wild” precursor. Algae grown in open ponds spanning hundreds of acres are more likely to escape than yeast trapped in a silo, but in any biofuel production process, there’s a chance that a synthetic organism will get out. Brewing biofuels is a bit like brewing beer, and “beer producers have problems with contamination all the time,” says Eric Hoffman, of Friends of the Earth, an environmental organization that is skeptical of the benefits of biofuels and worried about the synthetic biology’s potential harms. Yeasts from beer-making processes are always escaping, Hoffman points out, and microbes from outside are contaminating the vats</w:t>
      </w:r>
      <w:r w:rsidRPr="004C60D0">
        <w:rPr>
          <w:rStyle w:val="StyleBoldUnderline"/>
        </w:rPr>
        <w:t xml:space="preserve">. “It’s not a contained system,” he says. In 2010, FOE </w:t>
      </w:r>
      <w:hyperlink r:id="rId86" w:history="1">
        <w:r w:rsidRPr="004C60D0">
          <w:rPr>
            <w:rStyle w:val="StyleBoldUnderline"/>
          </w:rPr>
          <w:t>argued that</w:t>
        </w:r>
      </w:hyperlink>
      <w:r w:rsidRPr="004C60D0">
        <w:rPr>
          <w:rStyle w:val="StyleBoldUnderline"/>
        </w:rPr>
        <w:t xml:space="preserve"> synthetic organisms are “a serious threat to biodiversity, the environment, and public health.” The group’s worry, in part, is that biofuels are diverting funds and momentum from renewable energy projects like wind and solar and creating synthetic organisms to further biofuel development while courting unknown risks to the environment.</w:t>
      </w:r>
    </w:p>
    <w:p w:rsidR="00984FEB" w:rsidRPr="002E7F6D" w:rsidRDefault="00984FEB" w:rsidP="00984FEB"/>
    <w:p w:rsidR="00984FEB" w:rsidRDefault="00984FEB" w:rsidP="00984FEB">
      <w:pPr>
        <w:pStyle w:val="Heading3"/>
      </w:pPr>
      <w:r>
        <w:lastRenderedPageBreak/>
        <w:t>warming turn</w:t>
      </w:r>
    </w:p>
    <w:p w:rsidR="00984FEB" w:rsidRDefault="00984FEB" w:rsidP="00984FEB">
      <w:pPr>
        <w:pStyle w:val="Heading4"/>
      </w:pPr>
      <w:r>
        <w:t>Algae emit CH4 and N2O – massively more potent GHGs than CO2</w:t>
      </w:r>
    </w:p>
    <w:p w:rsidR="00984FEB" w:rsidRPr="00457ADE" w:rsidRDefault="00984FEB" w:rsidP="00984FEB">
      <w:pPr>
        <w:rPr>
          <w:sz w:val="16"/>
          <w:szCs w:val="16"/>
        </w:rPr>
      </w:pPr>
      <w:r w:rsidRPr="00457ADE">
        <w:rPr>
          <w:rStyle w:val="StyleStyleBold12pt"/>
        </w:rPr>
        <w:t>Zhu and Ketola 12</w:t>
      </w:r>
      <w:r w:rsidRPr="00457ADE">
        <w:rPr>
          <w:sz w:val="16"/>
          <w:szCs w:val="16"/>
        </w:rPr>
        <w:t xml:space="preserve"> (Liandong and Tarja, “Microalgae production as a biofuel feedstock: risks and challenges”, International Journal of Sustainable Development &amp; World Ecology 19:3, June 2012, http://www.academia.edu/3459816/Microalgae_production_as_a_biofuel_feedstock_risks_and_challenges)</w:t>
      </w:r>
    </w:p>
    <w:p w:rsidR="00984FEB" w:rsidRDefault="00984FEB" w:rsidP="00984FEB">
      <w:pPr>
        <w:rPr>
          <w:sz w:val="16"/>
          <w:szCs w:val="16"/>
        </w:rPr>
      </w:pPr>
      <w:r w:rsidRPr="00457ADE">
        <w:rPr>
          <w:rStyle w:val="StyleBoldUnderline"/>
        </w:rPr>
        <w:t xml:space="preserve">Another risk is greenhouse gas releases for microalgae systems </w:t>
      </w:r>
      <w:r w:rsidRPr="00457ADE">
        <w:rPr>
          <w:sz w:val="16"/>
          <w:szCs w:val="16"/>
        </w:rPr>
        <w:t xml:space="preserve">[mainly CO 2 , methane (CH 4 ) and N 2 O] and NH 3 release. </w:t>
      </w:r>
      <w:r w:rsidRPr="00457ADE">
        <w:rPr>
          <w:rStyle w:val="StyleBoldUnderline"/>
        </w:rPr>
        <w:t>At night and on cloudy / rainy days, microalgae consume oxygen in respiration</w:t>
      </w:r>
      <w:r w:rsidRPr="00457ADE">
        <w:rPr>
          <w:sz w:val="16"/>
          <w:szCs w:val="16"/>
        </w:rPr>
        <w:t>, causing anaerobic zones</w:t>
      </w:r>
      <w:r>
        <w:rPr>
          <w:sz w:val="16"/>
          <w:szCs w:val="16"/>
        </w:rPr>
        <w:t xml:space="preserve"> </w:t>
      </w:r>
      <w:r w:rsidRPr="00457ADE">
        <w:rPr>
          <w:sz w:val="16"/>
          <w:szCs w:val="16"/>
        </w:rPr>
        <w:t xml:space="preserve">in the culture water, </w:t>
      </w:r>
      <w:r w:rsidRPr="00457ADE">
        <w:rPr>
          <w:rStyle w:val="StyleBoldUnderline"/>
        </w:rPr>
        <w:t>leading to the emission of CH 4 and N 2 O</w:t>
      </w:r>
      <w:r w:rsidRPr="00457ADE">
        <w:rPr>
          <w:sz w:val="16"/>
          <w:szCs w:val="16"/>
        </w:rPr>
        <w:t>. Th</w:t>
      </w:r>
      <w:r w:rsidRPr="00457ADE">
        <w:rPr>
          <w:rStyle w:val="StyleBoldUnderline"/>
        </w:rPr>
        <w:t>e emissions of N 2 O generally range between 1%and 3% of the fertiliser added</w:t>
      </w:r>
      <w:r w:rsidRPr="00457ADE">
        <w:rPr>
          <w:sz w:val="16"/>
          <w:szCs w:val="16"/>
        </w:rPr>
        <w:t xml:space="preserve"> (IPCC 2006), </w:t>
      </w:r>
      <w:r w:rsidRPr="00457ADE">
        <w:rPr>
          <w:rStyle w:val="StyleBoldUnderline"/>
        </w:rPr>
        <w:t>whereas for NH 3 they are 0.6–9% of the fertiliser (</w:t>
      </w:r>
      <w:r w:rsidRPr="00457ADE">
        <w:rPr>
          <w:sz w:val="16"/>
          <w:szCs w:val="16"/>
        </w:rPr>
        <w:t xml:space="preserve">Erisman et al.2009). </w:t>
      </w:r>
      <w:r w:rsidRPr="00457ADE">
        <w:rPr>
          <w:rStyle w:val="StyleBoldUnderline"/>
        </w:rPr>
        <w:t>CH 4 and N 2 O, respectively, possess 21- and 310-fold the global warming potential of CO 2</w:t>
      </w:r>
      <w:r w:rsidRPr="00457ADE">
        <w:rPr>
          <w:sz w:val="16"/>
          <w:szCs w:val="16"/>
        </w:rPr>
        <w:t xml:space="preserve"> (IPCC 2006),</w:t>
      </w:r>
      <w:r w:rsidRPr="00457ADE">
        <w:rPr>
          <w:rStyle w:val="StyleBoldUnderline"/>
        </w:rPr>
        <w:t>while the released ammonia can lead to toxicity</w:t>
      </w:r>
      <w:r w:rsidRPr="00457ADE">
        <w:rPr>
          <w:sz w:val="16"/>
          <w:szCs w:val="16"/>
        </w:rPr>
        <w:t xml:space="preserve"> (Sialveet al. 2009). Moreover, </w:t>
      </w:r>
      <w:r w:rsidRPr="00457ADE">
        <w:rPr>
          <w:rStyle w:val="StyleBoldUnderline"/>
        </w:rPr>
        <w:t>if the culture system fails, dead microalgae biomass will be broken down through the action of anaerobic microorganisms. This denitriﬁcation process will increase emissions of CO 2 ,CH 4 and especially N 2 O</w:t>
      </w:r>
      <w:r w:rsidRPr="00457ADE">
        <w:rPr>
          <w:sz w:val="16"/>
          <w:szCs w:val="16"/>
        </w:rPr>
        <w:t xml:space="preserve"> (Tortosa et al. 2011). </w:t>
      </w:r>
      <w:r w:rsidRPr="00457ADE">
        <w:rPr>
          <w:rStyle w:val="StyleBoldUnderline"/>
        </w:rPr>
        <w:t>All three of these gases makes igniﬁcant contributions to global warming</w:t>
      </w:r>
      <w:r w:rsidRPr="00457ADE">
        <w:rPr>
          <w:sz w:val="16"/>
          <w:szCs w:val="16"/>
        </w:rPr>
        <w:t xml:space="preserve"> (IPCC 2006;Liu et al. 2010)</w:t>
      </w:r>
    </w:p>
    <w:p w:rsidR="00984FEB" w:rsidRPr="00313AB9" w:rsidRDefault="00984FEB" w:rsidP="00984FEB">
      <w:pPr>
        <w:pStyle w:val="Heading4"/>
        <w:rPr>
          <w:rStyle w:val="StyleStyleBold12pt"/>
          <w:b/>
        </w:rPr>
      </w:pPr>
      <w:r>
        <w:rPr>
          <w:rStyle w:val="StyleStyleBold12pt"/>
          <w:b/>
        </w:rPr>
        <w:t>Releases more CO2 emissions than other biofuels</w:t>
      </w:r>
    </w:p>
    <w:p w:rsidR="00984FEB" w:rsidRPr="00313AB9" w:rsidRDefault="00984FEB" w:rsidP="00984FEB">
      <w:pPr>
        <w:rPr>
          <w:rStyle w:val="StyleStyleBold12pt"/>
          <w:b w:val="0"/>
          <w:sz w:val="14"/>
        </w:rPr>
      </w:pPr>
      <w:r w:rsidRPr="00313AB9">
        <w:rPr>
          <w:rStyle w:val="StyleStyleBold12pt"/>
        </w:rPr>
        <w:t>Lewis &amp; Peterson, 2013</w:t>
      </w:r>
      <w:r w:rsidRPr="00313AB9">
        <w:rPr>
          <w:rStyle w:val="StyleStyleBold12pt"/>
          <w:sz w:val="14"/>
        </w:rPr>
        <w:t xml:space="preserve"> </w:t>
      </w:r>
      <w:r w:rsidRPr="00313AB9">
        <w:rPr>
          <w:rStyle w:val="StyleStyleBold12pt"/>
          <w:b w:val="0"/>
          <w:sz w:val="14"/>
        </w:rPr>
        <w:t>(Jonathan Lewis- Senior Counsel - Climate Policy &amp; Cameron Peterson- climate policy, “THE STATUS OF ALGAL BIOFUEL DEVELOPMENT”, Clean Air Task Force, 07/15/2013, http://www.catf.us/resources/whitepapers/files/201307-CATF%20Status%20of%20Algal%20Biofuels.pdf)</w:t>
      </w:r>
    </w:p>
    <w:p w:rsidR="00984FEB" w:rsidRDefault="00984FEB" w:rsidP="00984FEB">
      <w:pPr>
        <w:rPr>
          <w:sz w:val="16"/>
        </w:rPr>
      </w:pPr>
      <w:r w:rsidRPr="00C51F93">
        <w:rPr>
          <w:rStyle w:val="StyleBoldUnderline"/>
        </w:rPr>
        <w:t>Lifecycle analyses</w:t>
      </w:r>
      <w:r w:rsidRPr="00AD742D">
        <w:rPr>
          <w:sz w:val="16"/>
        </w:rPr>
        <w:t xml:space="preserve"> (LCAs) </w:t>
      </w:r>
      <w:r w:rsidRPr="00C51F93">
        <w:rPr>
          <w:rStyle w:val="StyleBoldUnderline"/>
        </w:rPr>
        <w:t xml:space="preserve">of the </w:t>
      </w:r>
      <w:r w:rsidRPr="00AD742D">
        <w:rPr>
          <w:sz w:val="16"/>
        </w:rPr>
        <w:t>greenhouse gas (</w:t>
      </w:r>
      <w:r w:rsidRPr="00557640">
        <w:rPr>
          <w:rStyle w:val="StyleBoldUnderline"/>
          <w:highlight w:val="green"/>
        </w:rPr>
        <w:t>GHG) emissions</w:t>
      </w:r>
      <w:r w:rsidRPr="00C51F93">
        <w:rPr>
          <w:rStyle w:val="StyleBoldUnderline"/>
        </w:rPr>
        <w:t xml:space="preserve"> emitted </w:t>
      </w:r>
      <w:r w:rsidRPr="00557640">
        <w:rPr>
          <w:rStyle w:val="StyleBoldUnderline"/>
          <w:highlight w:val="green"/>
        </w:rPr>
        <w:t>in</w:t>
      </w:r>
      <w:r w:rsidRPr="00C51F93">
        <w:rPr>
          <w:rStyle w:val="StyleBoldUnderline"/>
        </w:rPr>
        <w:t xml:space="preserve"> </w:t>
      </w:r>
      <w:r w:rsidRPr="00AD742D">
        <w:rPr>
          <w:sz w:val="16"/>
        </w:rPr>
        <w:t xml:space="preserve">the production of </w:t>
      </w:r>
      <w:r w:rsidRPr="00557640">
        <w:rPr>
          <w:rStyle w:val="StyleBoldUnderline"/>
          <w:highlight w:val="green"/>
        </w:rPr>
        <w:t>algal biofuels are less than encouraging</w:t>
      </w:r>
      <w:r w:rsidRPr="00AD742D">
        <w:rPr>
          <w:sz w:val="16"/>
        </w:rPr>
        <w:t xml:space="preserve"> as well. </w:t>
      </w:r>
      <w:r w:rsidRPr="00557640">
        <w:rPr>
          <w:rStyle w:val="StyleBoldUnderline"/>
          <w:highlight w:val="green"/>
        </w:rPr>
        <w:t>They</w:t>
      </w:r>
      <w:r w:rsidRPr="00AD742D">
        <w:rPr>
          <w:rStyle w:val="StyleBoldUnderline"/>
        </w:rPr>
        <w:t xml:space="preserve"> </w:t>
      </w:r>
      <w:r w:rsidRPr="00AD742D">
        <w:rPr>
          <w:sz w:val="16"/>
        </w:rPr>
        <w:t>tend to range significantly, depending on the study, but</w:t>
      </w:r>
      <w:r w:rsidRPr="00AD742D">
        <w:rPr>
          <w:rStyle w:val="StyleBoldUnderline"/>
        </w:rPr>
        <w:t xml:space="preserve"> </w:t>
      </w:r>
      <w:r w:rsidRPr="00557640">
        <w:rPr>
          <w:rStyle w:val="StyleBoldUnderline"/>
          <w:highlight w:val="green"/>
        </w:rPr>
        <w:t>can be an order of magnitude greater than</w:t>
      </w:r>
      <w:r w:rsidRPr="00AD742D">
        <w:rPr>
          <w:rStyle w:val="StyleBoldUnderline"/>
        </w:rPr>
        <w:t xml:space="preserve"> </w:t>
      </w:r>
      <w:r w:rsidRPr="00AD742D">
        <w:rPr>
          <w:sz w:val="16"/>
        </w:rPr>
        <w:t>those from</w:t>
      </w:r>
      <w:r w:rsidRPr="00AD742D">
        <w:rPr>
          <w:rStyle w:val="StyleBoldUnderline"/>
        </w:rPr>
        <w:t xml:space="preserve"> </w:t>
      </w:r>
      <w:r w:rsidRPr="00557640">
        <w:rPr>
          <w:rStyle w:val="StyleBoldUnderline"/>
          <w:highlight w:val="green"/>
        </w:rPr>
        <w:t>other sources</w:t>
      </w:r>
      <w:r w:rsidRPr="00AD742D">
        <w:rPr>
          <w:sz w:val="16"/>
        </w:rPr>
        <w:t xml:space="preserve">. </w:t>
      </w:r>
      <w:r w:rsidRPr="00AD742D">
        <w:rPr>
          <w:rStyle w:val="StyleBoldUnderline"/>
        </w:rPr>
        <w:t xml:space="preserve">One review of twenty-four LCAs </w:t>
      </w:r>
      <w:r w:rsidRPr="00AD742D">
        <w:rPr>
          <w:sz w:val="16"/>
        </w:rPr>
        <w:t>of algal biofuel produced in open raceway ponds</w:t>
      </w:r>
      <w:r w:rsidRPr="00AD742D">
        <w:rPr>
          <w:rStyle w:val="StyleBoldUnderline"/>
        </w:rPr>
        <w:t xml:space="preserve"> found that the process emitted</w:t>
      </w:r>
      <w:r w:rsidRPr="00AD742D">
        <w:rPr>
          <w:sz w:val="16"/>
        </w:rPr>
        <w:t xml:space="preserve"> between 0.1 and </w:t>
      </w:r>
      <w:r w:rsidRPr="00AD742D">
        <w:rPr>
          <w:rStyle w:val="StyleBoldUnderline"/>
        </w:rPr>
        <w:t>4.4 kg CO2e/kg of algae</w:t>
      </w:r>
      <w:r w:rsidRPr="00AD742D">
        <w:rPr>
          <w:sz w:val="16"/>
        </w:rPr>
        <w:t xml:space="preserve"> </w:t>
      </w:r>
      <w:r w:rsidRPr="00AD742D">
        <w:rPr>
          <w:rStyle w:val="StyleBoldUnderline"/>
        </w:rPr>
        <w:t xml:space="preserve">whereas the high end of emissions given for biofuels produced by corn, soybeans, and camelina was 0.4, 0.5, and 0.3 </w:t>
      </w:r>
      <w:r w:rsidRPr="00AD742D">
        <w:rPr>
          <w:sz w:val="16"/>
        </w:rPr>
        <w:t xml:space="preserve">kg CO2e/kg, respectively (Handler et al., 2012, p.89). While only three of the twenty-four LCAs resulted in emissions of more than 1 kg CO2e/kg of algae, </w:t>
      </w:r>
      <w:r w:rsidRPr="00AD742D">
        <w:rPr>
          <w:rStyle w:val="StyleBoldUnderline"/>
        </w:rPr>
        <w:t xml:space="preserve">the </w:t>
      </w:r>
      <w:r w:rsidRPr="00557640">
        <w:rPr>
          <w:rStyle w:val="StyleBoldUnderline"/>
          <w:highlight w:val="green"/>
        </w:rPr>
        <w:t>results demonstrate the</w:t>
      </w:r>
      <w:r w:rsidRPr="00AD742D">
        <w:rPr>
          <w:sz w:val="16"/>
        </w:rPr>
        <w:t xml:space="preserve"> potentially </w:t>
      </w:r>
      <w:r w:rsidRPr="00557640">
        <w:rPr>
          <w:rStyle w:val="StyleBoldUnderline"/>
          <w:highlight w:val="green"/>
        </w:rPr>
        <w:t>negative environmental impacts due to fossil energy</w:t>
      </w:r>
      <w:r w:rsidRPr="00AD742D">
        <w:rPr>
          <w:rStyle w:val="StyleBoldUnderline"/>
        </w:rPr>
        <w:t>, freshwater, and fertilizer use in algae cultivation</w:t>
      </w:r>
      <w:r w:rsidRPr="00AD742D">
        <w:rPr>
          <w:sz w:val="16"/>
        </w:rPr>
        <w:t xml:space="preserve">. For instance, the LCA study that exhibited emissions of 4.4 kg CO2e/kg of algae assumed the addition of potassium nitrate, deemed by Handler et al. (2012) as the “the worst-performing N fertilizer in all three of our chosen environmental metrics” (p. 90). This assumption, among many others, generated lifecycle emissions of more than twice those of any other study that Handler et al. analyzed. </w:t>
      </w:r>
    </w:p>
    <w:p w:rsidR="00984FEB" w:rsidRPr="00457ADE" w:rsidRDefault="00984FEB" w:rsidP="00984FEB">
      <w:pPr>
        <w:rPr>
          <w:sz w:val="16"/>
          <w:szCs w:val="16"/>
        </w:rPr>
      </w:pPr>
    </w:p>
    <w:p w:rsidR="00984FEB" w:rsidRDefault="00984FEB" w:rsidP="00984FEB">
      <w:pPr>
        <w:pStyle w:val="Heading3"/>
      </w:pPr>
      <w:r>
        <w:lastRenderedPageBreak/>
        <w:t>no impact to warming</w:t>
      </w:r>
    </w:p>
    <w:p w:rsidR="00984FEB" w:rsidRPr="0062494E" w:rsidRDefault="00984FEB" w:rsidP="00984FEB">
      <w:pPr>
        <w:keepNext/>
        <w:keepLines/>
        <w:spacing w:before="200"/>
        <w:outlineLvl w:val="3"/>
        <w:rPr>
          <w:rFonts w:eastAsia="Times New Roman" w:cs="Times New Roman"/>
          <w:b/>
          <w:iCs/>
          <w:sz w:val="26"/>
        </w:rPr>
      </w:pPr>
      <w:r w:rsidRPr="0062494E">
        <w:rPr>
          <w:rFonts w:eastAsia="Times New Roman" w:cs="Times New Roman"/>
          <w:b/>
          <w:iCs/>
          <w:sz w:val="26"/>
        </w:rPr>
        <w:t xml:space="preserve">No warming impact---mitigation and adaptation will solve </w:t>
      </w:r>
    </w:p>
    <w:p w:rsidR="00984FEB" w:rsidRPr="0062494E" w:rsidRDefault="00984FEB" w:rsidP="00984FEB">
      <w:pPr>
        <w:rPr>
          <w:rFonts w:eastAsia="Calibri" w:cs="Times New Roman"/>
        </w:rPr>
      </w:pPr>
      <w:r w:rsidRPr="0062494E">
        <w:rPr>
          <w:rFonts w:eastAsia="Calibri" w:cs="Times New Roman"/>
        </w:rPr>
        <w:t xml:space="preserve">Robert O. </w:t>
      </w:r>
      <w:r w:rsidRPr="0062494E">
        <w:rPr>
          <w:rFonts w:eastAsia="Calibri" w:cs="Times New Roman"/>
          <w:b/>
          <w:bCs/>
          <w:sz w:val="26"/>
        </w:rPr>
        <w:t>Mendelsohn 9</w:t>
      </w:r>
      <w:r w:rsidRPr="0062494E">
        <w:rPr>
          <w:rFonts w:eastAsia="Calibri" w:cs="Times New Roman"/>
        </w:rPr>
        <w:t>, the Edwin Weyerhaeuser Davis Professor, Yale School of Forestry and Environmental Studies, Yale University, June 2009, “Climate Change and Economic Growth,” online: http://www.growthcommission.org/storage/cgdev/documents/gcwp060web.pdf</w:t>
      </w:r>
    </w:p>
    <w:p w:rsidR="00984FEB" w:rsidRPr="0062494E" w:rsidRDefault="00984FEB" w:rsidP="00984FEB">
      <w:pPr>
        <w:ind w:right="288"/>
        <w:rPr>
          <w:rFonts w:eastAsia="Times New Roman" w:cs="Times New Roman"/>
          <w:sz w:val="16"/>
          <w:szCs w:val="20"/>
        </w:rPr>
      </w:pPr>
      <w:r w:rsidRPr="0062494E">
        <w:rPr>
          <w:rFonts w:eastAsia="Times New Roman" w:cs="Times New Roman"/>
          <w:b/>
          <w:bCs/>
          <w:szCs w:val="20"/>
          <w:u w:val="single"/>
        </w:rPr>
        <w:t>The</w:t>
      </w:r>
      <w:r w:rsidRPr="0062494E">
        <w:rPr>
          <w:rFonts w:eastAsia="Times New Roman" w:cs="Times New Roman"/>
          <w:sz w:val="16"/>
          <w:szCs w:val="20"/>
        </w:rPr>
        <w:t xml:space="preserve"> heart of the </w:t>
      </w:r>
      <w:r w:rsidRPr="0062494E">
        <w:rPr>
          <w:rFonts w:eastAsia="Times New Roman" w:cs="Times New Roman"/>
          <w:b/>
          <w:bCs/>
          <w:szCs w:val="20"/>
          <w:highlight w:val="yellow"/>
          <w:u w:val="single"/>
        </w:rPr>
        <w:t>debate</w:t>
      </w:r>
      <w:r w:rsidRPr="0062494E">
        <w:rPr>
          <w:rFonts w:eastAsia="Times New Roman" w:cs="Times New Roman"/>
          <w:b/>
          <w:bCs/>
          <w:szCs w:val="20"/>
          <w:u w:val="single"/>
        </w:rPr>
        <w:t xml:space="preserve"> about climate change</w:t>
      </w:r>
      <w:r w:rsidRPr="0062494E">
        <w:rPr>
          <w:rFonts w:eastAsia="Times New Roman" w:cs="Times New Roman"/>
          <w:sz w:val="16"/>
          <w:szCs w:val="20"/>
        </w:rPr>
        <w:t xml:space="preserve"> comes from a number of warnings from scientists and others that </w:t>
      </w:r>
      <w:r w:rsidRPr="0062494E">
        <w:rPr>
          <w:rFonts w:eastAsia="Times New Roman" w:cs="Times New Roman"/>
          <w:b/>
          <w:bCs/>
          <w:szCs w:val="20"/>
          <w:highlight w:val="yellow"/>
          <w:u w:val="single"/>
        </w:rPr>
        <w:t>give the impression that</w:t>
      </w:r>
      <w:r w:rsidRPr="0062494E">
        <w:rPr>
          <w:rFonts w:eastAsia="Times New Roman" w:cs="Times New Roman"/>
          <w:b/>
          <w:bCs/>
          <w:szCs w:val="20"/>
          <w:u w:val="single"/>
        </w:rPr>
        <w:t xml:space="preserve"> human-induced </w:t>
      </w:r>
      <w:r w:rsidRPr="0062494E">
        <w:rPr>
          <w:rFonts w:eastAsia="Times New Roman" w:cs="Times New Roman"/>
          <w:b/>
          <w:bCs/>
          <w:szCs w:val="20"/>
          <w:highlight w:val="yellow"/>
          <w:u w:val="single"/>
        </w:rPr>
        <w:t>climate change is an immediate threat to society</w:t>
      </w:r>
      <w:r w:rsidRPr="0062494E">
        <w:rPr>
          <w:rFonts w:eastAsia="Times New Roman" w:cs="Times New Roman"/>
          <w:sz w:val="16"/>
          <w:szCs w:val="20"/>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62494E">
        <w:rPr>
          <w:rFonts w:ascii="Cambria Math" w:eastAsia="Times New Roman" w:hAnsi="Cambria Math" w:cs="Cambria Math"/>
          <w:sz w:val="16"/>
          <w:szCs w:val="20"/>
        </w:rPr>
        <w:t>‐</w:t>
      </w:r>
      <w:r w:rsidRPr="0062494E">
        <w:rPr>
          <w:rFonts w:eastAsia="Times New Roman" w:cs="Times New Roman"/>
          <w:sz w:val="16"/>
          <w:szCs w:val="20"/>
        </w:rPr>
        <w:t>being may be at risk (Stern 2006).</w:t>
      </w:r>
      <w:r w:rsidRPr="0062494E">
        <w:rPr>
          <w:rFonts w:eastAsia="Times New Roman" w:cs="Times New Roman"/>
          <w:sz w:val="12"/>
          <w:szCs w:val="20"/>
        </w:rPr>
        <w:t>¶</w:t>
      </w:r>
      <w:r w:rsidRPr="0062494E">
        <w:rPr>
          <w:rFonts w:eastAsia="Times New Roman" w:cs="Times New Roman"/>
          <w:sz w:val="16"/>
          <w:szCs w:val="20"/>
        </w:rPr>
        <w:t xml:space="preserve"> </w:t>
      </w:r>
      <w:r w:rsidRPr="0062494E">
        <w:rPr>
          <w:rFonts w:eastAsia="Times New Roman" w:cs="Times New Roman"/>
          <w:b/>
          <w:bCs/>
          <w:szCs w:val="20"/>
          <w:highlight w:val="yellow"/>
          <w:u w:val="single"/>
        </w:rPr>
        <w:t>These statements are</w:t>
      </w:r>
      <w:r w:rsidRPr="0062494E">
        <w:rPr>
          <w:rFonts w:eastAsia="Times New Roman" w:cs="Times New Roman"/>
          <w:sz w:val="16"/>
          <w:szCs w:val="20"/>
        </w:rPr>
        <w:t xml:space="preserve"> largely </w:t>
      </w:r>
      <w:r w:rsidRPr="0062494E">
        <w:rPr>
          <w:rFonts w:eastAsia="Times New Roman" w:cs="Times New Roman"/>
          <w:b/>
          <w:iCs/>
          <w:szCs w:val="20"/>
          <w:highlight w:val="yellow"/>
          <w:u w:val="single"/>
          <w:bdr w:val="single" w:sz="18" w:space="0" w:color="auto"/>
        </w:rPr>
        <w:t>alarmist and misleading</w:t>
      </w:r>
      <w:r w:rsidRPr="0062494E">
        <w:rPr>
          <w:rFonts w:eastAsia="Times New Roman" w:cs="Times New Roman"/>
          <w:sz w:val="16"/>
          <w:szCs w:val="20"/>
        </w:rPr>
        <w:t xml:space="preserve">. Although climate change is a serious problem that deserves attention, </w:t>
      </w:r>
      <w:r w:rsidRPr="0062494E">
        <w:rPr>
          <w:rFonts w:eastAsia="Times New Roman" w:cs="Times New Roman"/>
          <w:b/>
          <w:bCs/>
          <w:szCs w:val="20"/>
          <w:u w:val="single"/>
        </w:rPr>
        <w:t xml:space="preserve">society’s </w:t>
      </w:r>
      <w:r w:rsidRPr="0062494E">
        <w:rPr>
          <w:rFonts w:eastAsia="Times New Roman" w:cs="Times New Roman"/>
          <w:b/>
          <w:bCs/>
          <w:szCs w:val="20"/>
          <w:highlight w:val="yellow"/>
          <w:u w:val="single"/>
        </w:rPr>
        <w:t>immediate behavior has an</w:t>
      </w:r>
      <w:r w:rsidRPr="0062494E">
        <w:rPr>
          <w:rFonts w:eastAsia="Times New Roman" w:cs="Times New Roman"/>
          <w:sz w:val="16"/>
          <w:szCs w:val="20"/>
          <w:highlight w:val="yellow"/>
        </w:rPr>
        <w:t xml:space="preserve"> </w:t>
      </w:r>
      <w:r w:rsidRPr="0062494E">
        <w:rPr>
          <w:rFonts w:eastAsia="Times New Roman" w:cs="Times New Roman"/>
          <w:b/>
          <w:iCs/>
          <w:szCs w:val="20"/>
          <w:highlight w:val="yellow"/>
          <w:u w:val="single"/>
          <w:bdr w:val="single" w:sz="18" w:space="0" w:color="auto"/>
        </w:rPr>
        <w:t>extremely low probability</w:t>
      </w:r>
      <w:r w:rsidRPr="0062494E">
        <w:rPr>
          <w:rFonts w:eastAsia="Times New Roman" w:cs="Times New Roman"/>
          <w:sz w:val="16"/>
          <w:szCs w:val="20"/>
          <w:highlight w:val="yellow"/>
        </w:rPr>
        <w:t xml:space="preserve"> </w:t>
      </w:r>
      <w:r w:rsidRPr="0062494E">
        <w:rPr>
          <w:rFonts w:eastAsia="Times New Roman" w:cs="Times New Roman"/>
          <w:b/>
          <w:bCs/>
          <w:szCs w:val="20"/>
          <w:highlight w:val="yellow"/>
          <w:u w:val="single"/>
        </w:rPr>
        <w:t>of leading to</w:t>
      </w:r>
      <w:r w:rsidRPr="0062494E">
        <w:rPr>
          <w:rFonts w:eastAsia="Times New Roman" w:cs="Times New Roman"/>
          <w:sz w:val="16"/>
          <w:szCs w:val="20"/>
          <w:highlight w:val="yellow"/>
        </w:rPr>
        <w:t xml:space="preserve"> </w:t>
      </w:r>
      <w:r w:rsidRPr="0062494E">
        <w:rPr>
          <w:rFonts w:eastAsia="Times New Roman" w:cs="Times New Roman"/>
          <w:b/>
          <w:iCs/>
          <w:szCs w:val="20"/>
          <w:highlight w:val="yellow"/>
          <w:u w:val="single"/>
          <w:bdr w:val="single" w:sz="18" w:space="0" w:color="auto"/>
        </w:rPr>
        <w:t>catastrophic consequences</w:t>
      </w:r>
      <w:r w:rsidRPr="0062494E">
        <w:rPr>
          <w:rFonts w:eastAsia="Times New Roman" w:cs="Times New Roman"/>
          <w:sz w:val="16"/>
          <w:szCs w:val="20"/>
        </w:rPr>
        <w:t xml:space="preserve">. The </w:t>
      </w:r>
      <w:r w:rsidRPr="0062494E">
        <w:rPr>
          <w:rFonts w:eastAsia="Times New Roman" w:cs="Times New Roman"/>
          <w:b/>
          <w:bCs/>
          <w:szCs w:val="20"/>
          <w:highlight w:val="yellow"/>
          <w:u w:val="single"/>
        </w:rPr>
        <w:t>science and economics</w:t>
      </w:r>
      <w:r w:rsidRPr="0062494E">
        <w:rPr>
          <w:rFonts w:eastAsia="Times New Roman" w:cs="Times New Roman"/>
          <w:sz w:val="16"/>
          <w:szCs w:val="20"/>
        </w:rPr>
        <w:t xml:space="preserve"> of climate change </w:t>
      </w:r>
      <w:r w:rsidRPr="0062494E">
        <w:rPr>
          <w:rFonts w:eastAsia="Times New Roman" w:cs="Times New Roman"/>
          <w:b/>
          <w:bCs/>
          <w:szCs w:val="20"/>
          <w:highlight w:val="yellow"/>
          <w:u w:val="single"/>
        </w:rPr>
        <w:t>is</w:t>
      </w:r>
      <w:r w:rsidRPr="0062494E">
        <w:rPr>
          <w:rFonts w:eastAsia="Times New Roman" w:cs="Times New Roman"/>
          <w:b/>
          <w:bCs/>
          <w:szCs w:val="20"/>
          <w:u w:val="single"/>
        </w:rPr>
        <w:t xml:space="preserve"> quite </w:t>
      </w:r>
      <w:r w:rsidRPr="0062494E">
        <w:rPr>
          <w:rFonts w:eastAsia="Times New Roman" w:cs="Times New Roman"/>
          <w:b/>
          <w:bCs/>
          <w:szCs w:val="20"/>
          <w:highlight w:val="yellow"/>
          <w:u w:val="single"/>
        </w:rPr>
        <w:t>clear that emissions over the next</w:t>
      </w:r>
      <w:r w:rsidRPr="0062494E">
        <w:rPr>
          <w:rFonts w:eastAsia="Times New Roman" w:cs="Times New Roman"/>
          <w:b/>
          <w:bCs/>
          <w:szCs w:val="20"/>
          <w:u w:val="single"/>
        </w:rPr>
        <w:t xml:space="preserve"> few </w:t>
      </w:r>
      <w:r w:rsidRPr="0062494E">
        <w:rPr>
          <w:rFonts w:eastAsia="Times New Roman" w:cs="Times New Roman"/>
          <w:b/>
          <w:bCs/>
          <w:szCs w:val="20"/>
          <w:highlight w:val="yellow"/>
          <w:u w:val="single"/>
        </w:rPr>
        <w:t>decades will lead to</w:t>
      </w:r>
      <w:r w:rsidRPr="0062494E">
        <w:rPr>
          <w:rFonts w:eastAsia="Times New Roman" w:cs="Times New Roman"/>
          <w:b/>
          <w:bCs/>
          <w:szCs w:val="20"/>
          <w:u w:val="single"/>
        </w:rPr>
        <w:t xml:space="preserve"> only</w:t>
      </w:r>
      <w:r w:rsidRPr="0062494E">
        <w:rPr>
          <w:rFonts w:eastAsia="Times New Roman" w:cs="Times New Roman"/>
          <w:sz w:val="16"/>
          <w:szCs w:val="20"/>
        </w:rPr>
        <w:t xml:space="preserve"> </w:t>
      </w:r>
      <w:r w:rsidRPr="0062494E">
        <w:rPr>
          <w:rFonts w:eastAsia="Times New Roman" w:cs="Times New Roman"/>
          <w:b/>
          <w:iCs/>
          <w:szCs w:val="20"/>
          <w:highlight w:val="yellow"/>
          <w:u w:val="single"/>
          <w:bdr w:val="single" w:sz="18" w:space="0" w:color="auto"/>
        </w:rPr>
        <w:t>mild consequences</w:t>
      </w:r>
      <w:r w:rsidRPr="0062494E">
        <w:rPr>
          <w:rFonts w:eastAsia="Times New Roman" w:cs="Times New Roman"/>
          <w:sz w:val="16"/>
          <w:szCs w:val="20"/>
        </w:rPr>
        <w:t xml:space="preserve">. The </w:t>
      </w:r>
      <w:r w:rsidRPr="0062494E">
        <w:rPr>
          <w:rFonts w:eastAsia="Times New Roman" w:cs="Times New Roman"/>
          <w:b/>
          <w:iCs/>
          <w:szCs w:val="20"/>
          <w:highlight w:val="yellow"/>
          <w:u w:val="single"/>
          <w:bdr w:val="single" w:sz="18" w:space="0" w:color="auto"/>
        </w:rPr>
        <w:t>severe impacts</w:t>
      </w:r>
      <w:r w:rsidRPr="0062494E">
        <w:rPr>
          <w:rFonts w:eastAsia="Times New Roman" w:cs="Times New Roman"/>
          <w:sz w:val="16"/>
          <w:szCs w:val="20"/>
        </w:rPr>
        <w:t xml:space="preserve"> predicted by alarmists </w:t>
      </w:r>
      <w:r w:rsidRPr="0062494E">
        <w:rPr>
          <w:rFonts w:eastAsia="Times New Roman" w:cs="Times New Roman"/>
          <w:b/>
          <w:iCs/>
          <w:szCs w:val="20"/>
          <w:highlight w:val="yellow"/>
          <w:u w:val="single"/>
          <w:bdr w:val="single" w:sz="18" w:space="0" w:color="auto"/>
        </w:rPr>
        <w:t>require a century</w:t>
      </w:r>
      <w:r w:rsidRPr="0062494E">
        <w:rPr>
          <w:rFonts w:eastAsia="Times New Roman" w:cs="Times New Roman"/>
          <w:b/>
          <w:iCs/>
          <w:szCs w:val="20"/>
          <w:u w:val="single"/>
          <w:bdr w:val="single" w:sz="18" w:space="0" w:color="auto"/>
        </w:rPr>
        <w:t xml:space="preserve"> (or two</w:t>
      </w:r>
      <w:r w:rsidRPr="0062494E">
        <w:rPr>
          <w:rFonts w:eastAsia="Times New Roman" w:cs="Times New Roman"/>
          <w:sz w:val="16"/>
          <w:szCs w:val="20"/>
        </w:rPr>
        <w:t xml:space="preserve"> in the case of Stern 2006) </w:t>
      </w:r>
      <w:r w:rsidRPr="0062494E">
        <w:rPr>
          <w:rFonts w:eastAsia="Times New Roman" w:cs="Times New Roman"/>
          <w:b/>
          <w:iCs/>
          <w:szCs w:val="20"/>
          <w:highlight w:val="yellow"/>
          <w:u w:val="single"/>
          <w:bdr w:val="single" w:sz="18" w:space="0" w:color="auto"/>
        </w:rPr>
        <w:t>of no mitigation</w:t>
      </w:r>
      <w:r w:rsidRPr="0062494E">
        <w:rPr>
          <w:rFonts w:eastAsia="Times New Roman" w:cs="Times New Roman"/>
          <w:sz w:val="16"/>
          <w:szCs w:val="20"/>
        </w:rPr>
        <w:t xml:space="preserve">. Many of the </w:t>
      </w:r>
      <w:r w:rsidRPr="0062494E">
        <w:rPr>
          <w:rFonts w:eastAsia="Times New Roman" w:cs="Times New Roman"/>
          <w:b/>
          <w:bCs/>
          <w:szCs w:val="20"/>
          <w:highlight w:val="yellow"/>
          <w:u w:val="single"/>
        </w:rPr>
        <w:t>predicted impacts assume there will be no</w:t>
      </w:r>
      <w:r w:rsidRPr="0062494E">
        <w:rPr>
          <w:rFonts w:eastAsia="Times New Roman" w:cs="Times New Roman"/>
          <w:b/>
          <w:bCs/>
          <w:szCs w:val="20"/>
          <w:u w:val="single"/>
        </w:rPr>
        <w:t xml:space="preserve"> or little </w:t>
      </w:r>
      <w:r w:rsidRPr="0062494E">
        <w:rPr>
          <w:rFonts w:eastAsia="Times New Roman" w:cs="Times New Roman"/>
          <w:b/>
          <w:bCs/>
          <w:szCs w:val="20"/>
          <w:highlight w:val="yellow"/>
          <w:u w:val="single"/>
        </w:rPr>
        <w:t>adaptation</w:t>
      </w:r>
      <w:r w:rsidRPr="0062494E">
        <w:rPr>
          <w:rFonts w:eastAsia="Times New Roman" w:cs="Times New Roman"/>
          <w:sz w:val="16"/>
          <w:szCs w:val="20"/>
        </w:rPr>
        <w:t xml:space="preserve">. The net economic impacts from climate change over the next 50 years will be small regardless. Most of </w:t>
      </w:r>
      <w:r w:rsidRPr="0062494E">
        <w:rPr>
          <w:rFonts w:eastAsia="Times New Roman" w:cs="Times New Roman"/>
          <w:b/>
          <w:bCs/>
          <w:szCs w:val="20"/>
          <w:u w:val="single"/>
        </w:rPr>
        <w:t xml:space="preserve">the more severe impacts will take more than a century or even a millennium to unfold and </w:t>
      </w:r>
      <w:r w:rsidRPr="0062494E">
        <w:rPr>
          <w:rFonts w:eastAsia="Times New Roman" w:cs="Times New Roman"/>
          <w:b/>
          <w:bCs/>
          <w:szCs w:val="20"/>
          <w:highlight w:val="yellow"/>
          <w:u w:val="single"/>
        </w:rPr>
        <w:t>many of these</w:t>
      </w:r>
      <w:r w:rsidRPr="0062494E">
        <w:rPr>
          <w:rFonts w:eastAsia="Times New Roman" w:cs="Times New Roman"/>
          <w:sz w:val="16"/>
          <w:szCs w:val="20"/>
        </w:rPr>
        <w:t xml:space="preserve"> “</w:t>
      </w:r>
      <w:r w:rsidRPr="0062494E">
        <w:rPr>
          <w:rFonts w:eastAsia="Times New Roman" w:cs="Times New Roman"/>
          <w:b/>
          <w:bCs/>
          <w:szCs w:val="20"/>
          <w:u w:val="single"/>
        </w:rPr>
        <w:t>potential</w:t>
      </w:r>
      <w:r w:rsidRPr="0062494E">
        <w:rPr>
          <w:rFonts w:eastAsia="Times New Roman" w:cs="Times New Roman"/>
          <w:b/>
          <w:bCs/>
          <w:szCs w:val="20"/>
          <w:highlight w:val="yellow"/>
          <w:u w:val="single"/>
        </w:rPr>
        <w:t>” impacts</w:t>
      </w:r>
      <w:r w:rsidRPr="0062494E">
        <w:rPr>
          <w:rFonts w:eastAsia="Times New Roman" w:cs="Times New Roman"/>
          <w:sz w:val="16"/>
          <w:szCs w:val="20"/>
          <w:highlight w:val="yellow"/>
        </w:rPr>
        <w:t xml:space="preserve"> </w:t>
      </w:r>
      <w:r w:rsidRPr="0062494E">
        <w:rPr>
          <w:rFonts w:eastAsia="Times New Roman" w:cs="Times New Roman"/>
          <w:b/>
          <w:iCs/>
          <w:szCs w:val="20"/>
          <w:highlight w:val="yellow"/>
          <w:u w:val="single"/>
          <w:bdr w:val="single" w:sz="18" w:space="0" w:color="auto"/>
        </w:rPr>
        <w:t>will never occur because people will adapt</w:t>
      </w:r>
      <w:r w:rsidRPr="0062494E">
        <w:rPr>
          <w:rFonts w:eastAsia="Times New Roman" w:cs="Times New Roman"/>
          <w:sz w:val="16"/>
          <w:szCs w:val="20"/>
          <w:highlight w:val="yellow"/>
        </w:rPr>
        <w:t xml:space="preserve">. </w:t>
      </w:r>
      <w:r w:rsidRPr="0062494E">
        <w:rPr>
          <w:rFonts w:eastAsia="Times New Roman" w:cs="Times New Roman"/>
          <w:b/>
          <w:bCs/>
          <w:szCs w:val="20"/>
          <w:highlight w:val="yellow"/>
          <w:u w:val="single"/>
        </w:rPr>
        <w:t>It is not</w:t>
      </w:r>
      <w:r w:rsidRPr="0062494E">
        <w:rPr>
          <w:rFonts w:eastAsia="Times New Roman" w:cs="Times New Roman"/>
          <w:b/>
          <w:bCs/>
          <w:szCs w:val="20"/>
          <w:u w:val="single"/>
        </w:rPr>
        <w:t xml:space="preserve"> at all </w:t>
      </w:r>
      <w:r w:rsidRPr="0062494E">
        <w:rPr>
          <w:rFonts w:eastAsia="Times New Roman" w:cs="Times New Roman"/>
          <w:b/>
          <w:bCs/>
          <w:szCs w:val="20"/>
          <w:highlight w:val="yellow"/>
          <w:u w:val="single"/>
        </w:rPr>
        <w:t>apparent that immediate</w:t>
      </w:r>
      <w:r w:rsidRPr="0062494E">
        <w:rPr>
          <w:rFonts w:eastAsia="Times New Roman" w:cs="Times New Roman"/>
          <w:b/>
          <w:bCs/>
          <w:szCs w:val="20"/>
          <w:u w:val="single"/>
        </w:rPr>
        <w:t xml:space="preserve"> and dramatic </w:t>
      </w:r>
      <w:r w:rsidRPr="0062494E">
        <w:rPr>
          <w:rFonts w:eastAsia="Times New Roman" w:cs="Times New Roman"/>
          <w:b/>
          <w:bCs/>
          <w:szCs w:val="20"/>
          <w:highlight w:val="yellow"/>
          <w:u w:val="single"/>
        </w:rPr>
        <w:t>policies need to be developed to thwart long</w:t>
      </w:r>
      <w:r w:rsidRPr="0062494E">
        <w:rPr>
          <w:rFonts w:ascii="Cambria Math" w:eastAsia="Times New Roman" w:hAnsi="Cambria Math" w:cs="Cambria Math"/>
          <w:b/>
          <w:bCs/>
          <w:szCs w:val="20"/>
          <w:highlight w:val="yellow"/>
          <w:u w:val="single"/>
        </w:rPr>
        <w:t>‐</w:t>
      </w:r>
      <w:r w:rsidRPr="0062494E">
        <w:rPr>
          <w:rFonts w:eastAsia="Times New Roman" w:cs="Times New Roman"/>
          <w:b/>
          <w:bCs/>
          <w:szCs w:val="20"/>
          <w:highlight w:val="yellow"/>
          <w:u w:val="single"/>
        </w:rPr>
        <w:t>range climate risks</w:t>
      </w:r>
      <w:r w:rsidRPr="0062494E">
        <w:rPr>
          <w:rFonts w:eastAsia="Times New Roman" w:cs="Times New Roman"/>
          <w:sz w:val="16"/>
          <w:szCs w:val="20"/>
        </w:rPr>
        <w:t>. What is needed are long</w:t>
      </w:r>
      <w:r w:rsidRPr="0062494E">
        <w:rPr>
          <w:rFonts w:ascii="Cambria Math" w:eastAsia="Times New Roman" w:hAnsi="Cambria Math" w:cs="Cambria Math"/>
          <w:sz w:val="16"/>
          <w:szCs w:val="20"/>
        </w:rPr>
        <w:t>‐</w:t>
      </w:r>
      <w:r w:rsidRPr="0062494E">
        <w:rPr>
          <w:rFonts w:eastAsia="Times New Roman" w:cs="Times New Roman"/>
          <w:sz w:val="16"/>
          <w:szCs w:val="20"/>
        </w:rPr>
        <w:t>run balanced responses.</w:t>
      </w:r>
    </w:p>
    <w:p w:rsidR="00984FEB" w:rsidRPr="0062494E" w:rsidRDefault="00984FEB" w:rsidP="00984FEB">
      <w:pPr>
        <w:keepNext/>
        <w:keepLines/>
        <w:spacing w:before="200"/>
        <w:outlineLvl w:val="3"/>
        <w:rPr>
          <w:rFonts w:eastAsia="Times New Roman" w:cs="Times New Roman"/>
          <w:b/>
          <w:bCs/>
          <w:iCs/>
          <w:sz w:val="26"/>
        </w:rPr>
      </w:pPr>
      <w:r w:rsidRPr="0062494E">
        <w:rPr>
          <w:rFonts w:eastAsia="Times New Roman" w:cs="Times New Roman"/>
          <w:b/>
          <w:iCs/>
          <w:sz w:val="26"/>
        </w:rPr>
        <w:t>No impact to warming</w:t>
      </w:r>
    </w:p>
    <w:p w:rsidR="00984FEB" w:rsidRPr="0062494E" w:rsidRDefault="00984FEB" w:rsidP="00984FEB">
      <w:pPr>
        <w:rPr>
          <w:rFonts w:eastAsia="Calibri" w:cs="Times New Roman"/>
          <w:sz w:val="16"/>
          <w:szCs w:val="16"/>
        </w:rPr>
      </w:pPr>
      <w:r w:rsidRPr="0062494E">
        <w:rPr>
          <w:rFonts w:eastAsia="Calibri" w:cs="Times New Roman"/>
          <w:b/>
          <w:bCs/>
          <w:sz w:val="26"/>
        </w:rPr>
        <w:t>Idso and Idso 11</w:t>
      </w:r>
      <w:r w:rsidRPr="0062494E">
        <w:rPr>
          <w:rFonts w:eastAsia="Calibri" w:cs="Times New Roman"/>
        </w:rPr>
        <w:t xml:space="preserve"> </w:t>
      </w:r>
      <w:r w:rsidRPr="0062494E">
        <w:rPr>
          <w:rFonts w:eastAsia="Calibri" w:cs="Times New Roman"/>
          <w:sz w:val="16"/>
          <w:szCs w:val="16"/>
        </w:rPr>
        <w:t>(Craig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prudentpath/prudentpath.pdf)</w:t>
      </w:r>
    </w:p>
    <w:p w:rsidR="00984FEB" w:rsidRPr="0062494E" w:rsidRDefault="00984FEB" w:rsidP="00984FEB">
      <w:pPr>
        <w:rPr>
          <w:rFonts w:eastAsia="Calibri" w:cs="Times New Roman"/>
        </w:rPr>
      </w:pPr>
    </w:p>
    <w:p w:rsidR="00984FEB" w:rsidRPr="0062494E" w:rsidRDefault="00984FEB" w:rsidP="00984FEB">
      <w:pPr>
        <w:rPr>
          <w:rFonts w:eastAsia="Calibri" w:cs="Times New Roman"/>
          <w:sz w:val="16"/>
        </w:rPr>
      </w:pPr>
      <w:r w:rsidRPr="0062494E">
        <w:rPr>
          <w:rFonts w:eastAsia="Calibri" w:cs="Times New Roman"/>
          <w:sz w:val="16"/>
        </w:rPr>
        <w:t xml:space="preserve">As presently constituted, </w:t>
      </w:r>
      <w:r w:rsidRPr="0062494E">
        <w:rPr>
          <w:rFonts w:eastAsia="Calibri" w:cs="Times New Roman"/>
          <w:b/>
          <w:highlight w:val="green"/>
          <w:u w:val="single"/>
        </w:rPr>
        <w:t>earth’s atmosphere</w:t>
      </w:r>
      <w:r w:rsidRPr="0062494E">
        <w:rPr>
          <w:rFonts w:eastAsia="Calibri" w:cs="Times New Roman"/>
          <w:b/>
          <w:u w:val="single"/>
        </w:rPr>
        <w:t xml:space="preserve"> </w:t>
      </w:r>
      <w:r w:rsidRPr="0062494E">
        <w:rPr>
          <w:rFonts w:eastAsia="Calibri" w:cs="Times New Roman"/>
          <w:b/>
          <w:highlight w:val="green"/>
          <w:u w:val="single"/>
        </w:rPr>
        <w:t>contains</w:t>
      </w:r>
      <w:r w:rsidRPr="0062494E">
        <w:rPr>
          <w:rFonts w:eastAsia="Calibri" w:cs="Times New Roman"/>
          <w:b/>
          <w:u w:val="single"/>
        </w:rPr>
        <w:t xml:space="preserve"> just slightly less than </w:t>
      </w:r>
      <w:r w:rsidRPr="0062494E">
        <w:rPr>
          <w:rFonts w:eastAsia="Calibri" w:cs="Times New Roman"/>
          <w:b/>
          <w:highlight w:val="green"/>
          <w:u w:val="single"/>
        </w:rPr>
        <w:t>400 ppm of</w:t>
      </w:r>
      <w:r w:rsidRPr="0062494E">
        <w:rPr>
          <w:rFonts w:eastAsia="Calibri" w:cs="Times New Roman"/>
          <w:sz w:val="16"/>
        </w:rPr>
        <w:t xml:space="preserve"> the colorless and odorless gas we call carbon dioxide or </w:t>
      </w:r>
      <w:r w:rsidRPr="0062494E">
        <w:rPr>
          <w:rFonts w:eastAsia="Calibri" w:cs="Times New Roman"/>
          <w:b/>
          <w:highlight w:val="green"/>
          <w:u w:val="single"/>
        </w:rPr>
        <w:t>CO2</w:t>
      </w:r>
      <w:r w:rsidRPr="0062494E">
        <w:rPr>
          <w:rFonts w:eastAsia="Calibri" w:cs="Times New Roman"/>
          <w:b/>
          <w:u w:val="single"/>
        </w:rPr>
        <w:t xml:space="preserve">. </w:t>
      </w:r>
      <w:r w:rsidRPr="0062494E">
        <w:rPr>
          <w:rFonts w:eastAsia="Calibri" w:cs="Times New Roman"/>
          <w:b/>
          <w:iCs/>
          <w:highlight w:val="green"/>
          <w:u w:val="single"/>
          <w:bdr w:val="single" w:sz="18" w:space="0" w:color="auto"/>
        </w:rPr>
        <w:t>That’s only four-hundredths of one percent</w:t>
      </w:r>
      <w:r w:rsidRPr="0062494E">
        <w:rPr>
          <w:rFonts w:eastAsia="Calibri" w:cs="Times New Roman"/>
          <w:b/>
          <w:u w:val="single"/>
        </w:rPr>
        <w:t xml:space="preserve">. Consequently, </w:t>
      </w:r>
      <w:r w:rsidRPr="0062494E">
        <w:rPr>
          <w:rFonts w:eastAsia="Calibri" w:cs="Times New Roman"/>
          <w:b/>
          <w:highlight w:val="green"/>
          <w:u w:val="single"/>
        </w:rPr>
        <w:t>even if</w:t>
      </w:r>
      <w:r w:rsidRPr="0062494E">
        <w:rPr>
          <w:rFonts w:eastAsia="Calibri" w:cs="Times New Roman"/>
          <w:b/>
          <w:u w:val="single"/>
        </w:rPr>
        <w:t xml:space="preserve"> the air's </w:t>
      </w:r>
      <w:r w:rsidRPr="0062494E">
        <w:rPr>
          <w:rFonts w:eastAsia="Calibri" w:cs="Times New Roman"/>
          <w:b/>
          <w:highlight w:val="green"/>
          <w:u w:val="single"/>
        </w:rPr>
        <w:t>CO2</w:t>
      </w:r>
      <w:r w:rsidRPr="0062494E">
        <w:rPr>
          <w:rFonts w:eastAsia="Calibri" w:cs="Times New Roman"/>
          <w:b/>
          <w:u w:val="single"/>
        </w:rPr>
        <w:t xml:space="preserve"> concentration was </w:t>
      </w:r>
      <w:r w:rsidRPr="0062494E">
        <w:rPr>
          <w:rFonts w:eastAsia="Calibri" w:cs="Times New Roman"/>
          <w:b/>
          <w:highlight w:val="green"/>
          <w:u w:val="single"/>
        </w:rPr>
        <w:t>tripled</w:t>
      </w:r>
      <w:r w:rsidRPr="0062494E">
        <w:rPr>
          <w:rFonts w:eastAsia="Calibri" w:cs="Times New Roman"/>
          <w:b/>
          <w:u w:val="single"/>
        </w:rPr>
        <w:t xml:space="preserve">, </w:t>
      </w:r>
      <w:r w:rsidRPr="0062494E">
        <w:rPr>
          <w:rFonts w:eastAsia="Calibri" w:cs="Times New Roman"/>
          <w:b/>
          <w:highlight w:val="green"/>
          <w:u w:val="single"/>
        </w:rPr>
        <w:t>carbon dioxide would</w:t>
      </w:r>
      <w:r w:rsidRPr="0062494E">
        <w:rPr>
          <w:rFonts w:eastAsia="Calibri" w:cs="Times New Roman"/>
          <w:b/>
          <w:u w:val="single"/>
        </w:rPr>
        <w:t xml:space="preserve"> still </w:t>
      </w:r>
      <w:r w:rsidRPr="0062494E">
        <w:rPr>
          <w:rFonts w:eastAsia="Calibri" w:cs="Times New Roman"/>
          <w:b/>
          <w:highlight w:val="green"/>
          <w:u w:val="single"/>
        </w:rPr>
        <w:t>comprise</w:t>
      </w:r>
      <w:r w:rsidRPr="0062494E">
        <w:rPr>
          <w:rFonts w:eastAsia="Calibri" w:cs="Times New Roman"/>
          <w:b/>
          <w:u w:val="single"/>
        </w:rPr>
        <w:t xml:space="preserve"> only a little over </w:t>
      </w:r>
      <w:r w:rsidRPr="0062494E">
        <w:rPr>
          <w:rFonts w:eastAsia="Calibri" w:cs="Times New Roman"/>
          <w:b/>
          <w:highlight w:val="green"/>
          <w:u w:val="single"/>
        </w:rPr>
        <w:t>one tenth of one percent</w:t>
      </w:r>
      <w:r w:rsidRPr="0062494E">
        <w:rPr>
          <w:rFonts w:eastAsia="Calibri" w:cs="Times New Roman"/>
          <w:b/>
          <w:u w:val="single"/>
        </w:rPr>
        <w:t xml:space="preserve"> of the air we breathe, which is far less than what wafted through earth’s atmosphere eons ago</w:t>
      </w:r>
      <w:r w:rsidRPr="0062494E">
        <w:rPr>
          <w:rFonts w:eastAsia="Calibri" w:cs="Times New Roman"/>
          <w:sz w:val="16"/>
        </w:rPr>
        <w:t xml:space="preserve">, when the planet was a virtual garden place. Nevertheless, </w:t>
      </w:r>
      <w:r w:rsidRPr="0062494E">
        <w:rPr>
          <w:rFonts w:eastAsia="Calibri" w:cs="Times New Roman"/>
          <w:b/>
          <w:u w:val="single"/>
        </w:rPr>
        <w:t xml:space="preserve">a small </w:t>
      </w:r>
      <w:r w:rsidRPr="0062494E">
        <w:rPr>
          <w:rFonts w:eastAsia="Calibri" w:cs="Times New Roman"/>
          <w:b/>
          <w:highlight w:val="green"/>
          <w:u w:val="single"/>
        </w:rPr>
        <w:t>increase in</w:t>
      </w:r>
      <w:r w:rsidRPr="0062494E">
        <w:rPr>
          <w:rFonts w:eastAsia="Calibri" w:cs="Times New Roman"/>
          <w:b/>
          <w:u w:val="single"/>
        </w:rPr>
        <w:t xml:space="preserve"> this minuscule amount of </w:t>
      </w:r>
      <w:r w:rsidRPr="0062494E">
        <w:rPr>
          <w:rFonts w:eastAsia="Calibri" w:cs="Times New Roman"/>
          <w:b/>
          <w:highlight w:val="green"/>
          <w:u w:val="single"/>
        </w:rPr>
        <w:t>CO2 is</w:t>
      </w:r>
      <w:r w:rsidRPr="0062494E">
        <w:rPr>
          <w:rFonts w:eastAsia="Calibri" w:cs="Times New Roman"/>
          <w:b/>
          <w:u w:val="single"/>
        </w:rPr>
        <w:t xml:space="preserve"> frequently </w:t>
      </w:r>
      <w:r w:rsidRPr="0062494E">
        <w:rPr>
          <w:rFonts w:eastAsia="Calibri" w:cs="Times New Roman"/>
          <w:b/>
          <w:highlight w:val="green"/>
          <w:u w:val="single"/>
        </w:rPr>
        <w:t>predicted to produce</w:t>
      </w:r>
      <w:r w:rsidRPr="0062494E">
        <w:rPr>
          <w:rFonts w:eastAsia="Calibri" w:cs="Times New Roman"/>
          <w:b/>
          <w:u w:val="single"/>
        </w:rPr>
        <w:t xml:space="preserve"> a suite of </w:t>
      </w:r>
      <w:r w:rsidRPr="0062494E">
        <w:rPr>
          <w:rFonts w:eastAsia="Calibri" w:cs="Times New Roman"/>
          <w:b/>
          <w:highlight w:val="green"/>
          <w:u w:val="single"/>
        </w:rPr>
        <w:t>dire</w:t>
      </w:r>
      <w:r w:rsidRPr="0062494E">
        <w:rPr>
          <w:rFonts w:eastAsia="Calibri" w:cs="Times New Roman"/>
          <w:b/>
          <w:u w:val="single"/>
        </w:rPr>
        <w:t xml:space="preserve"> environmental </w:t>
      </w:r>
      <w:r w:rsidRPr="0062494E">
        <w:rPr>
          <w:rFonts w:eastAsia="Calibri" w:cs="Times New Roman"/>
          <w:b/>
          <w:highlight w:val="green"/>
          <w:u w:val="single"/>
        </w:rPr>
        <w:t>consequences</w:t>
      </w:r>
      <w:r w:rsidRPr="0062494E">
        <w:rPr>
          <w:rFonts w:eastAsia="Calibri" w:cs="Times New Roman"/>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62494E">
        <w:rPr>
          <w:rFonts w:eastAsia="Calibri" w:cs="Times New Roman"/>
          <w:b/>
          <w:highlight w:val="green"/>
          <w:u w:val="single"/>
        </w:rPr>
        <w:t>these</w:t>
      </w:r>
      <w:r w:rsidRPr="0062494E">
        <w:rPr>
          <w:rFonts w:eastAsia="Calibri" w:cs="Times New Roman"/>
          <w:b/>
          <w:u w:val="single"/>
        </w:rPr>
        <w:t xml:space="preserve"> frightening future </w:t>
      </w:r>
      <w:r w:rsidRPr="0062494E">
        <w:rPr>
          <w:rFonts w:eastAsia="Calibri" w:cs="Times New Roman"/>
          <w:b/>
          <w:highlight w:val="green"/>
          <w:u w:val="single"/>
        </w:rPr>
        <w:t>scenarios are derived from</w:t>
      </w:r>
      <w:r w:rsidRPr="0062494E">
        <w:rPr>
          <w:rFonts w:eastAsia="Calibri" w:cs="Times New Roman"/>
          <w:b/>
          <w:u w:val="single"/>
        </w:rPr>
        <w:t xml:space="preserve"> a single source of information: the ever-evolving computer-driven </w:t>
      </w:r>
      <w:r w:rsidRPr="0062494E">
        <w:rPr>
          <w:rFonts w:eastAsia="Calibri" w:cs="Times New Roman"/>
          <w:b/>
          <w:highlight w:val="green"/>
          <w:u w:val="single"/>
        </w:rPr>
        <w:t>climate models</w:t>
      </w:r>
      <w:r w:rsidRPr="0062494E">
        <w:rPr>
          <w:rFonts w:eastAsia="Calibri" w:cs="Times New Roman"/>
          <w:b/>
          <w:u w:val="single"/>
        </w:rPr>
        <w:t xml:space="preserve"> that presume to reduce the important physical, chemical and biological processes that combine to determine the state of earth’s climate into a set of mathematical equations out of which their forecasts are produced</w:t>
      </w:r>
      <w:r w:rsidRPr="0062494E">
        <w:rPr>
          <w:rFonts w:eastAsia="Calibri" w:cs="Times New Roman"/>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62494E">
        <w:rPr>
          <w:rFonts w:eastAsia="Calibri" w:cs="Times New Roman"/>
          <w:b/>
          <w:highlight w:val="green"/>
          <w:u w:val="single"/>
        </w:rPr>
        <w:t>real-world observations fail to confirm</w:t>
      </w:r>
      <w:r w:rsidRPr="0062494E">
        <w:rPr>
          <w:rFonts w:eastAsia="Calibri" w:cs="Times New Roman"/>
          <w:b/>
          <w:u w:val="single"/>
        </w:rPr>
        <w:t xml:space="preserve"> essentially </w:t>
      </w:r>
      <w:r w:rsidRPr="0062494E">
        <w:rPr>
          <w:rFonts w:eastAsia="Calibri" w:cs="Times New Roman"/>
          <w:b/>
          <w:u w:val="single"/>
        </w:rPr>
        <w:lastRenderedPageBreak/>
        <w:t xml:space="preserve">all of the </w:t>
      </w:r>
      <w:r w:rsidRPr="0062494E">
        <w:rPr>
          <w:rFonts w:eastAsia="Calibri" w:cs="Times New Roman"/>
          <w:b/>
          <w:highlight w:val="green"/>
          <w:u w:val="single"/>
        </w:rPr>
        <w:t>alarming predictions</w:t>
      </w:r>
      <w:r w:rsidRPr="0062494E">
        <w:rPr>
          <w:rFonts w:eastAsia="Calibri" w:cs="Times New Roman"/>
          <w:b/>
          <w:u w:val="single"/>
        </w:rPr>
        <w:t xml:space="preserve"> </w:t>
      </w:r>
      <w:r w:rsidRPr="0062494E">
        <w:rPr>
          <w:rFonts w:eastAsia="Calibri" w:cs="Times New Roman"/>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62494E">
        <w:rPr>
          <w:rFonts w:eastAsia="Calibri" w:cs="Times New Roman"/>
          <w:b/>
          <w:u w:val="single"/>
        </w:rPr>
        <w:t xml:space="preserve"> of the earth.</w:t>
      </w:r>
      <w:r w:rsidRPr="0062494E">
        <w:rPr>
          <w:rFonts w:eastAsia="Calibri" w:cs="Times New Roman"/>
          <w:sz w:val="16"/>
        </w:rPr>
        <w:t xml:space="preserve">" In the pages that follow, we present this oft-neglected evidence via a review of the pertinent scientific literature. In the case of the biospheric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62494E">
        <w:rPr>
          <w:rFonts w:eastAsia="Calibri" w:cs="Times New Roman"/>
          <w:b/>
          <w:u w:val="single"/>
        </w:rPr>
        <w:t xml:space="preserve">in the case of </w:t>
      </w:r>
      <w:r w:rsidRPr="0062494E">
        <w:rPr>
          <w:rFonts w:eastAsia="Calibri" w:cs="Times New Roman"/>
          <w:b/>
          <w:iCs/>
          <w:highlight w:val="green"/>
          <w:u w:val="single"/>
          <w:bdr w:val="single" w:sz="18" w:space="0" w:color="auto"/>
        </w:rPr>
        <w:t>climate model inadequacies</w:t>
      </w:r>
      <w:r w:rsidRPr="0062494E">
        <w:rPr>
          <w:rFonts w:eastAsia="Calibri" w:cs="Times New Roman"/>
          <w:b/>
          <w:u w:val="single"/>
        </w:rPr>
        <w:t xml:space="preserve">, we </w:t>
      </w:r>
      <w:r w:rsidRPr="0062494E">
        <w:rPr>
          <w:rFonts w:eastAsia="Calibri" w:cs="Times New Roman"/>
          <w:b/>
          <w:highlight w:val="green"/>
          <w:u w:val="single"/>
        </w:rPr>
        <w:t>reveal</w:t>
      </w:r>
      <w:r w:rsidRPr="0062494E">
        <w:rPr>
          <w:rFonts w:eastAsia="Calibri" w:cs="Times New Roman"/>
          <w:b/>
          <w:u w:val="single"/>
        </w:rPr>
        <w:t xml:space="preserve"> their many </w:t>
      </w:r>
      <w:r w:rsidRPr="0062494E">
        <w:rPr>
          <w:rFonts w:eastAsia="Calibri" w:cs="Times New Roman"/>
          <w:b/>
          <w:highlight w:val="green"/>
          <w:u w:val="single"/>
        </w:rPr>
        <w:t>shortcomings</w:t>
      </w:r>
      <w:r w:rsidRPr="0062494E">
        <w:rPr>
          <w:rFonts w:eastAsia="Calibri" w:cs="Times New Roman"/>
          <w:b/>
          <w:u w:val="single"/>
        </w:rPr>
        <w:t xml:space="preserve"> via a comparison </w:t>
      </w:r>
      <w:r w:rsidRPr="0062494E">
        <w:rPr>
          <w:rFonts w:eastAsia="Calibri" w:cs="Times New Roman"/>
          <w:b/>
          <w:highlight w:val="green"/>
          <w:u w:val="single"/>
        </w:rPr>
        <w:t>of</w:t>
      </w:r>
      <w:r w:rsidRPr="0062494E">
        <w:rPr>
          <w:rFonts w:eastAsia="Calibri" w:cs="Times New Roman"/>
          <w:b/>
          <w:u w:val="single"/>
        </w:rPr>
        <w:t xml:space="preserve"> their </w:t>
      </w:r>
      <w:r w:rsidRPr="0062494E">
        <w:rPr>
          <w:rFonts w:eastAsia="Calibri" w:cs="Times New Roman"/>
          <w:b/>
          <w:highlight w:val="green"/>
          <w:u w:val="single"/>
        </w:rPr>
        <w:t>"doom and gloom" predictions</w:t>
      </w:r>
      <w:r w:rsidRPr="0062494E">
        <w:rPr>
          <w:rFonts w:eastAsia="Calibri" w:cs="Times New Roman"/>
          <w:b/>
          <w:u w:val="single"/>
        </w:rPr>
        <w:t xml:space="preserve"> with real-world observations. And this exercise reveals that even though the world has warmed substantially over the past century or more</w:t>
      </w:r>
      <w:r w:rsidRPr="0062494E">
        <w:rPr>
          <w:rFonts w:eastAsia="Calibri" w:cs="Times New Roman"/>
          <w:sz w:val="16"/>
        </w:rPr>
        <w:t xml:space="preserve"> -- at a rate that is claimed by many to have been unprecedented over the past one to two millennia -- </w:t>
      </w:r>
      <w:r w:rsidRPr="0062494E">
        <w:rPr>
          <w:rFonts w:eastAsia="Calibri" w:cs="Times New Roman"/>
          <w:b/>
          <w:highlight w:val="green"/>
          <w:u w:val="single"/>
        </w:rPr>
        <w:t>this repor</w:t>
      </w:r>
      <w:r w:rsidRPr="0062494E">
        <w:rPr>
          <w:rFonts w:eastAsia="Calibri" w:cs="Times New Roman"/>
          <w:b/>
          <w:u w:val="single"/>
        </w:rPr>
        <w:t xml:space="preserve">t </w:t>
      </w:r>
      <w:r w:rsidRPr="0062494E">
        <w:rPr>
          <w:rFonts w:eastAsia="Calibri" w:cs="Times New Roman"/>
          <w:b/>
          <w:highlight w:val="green"/>
          <w:u w:val="single"/>
        </w:rPr>
        <w:t>demonstrates</w:t>
      </w:r>
      <w:r w:rsidRPr="0062494E">
        <w:rPr>
          <w:rFonts w:eastAsia="Calibri" w:cs="Times New Roman"/>
          <w:b/>
          <w:u w:val="single"/>
        </w:rPr>
        <w:t xml:space="preserve"> that </w:t>
      </w:r>
      <w:r w:rsidRPr="0062494E">
        <w:rPr>
          <w:rFonts w:eastAsia="Calibri" w:cs="Times New Roman"/>
          <w:b/>
          <w:highlight w:val="green"/>
          <w:u w:val="single"/>
        </w:rPr>
        <w:t>none of the</w:t>
      </w:r>
      <w:r w:rsidRPr="0062494E">
        <w:rPr>
          <w:rFonts w:eastAsia="Calibri" w:cs="Times New Roman"/>
          <w:b/>
          <w:u w:val="single"/>
        </w:rPr>
        <w:t xml:space="preserve"> environmental </w:t>
      </w:r>
      <w:r w:rsidRPr="0062494E">
        <w:rPr>
          <w:rFonts w:eastAsia="Calibri" w:cs="Times New Roman"/>
          <w:b/>
          <w:highlight w:val="green"/>
          <w:u w:val="single"/>
        </w:rPr>
        <w:t>catastrophes</w:t>
      </w:r>
      <w:r w:rsidRPr="0062494E">
        <w:rPr>
          <w:rFonts w:eastAsia="Calibri" w:cs="Times New Roman"/>
          <w:b/>
          <w:u w:val="single"/>
        </w:rPr>
        <w:t xml:space="preserve"> that are predicted by climate alarmists to be </w:t>
      </w:r>
      <w:r w:rsidRPr="0062494E">
        <w:rPr>
          <w:rFonts w:eastAsia="Calibri" w:cs="Times New Roman"/>
          <w:b/>
          <w:highlight w:val="green"/>
          <w:u w:val="single"/>
        </w:rPr>
        <w:t>produced by</w:t>
      </w:r>
      <w:r w:rsidRPr="0062494E">
        <w:rPr>
          <w:rFonts w:eastAsia="Calibri" w:cs="Times New Roman"/>
          <w:b/>
          <w:u w:val="single"/>
        </w:rPr>
        <w:t xml:space="preserve"> such a </w:t>
      </w:r>
      <w:r w:rsidRPr="0062494E">
        <w:rPr>
          <w:rFonts w:eastAsia="Calibri" w:cs="Times New Roman"/>
          <w:b/>
          <w:highlight w:val="green"/>
          <w:u w:val="single"/>
        </w:rPr>
        <w:t>warming</w:t>
      </w:r>
      <w:r w:rsidRPr="0062494E">
        <w:rPr>
          <w:rFonts w:eastAsia="Calibri" w:cs="Times New Roman"/>
          <w:b/>
          <w:u w:val="single"/>
        </w:rPr>
        <w:t xml:space="preserve"> </w:t>
      </w:r>
      <w:r w:rsidRPr="0062494E">
        <w:rPr>
          <w:rFonts w:eastAsia="Calibri" w:cs="Times New Roman"/>
          <w:b/>
          <w:highlight w:val="green"/>
          <w:u w:val="single"/>
        </w:rPr>
        <w:t>has ever come to pass</w:t>
      </w:r>
      <w:r w:rsidRPr="0062494E">
        <w:rPr>
          <w:rFonts w:eastAsia="Calibri" w:cs="Times New Roman"/>
          <w:sz w:val="16"/>
        </w:rPr>
        <w:t xml:space="preserve">. And this fact -- that </w:t>
      </w:r>
      <w:r w:rsidRPr="0062494E">
        <w:rPr>
          <w:rFonts w:eastAsia="Calibri" w:cs="Times New Roman"/>
          <w:b/>
          <w:highlight w:val="green"/>
          <w:u w:val="single"/>
        </w:rPr>
        <w:t>there have been no significant increases in</w:t>
      </w:r>
      <w:r w:rsidRPr="0062494E">
        <w:rPr>
          <w:rFonts w:eastAsia="Calibri" w:cs="Times New Roman"/>
          <w:b/>
          <w:u w:val="single"/>
        </w:rPr>
        <w:t xml:space="preserve"> either the </w:t>
      </w:r>
      <w:r w:rsidRPr="0062494E">
        <w:rPr>
          <w:rFonts w:eastAsia="Calibri" w:cs="Times New Roman"/>
          <w:b/>
          <w:highlight w:val="green"/>
          <w:u w:val="single"/>
        </w:rPr>
        <w:t>frequency or severity of droughts, floods or hurricanes</w:t>
      </w:r>
      <w:r w:rsidRPr="0062494E">
        <w:rPr>
          <w:rFonts w:eastAsia="Calibri" w:cs="Times New Roman"/>
          <w:b/>
          <w:u w:val="single"/>
        </w:rPr>
        <w:t xml:space="preserve"> over the past two centuries or more of global warming</w:t>
      </w:r>
      <w:r w:rsidRPr="0062494E">
        <w:rPr>
          <w:rFonts w:eastAsia="Calibri" w:cs="Times New Roman"/>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62494E">
        <w:rPr>
          <w:rFonts w:eastAsia="Calibri" w:cs="Times New Roman"/>
          <w:b/>
          <w:highlight w:val="green"/>
          <w:u w:val="single"/>
        </w:rPr>
        <w:t>we should pay the models no heed in the matter of</w:t>
      </w:r>
      <w:r w:rsidRPr="0062494E">
        <w:rPr>
          <w:rFonts w:eastAsia="Calibri" w:cs="Times New Roman"/>
          <w:b/>
          <w:u w:val="single"/>
        </w:rPr>
        <w:t xml:space="preserve"> future climate </w:t>
      </w:r>
      <w:r w:rsidRPr="0062494E">
        <w:rPr>
          <w:rFonts w:eastAsia="Calibri" w:cs="Times New Roman"/>
          <w:sz w:val="16"/>
        </w:rPr>
        <w:t xml:space="preserve">-- </w:t>
      </w:r>
      <w:r w:rsidRPr="0062494E">
        <w:rPr>
          <w:rFonts w:eastAsia="Calibri" w:cs="Times New Roman"/>
          <w:b/>
          <w:u w:val="single"/>
        </w:rPr>
        <w:t xml:space="preserve">especially in terms of predictions based on the behavior of a </w:t>
      </w:r>
      <w:r w:rsidRPr="0062494E">
        <w:rPr>
          <w:rFonts w:eastAsia="Calibri" w:cs="Times New Roman"/>
          <w:b/>
          <w:highlight w:val="green"/>
          <w:u w:val="single"/>
        </w:rPr>
        <w:t>non-meteorological parameter</w:t>
      </w:r>
      <w:r w:rsidRPr="0062494E">
        <w:rPr>
          <w:rFonts w:eastAsia="Calibri" w:cs="Times New Roman"/>
          <w:sz w:val="16"/>
        </w:rPr>
        <w:t xml:space="preserve"> (CO2) -- until they can reproduce the climate of the past, based on the behavior of one of the most basic of all true meteorological parameters (temperature). And even if the models eventually solve this part of the problem, </w:t>
      </w:r>
      <w:r w:rsidRPr="0062494E">
        <w:rPr>
          <w:rFonts w:eastAsia="Calibri" w:cs="Times New Roman"/>
          <w:b/>
          <w:u w:val="single"/>
        </w:rPr>
        <w:t>we should still reserve judgment on their forecasts of global warming; for there will yet be a vast gulf between where they will be at that time and where they will have to go to be able to meet the much greater challenge to which they aspire</w:t>
      </w:r>
    </w:p>
    <w:p w:rsidR="00984FEB" w:rsidRPr="0062494E" w:rsidRDefault="00984FEB" w:rsidP="00984FEB">
      <w:pPr>
        <w:keepNext/>
        <w:keepLines/>
        <w:spacing w:before="200"/>
        <w:outlineLvl w:val="3"/>
        <w:rPr>
          <w:rFonts w:eastAsia="Times New Roman" w:cs="Times New Roman"/>
          <w:b/>
          <w:bCs/>
          <w:iCs/>
          <w:sz w:val="26"/>
        </w:rPr>
      </w:pPr>
      <w:r w:rsidRPr="0062494E">
        <w:rPr>
          <w:rFonts w:eastAsia="Times New Roman" w:cs="Times New Roman"/>
          <w:b/>
          <w:iCs/>
          <w:sz w:val="26"/>
        </w:rPr>
        <w:t>Previous temperature spikes disprove the impact</w:t>
      </w:r>
    </w:p>
    <w:p w:rsidR="00984FEB" w:rsidRPr="0062494E" w:rsidRDefault="00984FEB" w:rsidP="00984FEB">
      <w:pPr>
        <w:rPr>
          <w:rFonts w:eastAsia="Calibri" w:cs="Times New Roman"/>
        </w:rPr>
      </w:pPr>
      <w:r w:rsidRPr="0062494E">
        <w:rPr>
          <w:rFonts w:eastAsia="Calibri" w:cs="Times New Roman"/>
          <w:b/>
          <w:bCs/>
          <w:sz w:val="26"/>
        </w:rPr>
        <w:t>Singer 11</w:t>
      </w:r>
      <w:r w:rsidRPr="0062494E">
        <w:rPr>
          <w:rFonts w:eastAsia="Calibri" w:cs="Times New Roman"/>
        </w:rPr>
        <w:t xml:space="preserve"> </w:t>
      </w:r>
      <w:r w:rsidRPr="0062494E">
        <w:rPr>
          <w:rFonts w:eastAsia="Calibri" w:cs="Times New Roman"/>
          <w:sz w:val="16"/>
          <w:szCs w:val="16"/>
        </w:rPr>
        <w:t>(S. Fred, Robert M. and Craig, PhD physics – Princeton University and professor of environmental science – UVA, consultant – NASA, GAO, DOE, NASA, Carter, PhD paleontology – University of Cambridge, adjunct research professor – Marine Geophysical Laboratory @ James Cook University, and Idso, PhD Geography – ASU, “Climate Change Reconsidered,” 2011 Interim Report of the Nongovernmental Panel on Climate Change)</w:t>
      </w:r>
    </w:p>
    <w:p w:rsidR="00984FEB" w:rsidRPr="0062494E" w:rsidRDefault="00984FEB" w:rsidP="00984FEB">
      <w:pPr>
        <w:rPr>
          <w:rFonts w:ascii="Arial" w:eastAsia="Calibri" w:hAnsi="Arial" w:cs="Times New Roman"/>
          <w:b/>
          <w:sz w:val="24"/>
          <w:u w:val="single"/>
        </w:rPr>
      </w:pPr>
    </w:p>
    <w:p w:rsidR="00984FEB" w:rsidRPr="0062494E" w:rsidRDefault="00984FEB" w:rsidP="00984FEB">
      <w:pPr>
        <w:rPr>
          <w:rFonts w:eastAsia="Calibri" w:cs="Times New Roman"/>
          <w:sz w:val="16"/>
        </w:rPr>
      </w:pPr>
      <w:r w:rsidRPr="0062494E">
        <w:rPr>
          <w:rFonts w:eastAsia="Calibri" w:cs="Times New Roman"/>
          <w:b/>
          <w:highlight w:val="green"/>
          <w:u w:val="single"/>
        </w:rPr>
        <w:t>Research</w:t>
      </w:r>
      <w:r w:rsidRPr="0062494E">
        <w:rPr>
          <w:rFonts w:eastAsia="Calibri" w:cs="Times New Roman"/>
          <w:b/>
          <w:u w:val="single"/>
        </w:rPr>
        <w:t xml:space="preserve"> from locations around the world </w:t>
      </w:r>
      <w:r w:rsidRPr="0062494E">
        <w:rPr>
          <w:rFonts w:eastAsia="Calibri" w:cs="Times New Roman"/>
          <w:b/>
          <w:highlight w:val="green"/>
          <w:u w:val="single"/>
        </w:rPr>
        <w:t>reveal</w:t>
      </w:r>
      <w:r w:rsidRPr="0062494E">
        <w:rPr>
          <w:rFonts w:eastAsia="Calibri" w:cs="Times New Roman"/>
          <w:b/>
          <w:u w:val="single"/>
        </w:rPr>
        <w:t xml:space="preserve"> a significant period of </w:t>
      </w:r>
      <w:r w:rsidRPr="0062494E">
        <w:rPr>
          <w:rFonts w:eastAsia="Calibri" w:cs="Times New Roman"/>
          <w:b/>
          <w:highlight w:val="green"/>
          <w:u w:val="single"/>
        </w:rPr>
        <w:t>elevated</w:t>
      </w:r>
      <w:r w:rsidRPr="0062494E">
        <w:rPr>
          <w:rFonts w:eastAsia="Calibri" w:cs="Times New Roman"/>
          <w:sz w:val="16"/>
        </w:rPr>
        <w:t xml:space="preserve"> air </w:t>
      </w:r>
      <w:r w:rsidRPr="0062494E">
        <w:rPr>
          <w:rFonts w:eastAsia="Calibri" w:cs="Times New Roman"/>
          <w:b/>
          <w:highlight w:val="green"/>
          <w:u w:val="single"/>
        </w:rPr>
        <w:t>temperatures</w:t>
      </w:r>
      <w:r w:rsidRPr="0062494E">
        <w:rPr>
          <w:rFonts w:eastAsia="Calibri" w:cs="Times New Roman"/>
          <w:b/>
          <w:u w:val="single"/>
        </w:rPr>
        <w:t xml:space="preserve"> that immediately preceded the Little Ice Age, </w:t>
      </w:r>
      <w:r w:rsidRPr="0062494E">
        <w:rPr>
          <w:rFonts w:eastAsia="Calibri" w:cs="Times New Roman"/>
          <w:b/>
          <w:highlight w:val="green"/>
          <w:u w:val="single"/>
        </w:rPr>
        <w:t>during</w:t>
      </w:r>
      <w:r w:rsidRPr="0062494E">
        <w:rPr>
          <w:rFonts w:eastAsia="Calibri" w:cs="Times New Roman"/>
          <w:b/>
          <w:u w:val="single"/>
        </w:rPr>
        <w:t xml:space="preserve"> a time that has come to be known as </w:t>
      </w:r>
      <w:r w:rsidRPr="0062494E">
        <w:rPr>
          <w:rFonts w:eastAsia="Calibri" w:cs="Times New Roman"/>
          <w:b/>
          <w:highlight w:val="green"/>
          <w:u w:val="single"/>
        </w:rPr>
        <w:t>the</w:t>
      </w:r>
      <w:r w:rsidRPr="0062494E">
        <w:rPr>
          <w:rFonts w:eastAsia="Calibri" w:cs="Times New Roman"/>
          <w:b/>
          <w:u w:val="single"/>
        </w:rPr>
        <w:t xml:space="preserve"> Little </w:t>
      </w:r>
      <w:r w:rsidRPr="0062494E">
        <w:rPr>
          <w:rFonts w:eastAsia="Calibri" w:cs="Times New Roman"/>
          <w:b/>
          <w:highlight w:val="green"/>
          <w:u w:val="single"/>
        </w:rPr>
        <w:t>Medieval Warm Period</w:t>
      </w:r>
      <w:r w:rsidRPr="0062494E">
        <w:rPr>
          <w:rFonts w:eastAsia="Calibri" w:cs="Times New Roman"/>
          <w:b/>
          <w:u w:val="single"/>
        </w:rPr>
        <w:t>.</w:t>
      </w:r>
      <w:r w:rsidRPr="0062494E">
        <w:rPr>
          <w:rFonts w:eastAsia="Calibri" w:cs="Times New Roman"/>
          <w:sz w:val="16"/>
        </w:rPr>
        <w:t xml:space="preserve"> A discussion of this topic was not included in the 2009 NIPCC report, but </w:t>
      </w:r>
      <w:r w:rsidRPr="0062494E">
        <w:rPr>
          <w:rFonts w:eastAsia="Calibri" w:cs="Times New Roman"/>
          <w:b/>
          <w:u w:val="single"/>
        </w:rPr>
        <w:t xml:space="preserve">we include it here to demonstrate the existence of another set of </w:t>
      </w:r>
      <w:r w:rsidRPr="0062494E">
        <w:rPr>
          <w:rFonts w:eastAsia="Calibri" w:cs="Times New Roman"/>
          <w:b/>
          <w:highlight w:val="green"/>
          <w:u w:val="single"/>
        </w:rPr>
        <w:t>real-world data</w:t>
      </w:r>
      <w:r w:rsidRPr="0062494E">
        <w:rPr>
          <w:rFonts w:eastAsia="Calibri" w:cs="Times New Roman"/>
          <w:b/>
          <w:u w:val="single"/>
        </w:rPr>
        <w:t xml:space="preserve"> that </w:t>
      </w:r>
      <w:r w:rsidRPr="0062494E">
        <w:rPr>
          <w:rFonts w:eastAsia="Calibri" w:cs="Times New Roman"/>
          <w:b/>
          <w:highlight w:val="green"/>
          <w:u w:val="single"/>
        </w:rPr>
        <w:t>do not support the IPCC‘s claim</w:t>
      </w:r>
      <w:r w:rsidRPr="0062494E">
        <w:rPr>
          <w:rFonts w:eastAsia="Calibri" w:cs="Times New Roman"/>
          <w:b/>
          <w:u w:val="single"/>
        </w:rPr>
        <w:t xml:space="preserve"> that temperatures of the past couple of decades have been the warmest of the past one to two millennia</w:t>
      </w:r>
      <w:r w:rsidRPr="0062494E">
        <w:rPr>
          <w:rFonts w:eastAsia="Calibri" w:cs="Times New Roman"/>
          <w:sz w:val="16"/>
        </w:rPr>
        <w:t xml:space="preserve">. In one of the more intriguing aspects of his study of global climate change over the past three millennia, Loehle (2004) presented a graph of the Sargasso Sea and South African temperature records of Keigwin (1996) and Holmgren et al. (1999, 2001) that reveals the existence of a major spike in surface air temperature that began sometime in the early 1400s. </w:t>
      </w:r>
      <w:r w:rsidRPr="0062494E">
        <w:rPr>
          <w:rFonts w:eastAsia="Calibri" w:cs="Times New Roman"/>
          <w:b/>
          <w:u w:val="single"/>
        </w:rPr>
        <w:t xml:space="preserve">This </w:t>
      </w:r>
      <w:r w:rsidRPr="0062494E">
        <w:rPr>
          <w:rFonts w:eastAsia="Calibri" w:cs="Times New Roman"/>
          <w:b/>
          <w:highlight w:val="green"/>
          <w:u w:val="single"/>
        </w:rPr>
        <w:t>abrupt</w:t>
      </w:r>
      <w:r w:rsidRPr="0062494E">
        <w:rPr>
          <w:rFonts w:eastAsia="Calibri" w:cs="Times New Roman"/>
          <w:b/>
          <w:u w:val="single"/>
        </w:rPr>
        <w:t xml:space="preserve"> and anomalous </w:t>
      </w:r>
      <w:r w:rsidRPr="0062494E">
        <w:rPr>
          <w:rFonts w:eastAsia="Calibri" w:cs="Times New Roman"/>
          <w:b/>
          <w:highlight w:val="green"/>
          <w:u w:val="single"/>
        </w:rPr>
        <w:t>warming pushed</w:t>
      </w:r>
      <w:r w:rsidRPr="0062494E">
        <w:rPr>
          <w:rFonts w:eastAsia="Calibri" w:cs="Times New Roman"/>
          <w:b/>
          <w:u w:val="single"/>
        </w:rPr>
        <w:t xml:space="preserve"> the air </w:t>
      </w:r>
      <w:r w:rsidRPr="0062494E">
        <w:rPr>
          <w:rFonts w:eastAsia="Calibri" w:cs="Times New Roman"/>
          <w:b/>
          <w:highlight w:val="green"/>
          <w:u w:val="single"/>
        </w:rPr>
        <w:t>temperatures</w:t>
      </w:r>
      <w:r w:rsidRPr="0062494E">
        <w:rPr>
          <w:rFonts w:eastAsia="Calibri" w:cs="Times New Roman"/>
          <w:b/>
          <w:u w:val="single"/>
        </w:rPr>
        <w:t xml:space="preserve"> of these two records considerably </w:t>
      </w:r>
      <w:r w:rsidRPr="0062494E">
        <w:rPr>
          <w:rFonts w:eastAsia="Calibri" w:cs="Times New Roman"/>
          <w:b/>
          <w:highlight w:val="green"/>
          <w:u w:val="single"/>
        </w:rPr>
        <w:t>above</w:t>
      </w:r>
      <w:r w:rsidRPr="0062494E">
        <w:rPr>
          <w:rFonts w:eastAsia="Calibri" w:cs="Times New Roman"/>
          <w:b/>
          <w:u w:val="single"/>
        </w:rPr>
        <w:t xml:space="preserve"> their representations of the </w:t>
      </w:r>
      <w:r w:rsidRPr="0062494E">
        <w:rPr>
          <w:rFonts w:eastAsia="Calibri" w:cs="Times New Roman"/>
          <w:b/>
          <w:highlight w:val="green"/>
          <w:u w:val="single"/>
        </w:rPr>
        <w:t>peak warmth</w:t>
      </w:r>
      <w:r w:rsidRPr="0062494E">
        <w:rPr>
          <w:rFonts w:eastAsia="Calibri" w:cs="Times New Roman"/>
          <w:b/>
          <w:u w:val="single"/>
        </w:rPr>
        <w:t xml:space="preserve"> of the twentieth century</w:t>
      </w:r>
      <w:r w:rsidRPr="0062494E">
        <w:rPr>
          <w:rFonts w:eastAsia="Calibri" w:cs="Times New Roman"/>
          <w:sz w:val="16"/>
        </w:rPr>
        <w:t>, after which they fell back to pre-spike levels in the mid-1500s, in harmony with the work of McIntyre and McKitrick (2003), who found a similar period of higher-than-current temperatures in their reanalysis of the data employed by Mann et al. (1998, 1999).</w:t>
      </w:r>
    </w:p>
    <w:p w:rsidR="00984FEB" w:rsidRPr="004105A9" w:rsidRDefault="00984FEB" w:rsidP="00984FEB"/>
    <w:p w:rsidR="00984FEB" w:rsidRDefault="00984FEB" w:rsidP="00984FEB">
      <w:pPr>
        <w:pStyle w:val="Heading3"/>
      </w:pPr>
      <w:r>
        <w:lastRenderedPageBreak/>
        <w:t>no solvency - warming</w:t>
      </w:r>
    </w:p>
    <w:p w:rsidR="00984FEB" w:rsidRPr="003963ED" w:rsidRDefault="00984FEB" w:rsidP="00984FEB">
      <w:pPr>
        <w:pStyle w:val="Heading4"/>
      </w:pPr>
      <w:r>
        <w:t>Can’t solve warming – oil would have to be $1000 a barrel for it to compete and requires too much algae to be viable</w:t>
      </w:r>
    </w:p>
    <w:p w:rsidR="00984FEB" w:rsidRPr="00EB3D25" w:rsidRDefault="00984FEB" w:rsidP="00984FEB">
      <w:pPr>
        <w:rPr>
          <w:sz w:val="16"/>
          <w:szCs w:val="16"/>
        </w:rPr>
      </w:pPr>
      <w:r w:rsidRPr="00EB3D25">
        <w:rPr>
          <w:rStyle w:val="StyleStyleBold12pt"/>
        </w:rPr>
        <w:t>The Economist 13</w:t>
      </w:r>
      <w:r w:rsidRPr="00EB3D25">
        <w:rPr>
          <w:sz w:val="16"/>
          <w:szCs w:val="16"/>
        </w:rPr>
        <w:t xml:space="preserve"> (“What happened to biofuels?”, The Economist, 9/7/13, http://www.economist.com/news/technology-quarterly/21584452-energy-technology-making-large-amounts-fuel-organic-matter-has-proved-be)</w:t>
      </w:r>
    </w:p>
    <w:p w:rsidR="00984FEB" w:rsidRPr="003963ED" w:rsidRDefault="00984FEB" w:rsidP="00984FEB">
      <w:pPr>
        <w:rPr>
          <w:rStyle w:val="StyleBoldUnderline"/>
        </w:rPr>
      </w:pPr>
      <w:r w:rsidRPr="003963ED">
        <w:rPr>
          <w:sz w:val="16"/>
          <w:szCs w:val="16"/>
        </w:rPr>
        <w:t xml:space="preserve">Some </w:t>
      </w:r>
      <w:r w:rsidRPr="003963ED">
        <w:rPr>
          <w:rStyle w:val="StyleBoldUnderline"/>
        </w:rPr>
        <w:t>observers doubt whether even the most sophisticated biofuels can compete with fossil fuels in the near future</w:t>
      </w:r>
      <w:r w:rsidRPr="003963ED">
        <w:rPr>
          <w:sz w:val="16"/>
          <w:szCs w:val="16"/>
        </w:rPr>
        <w:t xml:space="preserve">. Daniel </w:t>
      </w:r>
      <w:r w:rsidRPr="003963ED">
        <w:rPr>
          <w:rStyle w:val="StyleBoldUnderline"/>
        </w:rPr>
        <w:t>Klein-Marcuschamer</w:t>
      </w:r>
      <w:r w:rsidRPr="003963ED">
        <w:rPr>
          <w:sz w:val="16"/>
          <w:szCs w:val="16"/>
        </w:rPr>
        <w:t xml:space="preserve">, a </w:t>
      </w:r>
      <w:r w:rsidRPr="003963ED">
        <w:rPr>
          <w:rStyle w:val="StyleBoldUnderline"/>
        </w:rPr>
        <w:t>researcher at the Australian Institute for Bioengineering and Nanotechnology, conducted a comprehensive analysis of renewable aviation fuels</w:t>
      </w:r>
      <w:r w:rsidRPr="003963ED">
        <w:rPr>
          <w:sz w:val="16"/>
          <w:szCs w:val="16"/>
        </w:rPr>
        <w:t xml:space="preserve">. He concluded that producing </w:t>
      </w:r>
      <w:r w:rsidRPr="003963ED">
        <w:rPr>
          <w:rStyle w:val="StyleBoldUnderline"/>
        </w:rPr>
        <w:t>first-generation bio-jet fuel from sugarcane would require oil prices of at least $168 a barrel to be competitive</w:t>
      </w:r>
      <w:r w:rsidRPr="003963ED">
        <w:rPr>
          <w:sz w:val="16"/>
          <w:szCs w:val="16"/>
        </w:rPr>
        <w:t>, and that some second-</w:t>
      </w:r>
      <w:r w:rsidRPr="003963ED">
        <w:rPr>
          <w:rStyle w:val="StyleBoldUnderline"/>
        </w:rPr>
        <w:t>generation algae technologies would require crude oil to soar above $1,000 a barrel</w:t>
      </w:r>
      <w:r w:rsidRPr="003963ED">
        <w:rPr>
          <w:sz w:val="16"/>
          <w:szCs w:val="16"/>
        </w:rPr>
        <w:t xml:space="preserve"> (</w:t>
      </w:r>
      <w:r w:rsidRPr="003963ED">
        <w:rPr>
          <w:rStyle w:val="StyleBoldUnderline"/>
        </w:rPr>
        <w:t>the current price is around $110) to break even</w:t>
      </w:r>
      <w:r w:rsidRPr="003963ED">
        <w:rPr>
          <w:sz w:val="16"/>
          <w:szCs w:val="16"/>
        </w:rPr>
        <w:t xml:space="preserve">. Mr Klein-Marcuschamer has made his model open-source in an effort to help the industry find ways to make biofuels more competitive. </w:t>
      </w:r>
      <w:r w:rsidRPr="003963ED">
        <w:rPr>
          <w:rStyle w:val="StyleBoldUnderline"/>
        </w:rPr>
        <w:t>Even if second-generation processes can be economically scaled up, however, that might in turn highlight a further problem</w:t>
      </w:r>
      <w:r w:rsidRPr="003963ED">
        <w:rPr>
          <w:sz w:val="16"/>
          <w:szCs w:val="16"/>
        </w:rPr>
        <w:t xml:space="preserve">. </w:t>
      </w:r>
      <w:r w:rsidRPr="003963ED">
        <w:rPr>
          <w:rStyle w:val="StyleBoldUnderline"/>
        </w:rPr>
        <w:t>To make a significant dent in the 2,500m litres of conventional oil that American refineries churn through each day, biofuel factories would have to be able to get hold of a staggering quantity of feedstock</w:t>
      </w:r>
      <w:r w:rsidRPr="003963ED">
        <w:rPr>
          <w:sz w:val="16"/>
          <w:szCs w:val="16"/>
        </w:rPr>
        <w:t xml:space="preserve">. Mr Ghisolfi of Beta Renewables points out that </w:t>
      </w:r>
      <w:r w:rsidRPr="003963ED">
        <w:rPr>
          <w:rStyle w:val="StyleBoldUnderline"/>
        </w:rPr>
        <w:t>a factory with an annual output of 140m litres needs 350,000 tonnes of biomass a year to operate</w:t>
      </w:r>
      <w:r w:rsidRPr="003963ED">
        <w:rPr>
          <w:sz w:val="16"/>
          <w:szCs w:val="16"/>
        </w:rPr>
        <w:t>. “T</w:t>
      </w:r>
      <w:r w:rsidRPr="003963ED">
        <w:rPr>
          <w:rStyle w:val="StyleBoldUnderline"/>
        </w:rPr>
        <w:t>here are only certain areas, in Brazil and some parts of the US and Asia, where you can locate this much biomass within a close radius</w:t>
      </w:r>
      <w:r w:rsidRPr="003963ED">
        <w:rPr>
          <w:sz w:val="16"/>
          <w:szCs w:val="16"/>
        </w:rPr>
        <w:t>,” says Mr Ghisolfi. “</w:t>
      </w:r>
      <w:r w:rsidRPr="003963ED">
        <w:rPr>
          <w:rStyle w:val="StyleBoldUnderline"/>
        </w:rPr>
        <w:t>I am sceptical of scaling to ten times that size, because getting 3.5m tonnes of biomass to a single collection point is going to be a very big undertaking</w:t>
      </w:r>
      <w:r w:rsidRPr="003963ED">
        <w:rPr>
          <w:sz w:val="16"/>
          <w:szCs w:val="16"/>
        </w:rPr>
        <w:t xml:space="preserve">.” Billions of tonnes of agricultural waste are produced worldwide each year, but such material is thinly spread, making it expensive to collect and transport. Moreover, farms use such waste to condition the soil, feed animals or burn for power. Diverting existing sources of wood to make biofuels will annoy builders and paper-makers, and planting fuel crops on undeveloped land is hardly without controversy: one man’s wasteland is another’s pristine ecosystem. </w:t>
      </w:r>
      <w:r w:rsidRPr="003963ED">
        <w:rPr>
          <w:rStyle w:val="StyleBoldUnderline"/>
        </w:rPr>
        <w:t>Dozens of environmental groups have protested against the EPA’s recent decision to permit plantations of fast-growing giant reed for biofuels, calling it a noxious and highly invasive weed. Just as the food-versus-fuel argument has proved controversial for today’s biofuels, flora-versus-fuel could be an equally tough struggle for tomorrow’s.</w:t>
      </w:r>
    </w:p>
    <w:p w:rsidR="00984FEB" w:rsidRDefault="00984FEB" w:rsidP="00984FEB">
      <w:pPr>
        <w:pStyle w:val="Heading4"/>
      </w:pPr>
      <w:r>
        <w:t>Biofuels can’t solve – energy demand too high</w:t>
      </w:r>
    </w:p>
    <w:p w:rsidR="00984FEB" w:rsidRPr="00351F34" w:rsidRDefault="00984FEB" w:rsidP="00984FEB">
      <w:pPr>
        <w:rPr>
          <w:sz w:val="16"/>
          <w:szCs w:val="16"/>
        </w:rPr>
      </w:pPr>
      <w:r w:rsidRPr="00351F34">
        <w:rPr>
          <w:rStyle w:val="StyleStyleBold12pt"/>
        </w:rPr>
        <w:t>De Decker 08</w:t>
      </w:r>
      <w:r w:rsidRPr="00351F34">
        <w:rPr>
          <w:sz w:val="16"/>
          <w:szCs w:val="16"/>
        </w:rPr>
        <w:t xml:space="preserve"> (Kris, “Leave the algae alone”, Low-Tech Magazine, 4/4/08, http://www.lowtechmagazine.com/2008/04/algae-fuel-biof.html)</w:t>
      </w:r>
    </w:p>
    <w:p w:rsidR="00984FEB" w:rsidRPr="00351F34" w:rsidRDefault="00984FEB" w:rsidP="00984FEB">
      <w:pPr>
        <w:rPr>
          <w:sz w:val="16"/>
          <w:szCs w:val="16"/>
        </w:rPr>
      </w:pPr>
      <w:r w:rsidRPr="00351F34">
        <w:rPr>
          <w:rStyle w:val="StyleBoldUnderline"/>
        </w:rPr>
        <w:t>While the first generation of biofuels is wreaking havoc on the environment and the food markets, the second generation is getting ready to make things only worse</w:t>
      </w:r>
      <w:r w:rsidRPr="00351F34">
        <w:rPr>
          <w:sz w:val="16"/>
          <w:szCs w:val="16"/>
        </w:rPr>
        <w:t xml:space="preserve">. Behind the scenes, scientists are already working on the third generation, whatever that may be. In five or ten years time, </w:t>
      </w:r>
      <w:r w:rsidRPr="00351F34">
        <w:rPr>
          <w:rStyle w:val="StyleBoldUnderline"/>
        </w:rPr>
        <w:t>when it becomes clear that algal fuel is devouring our water and energy resources and cellulosic ethanol is mining our agricultural soils, we will be promised that the third generation will again solve all the problems of the previous generation</w:t>
      </w:r>
      <w:r w:rsidRPr="00351F34">
        <w:rPr>
          <w:sz w:val="16"/>
          <w:szCs w:val="16"/>
        </w:rPr>
        <w:t xml:space="preserve">. </w:t>
      </w:r>
      <w:r w:rsidRPr="00351F34">
        <w:rPr>
          <w:rStyle w:val="StyleBoldUnderline"/>
        </w:rPr>
        <w:t>It might be a better solution to bury the whole idea of biofuels</w:t>
      </w:r>
      <w:r w:rsidRPr="00351F34">
        <w:rPr>
          <w:sz w:val="16"/>
          <w:szCs w:val="16"/>
        </w:rPr>
        <w:t xml:space="preserve"> right here and now and focus on </w:t>
      </w:r>
      <w:hyperlink r:id="rId87" w:history="1">
        <w:r w:rsidRPr="00351F34">
          <w:rPr>
            <w:rStyle w:val="Hyperlink"/>
            <w:sz w:val="16"/>
            <w:szCs w:val="16"/>
          </w:rPr>
          <w:t>real</w:t>
        </w:r>
      </w:hyperlink>
      <w:r w:rsidRPr="00351F34">
        <w:rPr>
          <w:sz w:val="16"/>
          <w:szCs w:val="16"/>
        </w:rPr>
        <w:t xml:space="preserve"> </w:t>
      </w:r>
      <w:hyperlink r:id="rId88" w:history="1">
        <w:r w:rsidRPr="00351F34">
          <w:rPr>
            <w:rStyle w:val="Hyperlink"/>
            <w:sz w:val="16"/>
            <w:szCs w:val="16"/>
          </w:rPr>
          <w:t>solutions</w:t>
        </w:r>
      </w:hyperlink>
      <w:r w:rsidRPr="00351F34">
        <w:rPr>
          <w:sz w:val="16"/>
          <w:szCs w:val="16"/>
        </w:rPr>
        <w:t xml:space="preserve">. </w:t>
      </w:r>
      <w:r w:rsidRPr="00351F34">
        <w:rPr>
          <w:rStyle w:val="StyleBoldUnderline"/>
        </w:rPr>
        <w:t>The trouble with biofuels is not the technology, but our unrealistic expectations. Producing fuels out of food crops could be a useful and sustainable solution if our energy consumption would not be so ridiculously high</w:t>
      </w:r>
      <w:r w:rsidRPr="00351F34">
        <w:rPr>
          <w:sz w:val="16"/>
          <w:szCs w:val="16"/>
        </w:rPr>
        <w:t xml:space="preserve">. </w:t>
      </w:r>
      <w:r w:rsidRPr="00351F34">
        <w:rPr>
          <w:rStyle w:val="StyleBoldUnderline"/>
        </w:rPr>
        <w:t>All our habits, machines and toys are built upon</w:t>
      </w:r>
      <w:r w:rsidRPr="00351F34">
        <w:rPr>
          <w:sz w:val="16"/>
          <w:szCs w:val="16"/>
        </w:rPr>
        <w:t xml:space="preserve"> an extremely concentrated form of energy</w:t>
      </w:r>
      <w:r w:rsidRPr="00351F34">
        <w:rPr>
          <w:rStyle w:val="StyleBoldUnderline"/>
        </w:rPr>
        <w:t>, fossil oil, and trying to replace that fuel with a much less concentrated form is simply impossible</w:t>
      </w:r>
      <w:r w:rsidRPr="00351F34">
        <w:rPr>
          <w:sz w:val="16"/>
          <w:szCs w:val="16"/>
        </w:rPr>
        <w:t xml:space="preserve">. In 2003, Jeffrey Dukes </w:t>
      </w:r>
      <w:r w:rsidR="00DA51D8">
        <w:fldChar w:fldCharType="begin"/>
      </w:r>
      <w:r w:rsidR="00DA51D8">
        <w:instrText xml:space="preserve"> HYPERLINK "http://globalecology.stanford.edu/DGE/Dukes/Dukes_ClimChange1.pdf" \t "_blank" </w:instrText>
      </w:r>
      <w:r w:rsidR="00DA51D8">
        <w:fldChar w:fldCharType="separate"/>
      </w:r>
      <w:r w:rsidRPr="00351F34">
        <w:rPr>
          <w:rStyle w:val="Hyperlink"/>
          <w:sz w:val="16"/>
          <w:szCs w:val="16"/>
        </w:rPr>
        <w:t>calculated</w:t>
      </w:r>
      <w:r w:rsidR="00DA51D8">
        <w:rPr>
          <w:rStyle w:val="Hyperlink"/>
          <w:sz w:val="16"/>
          <w:szCs w:val="16"/>
        </w:rPr>
        <w:fldChar w:fldCharType="end"/>
      </w:r>
      <w:r w:rsidRPr="00351F34">
        <w:rPr>
          <w:sz w:val="16"/>
          <w:szCs w:val="16"/>
        </w:rPr>
        <w:t xml:space="preserve"> </w:t>
      </w:r>
      <w:r w:rsidRPr="00351F34">
        <w:rPr>
          <w:rStyle w:val="StyleBoldUnderline"/>
        </w:rPr>
        <w:t>that 90 tons of prehistoric plants and algae were needed to build up one gallon of gasoline. We burn this amount of organic material to drive 25 miles to pick up some groceries</w:t>
      </w:r>
      <w:r w:rsidRPr="00351F34">
        <w:rPr>
          <w:sz w:val="16"/>
          <w:szCs w:val="16"/>
        </w:rPr>
        <w:t xml:space="preserve">. </w:t>
      </w:r>
      <w:r w:rsidRPr="00351F34">
        <w:rPr>
          <w:rStyle w:val="StyleBoldUnderline"/>
        </w:rPr>
        <w:t xml:space="preserve">In one year, the world burns up 400 years of prehistoric plant and algae material. How can we ever expect to fulfill even a small part of our fuel needs by counting on present plant and algae material? The problem we have to fix is our </w:t>
      </w:r>
      <w:hyperlink r:id="rId89" w:history="1">
        <w:r w:rsidRPr="00351F34">
          <w:rPr>
            <w:rStyle w:val="StyleBoldUnderline"/>
          </w:rPr>
          <w:t>energy consumption</w:t>
        </w:r>
      </w:hyperlink>
      <w:r w:rsidRPr="00351F34">
        <w:rPr>
          <w:sz w:val="16"/>
          <w:szCs w:val="16"/>
        </w:rPr>
        <w:t>. Biofuels, from whatever generation, only distract us from what really should be done.</w:t>
      </w:r>
    </w:p>
    <w:p w:rsidR="00984FEB" w:rsidRPr="004C60D0" w:rsidRDefault="00984FEB" w:rsidP="00984FEB">
      <w:pPr>
        <w:pStyle w:val="Heading4"/>
      </w:pPr>
      <w:r w:rsidRPr="004C60D0">
        <w:lastRenderedPageBreak/>
        <w:t>Can’t solve warming – algae is not a carbon sink and risks catastrophic NO2 and methane pollution</w:t>
      </w:r>
    </w:p>
    <w:p w:rsidR="00984FEB" w:rsidRPr="004C60D0" w:rsidRDefault="00984FEB" w:rsidP="00984FEB">
      <w:pPr>
        <w:rPr>
          <w:sz w:val="16"/>
          <w:szCs w:val="16"/>
        </w:rPr>
      </w:pPr>
      <w:r w:rsidRPr="004C60D0">
        <w:rPr>
          <w:rStyle w:val="StyleStyleBold12pt"/>
        </w:rPr>
        <w:t>NRC 12</w:t>
      </w:r>
      <w:r w:rsidRPr="004C60D0">
        <w:rPr>
          <w:sz w:val="16"/>
          <w:szCs w:val="16"/>
        </w:rPr>
        <w:t xml:space="preserve"> (National Research Council, “Sustainable Development of Algal Biofuels in the United States”, Committee on the Sustainable Development of Algal Biofuels, 2012, http://www.laboratoryequipment.com/sites/laboratoryequipment.com/files/legacyimages/101412_report.pdf)</w:t>
      </w:r>
    </w:p>
    <w:p w:rsidR="00984FEB" w:rsidRPr="004C60D0" w:rsidRDefault="00984FEB" w:rsidP="00984FEB">
      <w:pPr>
        <w:rPr>
          <w:sz w:val="16"/>
          <w:szCs w:val="16"/>
        </w:rPr>
      </w:pPr>
      <w:r w:rsidRPr="004C60D0">
        <w:rPr>
          <w:rStyle w:val="StyleBoldUnderline"/>
        </w:rPr>
        <w:t>Primary GHG emissions from algal biofuels are expected to be connected to the use of energy in the processing chain</w:t>
      </w:r>
      <w:r w:rsidRPr="004C60D0">
        <w:rPr>
          <w:sz w:val="16"/>
          <w:szCs w:val="16"/>
        </w:rPr>
        <w:t xml:space="preserve"> (see section Energy in Chapter 4). The translation of energy use to GHG emissions is complicated by variability in the carbon overhead of different forms of energy, in particular electricity. The average direct GHG emissions of electricity production in the United States is 606 grams of CO2 equivalent per kilowatt hour. Depending on the mix of fossil fuels, hydropower, nuclear, wind, and other sources providing power to the grid, emissions vary by state from 13 to 1,017 grams C02 equivalent per kilowatt hour (EIA, 2002). The approach taken by many analysts is to use a national average emissions factor (Liu et al., 2011). </w:t>
      </w:r>
      <w:r w:rsidRPr="004C60D0">
        <w:rPr>
          <w:rStyle w:val="StyleBoldUnderline"/>
        </w:rPr>
        <w:t>LCA results for net GHG emissions for algae biofuel production vary from a net negative value (that is, a carbon sink) to positive values substantially higher than petroleum gasoline</w:t>
      </w:r>
      <w:r w:rsidRPr="004C60D0">
        <w:rPr>
          <w:sz w:val="16"/>
          <w:szCs w:val="16"/>
        </w:rPr>
        <w:t xml:space="preserve"> (Table 5-4). As with the case for energy use (see Chapter 4), </w:t>
      </w:r>
      <w:r w:rsidRPr="004C60D0">
        <w:rPr>
          <w:rStyle w:val="StyleBoldUnderline"/>
        </w:rPr>
        <w:t>drivers of variability in CO2 emissions are nutrient source, productivity and process performance, and the credit associated with coproducts</w:t>
      </w:r>
      <w:r w:rsidRPr="004C60D0">
        <w:rPr>
          <w:sz w:val="16"/>
          <w:szCs w:val="16"/>
        </w:rPr>
        <w:t xml:space="preserve">. For example, Sander and Murthy (2010) asslmled that residual algae biomass substitutes for com in ethanol plants. Com is energy intensive to produce; the GHG credit from replacing com with oil-extracted algae as a feedstock for ethanol results in a negative carbon balance. For reference, the direct carbon emission of combusting gasoline is about 2.7 kg CO2 equivalent per liter of fuel (Farrell, 2006). The vast differences in results in Table 5-4, ranging from a net carbon credit to emissions far larger than those from petroleum-based diesel, present a challenge for interpretation. Liu et al. (2012) performed a meta-analysis of these studies to analyze variability in processing energy by replacing differences in data and assumptions for nutrients and coproducts with common data (Lardon et al., 2009; Clarens et al., 2010; Jorquera et al., 2010; Sander and Murthy, 2010; Stephenson et al., 2010; Campbell et al., 2011). Differences in nutrient sourcing and coproducts are treated via four scenarios: virgin versus recycled CO2 and no coproducts versus coproducts. The common coproduct system used is generation of bioelectricity from gas generated by anaerobic digestion with the electricity generated substituting for carbon emissions from the U.S. grid. Table 5-5 shows the ranges in results from the six treated studies, after normalization, for the four scenarios. These meta-analysis results suggest that the C02 source and coproducts are critical factors in the GHG balance. </w:t>
      </w:r>
      <w:r w:rsidRPr="004C60D0">
        <w:rPr>
          <w:rStyle w:val="StyleBoldUnderline"/>
        </w:rPr>
        <w:t>It is</w:t>
      </w:r>
      <w:r w:rsidRPr="004C60D0">
        <w:rPr>
          <w:sz w:val="16"/>
          <w:szCs w:val="16"/>
        </w:rPr>
        <w:t xml:space="preserve">, however, </w:t>
      </w:r>
      <w:r w:rsidRPr="004C60D0">
        <w:rPr>
          <w:rStyle w:val="StyleBoldUnderline"/>
        </w:rPr>
        <w:t>premature to conclude that algae based on recycling C02 and producing biogas has net negative GHG emissions</w:t>
      </w:r>
      <w:r w:rsidRPr="004C60D0">
        <w:rPr>
          <w:sz w:val="16"/>
          <w:szCs w:val="16"/>
        </w:rPr>
        <w:t xml:space="preserve">. The variability in Table 5-5 is based on differences in energy data and assumptions in the six existing studies. </w:t>
      </w:r>
      <w:r w:rsidRPr="004C60D0">
        <w:rPr>
          <w:rStyle w:val="StyleBoldUnderline"/>
        </w:rPr>
        <w:t>It is not yet clear if current LCA analyses of algae-based systems will accurately reflect the energy use of a real- world, scaled-up system</w:t>
      </w:r>
      <w:r w:rsidRPr="004C60D0">
        <w:rPr>
          <w:sz w:val="16"/>
          <w:szCs w:val="16"/>
        </w:rPr>
        <w:t xml:space="preserve">. </w:t>
      </w:r>
      <w:r w:rsidRPr="004C60D0">
        <w:rPr>
          <w:rStyle w:val="StyleBoldUnderline"/>
        </w:rPr>
        <w:t>None of the studies above addresses the potential issue of indirect land-use change from biofuels</w:t>
      </w:r>
      <w:r w:rsidRPr="004C60D0">
        <w:rPr>
          <w:sz w:val="16"/>
          <w:szCs w:val="16"/>
        </w:rPr>
        <w:t xml:space="preserve">. As stated earlier, it is possible that conversion of pastureland to algae cultivation facilities would necessitate conversions to pastureland elsewhere. However, uncertainties are too great to quantify this probability or to calculate net GHG emissions under these assumptions. (See section Land-Use Change in this chapter.) While many agricultural processes emit non-carbon GHGs such as nitrous oxide (N20) and methane (Weber and Matthews 2008), these emissions have not been established empirically as significant for algae cultivation. </w:t>
      </w:r>
      <w:r w:rsidRPr="004C60D0">
        <w:rPr>
          <w:rStyle w:val="StyleBoldUnderline"/>
        </w:rPr>
        <w:t>N20 could be emitted from cultivation systems, and these emissions would need to be quantified in the future for cultivation conditions that might promote N20 or methane emission</w:t>
      </w:r>
      <w:r w:rsidRPr="004C60D0">
        <w:rPr>
          <w:sz w:val="16"/>
          <w:szCs w:val="16"/>
        </w:rPr>
        <w:t>. One study of a single species quantified N20 emissions from algal culture under laboratory conditions (Fagerstone et al., 2011). In this study of Nannochloropsris salma with nitrate as a nitrogen source</w:t>
      </w:r>
      <w:r w:rsidRPr="004C60D0">
        <w:rPr>
          <w:rStyle w:val="StyleBoldUnderline"/>
        </w:rPr>
        <w:t>, elevated N20 emissions were observed under a nitrogen headspace</w:t>
      </w:r>
      <w:r w:rsidRPr="004C60D0">
        <w:rPr>
          <w:sz w:val="16"/>
          <w:szCs w:val="16"/>
        </w:rPr>
        <w:t xml:space="preserve"> (photobioreactor simulation) during dark periods, but N20 emissions were low during light periods. In contrast, when the headspace consisted of air (open-pond simulation), N20 emissions were negligible. Denitrifying bacteria were present. Denitrification is the microbial reduction of nitrate and nitrite with generation of N20 and, ultimately, gaseous nitrogen. Anaerobic environments are required for the transformation, but high rates of denitrification occur where oxygen is available altemately, then unavailable (Kleiner, 1974). In rivers, ponds, lakes, and estuaries, the production of N20 is correlated with nitrate concentrations in the water (Stadmark and Leonardson, 2005). The denitrification rate </w:t>
      </w:r>
      <w:r>
        <w:rPr>
          <w:sz w:val="16"/>
          <w:szCs w:val="16"/>
        </w:rPr>
        <w:t>depends on the un</w:t>
      </w:r>
      <w:r w:rsidRPr="004C60D0">
        <w:rPr>
          <w:sz w:val="16"/>
          <w:szCs w:val="16"/>
        </w:rPr>
        <w:t xml:space="preserve">derlying soil and the liner's permeability. </w:t>
      </w:r>
      <w:r w:rsidRPr="004C60D0">
        <w:rPr>
          <w:rStyle w:val="StyleBoldUnderline"/>
        </w:rPr>
        <w:t>Whether anaerobic denitrification is the only potential pathway for N20 generation in algae cultivation systems is unclear</w:t>
      </w:r>
      <w:r w:rsidRPr="004C60D0">
        <w:rPr>
          <w:sz w:val="16"/>
          <w:szCs w:val="16"/>
        </w:rPr>
        <w:t xml:space="preserve">. Weathers (1984) has shown that certain Chlorophyceae in axenic culture evolve N20 when using nitrite as a nitrogen source. Florez-Leiva et al. (2010) found that </w:t>
      </w:r>
      <w:r w:rsidRPr="004C60D0">
        <w:rPr>
          <w:rStyle w:val="StyleBoldUnderline"/>
        </w:rPr>
        <w:t>coastal open-pond systems containing Nannochloris emitted large quantities of N20 during senescence</w:t>
      </w:r>
      <w:r w:rsidRPr="004C60D0">
        <w:rPr>
          <w:sz w:val="16"/>
          <w:szCs w:val="16"/>
        </w:rPr>
        <w:t xml:space="preserve">. They speculated that oxidation of ammonitml (NH4) by bacteria was the likeliest N20-generation pathway under the observed aerobic conditions. Proper management of the algae cultivation systems, which would prevent senescence of algae and maintain aerobic conditions in ponds, likely would keep N20 emissions to low levels. </w:t>
      </w:r>
      <w:r w:rsidRPr="004C60D0">
        <w:rPr>
          <w:rStyle w:val="StyleBoldUnderline"/>
        </w:rPr>
        <w:t>Methanogenesis can occur in freshwater and marine sediments, waterlogged soils, marshes, and swamps where oxygen is low. These conditions might prevail in some ponds with substantial biomass or other organic matter in the sediment.</w:t>
      </w:r>
      <w:r w:rsidRPr="004C60D0">
        <w:rPr>
          <w:sz w:val="16"/>
          <w:szCs w:val="16"/>
        </w:rPr>
        <w:t xml:space="preserve"> Methane is released when organic acids, alcohols, celluloses, hemicelluloses, and proteins are degraded. Methane production is related to water temperature (Stadmark and Leonardson, 2005) and is maximized at neutral pH (Alexander, 1977). Methanogenesis is suppressed by nitrogen compounds that bacteria can use as electron acceptors, including nitrate and nitrite (Bollag and Czlonkowski, 1973), but these compoimds may be reduced easily in oxygen-depleted environments</w:t>
      </w:r>
      <w:r w:rsidRPr="004C60D0">
        <w:rPr>
          <w:rStyle w:val="StyleBoldUnderline"/>
        </w:rPr>
        <w:t xml:space="preserve">. Methanogenesis and denitrification might be enhanced if the culture fails. During catastrophic </w:t>
      </w:r>
      <w:r w:rsidRPr="004C60D0">
        <w:rPr>
          <w:rStyle w:val="StyleBoldUnderline"/>
        </w:rPr>
        <w:lastRenderedPageBreak/>
        <w:t>failure of the culture, the dense algal cultures in algal biofuel ponds can become anaerobic and emit a variety of volatile nitrous or sulfur compounds as well as methan</w:t>
      </w:r>
      <w:r w:rsidRPr="004C60D0">
        <w:rPr>
          <w:sz w:val="16"/>
          <w:szCs w:val="16"/>
        </w:rPr>
        <w:t>e. However, culture failures would be expected to be short-term and rare occurrences if algal biofuel companies are to maintain a profit margin.</w:t>
      </w:r>
    </w:p>
    <w:p w:rsidR="00984FEB" w:rsidRPr="003963ED" w:rsidRDefault="00984FEB" w:rsidP="00984FEB"/>
    <w:p w:rsidR="00984FEB" w:rsidRDefault="00984FEB" w:rsidP="00984FEB">
      <w:pPr>
        <w:pStyle w:val="Heading3"/>
      </w:pPr>
      <w:r>
        <w:lastRenderedPageBreak/>
        <w:t>no solvency – biofuels fail</w:t>
      </w:r>
    </w:p>
    <w:p w:rsidR="00984FEB" w:rsidRPr="003963ED" w:rsidRDefault="00984FEB" w:rsidP="00984FEB">
      <w:pPr>
        <w:pStyle w:val="Heading4"/>
      </w:pPr>
      <w:r>
        <w:t>Large-scale biofuels are impossible – their ev is about the science, but commercialization is impossible – no adoption</w:t>
      </w:r>
    </w:p>
    <w:p w:rsidR="00984FEB" w:rsidRPr="00EB3D25" w:rsidRDefault="00984FEB" w:rsidP="00984FEB">
      <w:pPr>
        <w:rPr>
          <w:sz w:val="16"/>
          <w:szCs w:val="16"/>
        </w:rPr>
      </w:pPr>
      <w:r w:rsidRPr="00EB3D25">
        <w:rPr>
          <w:rStyle w:val="StyleStyleBold12pt"/>
        </w:rPr>
        <w:t>The Economist 13</w:t>
      </w:r>
      <w:r w:rsidRPr="00EB3D25">
        <w:rPr>
          <w:sz w:val="16"/>
          <w:szCs w:val="16"/>
        </w:rPr>
        <w:t xml:space="preserve"> (“What happened to biofuels?”, The Economist, 9/7/13, http://www.economist.com/news/technology-quarterly/21584452-energy-technology-making-large-amounts-fuel-organic-matter-has-proved-be)</w:t>
      </w:r>
    </w:p>
    <w:p w:rsidR="00984FEB" w:rsidRPr="00F85F44" w:rsidRDefault="00984FEB" w:rsidP="00984FEB">
      <w:pPr>
        <w:rPr>
          <w:sz w:val="16"/>
          <w:szCs w:val="16"/>
        </w:rPr>
      </w:pPr>
      <w:r w:rsidRPr="00EB3D25">
        <w:rPr>
          <w:rStyle w:val="StyleBoldUnderline"/>
        </w:rPr>
        <w:t>SCIENTISTS have long known how to convert various kinds of organic material into liquid fuel</w:t>
      </w:r>
      <w:r w:rsidRPr="00F85F44">
        <w:rPr>
          <w:sz w:val="16"/>
          <w:szCs w:val="16"/>
        </w:rPr>
        <w:t xml:space="preserve">. </w:t>
      </w:r>
      <w:r w:rsidRPr="00EB3D25">
        <w:rPr>
          <w:rStyle w:val="StyleBoldUnderline"/>
        </w:rPr>
        <w:t>Trees, shrubs, grasses</w:t>
      </w:r>
      <w:r w:rsidRPr="00F85F44">
        <w:rPr>
          <w:sz w:val="16"/>
          <w:szCs w:val="16"/>
        </w:rPr>
        <w:t xml:space="preserve">, seeds, fungi, </w:t>
      </w:r>
      <w:r w:rsidRPr="00EB3D25">
        <w:rPr>
          <w:rStyle w:val="StyleBoldUnderline"/>
        </w:rPr>
        <w:t>seaweed, algae</w:t>
      </w:r>
      <w:r w:rsidRPr="00F85F44">
        <w:rPr>
          <w:sz w:val="16"/>
          <w:szCs w:val="16"/>
        </w:rPr>
        <w:t xml:space="preserve"> and animal fats </w:t>
      </w:r>
      <w:r w:rsidRPr="00EB3D25">
        <w:rPr>
          <w:rStyle w:val="StyleBoldUnderline"/>
        </w:rPr>
        <w:t>have all been turned into biofuels</w:t>
      </w:r>
      <w:r w:rsidRPr="00F85F44">
        <w:rPr>
          <w:sz w:val="16"/>
          <w:szCs w:val="16"/>
        </w:rPr>
        <w:t xml:space="preserve"> to power cars, ships and even planes. As well as being available to countries without tar sands, shale fields or gushers, biofuels can help reduce greenhouse-gas emissions by providing an alternative to releasing fossil-fuel carbon into the atmosphere. Frustratingly, however, </w:t>
      </w:r>
      <w:r w:rsidRPr="00EB3D25">
        <w:rPr>
          <w:rStyle w:val="StyleBoldUnderline"/>
        </w:rPr>
        <w:t>making biofuels in large quantities has always been more expensive and less convenient than simply drilling a little deeper for oil</w:t>
      </w:r>
      <w:r w:rsidRPr="00F85F44">
        <w:rPr>
          <w:sz w:val="16"/>
          <w:szCs w:val="16"/>
        </w:rPr>
        <w:t xml:space="preserve">. Ethanol, for instance, is an alcoholic biofuel easily distilled from sugary or starchy plants. It has been used to power cars since Ford’s Model T and, blended into conventional petrol, constitutes about 10% of the fuel burned by America’s vehicles today. Biodiesel made from vegetable fats is similarly mixed (at a lower proportion of 5%) into conventional diesel in Europe. But these “first generation” biofuels have drawbacks. They are made from plants rich in sugar, starch or oil that might otherwise be eaten by people or livestock. Ethanol production already consumes 40% of America’s maize (corn) harvest and a single new ethanol plant in Hull is about to become Britain’s largest buyer of wheat, using 1.1m tonnes a year. Ethanol and biodiesel also have limitations as vehicle fuels, performing poorly in cold weather and capable of damaging unmodified engines. In an effort to overcome these limitations, </w:t>
      </w:r>
      <w:r w:rsidRPr="00EB3D25">
        <w:rPr>
          <w:rStyle w:val="StyleBoldUnderline"/>
        </w:rPr>
        <w:t>dozens of start-up companies emerged over the past decade with the aim of developing second-generation biofuels. They hoped to avoid the “food versus fuel” debate by making fuel from biomass feedstocks with no nutritional value, such as agricultural waste</w:t>
      </w:r>
      <w:r w:rsidRPr="00F85F44">
        <w:rPr>
          <w:sz w:val="16"/>
          <w:szCs w:val="16"/>
        </w:rPr>
        <w:t xml:space="preserve"> or fast-growing trees and grasses grown on otherwise unproductive land. </w:t>
      </w:r>
      <w:r w:rsidRPr="00EB3D25">
        <w:rPr>
          <w:rStyle w:val="StyleBoldUnderline"/>
        </w:rPr>
        <w:t>Other firms planned to make “drop in” biofuels that could replace conventional fossil fuels directly, rather than having to be blended in</w:t>
      </w:r>
      <w:r w:rsidRPr="00F85F44">
        <w:rPr>
          <w:sz w:val="16"/>
          <w:szCs w:val="16"/>
        </w:rPr>
        <w:t xml:space="preserve">. </w:t>
      </w:r>
      <w:r w:rsidRPr="00EB3D25">
        <w:rPr>
          <w:rStyle w:val="StyleBoldUnderline"/>
        </w:rPr>
        <w:t>Governments also jumped on the biofuels bandwagon.</w:t>
      </w:r>
      <w:r w:rsidRPr="00F85F44">
        <w:rPr>
          <w:sz w:val="16"/>
          <w:szCs w:val="16"/>
        </w:rPr>
        <w:t xml:space="preserve"> George Bush saw biofuels as a route to energy independence, signing into law rules that set minimum prices and required refiners and importers to sell increasing amounts of biofuel each year. </w:t>
      </w:r>
      <w:r w:rsidRPr="00EB3D25">
        <w:rPr>
          <w:rStyle w:val="StyleBoldUnderline"/>
        </w:rPr>
        <w:t>By 2013, America was supposed to be burning nearly 3,800m litres a year of “cellulosic” biofuels made from woody plants</w:t>
      </w:r>
      <w:r w:rsidRPr="00F85F44">
        <w:rPr>
          <w:sz w:val="16"/>
          <w:szCs w:val="16"/>
        </w:rPr>
        <w:t xml:space="preserve">. Toil and trouble </w:t>
      </w:r>
      <w:r w:rsidRPr="00EB3D25">
        <w:rPr>
          <w:rStyle w:val="StyleBoldUnderline"/>
        </w:rPr>
        <w:t>But instead of roaring into life, the biofuels industry stalled</w:t>
      </w:r>
      <w:r w:rsidRPr="00F85F44">
        <w:rPr>
          <w:sz w:val="16"/>
          <w:szCs w:val="16"/>
        </w:rPr>
        <w:t xml:space="preserve">. </w:t>
      </w:r>
      <w:r w:rsidRPr="00EB3D25">
        <w:rPr>
          <w:rStyle w:val="StyleBoldUnderline"/>
        </w:rPr>
        <w:t>Start-ups went bust, surviving companies scaled back their plans and, as prices of first-generation biofuels rose, consumer interest waned</w:t>
      </w:r>
      <w:r w:rsidRPr="00F85F44">
        <w:rPr>
          <w:sz w:val="16"/>
          <w:szCs w:val="16"/>
        </w:rPr>
        <w:t xml:space="preserve">. The spread of </w:t>
      </w:r>
      <w:r w:rsidRPr="00EB3D25">
        <w:rPr>
          <w:rStyle w:val="StyleBoldUnderline"/>
        </w:rPr>
        <w:t>fracking, meanwhile, unlocked new oil and gas reserves and provided an alternative path to energy independence</w:t>
      </w:r>
      <w:r w:rsidRPr="00F85F44">
        <w:rPr>
          <w:sz w:val="16"/>
          <w:szCs w:val="16"/>
        </w:rPr>
        <w:t xml:space="preserve">. By 2012 America’s Environmental Protection Agency (EPA) had slashed the 2013 target for cellulosic biofuels to just 53m litres. </w:t>
      </w:r>
      <w:r w:rsidRPr="00EB3D25">
        <w:rPr>
          <w:rStyle w:val="StyleBoldUnderline"/>
        </w:rPr>
        <w:t>What went wrong? Making a second-generation biofuel means overcoming three challenges. The first is to break down woody cellulose and lignin polymers into simple plant sugars</w:t>
      </w:r>
      <w:r w:rsidRPr="00F85F44">
        <w:rPr>
          <w:sz w:val="16"/>
          <w:szCs w:val="16"/>
        </w:rPr>
        <w:t xml:space="preserve">. </w:t>
      </w:r>
      <w:r w:rsidRPr="00EB3D25">
        <w:rPr>
          <w:rStyle w:val="StyleBoldUnderline"/>
        </w:rPr>
        <w:t>The second is to convert those sugars into drop-in fuels to suit existing vehicles, via a thermochemical process</w:t>
      </w:r>
      <w:r w:rsidRPr="00F85F44">
        <w:rPr>
          <w:sz w:val="16"/>
          <w:szCs w:val="16"/>
        </w:rPr>
        <w:t xml:space="preserve"> (using catalysts, extreme temperatures and high pressures) or a biochemical process (using enzymes, natural or synthetic bacteria, or algae</w:t>
      </w:r>
      <w:r w:rsidRPr="003963ED">
        <w:rPr>
          <w:rStyle w:val="StyleBoldUnderline"/>
        </w:rPr>
        <w:t>). The third and largest challenge is to find ways to do all this cheaply and on a large scale</w:t>
      </w:r>
      <w:r w:rsidRPr="00F85F44">
        <w:rPr>
          <w:sz w:val="16"/>
          <w:szCs w:val="16"/>
        </w:rPr>
        <w:t xml:space="preserve">. In 2008 Shell, an energy giant, was working on ten advanced biofuels projects. It has now shut most of them down, and none of those that remain is ready for commercialisation. </w:t>
      </w:r>
      <w:r w:rsidRPr="003963ED">
        <w:rPr>
          <w:rStyle w:val="StyleBoldUnderline"/>
        </w:rPr>
        <w:t>“All the technologies we looked at worked,”</w:t>
      </w:r>
      <w:r w:rsidRPr="00F85F44">
        <w:rPr>
          <w:sz w:val="16"/>
          <w:szCs w:val="16"/>
        </w:rPr>
        <w:t xml:space="preserve"> says Matthew Tipper, Shell’s vice-president for alternative energy. </w:t>
      </w:r>
      <w:r w:rsidRPr="003963ED">
        <w:rPr>
          <w:rStyle w:val="StyleBoldUnderline"/>
        </w:rPr>
        <w:t>“We could get each to produce fuels at a lab scale and a demonstration scale.” But bringing biofuels to market proved to be slower and more costly than expected</w:t>
      </w:r>
      <w:r w:rsidRPr="00F85F44">
        <w:rPr>
          <w:sz w:val="16"/>
          <w:szCs w:val="16"/>
        </w:rPr>
        <w:t>.</w:t>
      </w:r>
    </w:p>
    <w:p w:rsidR="00984FEB" w:rsidRDefault="00984FEB" w:rsidP="00984FEB">
      <w:pPr>
        <w:pStyle w:val="Heading4"/>
      </w:pPr>
      <w:r>
        <w:t>Large-scale algae fuel production impossible – to offset US oil production would require an area the size of Alabama</w:t>
      </w:r>
    </w:p>
    <w:p w:rsidR="00984FEB" w:rsidRPr="00967385" w:rsidRDefault="00984FEB" w:rsidP="00984FEB">
      <w:pPr>
        <w:rPr>
          <w:sz w:val="16"/>
          <w:szCs w:val="16"/>
        </w:rPr>
      </w:pPr>
      <w:r w:rsidRPr="00967385">
        <w:rPr>
          <w:rStyle w:val="StyleStyleBold12pt"/>
        </w:rPr>
        <w:t>Hannon et al. 11</w:t>
      </w:r>
      <w:r w:rsidRPr="00967385">
        <w:rPr>
          <w:sz w:val="16"/>
          <w:szCs w:val="16"/>
        </w:rPr>
        <w:t xml:space="preserve"> (Michael Hannon, Javier Gimpel, Miller Tran, Beth Rasala, and Stephen Mayfield, “Biofuels from algae: challenges and potential”, Biofuels 1:5, September 2011, http://www.ncbi.nlm.nih.gov/pmc/articles/PMC3152439/)</w:t>
      </w:r>
    </w:p>
    <w:p w:rsidR="00984FEB" w:rsidRDefault="00984FEB" w:rsidP="00984FEB">
      <w:pPr>
        <w:rPr>
          <w:sz w:val="16"/>
          <w:szCs w:val="16"/>
        </w:rPr>
      </w:pPr>
      <w:r w:rsidRPr="00967385">
        <w:rPr>
          <w:rStyle w:val="StyleBoldUnderline"/>
        </w:rPr>
        <w:t>Regardless of the growth strategy employed and efficiency of oil extraction, the scale of implementation that is required to replace a meaningful amount of fossil fuel is significant</w:t>
      </w:r>
      <w:r w:rsidRPr="003963ED">
        <w:rPr>
          <w:sz w:val="16"/>
          <w:szCs w:val="16"/>
        </w:rPr>
        <w:t xml:space="preserve">. </w:t>
      </w:r>
      <w:r w:rsidRPr="00967385">
        <w:rPr>
          <w:rStyle w:val="StyleBoldUnderline"/>
        </w:rPr>
        <w:t>In 2008, the USA alone required 19,497,950 barrels of oil per day</w:t>
      </w:r>
      <w:r w:rsidRPr="003963ED">
        <w:rPr>
          <w:sz w:val="16"/>
          <w:szCs w:val="16"/>
        </w:rPr>
        <w:t xml:space="preserve"> [</w:t>
      </w:r>
      <w:hyperlink r:id="rId90" w:anchor="R32" w:history="1">
        <w:r w:rsidRPr="003963ED">
          <w:rPr>
            <w:rStyle w:val="Hyperlink"/>
            <w:sz w:val="16"/>
            <w:szCs w:val="16"/>
          </w:rPr>
          <w:t>32</w:t>
        </w:r>
      </w:hyperlink>
      <w:r w:rsidRPr="003963ED">
        <w:rPr>
          <w:sz w:val="16"/>
          <w:szCs w:val="16"/>
        </w:rPr>
        <w:t xml:space="preserve">]. </w:t>
      </w:r>
      <w:r w:rsidRPr="00967385">
        <w:rPr>
          <w:rStyle w:val="StyleBoldUnderline"/>
        </w:rPr>
        <w:t>For algae</w:t>
      </w:r>
      <w:r w:rsidRPr="003963ED">
        <w:rPr>
          <w:sz w:val="16"/>
          <w:szCs w:val="16"/>
        </w:rPr>
        <w:t>, or any other biofuel feedstock</w:t>
      </w:r>
      <w:r w:rsidRPr="00967385">
        <w:rPr>
          <w:rStyle w:val="StyleBoldUnderline"/>
        </w:rPr>
        <w:t>, to impact this number, significant acreage must be dedicated to production facilities</w:t>
      </w:r>
      <w:r w:rsidRPr="003963ED">
        <w:rPr>
          <w:sz w:val="16"/>
          <w:szCs w:val="16"/>
        </w:rPr>
        <w:t xml:space="preserve">, with estimates suggesting that </w:t>
      </w:r>
      <w:r w:rsidRPr="00967385">
        <w:rPr>
          <w:rStyle w:val="StyleBoldUnderline"/>
        </w:rPr>
        <w:t>30 million acres will be required</w:t>
      </w:r>
      <w:r w:rsidRPr="003963ED">
        <w:rPr>
          <w:sz w:val="16"/>
          <w:szCs w:val="16"/>
        </w:rPr>
        <w:t xml:space="preserve"> to meet US oil demand. Different models have been presented for how large-scale aquaculture can be achieved. Although both terrestrial strategies and marine strategies may be </w:t>
      </w:r>
      <w:r w:rsidRPr="003963ED">
        <w:rPr>
          <w:sz w:val="16"/>
          <w:szCs w:val="16"/>
        </w:rPr>
        <w:lastRenderedPageBreak/>
        <w:t xml:space="preserve">required, in this article we focus on the terrestrial aquaculture, since </w:t>
      </w:r>
      <w:r w:rsidRPr="00967385">
        <w:rPr>
          <w:rStyle w:val="StyleBoldUnderline"/>
        </w:rPr>
        <w:t>marine strategies are completely unknown at present and may require engineering significantly different from what is practiced today</w:t>
      </w:r>
      <w:r w:rsidRPr="003963ED">
        <w:rPr>
          <w:sz w:val="16"/>
          <w:szCs w:val="16"/>
        </w:rPr>
        <w:t xml:space="preserve">. The terrestrial models use land that is not presently used for food agriculture, and has minimal known environmental or other significant economic utility. Water use </w:t>
      </w:r>
      <w:r w:rsidRPr="00967385">
        <w:rPr>
          <w:rStyle w:val="StyleBoldUnderline"/>
        </w:rPr>
        <w:t>Water is potentially a major limiting factor in algal growth</w:t>
      </w:r>
      <w:r w:rsidRPr="003963ED">
        <w:rPr>
          <w:sz w:val="16"/>
          <w:szCs w:val="16"/>
        </w:rPr>
        <w:t>. Expansion of algal growth into nonarable land will require water; fortunately, many of these regions have substantial alkaline or saline water reservoirs beneath them, providing a significant source of nonpotable water that is suitable for growth of many algal species. Perhaps surprisingly, algae grown in open ponds have water requirements per unit area similar to that of cotton or wheat, but less than that of corn, to replenish the water lost in evaporation (for an overview of water requirements of terrestrial plants used in biofuel production see [</w:t>
      </w:r>
      <w:hyperlink r:id="rId91" w:anchor="R33" w:history="1">
        <w:r w:rsidRPr="003963ED">
          <w:rPr>
            <w:rStyle w:val="Hyperlink"/>
            <w:sz w:val="16"/>
            <w:szCs w:val="16"/>
          </w:rPr>
          <w:t>33</w:t>
        </w:r>
      </w:hyperlink>
      <w:r w:rsidRPr="003963ED">
        <w:rPr>
          <w:sz w:val="16"/>
          <w:szCs w:val="16"/>
        </w:rPr>
        <w:t xml:space="preserve">]). </w:t>
      </w:r>
      <w:r w:rsidRPr="00967385">
        <w:rPr>
          <w:rStyle w:val="StyleBoldUnderline"/>
        </w:rPr>
        <w:t>It is imperative</w:t>
      </w:r>
      <w:r w:rsidRPr="003963ED">
        <w:rPr>
          <w:sz w:val="16"/>
          <w:szCs w:val="16"/>
        </w:rPr>
        <w:t xml:space="preserve"> when considering broad deployment of algae, </w:t>
      </w:r>
      <w:r w:rsidRPr="00967385">
        <w:rPr>
          <w:rStyle w:val="StyleBoldUnderline"/>
        </w:rPr>
        <w:t>to consider water use to avoid a future ‘water versus fuel’ debate</w:t>
      </w:r>
      <w:r w:rsidRPr="003963ED">
        <w:rPr>
          <w:sz w:val="16"/>
          <w:szCs w:val="16"/>
        </w:rPr>
        <w:t xml:space="preserve">. Although substantial alkaline reserves are available, water will remain a central issue for algae biofuels production and will need to be considered carefully as the industry expands. Nutrient challenge </w:t>
      </w:r>
      <w:r w:rsidRPr="00967385">
        <w:rPr>
          <w:rStyle w:val="StyleBoldUnderline"/>
        </w:rPr>
        <w:t>Algae require nutrients, light, water and a carbon source, most often CO2, for efficient growth. The major nutrients required by most algae include phosphorous, nitrogen, iron and sulfur. Often, the nutrient requirement necessary for algal growth is ignored</w:t>
      </w:r>
      <w:r w:rsidRPr="003963ED">
        <w:rPr>
          <w:sz w:val="16"/>
          <w:szCs w:val="16"/>
        </w:rPr>
        <w:t>, since algae are very efficient at sequestering these nutrients when present in their environment [</w:t>
      </w:r>
      <w:hyperlink r:id="rId92" w:anchor="R34" w:history="1">
        <w:r w:rsidRPr="003963ED">
          <w:rPr>
            <w:rStyle w:val="Hyperlink"/>
            <w:sz w:val="16"/>
            <w:szCs w:val="16"/>
          </w:rPr>
          <w:t>34</w:t>
        </w:r>
      </w:hyperlink>
      <w:r w:rsidRPr="003963ED">
        <w:rPr>
          <w:sz w:val="16"/>
          <w:szCs w:val="16"/>
        </w:rPr>
        <w:t>,</w:t>
      </w:r>
      <w:hyperlink r:id="rId93" w:anchor="R35" w:history="1">
        <w:r w:rsidRPr="003963ED">
          <w:rPr>
            <w:rStyle w:val="Hyperlink"/>
            <w:sz w:val="16"/>
            <w:szCs w:val="16"/>
          </w:rPr>
          <w:t>35</w:t>
        </w:r>
      </w:hyperlink>
      <w:r w:rsidRPr="003963ED">
        <w:rPr>
          <w:sz w:val="16"/>
          <w:szCs w:val="16"/>
        </w:rPr>
        <w:t>]. Changes in nutrient load and algal growth have been studies extensively in terms of eutrophication of lakes and coastal regions, but not as heavily in terms of productivity in large-scale aquaculture [</w:t>
      </w:r>
      <w:hyperlink r:id="rId94" w:anchor="R36" w:history="1">
        <w:r w:rsidRPr="003963ED">
          <w:rPr>
            <w:rStyle w:val="Hyperlink"/>
            <w:sz w:val="16"/>
            <w:szCs w:val="16"/>
          </w:rPr>
          <w:t>36</w:t>
        </w:r>
      </w:hyperlink>
      <w:r w:rsidRPr="003963ED">
        <w:rPr>
          <w:sz w:val="16"/>
          <w:szCs w:val="16"/>
        </w:rPr>
        <w:t>,</w:t>
      </w:r>
      <w:hyperlink r:id="rId95" w:anchor="R37" w:history="1">
        <w:r w:rsidRPr="003963ED">
          <w:rPr>
            <w:rStyle w:val="Hyperlink"/>
            <w:sz w:val="16"/>
            <w:szCs w:val="16"/>
          </w:rPr>
          <w:t>37</w:t>
        </w:r>
      </w:hyperlink>
      <w:r w:rsidRPr="003963ED">
        <w:rPr>
          <w:sz w:val="16"/>
          <w:szCs w:val="16"/>
        </w:rPr>
        <w:t xml:space="preserve">]. If terrestrial agriculture is a model for some of the challenges for algal aquaculture, </w:t>
      </w:r>
      <w:r w:rsidRPr="00967385">
        <w:rPr>
          <w:rStyle w:val="StyleBoldUnderline"/>
        </w:rPr>
        <w:t>then providing sufficient nutrients for large-scale algal growth is a significant challenge.</w:t>
      </w:r>
      <w:r w:rsidRPr="003963ED">
        <w:rPr>
          <w:sz w:val="16"/>
          <w:szCs w:val="16"/>
        </w:rPr>
        <w:t xml:space="preserve"> Microand macro-nutrient supplements, or fertilizer, account for significant costs in the current terrestrial agriculture industry [</w:t>
      </w:r>
      <w:hyperlink r:id="rId96" w:anchor="R38" w:history="1">
        <w:r w:rsidRPr="003963ED">
          <w:rPr>
            <w:rStyle w:val="Hyperlink"/>
            <w:sz w:val="16"/>
            <w:szCs w:val="16"/>
          </w:rPr>
          <w:t>38</w:t>
        </w:r>
      </w:hyperlink>
      <w:r w:rsidRPr="003963ED">
        <w:rPr>
          <w:sz w:val="16"/>
          <w:szCs w:val="16"/>
        </w:rPr>
        <w:t>], and biofuels are not expected to be an exception. The use of fertilizers has been increasing globally. Unfortunately, many fertilizer components are generated from fossil fuels or mined and, as such, they are not renewable [</w:t>
      </w:r>
      <w:hyperlink r:id="rId97" w:anchor="R39" w:history="1">
        <w:r w:rsidRPr="003963ED">
          <w:rPr>
            <w:rStyle w:val="Hyperlink"/>
            <w:sz w:val="16"/>
            <w:szCs w:val="16"/>
          </w:rPr>
          <w:t>39</w:t>
        </w:r>
      </w:hyperlink>
      <w:r w:rsidRPr="003963ED">
        <w:rPr>
          <w:sz w:val="16"/>
          <w:szCs w:val="16"/>
        </w:rPr>
        <w:t>–</w:t>
      </w:r>
      <w:hyperlink r:id="rId98" w:anchor="R42" w:history="1">
        <w:r w:rsidRPr="003963ED">
          <w:rPr>
            <w:rStyle w:val="Hyperlink"/>
            <w:sz w:val="16"/>
            <w:szCs w:val="16"/>
          </w:rPr>
          <w:t>42</w:t>
        </w:r>
      </w:hyperlink>
      <w:r w:rsidRPr="003963ED">
        <w:rPr>
          <w:sz w:val="16"/>
          <w:szCs w:val="16"/>
        </w:rPr>
        <w:t>]. Algae, similar to plants, require sources of phosphorus, nitrogen and potassium, which are the major components of agricultural fertilizers, and large-scale aquaculture will impact these already limited supplies. In addition, optimal growth of many algal species requires chelated iron and sulfur. Phosphorous makes up slightly less then 1% of total algal biomass and is required at approximately 0.03–0.06% in the medium to sustain algal growth. Fertilizers in the USA used for agriculture currently contain a less than optimal concentration of phosphate owing to limited supplies. Presently, less than 40 million tons of phosphate is mined from the USA annually, and the maximum phosphate production from this mining peaked in the late 1980s. If algal biofuels are to completely replace petroleum in the USA, an additional 53 million tons of phosphate must be acquired annually. This is a significant challenge, given that the total amount of phosphate in the USA is estimated to be approximately 2.8 billion tons. This leaves few options other then efficient recycling the phosphate back into the algae ponds or significantly increasing mining output, a prospect that would seem to provide a temporary solution at best. Nitrogen, unlike phosphorous, is not limited in supply but is often a limiting macronutrient when it comes to plant and algae growth. Algae require nitrogen to be fixed into ammonia, nitrates and similar molecules, in order to be used as a nutrient source [</w:t>
      </w:r>
      <w:hyperlink r:id="rId99" w:anchor="R43" w:history="1">
        <w:r w:rsidRPr="003963ED">
          <w:rPr>
            <w:rStyle w:val="Hyperlink"/>
            <w:sz w:val="16"/>
            <w:szCs w:val="16"/>
          </w:rPr>
          <w:t>43</w:t>
        </w:r>
      </w:hyperlink>
      <w:r w:rsidRPr="003963ED">
        <w:rPr>
          <w:sz w:val="16"/>
          <w:szCs w:val="16"/>
        </w:rPr>
        <w:t>]. Some bacteria, such as rhizobia, have the ability to fix their own nitrogen and some form symbiotic relationships with terrestrial plants, providing the plants with this crucial nutrient to sustain protein and nucleic acid synthesis [</w:t>
      </w:r>
      <w:hyperlink r:id="rId100" w:anchor="R42" w:history="1">
        <w:r w:rsidRPr="003963ED">
          <w:rPr>
            <w:rStyle w:val="Hyperlink"/>
            <w:sz w:val="16"/>
            <w:szCs w:val="16"/>
          </w:rPr>
          <w:t>42</w:t>
        </w:r>
      </w:hyperlink>
      <w:r w:rsidRPr="003963ED">
        <w:rPr>
          <w:sz w:val="16"/>
          <w:szCs w:val="16"/>
        </w:rPr>
        <w:t>,</w:t>
      </w:r>
      <w:hyperlink r:id="rId101" w:anchor="R44" w:history="1">
        <w:r w:rsidRPr="003963ED">
          <w:rPr>
            <w:rStyle w:val="Hyperlink"/>
            <w:sz w:val="16"/>
            <w:szCs w:val="16"/>
          </w:rPr>
          <w:t>44</w:t>
        </w:r>
      </w:hyperlink>
      <w:r w:rsidRPr="003963ED">
        <w:rPr>
          <w:sz w:val="16"/>
          <w:szCs w:val="16"/>
        </w:rPr>
        <w:t>]. Some cyanobacteria also have the ability to fix nitrogen, while almost all algal species identified to date require an exogenous source of fixed nitrogen, and most prefer ammonia, as it is less energetically demanding than nitrate or nitrite [</w:t>
      </w:r>
      <w:hyperlink r:id="rId102" w:anchor="R45" w:history="1">
        <w:r w:rsidRPr="003963ED">
          <w:rPr>
            <w:rStyle w:val="Hyperlink"/>
            <w:sz w:val="16"/>
            <w:szCs w:val="16"/>
          </w:rPr>
          <w:t>45</w:t>
        </w:r>
      </w:hyperlink>
      <w:r w:rsidRPr="003963ED">
        <w:rPr>
          <w:sz w:val="16"/>
          <w:szCs w:val="16"/>
        </w:rPr>
        <w:t>]. Providing a cheap source of fixed nitrogen will be important for algae biofuel production, and the possibility of using nitrogen-fixing cyanobacteria to supply this nitrogen may help minimize these costs [</w:t>
      </w:r>
      <w:hyperlink r:id="rId103" w:anchor="R46" w:history="1">
        <w:r w:rsidRPr="003963ED">
          <w:rPr>
            <w:rStyle w:val="Hyperlink"/>
            <w:sz w:val="16"/>
            <w:szCs w:val="16"/>
          </w:rPr>
          <w:t>46</w:t>
        </w:r>
      </w:hyperlink>
      <w:r w:rsidRPr="003963ED">
        <w:rPr>
          <w:sz w:val="16"/>
          <w:szCs w:val="16"/>
        </w:rPr>
        <w:t>]. In the open oceans, iron is a major limiting nutrient for algal growth, as demonstrated by the induction of algal blooms by the addition of exogenous iron to open oceans [</w:t>
      </w:r>
      <w:hyperlink r:id="rId104" w:anchor="R47" w:history="1">
        <w:r w:rsidRPr="003963ED">
          <w:rPr>
            <w:rStyle w:val="Hyperlink"/>
            <w:sz w:val="16"/>
            <w:szCs w:val="16"/>
          </w:rPr>
          <w:t>47</w:t>
        </w:r>
      </w:hyperlink>
      <w:r w:rsidRPr="003963ED">
        <w:rPr>
          <w:sz w:val="16"/>
          <w:szCs w:val="16"/>
        </w:rPr>
        <w:t>]. Interestingly, the addition of iron to induce an algal bloom has been considered and tested as a strategy to sequester CO2 [</w:t>
      </w:r>
      <w:hyperlink r:id="rId105" w:anchor="R47" w:history="1">
        <w:r w:rsidRPr="003963ED">
          <w:rPr>
            <w:rStyle w:val="Hyperlink"/>
            <w:sz w:val="16"/>
            <w:szCs w:val="16"/>
          </w:rPr>
          <w:t>47</w:t>
        </w:r>
      </w:hyperlink>
      <w:r w:rsidRPr="003963ED">
        <w:rPr>
          <w:sz w:val="16"/>
          <w:szCs w:val="16"/>
        </w:rPr>
        <w:t>–</w:t>
      </w:r>
      <w:hyperlink r:id="rId106" w:anchor="R49" w:history="1">
        <w:r w:rsidRPr="003963ED">
          <w:rPr>
            <w:rStyle w:val="Hyperlink"/>
            <w:sz w:val="16"/>
            <w:szCs w:val="16"/>
          </w:rPr>
          <w:t>49</w:t>
        </w:r>
      </w:hyperlink>
      <w:r w:rsidRPr="003963ED">
        <w:rPr>
          <w:sz w:val="16"/>
          <w:szCs w:val="16"/>
        </w:rPr>
        <w:t>]. Biologically, iron is required for electron transport in all known photosynthetic organisms, includingChlamydomonas reinhardtii, and is typically found in iron-sulfur clusters in a variety of photosynthetic proteins [</w:t>
      </w:r>
      <w:hyperlink r:id="rId107" w:anchor="R50" w:history="1">
        <w:r w:rsidRPr="003963ED">
          <w:rPr>
            <w:rStyle w:val="Hyperlink"/>
            <w:sz w:val="16"/>
            <w:szCs w:val="16"/>
          </w:rPr>
          <w:t>50</w:t>
        </w:r>
      </w:hyperlink>
      <w:r w:rsidRPr="003963ED">
        <w:rPr>
          <w:sz w:val="16"/>
          <w:szCs w:val="16"/>
        </w:rPr>
        <w:t>]. Iron in its oxidized form is not optimal for uptake, and most algae prefer chelated iron. Fortunately, iron can be easily acquired and is more available than many of the other required nutrients. Sulfur, in addition to its key role in the electron transport chain, is also required for protein synthesis and lipid metabolism. Sulfur deficiency has been shown to limit algal density and stunt growth [</w:t>
      </w:r>
      <w:hyperlink r:id="rId108" w:anchor="R51" w:history="1">
        <w:r w:rsidRPr="003963ED">
          <w:rPr>
            <w:rStyle w:val="Hyperlink"/>
            <w:sz w:val="16"/>
            <w:szCs w:val="16"/>
          </w:rPr>
          <w:t>51</w:t>
        </w:r>
      </w:hyperlink>
      <w:r w:rsidRPr="003963ED">
        <w:rPr>
          <w:sz w:val="16"/>
          <w:szCs w:val="16"/>
        </w:rPr>
        <w:t>]. Thus, it seems likely that sulfur will be important for optimal algal growth, and cost/benefit analysis will need to be considered to determine the optimal amount of sulfur to add to the media for the best economic return. The acquisition of the aforementioned nutrients, as well as potassium and at least nine other microand macro-nutrients, should not be overlooked when considering the implications of scaling algal biofuel production to meaningful levels [</w:t>
      </w:r>
      <w:hyperlink r:id="rId109" w:anchor="R52" w:history="1">
        <w:r w:rsidRPr="003963ED">
          <w:rPr>
            <w:rStyle w:val="Hyperlink"/>
            <w:sz w:val="16"/>
            <w:szCs w:val="16"/>
          </w:rPr>
          <w:t>52</w:t>
        </w:r>
      </w:hyperlink>
      <w:r w:rsidRPr="003963ED">
        <w:rPr>
          <w:sz w:val="16"/>
          <w:szCs w:val="16"/>
        </w:rPr>
        <w:t xml:space="preserve">]. Many of the nutrients may be supplemented by combining nutrient-rich waste water or agricultural runoff with algal growth facilities, streamlining water remediation and optimizing economic fuel production. </w:t>
      </w:r>
      <w:r w:rsidRPr="00967385">
        <w:rPr>
          <w:rStyle w:val="StyleBoldUnderline"/>
        </w:rPr>
        <w:t>These strategies appear to be viable at some scale; however, alternative possibilities must also be developed.</w:t>
      </w:r>
      <w:r w:rsidRPr="003963ED">
        <w:rPr>
          <w:sz w:val="16"/>
          <w:szCs w:val="16"/>
        </w:rPr>
        <w:t xml:space="preserve"> Ultimately, a combination of methods may be required, and perhaps a recycling of microand macro-nutrients will have to be developed for algae-based biofuels to reach a capacity that impacts present fossil fuel use. One of the most promising techniques for recycling nutrients in algal ponds is to use anaerobic digestion [</w:t>
      </w:r>
      <w:hyperlink r:id="rId110" w:anchor="R53" w:history="1">
        <w:r w:rsidRPr="003963ED">
          <w:rPr>
            <w:rStyle w:val="Hyperlink"/>
            <w:sz w:val="16"/>
            <w:szCs w:val="16"/>
          </w:rPr>
          <w:t>53</w:t>
        </w:r>
      </w:hyperlink>
      <w:r w:rsidRPr="003963ED">
        <w:rPr>
          <w:sz w:val="16"/>
          <w:szCs w:val="16"/>
        </w:rPr>
        <w:t xml:space="preserve">]. This bacterial process produces methane gas, while keeping the majority of the nutrients in a bacterial slurry that can be killed and the mix used for algal fertilizer. Methane gas is not currently a high-value commodity, but can help provide energy to operate algae farms, and cheap anaerobic digestion will preclude producing some types of higher value proteins in the algae. Therefore, a balance should be reached between efficient anaerobic digestion and high-value co-products, as shown in </w:t>
      </w:r>
      <w:r w:rsidR="00DA51D8">
        <w:fldChar w:fldCharType="begin"/>
      </w:r>
      <w:r w:rsidR="00DA51D8">
        <w:instrText xml:space="preserve"> HYPERLINK "http://www.ncbi.nlm.nih.gov/pmc/articles/PMC3152439/figure/F4/" \t "figure" </w:instrText>
      </w:r>
      <w:r w:rsidR="00DA51D8">
        <w:fldChar w:fldCharType="separate"/>
      </w:r>
      <w:r w:rsidRPr="003963ED">
        <w:rPr>
          <w:rStyle w:val="Hyperlink"/>
          <w:sz w:val="16"/>
          <w:szCs w:val="16"/>
        </w:rPr>
        <w:t>Figure 4</w:t>
      </w:r>
      <w:r w:rsidR="00DA51D8">
        <w:rPr>
          <w:rStyle w:val="Hyperlink"/>
          <w:sz w:val="16"/>
          <w:szCs w:val="16"/>
        </w:rPr>
        <w:fldChar w:fldCharType="end"/>
      </w:r>
      <w:r w:rsidRPr="003963ED">
        <w:rPr>
          <w:sz w:val="16"/>
          <w:szCs w:val="16"/>
        </w:rPr>
        <w:t>.</w:t>
      </w:r>
    </w:p>
    <w:p w:rsidR="00984FEB" w:rsidRPr="00AE3FC8" w:rsidRDefault="00984FEB" w:rsidP="00984FEB">
      <w:pPr>
        <w:pStyle w:val="Heading4"/>
        <w:rPr>
          <w:rStyle w:val="StyleStyleBold12pt"/>
          <w:b/>
        </w:rPr>
      </w:pPr>
      <w:r>
        <w:rPr>
          <w:rStyle w:val="StyleStyleBold12pt"/>
          <w:b/>
        </w:rPr>
        <w:t>Throwing money at algae biofuels fails—won’t be viable for decades</w:t>
      </w:r>
    </w:p>
    <w:p w:rsidR="00984FEB" w:rsidRPr="00AE3FC8" w:rsidRDefault="00984FEB" w:rsidP="00984FEB">
      <w:pPr>
        <w:rPr>
          <w:rStyle w:val="StyleStyleBold12pt"/>
          <w:b w:val="0"/>
          <w:sz w:val="16"/>
        </w:rPr>
      </w:pPr>
      <w:r w:rsidRPr="00AE3FC8">
        <w:rPr>
          <w:rStyle w:val="StyleStyleBold12pt"/>
        </w:rPr>
        <w:t>Russek, 2010</w:t>
      </w:r>
      <w:r w:rsidRPr="00AE3FC8">
        <w:rPr>
          <w:rStyle w:val="StyleStyleBold12pt"/>
          <w:sz w:val="16"/>
        </w:rPr>
        <w:t xml:space="preserve"> </w:t>
      </w:r>
      <w:r w:rsidRPr="00AE3FC8">
        <w:rPr>
          <w:rStyle w:val="StyleStyleBold12pt"/>
          <w:b w:val="0"/>
          <w:sz w:val="16"/>
        </w:rPr>
        <w:t>(Gabriela Russek, India Carbon Outlook writer, “  Algae Biofuels: Possibilities, Uncertainties”, India Carbon Outlook, 01/19/2010, http://india.carbon-outlook.com/content/algae-biofuels-exciting-possibilities-uncertain-future)</w:t>
      </w:r>
    </w:p>
    <w:p w:rsidR="00984FEB" w:rsidRPr="00AE3FC8" w:rsidRDefault="00984FEB" w:rsidP="00984FEB">
      <w:pPr>
        <w:rPr>
          <w:sz w:val="16"/>
        </w:rPr>
      </w:pPr>
      <w:r w:rsidRPr="00AE3FC8">
        <w:rPr>
          <w:sz w:val="16"/>
        </w:rPr>
        <w:t>These benefits are so significant that governments, investors, and scientists still support investing in R&amp;D, even though research thus far been fraught with disappointments</w:t>
      </w:r>
      <w:r w:rsidRPr="00AE3FC8">
        <w:rPr>
          <w:rStyle w:val="Emphasis"/>
        </w:rPr>
        <w:t>.</w:t>
      </w:r>
      <w:r>
        <w:rPr>
          <w:rStyle w:val="Emphasis"/>
        </w:rPr>
        <w:t xml:space="preserve"> </w:t>
      </w:r>
      <w:r w:rsidRPr="00557640">
        <w:rPr>
          <w:rStyle w:val="Emphasis"/>
          <w:highlight w:val="green"/>
        </w:rPr>
        <w:t xml:space="preserve">Decades of scientific study have gone into algae </w:t>
      </w:r>
      <w:r w:rsidRPr="00557640">
        <w:rPr>
          <w:rStyle w:val="Emphasis"/>
          <w:highlight w:val="green"/>
        </w:rPr>
        <w:lastRenderedPageBreak/>
        <w:t>biofuels, including Japanese and US</w:t>
      </w:r>
      <w:r w:rsidRPr="00AE3FC8">
        <w:rPr>
          <w:rStyle w:val="Emphasis"/>
        </w:rPr>
        <w:t xml:space="preserve"> government pr</w:t>
      </w:r>
      <w:r w:rsidRPr="00557640">
        <w:rPr>
          <w:rStyle w:val="Emphasis"/>
          <w:highlight w:val="green"/>
        </w:rPr>
        <w:t>ojects, and private</w:t>
      </w:r>
      <w:r w:rsidRPr="00AE3FC8">
        <w:rPr>
          <w:rStyle w:val="Emphasis"/>
        </w:rPr>
        <w:t xml:space="preserve">ly </w:t>
      </w:r>
      <w:r w:rsidRPr="00557640">
        <w:rPr>
          <w:rStyle w:val="Emphasis"/>
        </w:rPr>
        <w:t>funded</w:t>
      </w:r>
      <w:r w:rsidRPr="00557640">
        <w:rPr>
          <w:rStyle w:val="Emphasis"/>
          <w:highlight w:val="green"/>
        </w:rPr>
        <w:t xml:space="preserve"> research</w:t>
      </w:r>
      <w:r w:rsidRPr="00AE3FC8">
        <w:rPr>
          <w:sz w:val="16"/>
        </w:rPr>
        <w:t xml:space="preserve">. </w:t>
      </w:r>
      <w:r w:rsidRPr="00557640">
        <w:rPr>
          <w:rStyle w:val="StyleBoldUnderline"/>
          <w:highlight w:val="green"/>
        </w:rPr>
        <w:t>The U</w:t>
      </w:r>
      <w:r w:rsidRPr="00AE3FC8">
        <w:rPr>
          <w:rStyle w:val="StyleBoldUnderline"/>
        </w:rPr>
        <w:t xml:space="preserve">nited </w:t>
      </w:r>
      <w:r w:rsidRPr="00557640">
        <w:rPr>
          <w:rStyle w:val="StyleBoldUnderline"/>
          <w:highlight w:val="green"/>
        </w:rPr>
        <w:t>S</w:t>
      </w:r>
      <w:r w:rsidRPr="00AE3FC8">
        <w:rPr>
          <w:rStyle w:val="StyleBoldUnderline"/>
        </w:rPr>
        <w:t>tates Government funded research into the fuel from 1978-1996</w:t>
      </w:r>
      <w:r w:rsidRPr="00AE3FC8">
        <w:rPr>
          <w:sz w:val="16"/>
        </w:rPr>
        <w:t xml:space="preserve">, in the DOE Aquatic Species Project, </w:t>
      </w:r>
      <w:r w:rsidRPr="00AE3FC8">
        <w:rPr>
          <w:rStyle w:val="StyleBoldUnderline"/>
        </w:rPr>
        <w:t xml:space="preserve">but </w:t>
      </w:r>
      <w:r w:rsidRPr="00557640">
        <w:rPr>
          <w:rStyle w:val="StyleBoldUnderline"/>
          <w:highlight w:val="green"/>
        </w:rPr>
        <w:t>ended the project to focus</w:t>
      </w:r>
      <w:r w:rsidRPr="00AE3FC8">
        <w:rPr>
          <w:rStyle w:val="StyleBoldUnderline"/>
        </w:rPr>
        <w:t xml:space="preserve"> </w:t>
      </w:r>
      <w:r w:rsidRPr="00AE3FC8">
        <w:rPr>
          <w:sz w:val="16"/>
        </w:rPr>
        <w:t>limited budgets</w:t>
      </w:r>
      <w:r w:rsidRPr="00AE3FC8">
        <w:rPr>
          <w:rStyle w:val="StyleBoldUnderline"/>
        </w:rPr>
        <w:t xml:space="preserve"> </w:t>
      </w:r>
      <w:r w:rsidRPr="00557640">
        <w:rPr>
          <w:rStyle w:val="StyleBoldUnderline"/>
          <w:highlight w:val="green"/>
        </w:rPr>
        <w:t>on bioethanol</w:t>
      </w:r>
      <w:r w:rsidRPr="00AE3FC8">
        <w:rPr>
          <w:sz w:val="16"/>
        </w:rPr>
        <w:t xml:space="preserve">.[13] </w:t>
      </w:r>
      <w:r w:rsidRPr="00557640">
        <w:rPr>
          <w:rStyle w:val="Emphasis"/>
          <w:highlight w:val="green"/>
        </w:rPr>
        <w:t xml:space="preserve">Despite </w:t>
      </w:r>
      <w:r w:rsidRPr="00557640">
        <w:rPr>
          <w:rStyle w:val="Emphasis"/>
        </w:rPr>
        <w:t xml:space="preserve">over </w:t>
      </w:r>
      <w:r w:rsidRPr="00557640">
        <w:rPr>
          <w:rStyle w:val="Emphasis"/>
          <w:highlight w:val="green"/>
        </w:rPr>
        <w:t>30 years of research</w:t>
      </w:r>
      <w:r w:rsidRPr="00AE3FC8">
        <w:rPr>
          <w:rStyle w:val="Emphasis"/>
        </w:rPr>
        <w:t xml:space="preserve">, </w:t>
      </w:r>
      <w:r w:rsidRPr="00557640">
        <w:rPr>
          <w:rStyle w:val="Emphasis"/>
          <w:highlight w:val="green"/>
        </w:rPr>
        <w:t xml:space="preserve">there is </w:t>
      </w:r>
      <w:r w:rsidRPr="00557640">
        <w:rPr>
          <w:rStyle w:val="Emphasis"/>
        </w:rPr>
        <w:t>still</w:t>
      </w:r>
      <w:r w:rsidRPr="00AE3FC8">
        <w:rPr>
          <w:rStyle w:val="Emphasis"/>
        </w:rPr>
        <w:t xml:space="preserve"> </w:t>
      </w:r>
      <w:r w:rsidRPr="00557640">
        <w:rPr>
          <w:rStyle w:val="Emphasis"/>
          <w:highlight w:val="green"/>
        </w:rPr>
        <w:t>no</w:t>
      </w:r>
      <w:r w:rsidRPr="00AE3FC8">
        <w:rPr>
          <w:rStyle w:val="Emphasis"/>
        </w:rPr>
        <w:t xml:space="preserve"> commercially </w:t>
      </w:r>
      <w:r w:rsidRPr="00557640">
        <w:rPr>
          <w:rStyle w:val="Emphasis"/>
          <w:highlight w:val="green"/>
        </w:rPr>
        <w:t>viable large-scale production of algae</w:t>
      </w:r>
      <w:r w:rsidRPr="00AE3FC8">
        <w:rPr>
          <w:rStyle w:val="Emphasis"/>
        </w:rPr>
        <w:t xml:space="preserve"> biofuel</w:t>
      </w:r>
      <w:r w:rsidRPr="00AE3FC8">
        <w:rPr>
          <w:sz w:val="16"/>
        </w:rPr>
        <w:t xml:space="preserve">.[14] As fossil fuel prices rise, investment in the technology has been renewed. The U.S. Government is resuming funding.[15] Major investors are partnering with algae tech companies, including an investment of $600 million by Exxon Mobil into Synthetic Genomics, and a similar partnership between Bill Gates’ Cascade Investments and Sapphire Energy’s algae research.[16] The many new of enthusiastic start-up algae fuel companies (one article mentioned more than 60) are making wildly optimistic predictions about the volumes of algae biofuel that could be produced at competitive prices in the near future. However, </w:t>
      </w:r>
      <w:r w:rsidRPr="00AE3FC8">
        <w:rPr>
          <w:rStyle w:val="Emphasis"/>
        </w:rPr>
        <w:t xml:space="preserve">the </w:t>
      </w:r>
      <w:r w:rsidRPr="00557640">
        <w:rPr>
          <w:rStyle w:val="Emphasis"/>
          <w:highlight w:val="green"/>
        </w:rPr>
        <w:t>tech</w:t>
      </w:r>
      <w:r w:rsidRPr="00557640">
        <w:rPr>
          <w:rStyle w:val="Emphasis"/>
        </w:rPr>
        <w:t>nolog</w:t>
      </w:r>
      <w:r w:rsidRPr="00557640">
        <w:rPr>
          <w:rStyle w:val="Emphasis"/>
          <w:highlight w:val="green"/>
        </w:rPr>
        <w:t>y is</w:t>
      </w:r>
      <w:r w:rsidRPr="00AE3FC8">
        <w:rPr>
          <w:rStyle w:val="Emphasis"/>
        </w:rPr>
        <w:t xml:space="preserve"> very </w:t>
      </w:r>
      <w:r w:rsidRPr="00557640">
        <w:rPr>
          <w:rStyle w:val="Emphasis"/>
          <w:highlight w:val="green"/>
        </w:rPr>
        <w:t>far from commercially viable,</w:t>
      </w:r>
      <w:r w:rsidRPr="00AE3FC8">
        <w:rPr>
          <w:rStyle w:val="StyleBoldUnderline"/>
        </w:rPr>
        <w:t xml:space="preserve"> and several of these companies have shut down in the face of financial realities</w:t>
      </w:r>
      <w:r w:rsidRPr="00AE3FC8">
        <w:rPr>
          <w:sz w:val="16"/>
        </w:rPr>
        <w:t xml:space="preserve">.[17] </w:t>
      </w:r>
      <w:r w:rsidRPr="00AE3FC8">
        <w:rPr>
          <w:rStyle w:val="StyleBoldUnderline"/>
        </w:rPr>
        <w:t>Experts are cautiously optimistic, but few are willing to predict how soon the technology could be commercially viable.</w:t>
      </w:r>
      <w:r w:rsidRPr="00AE3FC8">
        <w:rPr>
          <w:sz w:val="16"/>
        </w:rPr>
        <w:t xml:space="preserve"> They are also unsure exactly how efficient it will be in terms of land required, production costs, and carbon abatement. "(t)his research is driven by the conviction that economies of scale, improvement in yields and output are achievable,” explains Raffaello Garofalo, executive director of the European Algae Biomass Association (EABA), but adds, “"It would not be responsible to give you dates."[18] </w:t>
      </w:r>
      <w:r w:rsidRPr="00557640">
        <w:rPr>
          <w:rStyle w:val="Emphasis"/>
          <w:highlight w:val="green"/>
        </w:rPr>
        <w:t>It is not a solution for the near-term future</w:t>
      </w:r>
      <w:r w:rsidRPr="00AE3FC8">
        <w:rPr>
          <w:sz w:val="16"/>
        </w:rPr>
        <w:t xml:space="preserve">; a presenter at the Algae Biofuel summit, Bill Barclay, said the </w:t>
      </w:r>
      <w:r w:rsidRPr="00AE3FC8">
        <w:rPr>
          <w:rStyle w:val="StyleBoldUnderline"/>
        </w:rPr>
        <w:t xml:space="preserve">low-estimate </w:t>
      </w:r>
      <w:r w:rsidRPr="00557640">
        <w:rPr>
          <w:rStyle w:val="StyleBoldUnderline"/>
          <w:highlight w:val="green"/>
        </w:rPr>
        <w:t>claims of</w:t>
      </w:r>
      <w:r w:rsidRPr="00AE3FC8">
        <w:rPr>
          <w:sz w:val="16"/>
        </w:rPr>
        <w:t xml:space="preserve"> 2-</w:t>
      </w:r>
      <w:r w:rsidRPr="00557640">
        <w:rPr>
          <w:rStyle w:val="StyleBoldUnderline"/>
          <w:highlight w:val="green"/>
        </w:rPr>
        <w:t>4 years are unrealistic</w:t>
      </w:r>
      <w:r w:rsidRPr="00AE3FC8">
        <w:rPr>
          <w:sz w:val="16"/>
        </w:rPr>
        <w:t>[19], and decades-long algae fuel researcher John Benemann is betting on 10-15.[20]</w:t>
      </w:r>
    </w:p>
    <w:p w:rsidR="00984FEB" w:rsidRPr="00946B56" w:rsidRDefault="00984FEB" w:rsidP="00984FEB">
      <w:pPr>
        <w:pStyle w:val="Heading4"/>
        <w:rPr>
          <w:rStyle w:val="StyleStyleBold12pt"/>
          <w:b/>
        </w:rPr>
      </w:pPr>
      <w:r>
        <w:rPr>
          <w:rStyle w:val="StyleStyleBold12pt"/>
          <w:b/>
        </w:rPr>
        <w:t>Too many obstacles that plan’s research can’t overcome</w:t>
      </w:r>
    </w:p>
    <w:p w:rsidR="00984FEB" w:rsidRPr="00946B56" w:rsidRDefault="00984FEB" w:rsidP="00984FEB">
      <w:pPr>
        <w:rPr>
          <w:rStyle w:val="StyleStyleBold12pt"/>
          <w:b w:val="0"/>
          <w:sz w:val="16"/>
        </w:rPr>
      </w:pPr>
      <w:r w:rsidRPr="00946B56">
        <w:rPr>
          <w:rStyle w:val="StyleStyleBold12pt"/>
        </w:rPr>
        <w:t>LTM, 2008</w:t>
      </w:r>
      <w:r w:rsidRPr="00946B56">
        <w:rPr>
          <w:rStyle w:val="StyleStyleBold12pt"/>
          <w:sz w:val="16"/>
        </w:rPr>
        <w:t xml:space="preserve"> </w:t>
      </w:r>
      <w:r w:rsidRPr="00946B56">
        <w:rPr>
          <w:rStyle w:val="StyleStyleBold12pt"/>
          <w:b w:val="0"/>
          <w:sz w:val="16"/>
        </w:rPr>
        <w:t>(Low-Tech Magazine, “Leave the algae alone”, Low-Tech Magazine, 04/08/2008, http://www.lowtechmagazine.com/2008/04/algae-fuel-biof.html)</w:t>
      </w:r>
    </w:p>
    <w:p w:rsidR="00984FEB" w:rsidRDefault="00984FEB" w:rsidP="00984FEB">
      <w:pPr>
        <w:rPr>
          <w:sz w:val="16"/>
        </w:rPr>
      </w:pPr>
      <w:r w:rsidRPr="00946B56">
        <w:rPr>
          <w:sz w:val="16"/>
        </w:rPr>
        <w:t xml:space="preserve">All this sounds very good, but </w:t>
      </w:r>
      <w:r w:rsidRPr="00946B56">
        <w:rPr>
          <w:rStyle w:val="StyleBoldUnderline"/>
        </w:rPr>
        <w:t>algae</w:t>
      </w:r>
      <w:r w:rsidRPr="00946B56">
        <w:rPr>
          <w:sz w:val="16"/>
        </w:rPr>
        <w:t xml:space="preserve"> also </w:t>
      </w:r>
      <w:r w:rsidRPr="00946B56">
        <w:rPr>
          <w:rStyle w:val="StyleBoldUnderline"/>
        </w:rPr>
        <w:t>need</w:t>
      </w:r>
      <w:r w:rsidRPr="00946B56">
        <w:rPr>
          <w:sz w:val="16"/>
        </w:rPr>
        <w:t xml:space="preserve"> a few things, most notably: </w:t>
      </w:r>
      <w:r w:rsidRPr="00946B56">
        <w:rPr>
          <w:rStyle w:val="StyleBoldUnderline"/>
        </w:rPr>
        <w:t>a lot of sunshine and massive amounts of water</w:t>
      </w:r>
      <w:r w:rsidRPr="00946B56">
        <w:rPr>
          <w:sz w:val="16"/>
        </w:rPr>
        <w:t xml:space="preserve">. To grow algae, you also need phosphorus (besides other minerals), an element that is very much needed by agriculture. </w:t>
      </w:r>
      <w:r w:rsidRPr="00946B56">
        <w:rPr>
          <w:rStyle w:val="StyleBoldUnderline"/>
        </w:rPr>
        <w:t>Most algae are grown in</w:t>
      </w:r>
      <w:r w:rsidRPr="00946B56">
        <w:rPr>
          <w:sz w:val="16"/>
        </w:rPr>
        <w:t xml:space="preserve"> brackish or </w:t>
      </w:r>
      <w:r w:rsidRPr="00946B56">
        <w:rPr>
          <w:rStyle w:val="StyleBoldUnderline"/>
        </w:rPr>
        <w:t>salt water</w:t>
      </w:r>
      <w:r w:rsidRPr="00946B56">
        <w:rPr>
          <w:sz w:val="16"/>
        </w:rPr>
        <w:t xml:space="preserve">. </w:t>
      </w:r>
      <w:r w:rsidRPr="00946B56">
        <w:rPr>
          <w:rStyle w:val="StyleBoldUnderline"/>
        </w:rPr>
        <w:t>That sounds as if water is no issue</w:t>
      </w:r>
      <w:r w:rsidRPr="00946B56">
        <w:rPr>
          <w:sz w:val="16"/>
        </w:rPr>
        <w:t xml:space="preserve">, since our planet has not a shortage of salt water. </w:t>
      </w:r>
      <w:r w:rsidRPr="00946B56">
        <w:rPr>
          <w:rStyle w:val="StyleBoldUnderline"/>
        </w:rPr>
        <w:t xml:space="preserve">However, just like solar energy plants, </w:t>
      </w:r>
      <w:r w:rsidRPr="00557640">
        <w:rPr>
          <w:rStyle w:val="StyleBoldUnderline"/>
          <w:highlight w:val="green"/>
        </w:rPr>
        <w:t>algae plants are best located in very sunny regions</w:t>
      </w:r>
      <w:r w:rsidRPr="00946B56">
        <w:rPr>
          <w:rStyle w:val="StyleBoldUnderline"/>
        </w:rPr>
        <w:t>, like deserts.</w:t>
      </w:r>
      <w:r>
        <w:rPr>
          <w:rStyle w:val="StyleBoldUnderline"/>
        </w:rPr>
        <w:t xml:space="preserve"> </w:t>
      </w:r>
      <w:r w:rsidRPr="00557640">
        <w:rPr>
          <w:rStyle w:val="StyleBoldUnderline"/>
          <w:highlight w:val="green"/>
        </w:rPr>
        <w:t>But</w:t>
      </w:r>
      <w:r w:rsidRPr="00557640">
        <w:rPr>
          <w:sz w:val="16"/>
          <w:highlight w:val="green"/>
        </w:rPr>
        <w:t xml:space="preserve">, </w:t>
      </w:r>
      <w:r w:rsidRPr="00557640">
        <w:rPr>
          <w:rStyle w:val="StyleBoldUnderline"/>
          <w:highlight w:val="green"/>
        </w:rPr>
        <w:t>in</w:t>
      </w:r>
      <w:r w:rsidRPr="00946B56">
        <w:rPr>
          <w:rStyle w:val="StyleBoldUnderline"/>
        </w:rPr>
        <w:t xml:space="preserve"> deserts, and in </w:t>
      </w:r>
      <w:r w:rsidRPr="00557640">
        <w:rPr>
          <w:rStyle w:val="StyleBoldUnderline"/>
          <w:highlight w:val="green"/>
        </w:rPr>
        <w:t>very sunny places</w:t>
      </w:r>
      <w:r w:rsidRPr="00946B56">
        <w:rPr>
          <w:rStyle w:val="StyleBoldUnderline"/>
        </w:rPr>
        <w:t xml:space="preserve"> </w:t>
      </w:r>
      <w:r w:rsidRPr="00946B56">
        <w:rPr>
          <w:sz w:val="16"/>
        </w:rPr>
        <w:t>in general</w:t>
      </w:r>
      <w:r w:rsidRPr="00946B56">
        <w:rPr>
          <w:rStyle w:val="StyleBoldUnderline"/>
        </w:rPr>
        <w:t xml:space="preserve">, </w:t>
      </w:r>
      <w:r w:rsidRPr="00557640">
        <w:rPr>
          <w:rStyle w:val="StyleBoldUnderline"/>
          <w:highlight w:val="green"/>
        </w:rPr>
        <w:t>there is not much water</w:t>
      </w:r>
      <w:r w:rsidRPr="00946B56">
        <w:rPr>
          <w:rStyle w:val="StyleBoldUnderline"/>
        </w:rPr>
        <w:t xml:space="preserve"> to find. </w:t>
      </w:r>
      <w:r w:rsidRPr="00946B56">
        <w:rPr>
          <w:sz w:val="16"/>
        </w:rPr>
        <w:t xml:space="preserve">That’s not a problem for solar plants, because they don’t need it. But, how are you going to get seawater to your desert algae plant? Check the websites of all these companies: not a word about it. </w:t>
      </w:r>
      <w:r w:rsidRPr="00946B56">
        <w:rPr>
          <w:rStyle w:val="StyleBoldUnderline"/>
        </w:rPr>
        <w:t xml:space="preserve">There are not </w:t>
      </w:r>
      <w:r w:rsidRPr="00946B56">
        <w:rPr>
          <w:sz w:val="16"/>
        </w:rPr>
        <w:t xml:space="preserve">that </w:t>
      </w:r>
      <w:r w:rsidRPr="00946B56">
        <w:rPr>
          <w:rStyle w:val="StyleBoldUnderline"/>
        </w:rPr>
        <w:t>many possibilities</w:t>
      </w:r>
      <w:r w:rsidRPr="00946B56">
        <w:rPr>
          <w:sz w:val="16"/>
        </w:rPr>
        <w:t xml:space="preserve">. </w:t>
      </w:r>
      <w:r w:rsidRPr="00557640">
        <w:rPr>
          <w:rStyle w:val="StyleBoldUnderline"/>
          <w:highlight w:val="green"/>
        </w:rPr>
        <w:t>You can transport seawater to the desert, but that's</w:t>
      </w:r>
      <w:r w:rsidRPr="00946B56">
        <w:rPr>
          <w:rStyle w:val="StyleBoldUnderline"/>
        </w:rPr>
        <w:t xml:space="preserve"> going to cost you </w:t>
      </w:r>
      <w:r w:rsidRPr="00557640">
        <w:rPr>
          <w:rStyle w:val="StyleBoldUnderline"/>
          <w:highlight w:val="green"/>
        </w:rPr>
        <w:t>an awful lot of energy</w:t>
      </w:r>
      <w:r w:rsidRPr="00946B56">
        <w:rPr>
          <w:rStyle w:val="StyleBoldUnderline"/>
        </w:rPr>
        <w:t xml:space="preserve">, </w:t>
      </w:r>
      <w:r w:rsidRPr="00946B56">
        <w:rPr>
          <w:sz w:val="16"/>
        </w:rPr>
        <w:t>probably</w:t>
      </w:r>
      <w:r w:rsidRPr="00946B56">
        <w:rPr>
          <w:rStyle w:val="StyleBoldUnderline"/>
        </w:rPr>
        <w:t xml:space="preserve"> </w:t>
      </w:r>
      <w:r w:rsidRPr="00557640">
        <w:rPr>
          <w:rStyle w:val="Emphasis"/>
          <w:highlight w:val="green"/>
        </w:rPr>
        <w:t>more than what can be produced by the algae</w:t>
      </w:r>
      <w:r w:rsidRPr="00946B56">
        <w:rPr>
          <w:sz w:val="16"/>
        </w:rPr>
        <w:t xml:space="preserve">. </w:t>
      </w:r>
      <w:r w:rsidRPr="00946B56">
        <w:rPr>
          <w:rStyle w:val="StyleBoldUnderline"/>
        </w:rPr>
        <w:t>You can also take freshwater from more nearby regions</w:t>
      </w:r>
      <w:r w:rsidRPr="00946B56">
        <w:rPr>
          <w:sz w:val="16"/>
        </w:rPr>
        <w:t xml:space="preserve"> or underground aquifers and turn it into artificial seawater. </w:t>
      </w:r>
      <w:r w:rsidRPr="00946B56">
        <w:rPr>
          <w:rStyle w:val="StyleBoldUnderline"/>
        </w:rPr>
        <w:t>But</w:t>
      </w:r>
      <w:r w:rsidRPr="00946B56">
        <w:rPr>
          <w:sz w:val="16"/>
        </w:rPr>
        <w:t xml:space="preserve">, you promised that </w:t>
      </w:r>
      <w:r w:rsidRPr="00946B56">
        <w:rPr>
          <w:rStyle w:val="StyleBoldUnderline"/>
        </w:rPr>
        <w:t>algal</w:t>
      </w:r>
      <w:r w:rsidRPr="00946B56">
        <w:rPr>
          <w:sz w:val="16"/>
        </w:rPr>
        <w:t xml:space="preserve"> </w:t>
      </w:r>
      <w:r w:rsidRPr="00946B56">
        <w:rPr>
          <w:rStyle w:val="StyleBoldUnderline"/>
        </w:rPr>
        <w:t>fuel</w:t>
      </w:r>
      <w:r w:rsidRPr="00946B56">
        <w:rPr>
          <w:sz w:val="16"/>
        </w:rPr>
        <w:t xml:space="preserve"> </w:t>
      </w:r>
      <w:r w:rsidRPr="00946B56">
        <w:rPr>
          <w:rStyle w:val="StyleBoldUnderline"/>
        </w:rPr>
        <w:t>would</w:t>
      </w:r>
      <w:r w:rsidRPr="00946B56">
        <w:rPr>
          <w:sz w:val="16"/>
        </w:rPr>
        <w:t xml:space="preserve"> not </w:t>
      </w:r>
      <w:r w:rsidRPr="00946B56">
        <w:rPr>
          <w:rStyle w:val="StyleBoldUnderline"/>
        </w:rPr>
        <w:t>compete with food production</w:t>
      </w:r>
      <w:r w:rsidRPr="00946B56">
        <w:rPr>
          <w:sz w:val="16"/>
        </w:rPr>
        <w:t xml:space="preserve">. A third option is to put your algae plant next to the sea. Now, </w:t>
      </w:r>
      <w:r w:rsidRPr="00946B56">
        <w:rPr>
          <w:rStyle w:val="StyleBoldUnderline"/>
        </w:rPr>
        <w:t>there are places which are both close to the sea and have lots of sun. But chances are slim that they are as cheap and abandoned like deserts are</w:t>
      </w:r>
      <w:r w:rsidRPr="00946B56">
        <w:rPr>
          <w:sz w:val="16"/>
        </w:rPr>
        <w:t xml:space="preserve">. </w:t>
      </w:r>
      <w:r w:rsidRPr="00946B56">
        <w:rPr>
          <w:rStyle w:val="StyleBoldUnderline"/>
        </w:rPr>
        <w:t>Most likely, they are already filled up with tourists and hotels</w:t>
      </w:r>
      <w:r w:rsidRPr="00946B56">
        <w:rPr>
          <w:sz w:val="16"/>
        </w:rPr>
        <w:t xml:space="preserve">, to name one possibility. </w:t>
      </w:r>
      <w:r w:rsidRPr="00946B56">
        <w:rPr>
          <w:rStyle w:val="StyleBoldUnderline"/>
        </w:rPr>
        <w:t>So you might be forced to look for a less sunny place close to the sea</w:t>
      </w:r>
      <w:r w:rsidRPr="00946B56">
        <w:rPr>
          <w:sz w:val="16"/>
        </w:rPr>
        <w:t xml:space="preserve"> – </w:t>
      </w:r>
      <w:r w:rsidRPr="00946B56">
        <w:rPr>
          <w:rStyle w:val="StyleBoldUnderline"/>
        </w:rPr>
        <w:t xml:space="preserve">which inevitably means that </w:t>
      </w:r>
      <w:r w:rsidRPr="00557640">
        <w:rPr>
          <w:rStyle w:val="StyleBoldUnderline"/>
          <w:highlight w:val="green"/>
        </w:rPr>
        <w:t>your energy efficiency is going down</w:t>
      </w:r>
      <w:r w:rsidRPr="00946B56">
        <w:rPr>
          <w:sz w:val="16"/>
        </w:rPr>
        <w:t>. Which again raises the question: will the algae deliver more fu</w:t>
      </w:r>
      <w:r>
        <w:rPr>
          <w:sz w:val="16"/>
        </w:rPr>
        <w:t>el than is needed to make them?</w:t>
      </w:r>
    </w:p>
    <w:p w:rsidR="00984FEB" w:rsidRPr="0001023C" w:rsidRDefault="00984FEB" w:rsidP="00984FEB">
      <w:pPr>
        <w:pStyle w:val="Heading4"/>
        <w:rPr>
          <w:rStyle w:val="StyleStyleBold12pt"/>
          <w:b/>
        </w:rPr>
      </w:pPr>
      <w:r>
        <w:rPr>
          <w:rStyle w:val="StyleStyleBold12pt"/>
          <w:b/>
        </w:rPr>
        <w:t>Major roadblocks halt algal biofuels</w:t>
      </w:r>
    </w:p>
    <w:p w:rsidR="00984FEB" w:rsidRPr="0001023C" w:rsidRDefault="00984FEB" w:rsidP="00984FEB">
      <w:pPr>
        <w:rPr>
          <w:rStyle w:val="StyleStyleBold12pt"/>
          <w:b w:val="0"/>
          <w:sz w:val="16"/>
        </w:rPr>
      </w:pPr>
      <w:r w:rsidRPr="0001023C">
        <w:rPr>
          <w:rStyle w:val="StyleStyleBold12pt"/>
        </w:rPr>
        <w:t>Buchele, 2012</w:t>
      </w:r>
      <w:r w:rsidRPr="0001023C">
        <w:rPr>
          <w:rStyle w:val="StyleStyleBold12pt"/>
          <w:sz w:val="16"/>
        </w:rPr>
        <w:t xml:space="preserve"> </w:t>
      </w:r>
      <w:r w:rsidRPr="0001023C">
        <w:rPr>
          <w:rStyle w:val="StyleStyleBold12pt"/>
          <w:b w:val="0"/>
          <w:sz w:val="16"/>
        </w:rPr>
        <w:t>(Mose Buchele, State Impact writer, “The Downside of Using Algae as a Biofuel”, State Impact, 12/17/2012, http://stateimpact.npr.org/texas/2012/12/17/the-downside-of-using-algae-as-a-biofuel/)</w:t>
      </w:r>
    </w:p>
    <w:p w:rsidR="00984FEB" w:rsidRDefault="00984FEB" w:rsidP="00984FEB">
      <w:pPr>
        <w:rPr>
          <w:sz w:val="16"/>
        </w:rPr>
      </w:pPr>
      <w:r w:rsidRPr="0001023C">
        <w:rPr>
          <w:sz w:val="16"/>
        </w:rPr>
        <w:t xml:space="preserve">This year, people ranging from the President of the United States to this humble reporter, have spoken of algae’s potential in creating a carbon neutral biofuel. A recent study from the University of Texas showed how the tiny organisms could create 500 times more energy than they take to grow. And the promise of the slimy green stuff is made even more enticing by the fact that it consumes carbon dioxide, sewage, and fertilizer run-off. It could, theoretically, clean the planet even as becomes a new source of fuel. </w:t>
      </w:r>
      <w:r w:rsidRPr="0001023C">
        <w:rPr>
          <w:rStyle w:val="StyleBoldUnderline"/>
        </w:rPr>
        <w:t>Now comes the downside.</w:t>
      </w:r>
      <w:r>
        <w:rPr>
          <w:rStyle w:val="StyleBoldUnderline"/>
        </w:rPr>
        <w:t xml:space="preserve"> </w:t>
      </w:r>
      <w:r w:rsidRPr="0001023C">
        <w:rPr>
          <w:rStyle w:val="StyleBoldUnderline"/>
        </w:rPr>
        <w:t xml:space="preserve">A report </w:t>
      </w:r>
      <w:r w:rsidRPr="0001023C">
        <w:rPr>
          <w:sz w:val="16"/>
        </w:rPr>
        <w:t>by the National Academies of Science has</w:t>
      </w:r>
      <w:r w:rsidRPr="0001023C">
        <w:rPr>
          <w:rStyle w:val="StyleBoldUnderline"/>
        </w:rPr>
        <w:t xml:space="preserve"> identified </w:t>
      </w:r>
      <w:r w:rsidRPr="00557640">
        <w:rPr>
          <w:rStyle w:val="StyleBoldUnderline"/>
          <w:highlight w:val="green"/>
        </w:rPr>
        <w:t>major road blocks to</w:t>
      </w:r>
      <w:r w:rsidRPr="0001023C">
        <w:rPr>
          <w:rStyle w:val="StyleBoldUnderline"/>
        </w:rPr>
        <w:t xml:space="preserve"> the </w:t>
      </w:r>
      <w:r w:rsidRPr="0001023C">
        <w:rPr>
          <w:sz w:val="16"/>
        </w:rPr>
        <w:t>widespread</w:t>
      </w:r>
      <w:r w:rsidRPr="0001023C">
        <w:rPr>
          <w:rStyle w:val="StyleBoldUnderline"/>
        </w:rPr>
        <w:t xml:space="preserve"> </w:t>
      </w:r>
      <w:r w:rsidRPr="00557640">
        <w:rPr>
          <w:rStyle w:val="StyleBoldUnderline"/>
          <w:highlight w:val="green"/>
        </w:rPr>
        <w:t>development of algal biofuel</w:t>
      </w:r>
      <w:r w:rsidRPr="00557640">
        <w:rPr>
          <w:sz w:val="16"/>
          <w:highlight w:val="green"/>
        </w:rPr>
        <w:t xml:space="preserve">. </w:t>
      </w:r>
      <w:r w:rsidRPr="00557640">
        <w:rPr>
          <w:rStyle w:val="StyleBoldUnderline"/>
          <w:highlight w:val="green"/>
        </w:rPr>
        <w:t>Chief among them is water</w:t>
      </w:r>
      <w:r w:rsidRPr="0001023C">
        <w:rPr>
          <w:rStyle w:val="StyleBoldUnderline"/>
        </w:rPr>
        <w:t xml:space="preserve"> use</w:t>
      </w:r>
      <w:r w:rsidRPr="0001023C">
        <w:rPr>
          <w:sz w:val="16"/>
        </w:rPr>
        <w:t>, says Paul Zimba Director for the Center of Coastal Studies at Texas A&amp;M Corpus Christi. Zimba took part in the study. He says “</w:t>
      </w:r>
      <w:r w:rsidRPr="0001023C">
        <w:rPr>
          <w:rStyle w:val="StyleBoldUnderline"/>
        </w:rPr>
        <w:t xml:space="preserve">as much as </w:t>
      </w:r>
      <w:r w:rsidRPr="00557640">
        <w:rPr>
          <w:rStyle w:val="StyleBoldUnderline"/>
          <w:highlight w:val="green"/>
        </w:rPr>
        <w:t>3000 liters of water” are required to produce a single liter of fuel</w:t>
      </w:r>
      <w:r w:rsidRPr="0001023C">
        <w:rPr>
          <w:rStyle w:val="StyleBoldUnderline"/>
        </w:rPr>
        <w:t xml:space="preserve"> </w:t>
      </w:r>
      <w:r w:rsidRPr="0001023C">
        <w:rPr>
          <w:sz w:val="16"/>
        </w:rPr>
        <w:t xml:space="preserve">when algae growers use open pond systems in arid environments. “There are commercial operations, open pond system operations in the southwest primarily,” Zimba told StateImpact Texas. He says there’s a general feeling that </w:t>
      </w:r>
      <w:r w:rsidRPr="00557640">
        <w:rPr>
          <w:rStyle w:val="StyleBoldUnderline"/>
        </w:rPr>
        <w:t>water loss</w:t>
      </w:r>
      <w:r w:rsidRPr="0001023C">
        <w:rPr>
          <w:rStyle w:val="StyleBoldUnderline"/>
        </w:rPr>
        <w:t xml:space="preserve"> </w:t>
      </w:r>
      <w:r w:rsidRPr="0001023C">
        <w:rPr>
          <w:sz w:val="16"/>
        </w:rPr>
        <w:t>from those systems</w:t>
      </w:r>
      <w:r w:rsidRPr="0001023C">
        <w:rPr>
          <w:rStyle w:val="StyleBoldUnderline"/>
        </w:rPr>
        <w:t xml:space="preserve"> is too much “to allow the development </w:t>
      </w:r>
      <w:r w:rsidRPr="0001023C">
        <w:rPr>
          <w:rStyle w:val="StyleBoldUnderline"/>
        </w:rPr>
        <w:lastRenderedPageBreak/>
        <w:t xml:space="preserve">of large scale systems </w:t>
      </w:r>
      <w:r w:rsidRPr="0001023C">
        <w:rPr>
          <w:sz w:val="16"/>
        </w:rPr>
        <w:t>hundreds of acres along this line.”</w:t>
      </w:r>
      <w:r>
        <w:rPr>
          <w:rStyle w:val="StyleBoldUnderline"/>
        </w:rPr>
        <w:t xml:space="preserve"> </w:t>
      </w:r>
      <w:r w:rsidRPr="0001023C">
        <w:rPr>
          <w:rStyle w:val="StyleBoldUnderline"/>
        </w:rPr>
        <w:t xml:space="preserve">Water availability was just one of the challenges </w:t>
      </w:r>
      <w:r w:rsidRPr="0001023C">
        <w:rPr>
          <w:sz w:val="16"/>
        </w:rPr>
        <w:t xml:space="preserve">to widespread algae cultivation outlined in the report. </w:t>
      </w:r>
      <w:r w:rsidRPr="00557640">
        <w:rPr>
          <w:rStyle w:val="StyleBoldUnderline"/>
          <w:highlight w:val="green"/>
        </w:rPr>
        <w:t>Others include finding space for large</w:t>
      </w:r>
      <w:r w:rsidRPr="0001023C">
        <w:rPr>
          <w:rStyle w:val="StyleBoldUnderline"/>
        </w:rPr>
        <w:t xml:space="preserve"> growing </w:t>
      </w:r>
      <w:r w:rsidRPr="00557640">
        <w:rPr>
          <w:rStyle w:val="StyleBoldUnderline"/>
          <w:highlight w:val="green"/>
        </w:rPr>
        <w:t>operations, and competition for fertilizer</w:t>
      </w:r>
      <w:r w:rsidRPr="0001023C">
        <w:rPr>
          <w:sz w:val="16"/>
        </w:rPr>
        <w:t>. “</w:t>
      </w:r>
      <w:r w:rsidRPr="0001023C">
        <w:rPr>
          <w:rStyle w:val="StyleBoldUnderline"/>
        </w:rPr>
        <w:t xml:space="preserve">There will be a competitive demand for fertilizers that </w:t>
      </w:r>
      <w:r w:rsidRPr="0001023C">
        <w:rPr>
          <w:sz w:val="16"/>
        </w:rPr>
        <w:t>could</w:t>
      </w:r>
      <w:r w:rsidRPr="0001023C">
        <w:rPr>
          <w:rStyle w:val="StyleBoldUnderline"/>
        </w:rPr>
        <w:t xml:space="preserve"> affect food production in terms of being competitive cost-wise for </w:t>
      </w:r>
      <w:r w:rsidRPr="0001023C">
        <w:rPr>
          <w:sz w:val="16"/>
        </w:rPr>
        <w:t>their</w:t>
      </w:r>
      <w:r w:rsidRPr="0001023C">
        <w:rPr>
          <w:rStyle w:val="StyleBoldUnderline"/>
        </w:rPr>
        <w:t xml:space="preserve"> fertilizer products</w:t>
      </w:r>
      <w:r w:rsidRPr="0001023C">
        <w:rPr>
          <w:sz w:val="16"/>
        </w:rPr>
        <w:t xml:space="preserve">,” he said. </w:t>
      </w:r>
    </w:p>
    <w:p w:rsidR="00984FEB" w:rsidRPr="007B5A4D" w:rsidRDefault="00984FEB" w:rsidP="00984FEB">
      <w:pPr>
        <w:pStyle w:val="Heading4"/>
        <w:rPr>
          <w:rStyle w:val="StyleStyleBold12pt"/>
          <w:b/>
        </w:rPr>
      </w:pPr>
      <w:r>
        <w:rPr>
          <w:rStyle w:val="StyleStyleBold12pt"/>
          <w:b/>
        </w:rPr>
        <w:t>Benefits exaggerated</w:t>
      </w:r>
    </w:p>
    <w:p w:rsidR="00984FEB" w:rsidRPr="007B5A4D" w:rsidRDefault="00984FEB" w:rsidP="00984FEB">
      <w:pPr>
        <w:rPr>
          <w:rStyle w:val="StyleStyleBold12pt"/>
          <w:b w:val="0"/>
          <w:sz w:val="16"/>
        </w:rPr>
      </w:pPr>
      <w:r w:rsidRPr="007B5A4D">
        <w:rPr>
          <w:rStyle w:val="StyleStyleBold12pt"/>
        </w:rPr>
        <w:t>Hall &amp; Benemann, 2011</w:t>
      </w:r>
      <w:r w:rsidRPr="007B5A4D">
        <w:rPr>
          <w:rStyle w:val="StyleStyleBold12pt"/>
          <w:sz w:val="16"/>
        </w:rPr>
        <w:t xml:space="preserve"> </w:t>
      </w:r>
      <w:r w:rsidRPr="007B5A4D">
        <w:rPr>
          <w:rStyle w:val="StyleStyleBold12pt"/>
          <w:b w:val="0"/>
          <w:sz w:val="16"/>
        </w:rPr>
        <w:t>(Charles A. S. Hall  is at the College of Environmental Science and Forestry, State University of New York, and John R. Benemann is with Benemann Associates, Walnut Creek, California, “Oil from Algae?”, BioScience, 10/11/2011, http://bioscience.oxfordjournals.org/content/61/10/741.full)</w:t>
      </w:r>
    </w:p>
    <w:p w:rsidR="00984FEB" w:rsidRPr="007413DB" w:rsidRDefault="00984FEB" w:rsidP="00984FEB">
      <w:pPr>
        <w:rPr>
          <w:sz w:val="16"/>
        </w:rPr>
      </w:pPr>
      <w:r w:rsidRPr="007413DB">
        <w:rPr>
          <w:sz w:val="16"/>
        </w:rPr>
        <w:t xml:space="preserve">What is the reality? First, </w:t>
      </w:r>
      <w:r w:rsidRPr="007413DB">
        <w:rPr>
          <w:rStyle w:val="StyleBoldUnderline"/>
        </w:rPr>
        <w:t>no oil or other biofuel from algal photosynthesis is currently produced in commercial quantities or even at the pilot or prepilot scales. At most, a few gallons of samples seem to have been made</w:t>
      </w:r>
      <w:r w:rsidRPr="007413DB">
        <w:rPr>
          <w:sz w:val="16"/>
        </w:rPr>
        <w:t xml:space="preserve">. (Fermentation processes, such as those of Solazyme and Martek, which convert sugars or starches to oil, are an exception, but these are in a fundamentally different category from the autotrophic processes using carbon dioxide and solar energy that are our focus here.) Second, </w:t>
      </w:r>
      <w:r w:rsidRPr="007413DB">
        <w:rPr>
          <w:rStyle w:val="Emphasis"/>
        </w:rPr>
        <w:t>many projections for algal oil production are exaggerated</w:t>
      </w:r>
      <w:r w:rsidRPr="007413DB">
        <w:rPr>
          <w:sz w:val="16"/>
        </w:rPr>
        <w:t xml:space="preserve">. </w:t>
      </w:r>
      <w:r w:rsidRPr="007413DB">
        <w:rPr>
          <w:rStyle w:val="StyleBoldUnderline"/>
        </w:rPr>
        <w:t>Some even exceed thermodynamic limits</w:t>
      </w:r>
      <w:r w:rsidRPr="007413DB">
        <w:rPr>
          <w:sz w:val="16"/>
        </w:rPr>
        <w:t xml:space="preserve">, </w:t>
      </w:r>
      <w:r w:rsidRPr="007413DB">
        <w:rPr>
          <w:rStyle w:val="StyleBoldUnderline"/>
        </w:rPr>
        <w:t>and most ignore practical realities.</w:t>
      </w:r>
      <w:r w:rsidRPr="007413DB">
        <w:rPr>
          <w:sz w:val="16"/>
        </w:rPr>
        <w:t xml:space="preserve"> Even achieving 20,000 liters per ha per year of oil would require a major research and development effort, and </w:t>
      </w:r>
      <w:r w:rsidRPr="007413DB">
        <w:rPr>
          <w:rStyle w:val="StyleBoldUnderline"/>
        </w:rPr>
        <w:t>40,000 liters per ha per year would appear to be a likely practical long-term maximum for the United States</w:t>
      </w:r>
      <w:r w:rsidRPr="007413DB">
        <w:rPr>
          <w:sz w:val="16"/>
        </w:rPr>
        <w:t>.</w:t>
      </w:r>
    </w:p>
    <w:p w:rsidR="00984FEB" w:rsidRDefault="00984FEB" w:rsidP="00984FEB">
      <w:pPr>
        <w:rPr>
          <w:sz w:val="16"/>
        </w:rPr>
      </w:pPr>
    </w:p>
    <w:p w:rsidR="00984FEB" w:rsidRDefault="00984FEB" w:rsidP="00984FEB">
      <w:pPr>
        <w:pStyle w:val="Heading3"/>
      </w:pPr>
      <w:r>
        <w:lastRenderedPageBreak/>
        <w:t>no solvency – cost</w:t>
      </w:r>
    </w:p>
    <w:p w:rsidR="00984FEB" w:rsidRPr="007413DB" w:rsidRDefault="00984FEB" w:rsidP="00984FEB">
      <w:pPr>
        <w:pStyle w:val="Heading4"/>
        <w:rPr>
          <w:rStyle w:val="StyleStyleBold12pt"/>
          <w:b/>
        </w:rPr>
      </w:pPr>
      <w:r>
        <w:rPr>
          <w:rStyle w:val="StyleStyleBold12pt"/>
          <w:b/>
        </w:rPr>
        <w:t>Algal biofuels won’t be cost competitive—research now is failing</w:t>
      </w:r>
    </w:p>
    <w:p w:rsidR="00984FEB" w:rsidRPr="007413DB" w:rsidRDefault="00984FEB" w:rsidP="00984FEB">
      <w:pPr>
        <w:rPr>
          <w:rStyle w:val="StyleStyleBold12pt"/>
          <w:b w:val="0"/>
          <w:sz w:val="16"/>
        </w:rPr>
      </w:pPr>
      <w:r w:rsidRPr="007413DB">
        <w:rPr>
          <w:rStyle w:val="StyleStyleBold12pt"/>
        </w:rPr>
        <w:t>Milledge, 2010</w:t>
      </w:r>
      <w:r w:rsidRPr="007413DB">
        <w:rPr>
          <w:rStyle w:val="StyleStyleBold12pt"/>
          <w:sz w:val="16"/>
        </w:rPr>
        <w:t xml:space="preserve"> </w:t>
      </w:r>
      <w:r w:rsidRPr="007413DB">
        <w:rPr>
          <w:rStyle w:val="StyleStyleBold12pt"/>
          <w:b w:val="0"/>
          <w:sz w:val="16"/>
        </w:rPr>
        <w:t>(John J. Milledge, a Visiting Research Fellow, School of Civil Engineering and the Environment, University of Southampton, “The Challenge of Algal Fuel: Economic Processing of the Entire Algal Biomass”, Resilience, 02/09/2010, http://www.resilience.org/stories/2010-02-09/challenge-algal-fuel-economic-processing-entire-algal-biomass)</w:t>
      </w:r>
    </w:p>
    <w:p w:rsidR="00984FEB" w:rsidRPr="007413DB" w:rsidRDefault="00984FEB" w:rsidP="00984FEB">
      <w:pPr>
        <w:rPr>
          <w:sz w:val="16"/>
        </w:rPr>
      </w:pPr>
      <w:r w:rsidRPr="007413DB">
        <w:rPr>
          <w:sz w:val="16"/>
        </w:rPr>
        <w:t>Micro-algae have considerable potential for the production biofuel and in particular biodiesel (1). At present the process of pr</w:t>
      </w:r>
      <w:r w:rsidRPr="007413DB">
        <w:rPr>
          <w:rStyle w:val="StyleBoldUnderline"/>
        </w:rPr>
        <w:t xml:space="preserve">oducing fuel from algae would appear to be uneconomic with </w:t>
      </w:r>
      <w:r w:rsidRPr="007413DB">
        <w:rPr>
          <w:rStyle w:val="Emphasis"/>
        </w:rPr>
        <w:t>over 50 algal biofuel companies and none as yet producing commercial-scale quantities at competitive prices</w:t>
      </w:r>
      <w:r w:rsidRPr="007413DB">
        <w:rPr>
          <w:sz w:val="16"/>
        </w:rPr>
        <w:t xml:space="preserve"> (2) (3) It has been suggested that </w:t>
      </w:r>
      <w:r w:rsidRPr="007413DB">
        <w:rPr>
          <w:rStyle w:val="StyleBoldUnderline"/>
        </w:rPr>
        <w:t>the cost of production needs to be reduced by up to two orders of magnitude to become economic</w:t>
      </w:r>
      <w:r w:rsidRPr="007413DB">
        <w:rPr>
          <w:sz w:val="16"/>
        </w:rPr>
        <w:t xml:space="preserve"> (4). </w:t>
      </w:r>
      <w:r w:rsidRPr="007413DB">
        <w:rPr>
          <w:rStyle w:val="StyleBoldUnderline"/>
        </w:rPr>
        <w:t xml:space="preserve">Others estimate biodiesel from algae costs at least 10 to 30 times more than making traditional biofuels </w:t>
      </w:r>
      <w:r w:rsidRPr="007413DB">
        <w:rPr>
          <w:sz w:val="16"/>
        </w:rPr>
        <w:t xml:space="preserve">(5). </w:t>
      </w:r>
      <w:r w:rsidRPr="007413DB">
        <w:rPr>
          <w:rStyle w:val="StyleBoldUnderline"/>
        </w:rPr>
        <w:t>Algae can be grown</w:t>
      </w:r>
      <w:r w:rsidRPr="007413DB">
        <w:rPr>
          <w:sz w:val="16"/>
        </w:rPr>
        <w:t xml:space="preserve"> in simple open systems or closed systems </w:t>
      </w:r>
      <w:r w:rsidRPr="007413DB">
        <w:rPr>
          <w:rStyle w:val="StyleBoldUnderline"/>
        </w:rPr>
        <w:t>known as</w:t>
      </w:r>
      <w:r w:rsidRPr="007413DB">
        <w:rPr>
          <w:sz w:val="16"/>
        </w:rPr>
        <w:t xml:space="preserve"> </w:t>
      </w:r>
      <w:r w:rsidRPr="007413DB">
        <w:rPr>
          <w:rStyle w:val="StyleBoldUnderline"/>
        </w:rPr>
        <w:t>bioreactors</w:t>
      </w:r>
      <w:r w:rsidRPr="007413DB">
        <w:rPr>
          <w:sz w:val="16"/>
        </w:rPr>
        <w:t xml:space="preserve"> (6) (7). </w:t>
      </w:r>
      <w:r w:rsidRPr="007413DB">
        <w:rPr>
          <w:rStyle w:val="StyleBoldUnderline"/>
        </w:rPr>
        <w:t>Although</w:t>
      </w:r>
      <w:r w:rsidRPr="007413DB">
        <w:rPr>
          <w:sz w:val="16"/>
        </w:rPr>
        <w:t xml:space="preserve">, </w:t>
      </w:r>
      <w:r w:rsidRPr="007413DB">
        <w:rPr>
          <w:rStyle w:val="StyleBoldUnderline"/>
        </w:rPr>
        <w:t>bioreactors</w:t>
      </w:r>
      <w:r w:rsidRPr="007413DB">
        <w:rPr>
          <w:sz w:val="16"/>
        </w:rPr>
        <w:t xml:space="preserve"> can </w:t>
      </w:r>
      <w:r w:rsidRPr="007413DB">
        <w:rPr>
          <w:rStyle w:val="StyleBoldUnderline"/>
        </w:rPr>
        <w:t xml:space="preserve">have benefits, their cost </w:t>
      </w:r>
      <w:r w:rsidRPr="007413DB">
        <w:rPr>
          <w:sz w:val="16"/>
        </w:rPr>
        <w:t>may</w:t>
      </w:r>
      <w:r w:rsidRPr="007413DB">
        <w:rPr>
          <w:rStyle w:val="StyleBoldUnderline"/>
        </w:rPr>
        <w:t xml:space="preserve"> prohibit their use for the production of biofuel</w:t>
      </w:r>
      <w:r w:rsidRPr="007413DB">
        <w:rPr>
          <w:sz w:val="16"/>
        </w:rPr>
        <w:t xml:space="preserve">. (8) </w:t>
      </w:r>
      <w:r w:rsidRPr="007413DB">
        <w:rPr>
          <w:rStyle w:val="StyleBoldUnderline"/>
        </w:rPr>
        <w:t>The cost of producing dry algal biomass in a</w:t>
      </w:r>
      <w:r w:rsidRPr="007413DB">
        <w:rPr>
          <w:sz w:val="16"/>
        </w:rPr>
        <w:t xml:space="preserve"> tubular </w:t>
      </w:r>
      <w:r w:rsidRPr="007413DB">
        <w:rPr>
          <w:rStyle w:val="StyleBoldUnderline"/>
        </w:rPr>
        <w:t>bioreactor has been given as US $32.16per kg</w:t>
      </w:r>
      <w:r w:rsidRPr="007413DB">
        <w:rPr>
          <w:sz w:val="16"/>
        </w:rPr>
        <w:t xml:space="preserve"> in a tubular bioreactor (9). Some </w:t>
      </w:r>
      <w:r w:rsidRPr="007413DB">
        <w:rPr>
          <w:rStyle w:val="Emphasis"/>
        </w:rPr>
        <w:t>estimates have indicated that closed reactor systems will only be able to compete with crude oil at US$800 per barrel</w:t>
      </w:r>
      <w:r w:rsidRPr="007413DB">
        <w:rPr>
          <w:sz w:val="16"/>
        </w:rPr>
        <w:t xml:space="preserve"> (US$5 per litre) (10). Solix Biofuels has developed technologies to produce oil derived from algae, but it costs about $32.81 a gallon (over US$8 per litre) (11).</w:t>
      </w:r>
    </w:p>
    <w:p w:rsidR="00984FEB" w:rsidRPr="00AD742D" w:rsidRDefault="00984FEB" w:rsidP="00984FEB"/>
    <w:p w:rsidR="00984FEB" w:rsidRPr="00AE3FC8" w:rsidRDefault="00984FEB" w:rsidP="00984FEB">
      <w:pPr>
        <w:pStyle w:val="Heading4"/>
        <w:rPr>
          <w:rStyle w:val="StyleStyleBold12pt"/>
          <w:b/>
        </w:rPr>
      </w:pPr>
      <w:r>
        <w:rPr>
          <w:rStyle w:val="StyleStyleBold12pt"/>
          <w:b/>
        </w:rPr>
        <w:t xml:space="preserve">Algae biofuels won’t be cost competitive in the near-term </w:t>
      </w:r>
    </w:p>
    <w:p w:rsidR="00984FEB" w:rsidRPr="00AE3FC8" w:rsidRDefault="00984FEB" w:rsidP="00984FEB">
      <w:pPr>
        <w:rPr>
          <w:rStyle w:val="StyleStyleBold12pt"/>
          <w:b w:val="0"/>
          <w:sz w:val="16"/>
        </w:rPr>
      </w:pPr>
      <w:r w:rsidRPr="00AE3FC8">
        <w:rPr>
          <w:rStyle w:val="StyleStyleBold12pt"/>
        </w:rPr>
        <w:t>Russek, 2010</w:t>
      </w:r>
      <w:r w:rsidRPr="00AE3FC8">
        <w:rPr>
          <w:rStyle w:val="StyleStyleBold12pt"/>
          <w:sz w:val="16"/>
        </w:rPr>
        <w:t xml:space="preserve"> </w:t>
      </w:r>
      <w:r w:rsidRPr="00AE3FC8">
        <w:rPr>
          <w:rStyle w:val="StyleStyleBold12pt"/>
          <w:b w:val="0"/>
          <w:sz w:val="16"/>
        </w:rPr>
        <w:t>(Gabriela Russek, India Carbon Outlook writer, “  Algae Biofuels: Possibilities, Uncertainties”, India Carbon Outlook, 01/19/2010, http://india.carbon-outlook.com/content/algae-biofuels-exciting-possibilities-uncertain-future)</w:t>
      </w:r>
    </w:p>
    <w:p w:rsidR="00984FEB" w:rsidRPr="00AE3FC8" w:rsidRDefault="00984FEB" w:rsidP="00984FEB">
      <w:pPr>
        <w:rPr>
          <w:sz w:val="14"/>
        </w:rPr>
      </w:pPr>
      <w:r w:rsidRPr="00AE3FC8">
        <w:rPr>
          <w:rStyle w:val="StyleBoldUnderline"/>
        </w:rPr>
        <w:t>COST CONCERNS</w:t>
      </w:r>
      <w:r>
        <w:rPr>
          <w:rStyle w:val="StyleBoldUnderline"/>
        </w:rPr>
        <w:t xml:space="preserve"> </w:t>
      </w:r>
      <w:r w:rsidRPr="00AE3FC8">
        <w:rPr>
          <w:sz w:val="14"/>
        </w:rPr>
        <w:t xml:space="preserve">At this stage, </w:t>
      </w:r>
      <w:r w:rsidRPr="00AE3FC8">
        <w:rPr>
          <w:rStyle w:val="StyleBoldUnderline"/>
        </w:rPr>
        <w:t>algae biofuels’ cost would have to be drastically reduced to come anywhere close to competing with current fuel options.</w:t>
      </w:r>
      <w:r w:rsidRPr="00AE3FC8">
        <w:rPr>
          <w:sz w:val="14"/>
        </w:rPr>
        <w:t xml:space="preserve"> </w:t>
      </w:r>
      <w:r w:rsidRPr="00AE3FC8">
        <w:rPr>
          <w:rStyle w:val="StyleBoldUnderline"/>
        </w:rPr>
        <w:t xml:space="preserve">The current cost of production for algae biodiesel is </w:t>
      </w:r>
      <w:r w:rsidRPr="00AE3FC8">
        <w:rPr>
          <w:sz w:val="14"/>
        </w:rPr>
        <w:t>estimated at $10-</w:t>
      </w:r>
      <w:r w:rsidRPr="00AE3FC8">
        <w:rPr>
          <w:rStyle w:val="StyleBoldUnderline"/>
        </w:rPr>
        <w:t>100/gallon</w:t>
      </w:r>
      <w:r w:rsidRPr="00AE3FC8">
        <w:rPr>
          <w:sz w:val="14"/>
        </w:rPr>
        <w:t xml:space="preserve">, depending on the production method. Open pools are cheaper; bioreactors are far more expensive but currently the better method[27]. By comparison, this summer the Indian government set gasoline prices at about $3.50/gallon; and $2.60 for diesel. (Gasoline and biodiesel have about the same energy per gallon[28]). </w:t>
      </w:r>
      <w:r w:rsidRPr="00AE3FC8">
        <w:rPr>
          <w:rStyle w:val="StyleBoldUnderline"/>
        </w:rPr>
        <w:t>It is</w:t>
      </w:r>
      <w:r w:rsidRPr="00AE3FC8">
        <w:rPr>
          <w:sz w:val="14"/>
        </w:rPr>
        <w:t xml:space="preserve"> somewhat </w:t>
      </w:r>
      <w:r w:rsidRPr="00AE3FC8">
        <w:rPr>
          <w:rStyle w:val="StyleBoldUnderline"/>
        </w:rPr>
        <w:t>unlikely that bioreactors could be scaled up and become cost competitive</w:t>
      </w:r>
      <w:r w:rsidRPr="00AE3FC8">
        <w:rPr>
          <w:sz w:val="14"/>
        </w:rPr>
        <w:t xml:space="preserve">. </w:t>
      </w:r>
      <w:r w:rsidRPr="00AE3FC8">
        <w:rPr>
          <w:rStyle w:val="StyleBoldUnderline"/>
        </w:rPr>
        <w:t>They involve constantly pumping algae through a complex array of chambers and pipes: expensive to build, and energy-intensive to run</w:t>
      </w:r>
      <w:r w:rsidRPr="00AE3FC8">
        <w:rPr>
          <w:sz w:val="14"/>
        </w:rPr>
        <w:t xml:space="preserve">. Instead, </w:t>
      </w:r>
      <w:r w:rsidRPr="00AE3FC8">
        <w:rPr>
          <w:rStyle w:val="StyleBoldUnderline"/>
        </w:rPr>
        <w:t>the challenges of open pools—invasive species, temperature variability, etc.—will need to be overcome to bring costs down</w:t>
      </w:r>
      <w:r w:rsidRPr="00AE3FC8">
        <w:rPr>
          <w:sz w:val="14"/>
        </w:rPr>
        <w:t xml:space="preserve">.[29] It is also essential to find ways to convert the non-oil byproducts, which make up as much as 80% of the algae, into useful commodities—human or animal food, for instance—and to market them effectively.[30] There is a great deal of speculation about net carbon footprint, expected costs, and fuel production per acre, but algae biofuel technology simply is not at a where we can make accurate predictions. Unsurprisingly, </w:t>
      </w:r>
      <w:r w:rsidRPr="00AE3FC8">
        <w:rPr>
          <w:rStyle w:val="StyleBoldUnderline"/>
        </w:rPr>
        <w:t>ill-thought-out overestimates and dour skepticism often are filling in the gap.</w:t>
      </w:r>
      <w:r w:rsidRPr="00AE3FC8">
        <w:rPr>
          <w:sz w:val="14"/>
        </w:rPr>
        <w:t xml:space="preserve"> Anyone making the decision to invest personal or public funds in algae biofuels should be aware of the true level of uncertainty, and decide whether the potential long-run benefits are worth the short-term costs and the high risk of failure.</w:t>
      </w:r>
    </w:p>
    <w:p w:rsidR="00984FEB" w:rsidRDefault="00984FEB" w:rsidP="00984FEB">
      <w:pPr>
        <w:pStyle w:val="Heading3"/>
      </w:pPr>
      <w:r>
        <w:lastRenderedPageBreak/>
        <w:t>no solvency - no adoption</w:t>
      </w:r>
    </w:p>
    <w:p w:rsidR="00984FEB" w:rsidRPr="007F65E0" w:rsidRDefault="00984FEB" w:rsidP="00984FEB">
      <w:pPr>
        <w:pStyle w:val="Heading4"/>
      </w:pPr>
      <w:r w:rsidRPr="007F65E0">
        <w:t>No algae adoption absent large-scale policy changes – no incentive to switch</w:t>
      </w:r>
    </w:p>
    <w:p w:rsidR="00984FEB" w:rsidRPr="003963ED" w:rsidRDefault="00984FEB" w:rsidP="00984FEB">
      <w:pPr>
        <w:rPr>
          <w:sz w:val="16"/>
          <w:szCs w:val="16"/>
        </w:rPr>
      </w:pPr>
      <w:r w:rsidRPr="003963ED">
        <w:rPr>
          <w:rStyle w:val="StyleStyleBold12pt"/>
        </w:rPr>
        <w:t>Howell 09</w:t>
      </w:r>
      <w:r w:rsidRPr="003963ED">
        <w:rPr>
          <w:sz w:val="16"/>
          <w:szCs w:val="16"/>
        </w:rPr>
        <w:t xml:space="preserve"> (Katie, “Is Algae the Biofuel of the Future?”, Scientific American, 4/28/09, http://www.scientificamerican.com/article/algae-biofuel-of-future/)</w:t>
      </w:r>
    </w:p>
    <w:p w:rsidR="00984FEB" w:rsidRPr="003963ED" w:rsidRDefault="00984FEB" w:rsidP="00984FEB">
      <w:pPr>
        <w:rPr>
          <w:sz w:val="16"/>
          <w:szCs w:val="16"/>
        </w:rPr>
      </w:pPr>
      <w:r w:rsidRPr="003963ED">
        <w:rPr>
          <w:rStyle w:val="StyleBoldUnderline"/>
        </w:rPr>
        <w:t>Raytheon</w:t>
      </w:r>
      <w:r w:rsidRPr="003963ED">
        <w:rPr>
          <w:sz w:val="16"/>
          <w:szCs w:val="16"/>
        </w:rPr>
        <w:t xml:space="preserve"> Co. </w:t>
      </w:r>
      <w:r w:rsidRPr="003963ED">
        <w:rPr>
          <w:rStyle w:val="StyleBoldUnderline"/>
        </w:rPr>
        <w:t>and other companies are also looking into the reuse of CO2 emissions for algae production</w:t>
      </w:r>
      <w:r w:rsidRPr="003963ED">
        <w:rPr>
          <w:sz w:val="16"/>
          <w:szCs w:val="16"/>
        </w:rPr>
        <w:t xml:space="preserve">. Frank Prautzsch, director of Raytheon's Rapid Initiatives Group, the company's renewable-energy enterprise arm, said his team is running carbon capture and recycling R&amp;D and pilot programs at </w:t>
      </w:r>
      <w:hyperlink r:id="rId111" w:history="1">
        <w:r w:rsidRPr="003963ED">
          <w:rPr>
            <w:rStyle w:val="Hyperlink"/>
            <w:sz w:val="16"/>
            <w:szCs w:val="16"/>
          </w:rPr>
          <w:t>coal-fired power plants</w:t>
        </w:r>
      </w:hyperlink>
      <w:r w:rsidRPr="003963ED">
        <w:rPr>
          <w:sz w:val="16"/>
          <w:szCs w:val="16"/>
        </w:rPr>
        <w:t xml:space="preserve"> in Colorado and Arizona. "</w:t>
      </w:r>
      <w:r w:rsidRPr="003963ED">
        <w:rPr>
          <w:rStyle w:val="StyleBoldUnderline"/>
        </w:rPr>
        <w:t>The fuel basis of algae is very important," Prautzsch said.</w:t>
      </w:r>
      <w:r w:rsidRPr="003963ED">
        <w:rPr>
          <w:sz w:val="16"/>
          <w:szCs w:val="16"/>
        </w:rPr>
        <w:t xml:space="preserve"> "The reason we focus on algae is because of its oil yield and its ability to not be addressable inside our food crop." Power plants could capture CO2 and use it to produce algae directly at the plant, "if they have the real estate for an algae farm," Prautzsch said. Algae can grow in almost any climate and with minimal water, so long as there is sunlight. If conditions are not ideal for algae development, the plant could pipe its CO2 emissions away to someplace like Sapphire's 3,000-acre Integrated Algal Biorefinery in southern New Mexico. Push for policy changes </w:t>
      </w:r>
      <w:r w:rsidRPr="003963ED">
        <w:rPr>
          <w:rStyle w:val="StyleBoldUnderline"/>
        </w:rPr>
        <w:t>But Zenk does not think that is going to happen until Congress enacts some policy changes. It would be wise</w:t>
      </w:r>
      <w:r w:rsidRPr="003963ED">
        <w:rPr>
          <w:sz w:val="16"/>
          <w:szCs w:val="16"/>
        </w:rPr>
        <w:t xml:space="preserve">, he said, </w:t>
      </w:r>
      <w:r w:rsidRPr="003963ED">
        <w:rPr>
          <w:rStyle w:val="StyleBoldUnderline"/>
        </w:rPr>
        <w:t>to include a provision in any climate change legislation to give carbon emitters a credit for beneficial reuse of the greenhouse gas</w:t>
      </w:r>
      <w:r w:rsidRPr="003963ED">
        <w:rPr>
          <w:sz w:val="16"/>
          <w:szCs w:val="16"/>
        </w:rPr>
        <w:t xml:space="preserve">. "It's both the cost-of-carbon issue but also creating a policy framework that allows these emitters to </w:t>
      </w:r>
      <w:hyperlink r:id="rId112" w:history="1">
        <w:r w:rsidRPr="003963ED">
          <w:rPr>
            <w:rStyle w:val="Hyperlink"/>
            <w:sz w:val="16"/>
            <w:szCs w:val="16"/>
          </w:rPr>
          <w:t>get credit for beneficial reuse of their carbon</w:t>
        </w:r>
      </w:hyperlink>
      <w:r w:rsidRPr="003963ED">
        <w:rPr>
          <w:sz w:val="16"/>
          <w:szCs w:val="16"/>
        </w:rPr>
        <w:t xml:space="preserve">," he said. </w:t>
      </w:r>
      <w:r w:rsidRPr="003963ED">
        <w:rPr>
          <w:rStyle w:val="StyleBoldUnderline"/>
        </w:rPr>
        <w:t>Zenk is urging lawmakers to include incentives for power plants to do more than</w:t>
      </w:r>
      <w:hyperlink r:id="rId113" w:history="1">
        <w:r w:rsidRPr="003963ED">
          <w:rPr>
            <w:rStyle w:val="StyleBoldUnderline"/>
          </w:rPr>
          <w:t>capture and sequester</w:t>
        </w:r>
      </w:hyperlink>
      <w:r w:rsidRPr="003963ED">
        <w:rPr>
          <w:rStyle w:val="StyleBoldUnderline"/>
        </w:rPr>
        <w:t xml:space="preserve"> their CO2 emissions. "We think a better policy is to find a way to use waste, which is CO2, and recycle it and beneficially reuse it and turn it into something that is important for our economy," he said.</w:t>
      </w:r>
    </w:p>
    <w:p w:rsidR="00984FEB" w:rsidRDefault="00984FEB" w:rsidP="00984FEB">
      <w:pPr>
        <w:pStyle w:val="Heading3"/>
      </w:pPr>
      <w:r>
        <w:lastRenderedPageBreak/>
        <w:t>no solvency – oil dependence</w:t>
      </w:r>
    </w:p>
    <w:p w:rsidR="00984FEB" w:rsidRPr="007B5A4D" w:rsidRDefault="00984FEB" w:rsidP="00984FEB">
      <w:pPr>
        <w:pStyle w:val="Heading4"/>
        <w:rPr>
          <w:rStyle w:val="StyleStyleBold12pt"/>
          <w:b/>
        </w:rPr>
      </w:pPr>
      <w:r>
        <w:rPr>
          <w:rStyle w:val="StyleStyleBold12pt"/>
          <w:b/>
        </w:rPr>
        <w:t>Won’t make a dent in oil dependence</w:t>
      </w:r>
    </w:p>
    <w:p w:rsidR="00984FEB" w:rsidRPr="007B5A4D" w:rsidRDefault="00984FEB" w:rsidP="00984FEB">
      <w:pPr>
        <w:rPr>
          <w:rStyle w:val="StyleStyleBold12pt"/>
          <w:b w:val="0"/>
          <w:sz w:val="16"/>
        </w:rPr>
      </w:pPr>
      <w:r w:rsidRPr="007B5A4D">
        <w:rPr>
          <w:rStyle w:val="StyleStyleBold12pt"/>
        </w:rPr>
        <w:t>Hall &amp; Benemann, 2011</w:t>
      </w:r>
      <w:r w:rsidRPr="007B5A4D">
        <w:rPr>
          <w:rStyle w:val="StyleStyleBold12pt"/>
          <w:sz w:val="16"/>
        </w:rPr>
        <w:t xml:space="preserve"> </w:t>
      </w:r>
      <w:r w:rsidRPr="007B5A4D">
        <w:rPr>
          <w:rStyle w:val="StyleStyleBold12pt"/>
          <w:b w:val="0"/>
          <w:sz w:val="16"/>
        </w:rPr>
        <w:t>(Charles A. S. Hall  is at the College of Environmental Science and Forestry, State University of New York, and John R. Benemann is with Benemann Associates, Walnut Creek, California, “Oil from Algae?”, BioScience, 10/11/2011, http://bioscience.oxfordjournals.org/content/61/10/741.full)</w:t>
      </w:r>
    </w:p>
    <w:p w:rsidR="00984FEB" w:rsidRPr="007B5A4D" w:rsidRDefault="00984FEB" w:rsidP="00984FEB">
      <w:pPr>
        <w:rPr>
          <w:rStyle w:val="StyleStyleBold12pt"/>
          <w:b w:val="0"/>
          <w:sz w:val="16"/>
        </w:rPr>
      </w:pPr>
      <w:r w:rsidRPr="007413DB">
        <w:rPr>
          <w:rStyle w:val="StyleBoldUnderline"/>
        </w:rPr>
        <w:t xml:space="preserve"> The greatest challenge may be political: The enormous sums of money recently invested in microalgae biofuels will soon run out</w:t>
      </w:r>
      <w:r w:rsidRPr="007B5A4D">
        <w:rPr>
          <w:rStyle w:val="StyleStyleBold12pt"/>
          <w:b w:val="0"/>
          <w:sz w:val="16"/>
        </w:rPr>
        <w:t xml:space="preserve">, at </w:t>
      </w:r>
      <w:r w:rsidRPr="007413DB">
        <w:rPr>
          <w:rStyle w:val="StyleBoldUnderline"/>
        </w:rPr>
        <w:t>just about the time that the new entrants into this field become able to help advance the technology.</w:t>
      </w:r>
      <w:r w:rsidRPr="007B5A4D">
        <w:rPr>
          <w:rStyle w:val="StyleStyleBold12pt"/>
          <w:b w:val="0"/>
          <w:sz w:val="16"/>
        </w:rPr>
        <w:t xml:space="preserve"> </w:t>
      </w:r>
      <w:r w:rsidRPr="007B5A4D">
        <w:rPr>
          <w:rStyle w:val="StyleBoldUnderline"/>
        </w:rPr>
        <w:t>Will there be continuing support for this effort in a year</w:t>
      </w:r>
      <w:r w:rsidRPr="007B5A4D">
        <w:rPr>
          <w:rStyle w:val="StyleStyleBold12pt"/>
          <w:b w:val="0"/>
          <w:sz w:val="16"/>
        </w:rPr>
        <w:t xml:space="preserve"> </w:t>
      </w:r>
      <w:r w:rsidRPr="007B5A4D">
        <w:rPr>
          <w:rStyle w:val="StyleBoldUnderline"/>
        </w:rPr>
        <w:t>or two, or will politicians, oil companies, and venture capitalists</w:t>
      </w:r>
      <w:r w:rsidRPr="007B5A4D">
        <w:rPr>
          <w:rStyle w:val="StyleStyleBold12pt"/>
          <w:b w:val="0"/>
          <w:sz w:val="16"/>
        </w:rPr>
        <w:t xml:space="preserve"> </w:t>
      </w:r>
      <w:r w:rsidRPr="007413DB">
        <w:rPr>
          <w:rStyle w:val="StyleBoldUnderline"/>
        </w:rPr>
        <w:t>move on to another new hoped-for solution to our energy crisis</w:t>
      </w:r>
      <w:r w:rsidRPr="007B5A4D">
        <w:rPr>
          <w:rStyle w:val="StyleStyleBold12pt"/>
          <w:b w:val="0"/>
          <w:sz w:val="16"/>
        </w:rPr>
        <w:t>? Perhaps the most important fundamental advantage of microalgae biofuels is their very fast growth rates. A week of algae cultivation is equivalent to a season for higher crops, which suggests that algae biofuel technology might be developed rapidly. But a</w:t>
      </w:r>
      <w:r w:rsidRPr="007413DB">
        <w:rPr>
          <w:rStyle w:val="StyleBoldUnderline"/>
        </w:rPr>
        <w:t xml:space="preserve"> decade is probably the shortest time in which substantial progress can be made toward the goal of energy-efficient and cost-effective microalgae biofuels production</w:t>
      </w:r>
      <w:r w:rsidRPr="007B5A4D">
        <w:rPr>
          <w:rStyle w:val="StyleStyleBold12pt"/>
          <w:b w:val="0"/>
          <w:sz w:val="16"/>
        </w:rPr>
        <w:t xml:space="preserve">. </w:t>
      </w:r>
      <w:r w:rsidRPr="007413DB">
        <w:rPr>
          <w:rStyle w:val="Emphasis"/>
        </w:rPr>
        <w:t xml:space="preserve">Even if there is success, microalgae biofuels will most likely replace only 1 </w:t>
      </w:r>
      <w:r w:rsidRPr="007B5A4D">
        <w:rPr>
          <w:sz w:val="16"/>
        </w:rPr>
        <w:t>or 2</w:t>
      </w:r>
      <w:r w:rsidRPr="007413DB">
        <w:rPr>
          <w:rStyle w:val="Emphasis"/>
        </w:rPr>
        <w:t xml:space="preserve"> percent of current oil use worldwide</w:t>
      </w:r>
      <w:r w:rsidRPr="007B5A4D">
        <w:rPr>
          <w:rStyle w:val="StyleStyleBold12pt"/>
          <w:b w:val="0"/>
          <w:sz w:val="16"/>
        </w:rPr>
        <w:t>. Yet even 1 percent of the world oil supply is an enormous amount and would contribute to reducing greenhouse-gas emissions and improving energy security. We must continue to explore and develop all plausible, environmentally sound, renewable fuel technologies even while preparing for a future in which transportation fuels are ever more scarce and expensive.</w:t>
      </w:r>
    </w:p>
    <w:p w:rsidR="00984FEB" w:rsidRPr="004105A9" w:rsidRDefault="00984FEB" w:rsidP="00984FEB"/>
    <w:p w:rsidR="00984FEB" w:rsidRDefault="00984FEB" w:rsidP="00984FEB">
      <w:pPr>
        <w:pStyle w:val="Heading3"/>
      </w:pPr>
      <w:r>
        <w:lastRenderedPageBreak/>
        <w:t>sq solves</w:t>
      </w:r>
    </w:p>
    <w:p w:rsidR="00984FEB" w:rsidRPr="000706CF" w:rsidRDefault="00984FEB" w:rsidP="00984FEB">
      <w:pPr>
        <w:pStyle w:val="Heading4"/>
        <w:rPr>
          <w:rStyle w:val="StyleStyleBold12pt"/>
          <w:b/>
        </w:rPr>
      </w:pPr>
      <w:r>
        <w:rPr>
          <w:rStyle w:val="StyleStyleBold12pt"/>
          <w:b/>
        </w:rPr>
        <w:t>Ocean research center already begun- it would be the result of the plan</w:t>
      </w:r>
    </w:p>
    <w:p w:rsidR="00984FEB" w:rsidRPr="000706CF" w:rsidRDefault="00984FEB" w:rsidP="00984FEB">
      <w:pPr>
        <w:rPr>
          <w:rStyle w:val="StyleStyleBold12pt"/>
          <w:b w:val="0"/>
          <w:sz w:val="16"/>
        </w:rPr>
      </w:pPr>
      <w:r w:rsidRPr="000706CF">
        <w:rPr>
          <w:rStyle w:val="StyleStyleBold12pt"/>
        </w:rPr>
        <w:t>Gewin, 2013</w:t>
      </w:r>
      <w:r w:rsidRPr="000706CF">
        <w:rPr>
          <w:rStyle w:val="StyleStyleBold12pt"/>
          <w:sz w:val="16"/>
        </w:rPr>
        <w:t xml:space="preserve"> </w:t>
      </w:r>
      <w:r w:rsidRPr="000706CF">
        <w:rPr>
          <w:rStyle w:val="StyleStyleBold12pt"/>
          <w:b w:val="0"/>
          <w:sz w:val="16"/>
        </w:rPr>
        <w:t>(Virginia Gewin, a science journalist covering environmental issues — from food security to acidifying oceans, “Los Angeles unveils plans for ocean-research centre”, Nature News, 06/21/2013, http://www.nature.com/news/los-angeles-unveils-plans-for-ocean-research-centre-1.13250)</w:t>
      </w:r>
    </w:p>
    <w:p w:rsidR="00984FEB" w:rsidRDefault="00984FEB" w:rsidP="00984FEB">
      <w:pPr>
        <w:rPr>
          <w:sz w:val="14"/>
        </w:rPr>
      </w:pPr>
      <w:r w:rsidRPr="000706CF">
        <w:rPr>
          <w:rStyle w:val="StyleBoldUnderline"/>
        </w:rPr>
        <w:t>California has no shortage of high-profile marine research institutes</w:t>
      </w:r>
      <w:r w:rsidRPr="000706CF">
        <w:rPr>
          <w:sz w:val="14"/>
        </w:rPr>
        <w:t xml:space="preserve"> — from the Scripps Institution of Oceanography in La Jolla in the south, to the Monterey Bay Aquarium Research Institute farther north, in Moss Landing. </w:t>
      </w:r>
      <w:r w:rsidRPr="000706CF">
        <w:rPr>
          <w:rStyle w:val="StyleBoldUnderline"/>
        </w:rPr>
        <w:t xml:space="preserve">But backers of a plan to convert a 100-year-old dock in the Port of Los Angeles into a US$500-million research centre </w:t>
      </w:r>
      <w:r w:rsidRPr="000706CF">
        <w:rPr>
          <w:sz w:val="14"/>
        </w:rPr>
        <w:t xml:space="preserve">and business park called AltaSea </w:t>
      </w:r>
      <w:r w:rsidRPr="000706CF">
        <w:rPr>
          <w:rStyle w:val="StyleBoldUnderline"/>
        </w:rPr>
        <w:t xml:space="preserve">say </w:t>
      </w:r>
      <w:r w:rsidRPr="000706CF">
        <w:rPr>
          <w:sz w:val="14"/>
        </w:rPr>
        <w:t>that</w:t>
      </w:r>
      <w:r w:rsidRPr="000706CF">
        <w:rPr>
          <w:rStyle w:val="StyleBoldUnderline"/>
        </w:rPr>
        <w:t xml:space="preserve"> there is </w:t>
      </w:r>
      <w:r w:rsidRPr="000706CF">
        <w:rPr>
          <w:sz w:val="14"/>
        </w:rPr>
        <w:t>still</w:t>
      </w:r>
      <w:r w:rsidRPr="000706CF">
        <w:rPr>
          <w:rStyle w:val="StyleBoldUnderline"/>
        </w:rPr>
        <w:t xml:space="preserve"> an untapped niche in ocean science</w:t>
      </w:r>
      <w:r w:rsidRPr="000706CF">
        <w:rPr>
          <w:sz w:val="14"/>
        </w:rPr>
        <w:t xml:space="preserve"> — a facility focused on making Los Angeles and other coastal cities sustainable by helping them to adapt to climate change, to become more energy efficient and to reduce marine pollution. The 11-hectare facility will be developed by a public–private collaboration of the Port of Los Angeles, a family foundation and several California universities. </w:t>
      </w:r>
      <w:r w:rsidRPr="000706CF">
        <w:rPr>
          <w:rStyle w:val="StyleBoldUnderline"/>
        </w:rPr>
        <w:t xml:space="preserve">The centre will house labs with circulating seawater, offices, lecture halls, </w:t>
      </w:r>
      <w:r w:rsidRPr="000706CF">
        <w:rPr>
          <w:sz w:val="14"/>
        </w:rPr>
        <w:t>classrooms</w:t>
      </w:r>
      <w:r w:rsidRPr="000706CF">
        <w:rPr>
          <w:rStyle w:val="StyleBoldUnderline"/>
        </w:rPr>
        <w:t xml:space="preserve"> and a visitor centre, </w:t>
      </w:r>
      <w:r w:rsidRPr="000706CF">
        <w:rPr>
          <w:sz w:val="14"/>
        </w:rPr>
        <w:t>according to construction plans unveiled on 17 June by port officials. The collaboration also hopes to build the world's largest seawater wave tank to study wave damage to coastal infrastructure. "The idea is to create a hybrid institute around the fundamental challenges inherent to coastal cities," says Anthony Michaels, chief scientist at Pegasus Capital Advisors, an investment firm in El Segundo, California, who championed the AltaSea proposal during his tenure as director of the Wrigley Institute for Environmental Studies at the University of Southern California in Los Angeles. AltaSea's first tenant will be the Southern California Marine Institute (SCMI), a research alliance of 11 major universities in the region — including eight California State University campuses, the University of Southern California and Occidental College, both in Los Angeles, and the University of California, Los Angeles. "</w:t>
      </w:r>
      <w:r w:rsidRPr="000706CF">
        <w:rPr>
          <w:rStyle w:val="StyleBoldUnderline"/>
        </w:rPr>
        <w:t>This will be a green, world-class research centre in an area where we are seeing the greatest urban-ocean problems, from runoff to climate change</w:t>
      </w:r>
      <w:r w:rsidRPr="000706CF">
        <w:rPr>
          <w:sz w:val="14"/>
        </w:rPr>
        <w:t xml:space="preserve">," says biologist Daniel Pondella, the SCMI's director and a professor at Occidental College. AltaSea's location on an industrial urban waterfront will help the 19-year-old alliance to continue its work on harmful algal blooms, the restoration of near-shore reefs damaged by nutrient runoff, and other signs of human impact on the world's oceans. Finding funds Geraldine Knatz, the Port of Los Angeles's executive director — and a former marine scientist — calls the project “a game changer” that could help revitalize the San Pedro neighborhood that AltaSea will call home. Fifty years ago, more than 100,000 people streamed to the port each day; today, that figure has shrunk to just 16,000. But first, AltaSea's backers will have to continue trawling for cash. They have raised just $57 million of the estimated $155 million that they will need to pay for the project's first phase, which they hope to complete in 2018. The Port of Los Angeles is contributing $32 million to upgrade the dock and the Annenberg Foundation in Los Angeles has donated $25 million to kick-start construction. A second phase of development, including construction of the wave tank, would bring the project's total cost to an estimated $500 million over 20 years. </w:t>
      </w:r>
      <w:r w:rsidRPr="000706CF">
        <w:rPr>
          <w:rStyle w:val="StyleBoldUnderline"/>
        </w:rPr>
        <w:t>Michaels says that</w:t>
      </w:r>
      <w:r w:rsidRPr="000706CF">
        <w:rPr>
          <w:sz w:val="14"/>
        </w:rPr>
        <w:t xml:space="preserve"> he isn't worried about raising the extra money. </w:t>
      </w:r>
      <w:r w:rsidRPr="000706CF">
        <w:rPr>
          <w:rStyle w:val="StyleBoldUnderline"/>
        </w:rPr>
        <w:t xml:space="preserve">He envisions AltaSea as a hotbed of research for companies working on aquaculture, </w:t>
      </w:r>
      <w:r w:rsidRPr="000706CF">
        <w:rPr>
          <w:rStyle w:val="Emphasis"/>
        </w:rPr>
        <w:t>algal biofuels</w:t>
      </w:r>
      <w:r w:rsidRPr="000706CF">
        <w:rPr>
          <w:rStyle w:val="StyleBoldUnderline"/>
        </w:rPr>
        <w:t>, marine sensors and urban agriculture, and not just as a home for academic scientists. "We're taking a gamble on the real faith that a facility this unique will create genuine value by bringing everyone together</w:t>
      </w:r>
      <w:r w:rsidRPr="000706CF">
        <w:rPr>
          <w:sz w:val="14"/>
        </w:rPr>
        <w:t>," he says. Despite tight federal and state research funding, even would-be competitors — such as the Center for Oceans and Human Health at the Scripps Institution of Oceanography — view AltaSea as a welcome addition. "</w:t>
      </w:r>
      <w:r w:rsidRPr="000706CF">
        <w:rPr>
          <w:rStyle w:val="Emphasis"/>
        </w:rPr>
        <w:t>Studying the interactions between the ocean and human health is an emerging area of science</w:t>
      </w:r>
      <w:r w:rsidRPr="000706CF">
        <w:rPr>
          <w:sz w:val="14"/>
        </w:rPr>
        <w:t>," says Bradley Moore, director of the Scripps centre, which was established last year with a $6-million joint grant from the US National Science Foundation in Arlington, Virginia, and the National Institutes of Health in Bethesda, Maryland. "If AltaSea can put more resources towards helping find solutions, that's great."</w:t>
      </w:r>
    </w:p>
    <w:p w:rsidR="00984FEB" w:rsidRPr="007B5A4D" w:rsidRDefault="00984FEB" w:rsidP="00984FEB">
      <w:pPr>
        <w:pStyle w:val="Heading4"/>
        <w:rPr>
          <w:rStyle w:val="StyleStyleBold12pt"/>
          <w:b/>
        </w:rPr>
      </w:pPr>
      <w:r>
        <w:rPr>
          <w:rStyle w:val="StyleStyleBold12pt"/>
          <w:b/>
        </w:rPr>
        <w:t>Algal biofuel research now</w:t>
      </w:r>
    </w:p>
    <w:p w:rsidR="00984FEB" w:rsidRPr="007B5A4D" w:rsidRDefault="00984FEB" w:rsidP="00984FEB">
      <w:pPr>
        <w:rPr>
          <w:rStyle w:val="StyleStyleBold12pt"/>
          <w:b w:val="0"/>
          <w:sz w:val="16"/>
        </w:rPr>
      </w:pPr>
      <w:r w:rsidRPr="007B5A4D">
        <w:rPr>
          <w:rStyle w:val="StyleStyleBold12pt"/>
        </w:rPr>
        <w:t>DOE, 06/09/2014</w:t>
      </w:r>
      <w:r w:rsidRPr="007B5A4D">
        <w:rPr>
          <w:rStyle w:val="StyleStyleBold12pt"/>
          <w:sz w:val="16"/>
        </w:rPr>
        <w:t xml:space="preserve"> </w:t>
      </w:r>
      <w:r w:rsidRPr="007B5A4D">
        <w:rPr>
          <w:rStyle w:val="StyleStyleBold12pt"/>
          <w:b w:val="0"/>
          <w:sz w:val="16"/>
        </w:rPr>
        <w:t>(Department of Energy, “BETO Announces June Webinar: Algal Biofuels Consortium Releases Groundbreaking Research Results”, DOE, 06/09/2014, http://www.energy.gov/eere/bioenergy/articles/beto-announces-june-webinar-algal-biofuels-consortium-releases)</w:t>
      </w:r>
    </w:p>
    <w:p w:rsidR="00984FEB" w:rsidRDefault="00984FEB" w:rsidP="00984FEB">
      <w:pPr>
        <w:rPr>
          <w:sz w:val="16"/>
        </w:rPr>
      </w:pPr>
      <w:r w:rsidRPr="007B5A4D">
        <w:rPr>
          <w:sz w:val="16"/>
        </w:rPr>
        <w:t>BETO will host a live webinar titled “</w:t>
      </w:r>
      <w:r w:rsidRPr="007B5A4D">
        <w:rPr>
          <w:rStyle w:val="StyleBoldUnderline"/>
        </w:rPr>
        <w:t>Algal Biofuels Consortium Releases Groundbreaking Research Results</w:t>
      </w:r>
      <w:r w:rsidRPr="007B5A4D">
        <w:rPr>
          <w:sz w:val="16"/>
        </w:rPr>
        <w:t>” on Wednesday, June 11, 2014, from 2:00 p.m. to 3:00 p.m. Eastern Standard Time. Dr. Jose Olivares of</w:t>
      </w:r>
      <w:r w:rsidRPr="007B5A4D">
        <w:rPr>
          <w:rStyle w:val="StyleBoldUnderline"/>
        </w:rPr>
        <w:t xml:space="preserve"> Los Alamos National Laboratory will present the results of algal biofuels research conducted by the National Alliance for Advanced Biofuels and Bioproducts (NAABB). NAABB is the largest advanced biofuels consortium ever funded, consisting of 39 institutions from national laboratories, academia, and industry</w:t>
      </w:r>
      <w:r w:rsidRPr="007B5A4D">
        <w:rPr>
          <w:sz w:val="16"/>
        </w:rPr>
        <w:t>. Register for the webinar today to reserve your spot!</w:t>
      </w:r>
    </w:p>
    <w:p w:rsidR="00984FEB" w:rsidRDefault="00984FEB" w:rsidP="00984FEB">
      <w:pPr>
        <w:rPr>
          <w:sz w:val="14"/>
        </w:rPr>
      </w:pPr>
    </w:p>
    <w:p w:rsidR="00984FEB" w:rsidRDefault="00984FEB" w:rsidP="00984FEB">
      <w:pPr>
        <w:pStyle w:val="Heading3"/>
      </w:pPr>
      <w:r>
        <w:lastRenderedPageBreak/>
        <w:t>alt cause – ng</w:t>
      </w:r>
    </w:p>
    <w:p w:rsidR="00984FEB" w:rsidRPr="00A550BF" w:rsidRDefault="00984FEB" w:rsidP="00984FEB">
      <w:pPr>
        <w:pStyle w:val="Heading4"/>
        <w:rPr>
          <w:rStyle w:val="StyleStyleBold12pt"/>
          <w:b/>
        </w:rPr>
      </w:pPr>
      <w:r>
        <w:rPr>
          <w:rStyle w:val="StyleStyleBold12pt"/>
          <w:b/>
        </w:rPr>
        <w:t xml:space="preserve">US natural gas boom crowds out algal biofuels </w:t>
      </w:r>
    </w:p>
    <w:p w:rsidR="00984FEB" w:rsidRPr="00A550BF" w:rsidRDefault="00984FEB" w:rsidP="00984FEB">
      <w:pPr>
        <w:rPr>
          <w:rStyle w:val="StyleStyleBold12pt"/>
          <w:b w:val="0"/>
          <w:sz w:val="16"/>
        </w:rPr>
      </w:pPr>
      <w:r w:rsidRPr="00A550BF">
        <w:rPr>
          <w:rStyle w:val="StyleStyleBold12pt"/>
        </w:rPr>
        <w:t>SIO, 04/08/2014</w:t>
      </w:r>
      <w:r w:rsidRPr="00A550BF">
        <w:rPr>
          <w:rStyle w:val="StyleStyleBold12pt"/>
          <w:sz w:val="16"/>
        </w:rPr>
        <w:t xml:space="preserve"> </w:t>
      </w:r>
      <w:r w:rsidRPr="00A550BF">
        <w:rPr>
          <w:rStyle w:val="StyleStyleBold12pt"/>
          <w:b w:val="0"/>
          <w:sz w:val="16"/>
        </w:rPr>
        <w:t>(Scripps Institut</w:t>
      </w:r>
      <w:r>
        <w:rPr>
          <w:rStyle w:val="StyleStyleBold12pt"/>
          <w:b w:val="0"/>
          <w:sz w:val="16"/>
        </w:rPr>
        <w:t xml:space="preserve">ion </w:t>
      </w:r>
      <w:r w:rsidRPr="00A550BF">
        <w:rPr>
          <w:rStyle w:val="StyleStyleBold12pt"/>
          <w:b w:val="0"/>
          <w:sz w:val="16"/>
        </w:rPr>
        <w:t>of Oceanography, “Scripps, UCSD algae biofuel programs rated top in US by DOE”, Biodiesel Magazine, 04/08/2014, http://www.biodieselmagazine.com/articles/46097/scripps-ucsd-algae-biofuel-programs-rated-top-in-us-by-doe)</w:t>
      </w:r>
    </w:p>
    <w:p w:rsidR="00984FEB" w:rsidRPr="00A550BF" w:rsidRDefault="00984FEB" w:rsidP="00984FEB">
      <w:pPr>
        <w:rPr>
          <w:sz w:val="16"/>
        </w:rPr>
      </w:pPr>
      <w:r w:rsidRPr="007B5A4D">
        <w:rPr>
          <w:rStyle w:val="StyleBoldUnderline"/>
        </w:rPr>
        <w:t xml:space="preserve">The algae biofuel industry has grown significantly </w:t>
      </w:r>
      <w:r w:rsidRPr="00A550BF">
        <w:rPr>
          <w:sz w:val="16"/>
        </w:rPr>
        <w:t xml:space="preserve">since CAB-Comm was founded in 2008 (it was then called the San Diego Center for Algae Biotechnology, SD-CAB), </w:t>
      </w:r>
      <w:r w:rsidRPr="007B5A4D">
        <w:rPr>
          <w:rStyle w:val="StyleBoldUnderline"/>
        </w:rPr>
        <w:t>expanding from scientific to commercial interests</w:t>
      </w:r>
      <w:r w:rsidRPr="00A550BF">
        <w:rPr>
          <w:sz w:val="16"/>
        </w:rPr>
        <w:t xml:space="preserve">. </w:t>
      </w:r>
      <w:r w:rsidRPr="007B5A4D">
        <w:rPr>
          <w:rStyle w:val="StyleBoldUnderline"/>
        </w:rPr>
        <w:t>Its development is spurred in part by a desire to wean American dependence on foreign oil</w:t>
      </w:r>
      <w:r w:rsidRPr="00A550BF">
        <w:rPr>
          <w:sz w:val="16"/>
        </w:rPr>
        <w:t xml:space="preserve">, but another motivation to develop algae biofuel is that it has the potential to cut carbon dioxide emissions in half, because the algae sequester carbon as they grow and partially offset the carbon released when the biofuel is burned. </w:t>
      </w:r>
      <w:r w:rsidRPr="00557640">
        <w:rPr>
          <w:rStyle w:val="Emphasis"/>
          <w:highlight w:val="green"/>
        </w:rPr>
        <w:t>Cost is the main factor holding algae biofuel back</w:t>
      </w:r>
      <w:r w:rsidRPr="00A550BF">
        <w:rPr>
          <w:sz w:val="16"/>
        </w:rPr>
        <w:t xml:space="preserve">, </w:t>
      </w:r>
      <w:r w:rsidRPr="007B5A4D">
        <w:rPr>
          <w:rStyle w:val="StyleBoldUnderline"/>
        </w:rPr>
        <w:t xml:space="preserve">as </w:t>
      </w:r>
      <w:r w:rsidRPr="00557640">
        <w:rPr>
          <w:rStyle w:val="StyleBoldUnderline"/>
          <w:highlight w:val="green"/>
        </w:rPr>
        <w:t>it’s currently</w:t>
      </w:r>
      <w:r w:rsidRPr="00A550BF">
        <w:rPr>
          <w:sz w:val="16"/>
        </w:rPr>
        <w:t xml:space="preserve"> two to </w:t>
      </w:r>
      <w:r w:rsidRPr="007B5A4D">
        <w:rPr>
          <w:rStyle w:val="StyleBoldUnderline"/>
        </w:rPr>
        <w:t>thre</w:t>
      </w:r>
      <w:r w:rsidRPr="00557640">
        <w:rPr>
          <w:rStyle w:val="StyleBoldUnderline"/>
          <w:highlight w:val="green"/>
        </w:rPr>
        <w:t>e times more expensive than fossil fuels</w:t>
      </w:r>
      <w:r w:rsidRPr="00557640">
        <w:rPr>
          <w:sz w:val="16"/>
          <w:highlight w:val="green"/>
        </w:rPr>
        <w:t xml:space="preserve">, </w:t>
      </w:r>
      <w:r w:rsidRPr="00557640">
        <w:rPr>
          <w:rStyle w:val="StyleBoldUnderline"/>
          <w:highlight w:val="green"/>
        </w:rPr>
        <w:t>even when produced by the largest and most efficient operations</w:t>
      </w:r>
      <w:r w:rsidRPr="007B5A4D">
        <w:rPr>
          <w:rStyle w:val="StyleBoldUnderline"/>
        </w:rPr>
        <w:t>.</w:t>
      </w:r>
      <w:r w:rsidRPr="00A550BF">
        <w:rPr>
          <w:sz w:val="16"/>
        </w:rPr>
        <w:t xml:space="preserve"> There are some indications that algae biofuel will be cost-competitive with fossil fuels within five years, but </w:t>
      </w:r>
      <w:r w:rsidRPr="007B5A4D">
        <w:rPr>
          <w:rStyle w:val="StyleBoldUnderline"/>
        </w:rPr>
        <w:t>investment in large-scale production isn’t likely to happen</w:t>
      </w:r>
      <w:r w:rsidRPr="00A550BF">
        <w:rPr>
          <w:sz w:val="16"/>
        </w:rPr>
        <w:t xml:space="preserve"> until then</w:t>
      </w:r>
      <w:r w:rsidRPr="00A550BF">
        <w:rPr>
          <w:rStyle w:val="Emphasis"/>
        </w:rPr>
        <w:t xml:space="preserve">. The </w:t>
      </w:r>
      <w:r w:rsidRPr="00557640">
        <w:rPr>
          <w:rStyle w:val="Emphasis"/>
          <w:highlight w:val="green"/>
        </w:rPr>
        <w:t>recent boom in</w:t>
      </w:r>
      <w:r w:rsidRPr="00A550BF">
        <w:rPr>
          <w:rStyle w:val="Emphasis"/>
        </w:rPr>
        <w:t xml:space="preserve"> America’s </w:t>
      </w:r>
      <w:r w:rsidRPr="00557640">
        <w:rPr>
          <w:rStyle w:val="Emphasis"/>
          <w:highlight w:val="green"/>
        </w:rPr>
        <w:t>natural gas production</w:t>
      </w:r>
      <w:r w:rsidRPr="00A550BF">
        <w:rPr>
          <w:rStyle w:val="Emphasis"/>
        </w:rPr>
        <w:t xml:space="preserve"> enabled by fracking </w:t>
      </w:r>
      <w:r w:rsidRPr="00557640">
        <w:rPr>
          <w:rStyle w:val="Emphasis"/>
          <w:highlight w:val="green"/>
        </w:rPr>
        <w:t>could further dampen investor interest and slow</w:t>
      </w:r>
      <w:r w:rsidRPr="00A550BF">
        <w:rPr>
          <w:rStyle w:val="Emphasis"/>
        </w:rPr>
        <w:t xml:space="preserve"> the </w:t>
      </w:r>
      <w:r w:rsidRPr="00557640">
        <w:rPr>
          <w:rStyle w:val="Emphasis"/>
          <w:highlight w:val="green"/>
        </w:rPr>
        <w:t>development</w:t>
      </w:r>
      <w:r w:rsidRPr="00A550BF">
        <w:rPr>
          <w:rStyle w:val="Emphasis"/>
        </w:rPr>
        <w:t xml:space="preserve"> of algae biofuels</w:t>
      </w:r>
      <w:r w:rsidRPr="00A550BF">
        <w:rPr>
          <w:sz w:val="16"/>
        </w:rPr>
        <w:t>.</w:t>
      </w:r>
    </w:p>
    <w:p w:rsidR="00984FEB" w:rsidRPr="00ED18A1" w:rsidRDefault="00984FEB" w:rsidP="00984FEB">
      <w:pPr>
        <w:pStyle w:val="Heading4"/>
        <w:rPr>
          <w:rStyle w:val="StyleStyleBold12pt"/>
          <w:b/>
        </w:rPr>
      </w:pPr>
      <w:r>
        <w:rPr>
          <w:rStyle w:val="StyleStyleBold12pt"/>
          <w:b/>
        </w:rPr>
        <w:t>US natural gas crowds out biofuels</w:t>
      </w:r>
    </w:p>
    <w:p w:rsidR="00984FEB" w:rsidRPr="00ED18A1" w:rsidRDefault="00984FEB" w:rsidP="00984FEB">
      <w:pPr>
        <w:rPr>
          <w:rStyle w:val="StyleStyleBold12pt"/>
          <w:b w:val="0"/>
          <w:sz w:val="16"/>
        </w:rPr>
      </w:pPr>
      <w:r w:rsidRPr="00ED18A1">
        <w:rPr>
          <w:rStyle w:val="StyleStyleBold12pt"/>
        </w:rPr>
        <w:t>Silverstein, 2012</w:t>
      </w:r>
      <w:r w:rsidRPr="00ED18A1">
        <w:rPr>
          <w:rStyle w:val="StyleStyleBold12pt"/>
          <w:sz w:val="16"/>
        </w:rPr>
        <w:t xml:space="preserve"> </w:t>
      </w:r>
      <w:r w:rsidRPr="00ED18A1">
        <w:rPr>
          <w:rStyle w:val="StyleStyleBold12pt"/>
          <w:b w:val="0"/>
          <w:sz w:val="16"/>
        </w:rPr>
        <w:t>(Ken Silverstein, named one of the Top Economics Journalists by Wall Street Economists &amp; is an award-winning journalist whose work has been published in more than 100 periodicals and has served as a source for energy stories in The New York Times, Washington Post, “Will Shale Crowd Out Coal and Green Energy?”, Energy Biz, 01/04/2012, http://www.energybiz.com/article/12/01/will-shale-crowd-out-coal-and-green-energy)</w:t>
      </w:r>
    </w:p>
    <w:p w:rsidR="00984FEB" w:rsidRPr="00ED18A1" w:rsidRDefault="00984FEB" w:rsidP="00984FEB">
      <w:pPr>
        <w:rPr>
          <w:sz w:val="16"/>
        </w:rPr>
      </w:pPr>
      <w:r w:rsidRPr="00ED18A1">
        <w:rPr>
          <w:sz w:val="16"/>
        </w:rPr>
        <w:t xml:space="preserve">Now that France’s Total and China’s Sinopec have invested $4.5 billion in two of this country’s premier natural gas developers, common wisdom is suggesting that </w:t>
      </w:r>
      <w:r w:rsidRPr="00ED18A1">
        <w:rPr>
          <w:rStyle w:val="StyleBoldUnderline"/>
        </w:rPr>
        <w:t>the fate of shale-gas here will outshine all competing energy forms</w:t>
      </w:r>
      <w:r w:rsidRPr="00ED18A1">
        <w:rPr>
          <w:sz w:val="16"/>
        </w:rPr>
        <w:t xml:space="preserve">. But is that logic well considered? </w:t>
      </w:r>
      <w:r w:rsidRPr="00ED18A1">
        <w:rPr>
          <w:rStyle w:val="StyleBoldUnderline"/>
        </w:rPr>
        <w:t xml:space="preserve">Estimates are that at least a century’s worth of shale-gas is now recoverable from underneath America’s feet. Some are betting that such volume will drive down the cost of that fuel, </w:t>
      </w:r>
      <w:r w:rsidRPr="00ED18A1">
        <w:rPr>
          <w:rStyle w:val="Emphasis"/>
        </w:rPr>
        <w:t>making the alternatives unattractive</w:t>
      </w:r>
      <w:r w:rsidRPr="00ED18A1">
        <w:rPr>
          <w:sz w:val="16"/>
        </w:rPr>
        <w:t>. “</w:t>
      </w:r>
      <w:r w:rsidRPr="00ED18A1">
        <w:rPr>
          <w:rStyle w:val="StyleBoldUnderline"/>
        </w:rPr>
        <w:t>With the new abundance and lower prices, lower-carbon gas seems likely to play a much larger role in the generation of electric power</w:t>
      </w:r>
      <w:r w:rsidRPr="00ED18A1">
        <w:rPr>
          <w:sz w:val="16"/>
        </w:rPr>
        <w:t xml:space="preserve">,” writes Daniel Yergin, in his new book “The Quest.” By comparison, nuclear would seem expensive while coal would appear to be more carbon intensive. Meantime, </w:t>
      </w:r>
      <w:r w:rsidRPr="00ED18A1">
        <w:rPr>
          <w:rStyle w:val="StyleBoldUnderline"/>
        </w:rPr>
        <w:t>it creates “a more difficult competitive environment</w:t>
      </w:r>
      <w:r w:rsidRPr="00ED18A1">
        <w:rPr>
          <w:sz w:val="16"/>
        </w:rPr>
        <w:t xml:space="preserve"> for wind projects.” Yergin, however, is admonishing policymakers not to rely exclusively on shale-gas. That’s because too many factors can disrupt markets and include everything from politics to environmental and natural disasters. </w:t>
      </w:r>
      <w:r w:rsidRPr="00ED18A1">
        <w:rPr>
          <w:rStyle w:val="StyleBoldUnderline"/>
        </w:rPr>
        <w:t>Shale will not just become a U.S. phenomenon</w:t>
      </w:r>
      <w:r w:rsidRPr="00ED18A1">
        <w:rPr>
          <w:sz w:val="16"/>
        </w:rPr>
        <w:t>. But it will also have a great impact around the globe. Glo</w:t>
      </w:r>
      <w:r w:rsidRPr="00ED18A1">
        <w:rPr>
          <w:rStyle w:val="StyleBoldUnderline"/>
        </w:rPr>
        <w:t>bal proven reserves are estimated to be at 6,600 trillion cubic feet</w:t>
      </w:r>
      <w:r w:rsidRPr="00ED18A1">
        <w:rPr>
          <w:sz w:val="16"/>
        </w:rPr>
        <w:t xml:space="preserve">, according to the U.S. Energy Information Administration. China and the United States have the most supplies at 1,275 and 862 trillion cubic feet, respectively. In this country, for example, shale gas has grown 48 percent a year from 2006 to 2010. It now makes up a third of all natural gas supplies. </w:t>
      </w:r>
      <w:r w:rsidRPr="00ED18A1">
        <w:rPr>
          <w:rStyle w:val="StyleBoldUnderline"/>
        </w:rPr>
        <w:t>The other countries sitting atop huge swaths of shale gas are Argentina, Mexico, South Africa and Australia.</w:t>
      </w:r>
      <w:r w:rsidRPr="00ED18A1">
        <w:rPr>
          <w:sz w:val="16"/>
        </w:rPr>
        <w:t xml:space="preserve"> And while France has such potential, the regulatory environment there is unfriendly to developers and instead, it is choosing to maintain its reliance on nuclear power. For that reason, Total sees a future in the United States where it has invested $2.32 billion in Chesapeake Energy in Ohio’s Utica shale region. China’s Sinopec placed a similar amount in Devon Energy. “This is consistent with our strategy to develop positions in unconventional plays with large potential and, in this case, with value predominantly linked to oil price,” says Yves-Louis Darricarrere, with Total. “Total is conscious of the environmental aspects linked to developing shale acreage.” Diversifying Risks In “Quest,” Yergin points to the Japanese nuclear accident and the Arab Spring that caused oil prices to spike as two geo-political events simultaneously occurred. Both had a tremendous effect on the energy economy. But the energy analyst adds that shale-gas is most impacted by the environmental issues here. To extract the shale-gas that is embedded inside of rocks, a concoction of water, sand and chemicals is pumped a mile beneath the earth’s surface. Not only does it take a huge amount of water but the mixture that comes back to the top is filthy. Many communities have therefore expressed concern about their water quality. Another major fear is that the production process is more carbon-intensive than that of developing conventional natural gas. And that unease has been underscored by the International Energy Agency in France that cautions against unguarded heat-trapping emissions and is suggesting more investment in clean technologies. According to the BP Energy Outlook, global energy consumption will rise by 1.7 percent a year until 2030. The contribution to energy growth of renewables from solar, wind, geothermal and biofuels is predicted to increase from 5 percent in 2010 to 18 percent by 2030. At the same time, the outlook says that </w:t>
      </w:r>
      <w:r w:rsidRPr="00ED18A1">
        <w:rPr>
          <w:rStyle w:val="StyleBoldUnderline"/>
        </w:rPr>
        <w:t xml:space="preserve">natural gas is projected to be the fastest growing fossil fuel while coal and oil are likely to lose market share as all fossil </w:t>
      </w:r>
      <w:r w:rsidRPr="00ED18A1">
        <w:rPr>
          <w:rStyle w:val="StyleBoldUnderline"/>
        </w:rPr>
        <w:lastRenderedPageBreak/>
        <w:t>fuels experience reduced growth rates.</w:t>
      </w:r>
      <w:r w:rsidRPr="00ED18A1">
        <w:rPr>
          <w:sz w:val="16"/>
        </w:rPr>
        <w:t xml:space="preserve"> Fossil fuels’ contribution to primary energy growth is projected to fall from 83 percent to 64 percent.</w:t>
      </w:r>
    </w:p>
    <w:p w:rsidR="00984FEB" w:rsidRPr="00A550BF" w:rsidRDefault="00984FEB" w:rsidP="00984FEB">
      <w:pPr>
        <w:pStyle w:val="Heading4"/>
        <w:rPr>
          <w:rStyle w:val="StyleStyleBold12pt"/>
          <w:b/>
        </w:rPr>
      </w:pPr>
      <w:r>
        <w:rPr>
          <w:rStyle w:val="StyleStyleBold12pt"/>
          <w:b/>
        </w:rPr>
        <w:t>US surged natural gas production crowds out biofuels</w:t>
      </w:r>
      <w:r>
        <w:rPr>
          <w:rStyle w:val="StyleStyleBold12pt"/>
          <w:b/>
        </w:rPr>
        <w:tab/>
      </w:r>
    </w:p>
    <w:p w:rsidR="00984FEB" w:rsidRPr="00A550BF" w:rsidRDefault="00984FEB" w:rsidP="00984FEB">
      <w:pPr>
        <w:rPr>
          <w:rStyle w:val="StyleStyleBold12pt"/>
          <w:b w:val="0"/>
          <w:sz w:val="16"/>
        </w:rPr>
      </w:pPr>
      <w:r w:rsidRPr="00A550BF">
        <w:rPr>
          <w:rStyle w:val="StyleStyleBold12pt"/>
        </w:rPr>
        <w:t>Daly, 2013</w:t>
      </w:r>
      <w:r w:rsidRPr="00A550BF">
        <w:rPr>
          <w:rStyle w:val="StyleStyleBold12pt"/>
          <w:sz w:val="16"/>
        </w:rPr>
        <w:t xml:space="preserve"> </w:t>
      </w:r>
      <w:r w:rsidRPr="00A550BF">
        <w:rPr>
          <w:rStyle w:val="StyleStyleBold12pt"/>
          <w:b w:val="0"/>
          <w:sz w:val="16"/>
        </w:rPr>
        <w:t>(John Daly, CEO of U.S.-Central Asia Biofuels, “Research Unlocks Algae Biofuel Potential”, Oil Price, 11/25/2013, http://oilprice.com/Alternative-Energy/Biofuels/Research-Unlocks-Algae-Biofuel-Potential.html)</w:t>
      </w:r>
    </w:p>
    <w:p w:rsidR="00984FEB" w:rsidRPr="00A550BF" w:rsidRDefault="00984FEB" w:rsidP="00984FEB">
      <w:pPr>
        <w:rPr>
          <w:sz w:val="16"/>
        </w:rPr>
      </w:pPr>
      <w:r w:rsidRPr="00A550BF">
        <w:rPr>
          <w:sz w:val="16"/>
        </w:rPr>
        <w:t xml:space="preserve">Public health concerns to date have not been compelling enough to warrant severe changes in regulatory oversight. Objective research about drinking water, earthquake, and waste water risks from the natural gas development should be a high priority. Industry should realize the importance of public confidence and lead these research efforts. Natural gas developers should adopt prudent, conservative, industry-wide practices to ensure that risks are minimal. Regulators should be diligent in encouraging independent research and speedy, responsible reactions to new knowledge including oversight and monitoring. </w:t>
      </w:r>
      <w:r w:rsidRPr="00A550BF">
        <w:rPr>
          <w:rStyle w:val="Emphasis"/>
        </w:rPr>
        <w:t>The impact of the development of natural gas on renewables is troubling</w:t>
      </w:r>
      <w:r w:rsidRPr="00A550BF">
        <w:rPr>
          <w:rStyle w:val="StyleBoldUnderline"/>
        </w:rPr>
        <w:t>. The potential for</w:t>
      </w:r>
      <w:r w:rsidRPr="00A550BF">
        <w:rPr>
          <w:sz w:val="16"/>
        </w:rPr>
        <w:t xml:space="preserve"> solar, wind, </w:t>
      </w:r>
      <w:r w:rsidRPr="00A550BF">
        <w:rPr>
          <w:rStyle w:val="StyleBoldUnderline"/>
        </w:rPr>
        <w:t>biofuels</w:t>
      </w:r>
      <w:r w:rsidRPr="00A550BF">
        <w:rPr>
          <w:sz w:val="16"/>
        </w:rPr>
        <w:t xml:space="preserve">, </w:t>
      </w:r>
      <w:r w:rsidRPr="00A550BF">
        <w:rPr>
          <w:rStyle w:val="StyleBoldUnderline"/>
        </w:rPr>
        <w:t>and other forms of clean, renewable energy to have a</w:t>
      </w:r>
      <w:r w:rsidRPr="00A550BF">
        <w:rPr>
          <w:sz w:val="16"/>
        </w:rPr>
        <w:t xml:space="preserve"> significant and </w:t>
      </w:r>
      <w:r w:rsidRPr="00A550BF">
        <w:rPr>
          <w:rStyle w:val="StyleBoldUnderline"/>
        </w:rPr>
        <w:t>positive impact on our nation is high</w:t>
      </w:r>
      <w:r w:rsidRPr="00A550BF">
        <w:rPr>
          <w:sz w:val="16"/>
        </w:rPr>
        <w:t xml:space="preserve">. </w:t>
      </w:r>
      <w:r w:rsidRPr="00A550BF">
        <w:rPr>
          <w:rStyle w:val="StyleBoldUnderline"/>
        </w:rPr>
        <w:t>But it is an economic reality that these forms of energy must compete and win in the marketplace</w:t>
      </w:r>
      <w:r w:rsidRPr="00A550BF">
        <w:rPr>
          <w:sz w:val="16"/>
        </w:rPr>
        <w:t xml:space="preserve">. </w:t>
      </w:r>
    </w:p>
    <w:p w:rsidR="00984FEB" w:rsidRPr="004105A9" w:rsidRDefault="00984FEB" w:rsidP="00984FEB"/>
    <w:p w:rsidR="00984FEB" w:rsidRPr="004105A9" w:rsidRDefault="00984FEB" w:rsidP="00984FEB"/>
    <w:p w:rsidR="00984FEB" w:rsidRPr="003963ED" w:rsidRDefault="00984FEB" w:rsidP="00984FEB">
      <w:pPr>
        <w:rPr>
          <w:sz w:val="16"/>
          <w:szCs w:val="16"/>
        </w:rPr>
      </w:pPr>
    </w:p>
    <w:p w:rsidR="0017246A" w:rsidRDefault="0017246A" w:rsidP="0017246A">
      <w:pPr>
        <w:pStyle w:val="Heading2"/>
      </w:pPr>
      <w:r>
        <w:lastRenderedPageBreak/>
        <w:t>Ecosystems Advantage</w:t>
      </w:r>
    </w:p>
    <w:p w:rsidR="0017246A" w:rsidRDefault="0017246A" w:rsidP="0017246A">
      <w:pPr>
        <w:pStyle w:val="Heading3"/>
      </w:pPr>
      <w:r>
        <w:lastRenderedPageBreak/>
        <w:t>bioremediation bad</w:t>
      </w:r>
    </w:p>
    <w:p w:rsidR="0017246A" w:rsidRDefault="0017246A" w:rsidP="0017246A">
      <w:pPr>
        <w:pStyle w:val="Heading4"/>
      </w:pPr>
      <w:r>
        <w:t>Bioremediation is extremely dangerous – microbes self-mutate and become malignant – and the process takes too long to be useful</w:t>
      </w:r>
    </w:p>
    <w:p w:rsidR="0017246A" w:rsidRPr="00BB37BC" w:rsidRDefault="0017246A" w:rsidP="0017246A">
      <w:pPr>
        <w:rPr>
          <w:sz w:val="16"/>
          <w:szCs w:val="16"/>
        </w:rPr>
      </w:pPr>
      <w:r w:rsidRPr="00BB37BC">
        <w:rPr>
          <w:rStyle w:val="StyleStyleBold12pt"/>
        </w:rPr>
        <w:t>Ecofriend 11</w:t>
      </w:r>
      <w:r w:rsidRPr="00BB37BC">
        <w:rPr>
          <w:sz w:val="16"/>
          <w:szCs w:val="16"/>
        </w:rPr>
        <w:t xml:space="preserve"> (Ecofriend, “The good, the bad and the ugly: Bioremediation”, 12/1/11, http://www.ecofriend.com/good-bad-ugly-bioremediation.html)</w:t>
      </w:r>
    </w:p>
    <w:p w:rsidR="0017246A" w:rsidRDefault="0017246A" w:rsidP="0017246A">
      <w:pPr>
        <w:rPr>
          <w:rStyle w:val="StyleBoldUnderline"/>
        </w:rPr>
      </w:pPr>
      <w:r w:rsidRPr="00BB37BC">
        <w:rPr>
          <w:sz w:val="16"/>
          <w:szCs w:val="16"/>
        </w:rPr>
        <w:t xml:space="preserve">We have already stated in the starting lines that </w:t>
      </w:r>
      <w:r w:rsidRPr="00BB37BC">
        <w:rPr>
          <w:rStyle w:val="StyleBoldUnderline"/>
        </w:rPr>
        <w:t>microbes are highly adaptive. They can very naturally manipulate their DNA sequences and thus require close DNA monitoring to make sure that they are not getting mutated, considering that mutated versions might be harmful</w:t>
      </w:r>
      <w:r w:rsidRPr="00BB37BC">
        <w:rPr>
          <w:sz w:val="16"/>
          <w:szCs w:val="16"/>
        </w:rPr>
        <w:t xml:space="preserve"> more than being useful. Further, the </w:t>
      </w:r>
      <w:r w:rsidRPr="00BB37BC">
        <w:rPr>
          <w:rStyle w:val="StyleBoldUnderline"/>
        </w:rPr>
        <w:t>experimental reliability and industrial applicability have a wide difference. At industry levels, productivity can very often get reduced depending on the condition under which the process is being carried on</w:t>
      </w:r>
      <w:r w:rsidRPr="00BB37BC">
        <w:rPr>
          <w:sz w:val="16"/>
          <w:szCs w:val="16"/>
        </w:rPr>
        <w:t xml:space="preserve">. Moreover, those who are freaks about time being precious, would certainly not take the idea of </w:t>
      </w:r>
      <w:r w:rsidRPr="00BB37BC">
        <w:rPr>
          <w:rStyle w:val="StyleBoldUnderline"/>
        </w:rPr>
        <w:t>bioremediation</w:t>
      </w:r>
      <w:r w:rsidRPr="00BB37BC">
        <w:rPr>
          <w:sz w:val="16"/>
          <w:szCs w:val="16"/>
        </w:rPr>
        <w:t xml:space="preserve">. It </w:t>
      </w:r>
      <w:r w:rsidRPr="00BB37BC">
        <w:rPr>
          <w:rStyle w:val="StyleBoldUnderline"/>
        </w:rPr>
        <w:t>is slow compared to the other synthetic reductive processes</w:t>
      </w:r>
      <w:r w:rsidRPr="00BB37BC">
        <w:rPr>
          <w:sz w:val="16"/>
          <w:szCs w:val="16"/>
        </w:rPr>
        <w:t xml:space="preserve">. Why are we so critical? Only an extreme saint or a vigil criminal would ask for an explanation. We are so critical because we possibly have no way out. We have brewed out enough chemicals already and using more chemicals for the treatment of the surplus chemical pollutants would not be a wise idea. It would be better if we pass on the authority gain to Nature. </w:t>
      </w:r>
      <w:r w:rsidRPr="00BB37BC">
        <w:rPr>
          <w:rStyle w:val="StyleBoldUnderline"/>
        </w:rPr>
        <w:t>Human health, life and lifestyle have already suffered a lot in the run to improve all the same. We can afford no further risks.</w:t>
      </w:r>
    </w:p>
    <w:p w:rsidR="0017246A" w:rsidRDefault="0017246A" w:rsidP="0017246A">
      <w:pPr>
        <w:pStyle w:val="Heading4"/>
      </w:pPr>
      <w:r>
        <w:t>Bioremediation kills ecosystems – eutrophication, kills biodiversity, and upsets ecological balance</w:t>
      </w:r>
    </w:p>
    <w:p w:rsidR="0017246A" w:rsidRPr="005D563E" w:rsidRDefault="0017246A" w:rsidP="0017246A">
      <w:pPr>
        <w:rPr>
          <w:sz w:val="16"/>
          <w:szCs w:val="16"/>
        </w:rPr>
      </w:pPr>
      <w:r w:rsidRPr="005D563E">
        <w:rPr>
          <w:rStyle w:val="StyleStyleBold12pt"/>
        </w:rPr>
        <w:t>OTA 91</w:t>
      </w:r>
      <w:r w:rsidRPr="005D563E">
        <w:rPr>
          <w:sz w:val="16"/>
          <w:szCs w:val="16"/>
        </w:rPr>
        <w:t xml:space="preserve"> (U.S. Congress, Office of Technology Assessment, Bioremediation for Marine Oil Spills—</w:t>
      </w:r>
      <w:r>
        <w:rPr>
          <w:sz w:val="16"/>
          <w:szCs w:val="16"/>
        </w:rPr>
        <w:t xml:space="preserve"> </w:t>
      </w:r>
      <w:r w:rsidRPr="005D563E">
        <w:rPr>
          <w:sz w:val="16"/>
          <w:szCs w:val="16"/>
        </w:rPr>
        <w:t>Background Paper, OTA-BP-O-70, May 1991, http://govinfo.library.unt.edu/ota/Ota_2/DATA/1991/9109.PDF)</w:t>
      </w:r>
    </w:p>
    <w:p w:rsidR="0017246A" w:rsidRPr="000130F6" w:rsidRDefault="0017246A" w:rsidP="0017246A">
      <w:pPr>
        <w:rPr>
          <w:sz w:val="16"/>
          <w:szCs w:val="16"/>
        </w:rPr>
      </w:pPr>
      <w:r w:rsidRPr="000130F6">
        <w:rPr>
          <w:rStyle w:val="StyleBoldUnderline"/>
        </w:rPr>
        <w:t>Concerns have been raised about several potential adverse environmental effects. Among these are the possibility that the addition of fertilizers could cause eutrophication, leading to algal blooms and oxygen depletion</w:t>
      </w:r>
      <w:r w:rsidRPr="000130F6">
        <w:rPr>
          <w:sz w:val="16"/>
          <w:szCs w:val="16"/>
        </w:rPr>
        <w:t xml:space="preserve">; </w:t>
      </w:r>
      <w:r w:rsidRPr="000130F6">
        <w:rPr>
          <w:rStyle w:val="StyleBoldUnderline"/>
        </w:rPr>
        <w:t>that components of</w:t>
      </w:r>
      <w:r w:rsidRPr="000130F6">
        <w:rPr>
          <w:sz w:val="16"/>
          <w:szCs w:val="16"/>
        </w:rPr>
        <w:t xml:space="preserve"> </w:t>
      </w:r>
      <w:r w:rsidRPr="000130F6">
        <w:rPr>
          <w:rStyle w:val="StyleBoldUnderline"/>
        </w:rPr>
        <w:t>some fertilizers could be toxic to sensitive marine species or harmful to human health</w:t>
      </w:r>
      <w:r w:rsidRPr="000130F6">
        <w:rPr>
          <w:sz w:val="16"/>
          <w:szCs w:val="16"/>
        </w:rPr>
        <w:t xml:space="preserve">; </w:t>
      </w:r>
      <w:r w:rsidRPr="000130F6">
        <w:rPr>
          <w:rStyle w:val="StyleBoldUnderline"/>
        </w:rPr>
        <w:t>that the introduction of nonnative microorganisms could be pathogenic to some indigenous species; that the use of bioremediation technologies could upset ecological balances; and that some intermediate products of bioremediation could be harmful</w:t>
      </w:r>
    </w:p>
    <w:p w:rsidR="0017246A" w:rsidRDefault="0017246A" w:rsidP="0017246A">
      <w:pPr>
        <w:rPr>
          <w:rStyle w:val="StyleStyleBold12pt"/>
        </w:rPr>
      </w:pPr>
      <w:r>
        <w:rPr>
          <w:rStyle w:val="StyleStyleBold12pt"/>
        </w:rPr>
        <w:t>Bioremediation produces even more toxic compounds post-metabolism – turns the advantage</w:t>
      </w:r>
    </w:p>
    <w:p w:rsidR="0017246A" w:rsidRPr="00DF3577" w:rsidRDefault="0017246A" w:rsidP="0017246A">
      <w:pPr>
        <w:rPr>
          <w:sz w:val="16"/>
          <w:szCs w:val="16"/>
        </w:rPr>
      </w:pPr>
      <w:r w:rsidRPr="00DF3577">
        <w:rPr>
          <w:rStyle w:val="StyleStyleBold12pt"/>
        </w:rPr>
        <w:t>Bamforth and Singleton 05</w:t>
      </w:r>
      <w:r w:rsidRPr="00DF3577">
        <w:rPr>
          <w:sz w:val="16"/>
          <w:szCs w:val="16"/>
        </w:rPr>
        <w:t xml:space="preserve"> (Selina M. and Ian, School of Civil Engineering and Geosciences and School of Biology at the University of Newcastle upon Tyne respectively, “Bioremediation of polycyclic aromatic hydrocarbons: current knowledge and future directions”, Journal of Chemical and Biotechnology 80, 2005, Wiley Online)</w:t>
      </w:r>
    </w:p>
    <w:p w:rsidR="0017246A" w:rsidRPr="00DF3577" w:rsidRDefault="0017246A" w:rsidP="0017246A">
      <w:pPr>
        <w:rPr>
          <w:rStyle w:val="StyleBoldUnderline"/>
        </w:rPr>
      </w:pPr>
      <w:r w:rsidRPr="00DF3577">
        <w:rPr>
          <w:rStyle w:val="StyleBoldUnderline"/>
        </w:rPr>
        <w:t>The principle of bioremediation is to remove or detoxify a contaminant from a given environment using microorganisms</w:t>
      </w:r>
      <w:r w:rsidRPr="00DF3577">
        <w:rPr>
          <w:sz w:val="16"/>
          <w:szCs w:val="16"/>
        </w:rPr>
        <w:t xml:space="preserve">. </w:t>
      </w:r>
      <w:r w:rsidRPr="00DF3577">
        <w:rPr>
          <w:rStyle w:val="StyleBoldUnderline"/>
        </w:rPr>
        <w:t xml:space="preserve">Most </w:t>
      </w:r>
      <w:r w:rsidRPr="00DF3577">
        <w:rPr>
          <w:sz w:val="16"/>
          <w:szCs w:val="16"/>
        </w:rPr>
        <w:t xml:space="preserve">commercial bioremediation </w:t>
      </w:r>
      <w:r w:rsidRPr="00DF3577">
        <w:rPr>
          <w:rStyle w:val="StyleBoldUnderline"/>
        </w:rPr>
        <w:t>trials tend to monitor the success of the treatment by the degree of removal of the parent contaminant and do not consider the possibility of the biological production of more toxic breakdown metabolites</w:t>
      </w:r>
      <w:r w:rsidRPr="00DF3577">
        <w:rPr>
          <w:sz w:val="16"/>
          <w:szCs w:val="16"/>
        </w:rPr>
        <w:t xml:space="preserve">. However, </w:t>
      </w:r>
      <w:r w:rsidRPr="00DF3577">
        <w:rPr>
          <w:rStyle w:val="StyleBoldUnderline"/>
        </w:rPr>
        <w:t>it is important to ensure that the contaminated material is suitably detoxified</w:t>
      </w:r>
      <w:r w:rsidRPr="00DF3577">
        <w:rPr>
          <w:sz w:val="16"/>
          <w:szCs w:val="16"/>
        </w:rPr>
        <w:t xml:space="preserve"> at the end of the treatment.l2'76 </w:t>
      </w:r>
      <w:r w:rsidRPr="00DF3577">
        <w:rPr>
          <w:rStyle w:val="StyleBoldUnderline"/>
        </w:rPr>
        <w:t>A recent study</w:t>
      </w:r>
      <w:r w:rsidRPr="00DF3577">
        <w:rPr>
          <w:sz w:val="16"/>
          <w:szCs w:val="16"/>
        </w:rPr>
        <w:t xml:space="preserve"> using a bioreactor to treat PAH-contaminated gasworks soil </w:t>
      </w:r>
      <w:r w:rsidRPr="00DF3577">
        <w:rPr>
          <w:rStyle w:val="StyleBoldUnderline"/>
        </w:rPr>
        <w:t>monitored both the removal of PAHs and the accumulation of oxy-PAHs</w:t>
      </w:r>
      <w:r w:rsidRPr="00DF3577">
        <w:rPr>
          <w:sz w:val="16"/>
          <w:szCs w:val="16"/>
        </w:rPr>
        <w:t xml:space="preserve">, such as PAH-ketones, quinones and coumarins.l2 </w:t>
      </w:r>
      <w:r w:rsidRPr="00DF3577">
        <w:rPr>
          <w:rStyle w:val="StyleBoldUnderline"/>
        </w:rPr>
        <w:t xml:space="preserve">These compounds are formed during the microbial metabolism of PAHs </w:t>
      </w:r>
      <w:r w:rsidRPr="00DF3577">
        <w:rPr>
          <w:sz w:val="16"/>
          <w:szCs w:val="16"/>
        </w:rPr>
        <w:t xml:space="preserve">(see earlier "˜Microbial metabolism of PAHs'), and can also be formed from chemical oxidation and phototransformation of PAHs.77 </w:t>
      </w:r>
      <w:r w:rsidRPr="00DF3577">
        <w:rPr>
          <w:rStyle w:val="StyleBoldUnderline"/>
        </w:rPr>
        <w:t>Such transformation products can be</w:t>
      </w:r>
      <w:r w:rsidRPr="00DF3577">
        <w:rPr>
          <w:sz w:val="16"/>
          <w:szCs w:val="16"/>
        </w:rPr>
        <w:t xml:space="preserve"> equally toxic, if not </w:t>
      </w:r>
      <w:r w:rsidRPr="00DF3577">
        <w:rPr>
          <w:rStyle w:val="StyleBoldUnderline"/>
        </w:rPr>
        <w:t>more toxic, to human health when compared with the parent PAH</w:t>
      </w:r>
      <w:r>
        <w:rPr>
          <w:sz w:val="16"/>
          <w:szCs w:val="16"/>
        </w:rPr>
        <w:t>,</w:t>
      </w:r>
      <w:r w:rsidRPr="00DF3577">
        <w:rPr>
          <w:sz w:val="16"/>
          <w:szCs w:val="16"/>
        </w:rPr>
        <w:t xml:space="preserve"> </w:t>
      </w:r>
      <w:r w:rsidRPr="00DF3577">
        <w:rPr>
          <w:rStyle w:val="StyleBoldUnderline"/>
        </w:rPr>
        <w:t>with many of the oxy-PAHs formed during the treatment of PAHcontaminated soils more persistent than the parent compounds</w:t>
      </w:r>
      <w:r>
        <w:rPr>
          <w:sz w:val="16"/>
          <w:szCs w:val="16"/>
        </w:rPr>
        <w:t>.</w:t>
      </w:r>
      <w:r w:rsidRPr="00DF3577">
        <w:rPr>
          <w:sz w:val="16"/>
          <w:szCs w:val="16"/>
        </w:rPr>
        <w:t xml:space="preserve"> In this study, Lundstedt and colleagues showed that although there were no new oxy-PAHs formed during the bioremediation of an aged gasworks soil, the concentrations of 1-acenaphthenone and 4oxapyrene-5-one increased in the soil by 30% and 60% respectively over 30 days of bioslurry treatment. In addition, they showed that some oxy-PAHs actually increased in concentration during treatment, and were subsequently more persistent to microbial degradation than their corresponding parent PAH compound. As oxy-PAHs are more toxic than the parent PAHs, </w:t>
      </w:r>
      <w:r w:rsidRPr="00DF3577">
        <w:rPr>
          <w:rStyle w:val="StyleBoldUnderline"/>
        </w:rPr>
        <w:t xml:space="preserve">this study </w:t>
      </w:r>
      <w:r w:rsidRPr="00DF3577">
        <w:rPr>
          <w:rStyle w:val="StyleBoldUnderline"/>
        </w:rPr>
        <w:lastRenderedPageBreak/>
        <w:t>highlights the importance of monitoring the metabolites of bioremediation, specifically for toxic dead-end products, and assessing the toxicity of the material both before and after treatment.</w:t>
      </w:r>
    </w:p>
    <w:p w:rsidR="0017246A" w:rsidRPr="00DF3577" w:rsidRDefault="0017246A" w:rsidP="0017246A"/>
    <w:p w:rsidR="0017246A" w:rsidRDefault="0017246A" w:rsidP="0017246A">
      <w:pPr>
        <w:rPr>
          <w:rStyle w:val="StyleBoldUnderline"/>
        </w:rPr>
      </w:pPr>
    </w:p>
    <w:p w:rsidR="0017246A" w:rsidRDefault="0017246A" w:rsidP="0017246A">
      <w:pPr>
        <w:pStyle w:val="Heading3"/>
      </w:pPr>
      <w:r w:rsidRPr="00BB37BC">
        <w:lastRenderedPageBreak/>
        <w:t>no i/l to bioremediation</w:t>
      </w:r>
    </w:p>
    <w:p w:rsidR="0017246A" w:rsidRPr="005D563E" w:rsidRDefault="0017246A" w:rsidP="0017246A">
      <w:pPr>
        <w:pStyle w:val="Heading4"/>
      </w:pPr>
      <w:r>
        <w:t>No bioremediation – infeasible, requires too much planning, and no one wants to adopt it – research won’t change that</w:t>
      </w:r>
    </w:p>
    <w:p w:rsidR="0017246A" w:rsidRPr="005D563E" w:rsidRDefault="0017246A" w:rsidP="0017246A">
      <w:pPr>
        <w:rPr>
          <w:sz w:val="16"/>
          <w:szCs w:val="16"/>
        </w:rPr>
      </w:pPr>
      <w:r w:rsidRPr="005D563E">
        <w:rPr>
          <w:rStyle w:val="StyleStyleBold12pt"/>
        </w:rPr>
        <w:t>OTA 91</w:t>
      </w:r>
      <w:r w:rsidRPr="005D563E">
        <w:rPr>
          <w:sz w:val="16"/>
          <w:szCs w:val="16"/>
        </w:rPr>
        <w:t xml:space="preserve"> (U.S. Congress, Office of Technology Assessment, Bioremediation for Marine Oil Spills—</w:t>
      </w:r>
      <w:r>
        <w:rPr>
          <w:sz w:val="16"/>
          <w:szCs w:val="16"/>
        </w:rPr>
        <w:t xml:space="preserve"> </w:t>
      </w:r>
      <w:r w:rsidRPr="005D563E">
        <w:rPr>
          <w:sz w:val="16"/>
          <w:szCs w:val="16"/>
        </w:rPr>
        <w:t>Background Paper, OTA-BP-O-70, May 1991, http://govinfo.library.unt.edu/ota/Ota_2/DATA/1991/9109.PDF)</w:t>
      </w:r>
    </w:p>
    <w:p w:rsidR="0017246A" w:rsidRPr="00BB37BC" w:rsidRDefault="0017246A" w:rsidP="0017246A">
      <w:pPr>
        <w:rPr>
          <w:sz w:val="16"/>
          <w:szCs w:val="16"/>
        </w:rPr>
      </w:pPr>
      <w:r w:rsidRPr="00BB37BC">
        <w:rPr>
          <w:sz w:val="16"/>
          <w:szCs w:val="16"/>
        </w:rPr>
        <w:t xml:space="preserve">Second, </w:t>
      </w:r>
      <w:r w:rsidRPr="005D563E">
        <w:rPr>
          <w:rStyle w:val="StyleBoldUnderline"/>
        </w:rPr>
        <w:t>the bioremediation approach must be specifically tailored to each polluted site. Biorernediation technologies are not,</w:t>
      </w:r>
      <w:r w:rsidRPr="00BB37BC">
        <w:rPr>
          <w:sz w:val="16"/>
          <w:szCs w:val="16"/>
        </w:rPr>
        <w:t xml:space="preserve"> and are unlikely soon to </w:t>
      </w:r>
      <w:r>
        <w:rPr>
          <w:sz w:val="16"/>
          <w:szCs w:val="16"/>
        </w:rPr>
        <w:t xml:space="preserve">become, </w:t>
      </w:r>
      <w:r w:rsidRPr="005D563E">
        <w:rPr>
          <w:rStyle w:val="StyleBoldUnderline"/>
        </w:rPr>
        <w:t xml:space="preserve">off-lthe-shelf technologies that can be used </w:t>
      </w:r>
      <w:r>
        <w:rPr>
          <w:rStyle w:val="StyleBoldUnderline"/>
        </w:rPr>
        <w:t>with equal ef</w:t>
      </w:r>
      <w:r w:rsidRPr="005D563E">
        <w:rPr>
          <w:rStyle w:val="StyleBoldUnderline"/>
        </w:rPr>
        <w:t>fectiveness in every locale</w:t>
      </w:r>
      <w:r w:rsidRPr="00BB37BC">
        <w:rPr>
          <w:sz w:val="16"/>
          <w:szCs w:val="16"/>
        </w:rPr>
        <w:t xml:space="preserve">. Although other oil spill response technologies are subject to this same constraint, the </w:t>
      </w:r>
      <w:r w:rsidRPr="005D563E">
        <w:rPr>
          <w:rStyle w:val="StyleBoldUnderline"/>
        </w:rPr>
        <w:t>advance knowledge needed for bioremediation technologies is greate</w:t>
      </w:r>
      <w:r w:rsidRPr="00BB37BC">
        <w:rPr>
          <w:sz w:val="16"/>
          <w:szCs w:val="16"/>
        </w:rPr>
        <w:t xml:space="preserve">r. Advance knowledge oil for example, the efficiency of the bacteria indigenous to an area in degrading oil, the availability of tate-limiting nutrients, and the susceptibility of the particular spilled cn.|de oil or refined product to microbial attack is required, so prespill planning will be important. Finally, </w:t>
      </w:r>
      <w:r w:rsidRPr="005D563E">
        <w:rPr>
          <w:rStyle w:val="StyleBoldUnderline"/>
        </w:rPr>
        <w:t>the public is still unfamiliar with bioremediation technologies.</w:t>
      </w:r>
      <w:r w:rsidRPr="00BB37BC">
        <w:rPr>
          <w:sz w:val="16"/>
          <w:szCs w:val="16"/>
        </w:rPr>
        <w:t xml:space="preserve"> Although public attitudes toward "natural" solutions to environmental problems are gener-ally Eavorable, the </w:t>
      </w:r>
      <w:r w:rsidRPr="005D563E">
        <w:rPr>
          <w:rStyle w:val="StyleBoldUnderline"/>
        </w:rPr>
        <w:t>lack of knowledge about microorganisms and their natural role in the environment could affect the acceptability of their use</w:t>
      </w:r>
      <w:r w:rsidRPr="00BB37BC">
        <w:rPr>
          <w:sz w:val="16"/>
          <w:szCs w:val="16"/>
        </w:rPr>
        <w:t>." Before bioremediation technologies are likely to be widely used</w:t>
      </w:r>
      <w:r w:rsidRPr="005D563E">
        <w:rPr>
          <w:rStyle w:val="StyleBoldUnderline"/>
        </w:rPr>
        <w:t>, their efficacy and safety will have to be convincingly demonstrated and communicated</w:t>
      </w:r>
      <w:r w:rsidRPr="00BB37BC">
        <w:rPr>
          <w:sz w:val="16"/>
          <w:szCs w:val="16"/>
        </w:rPr>
        <w:t xml:space="preserve"> to the public.</w:t>
      </w:r>
    </w:p>
    <w:p w:rsidR="0017246A" w:rsidRDefault="0017246A" w:rsidP="0017246A">
      <w:pPr>
        <w:pStyle w:val="Heading3"/>
      </w:pPr>
      <w:r>
        <w:lastRenderedPageBreak/>
        <w:t>bioremediation not solve</w:t>
      </w:r>
    </w:p>
    <w:p w:rsidR="0017246A" w:rsidRDefault="0017246A" w:rsidP="0017246A">
      <w:pPr>
        <w:pStyle w:val="Heading4"/>
      </w:pPr>
      <w:r>
        <w:t>Bioremediation can’t solve heavy metals and other dangerous compounds – and takes too long to adapt to other pollutants</w:t>
      </w:r>
    </w:p>
    <w:p w:rsidR="0017246A" w:rsidRPr="00400446" w:rsidRDefault="0017246A" w:rsidP="0017246A">
      <w:pPr>
        <w:rPr>
          <w:sz w:val="16"/>
          <w:szCs w:val="16"/>
        </w:rPr>
      </w:pPr>
      <w:r w:rsidRPr="00400446">
        <w:rPr>
          <w:rStyle w:val="StyleStyleBold12pt"/>
        </w:rPr>
        <w:t>Boopathy 2K</w:t>
      </w:r>
      <w:r w:rsidRPr="00400446">
        <w:rPr>
          <w:sz w:val="16"/>
          <w:szCs w:val="16"/>
        </w:rPr>
        <w:t xml:space="preserve"> (Ramaraj, Distinguished Service Professor of Biological Sciences at Nicholls State University, “Factors limiting bioremediation technologies”, Bioresource Technology 74, 2000, ScienceDirect)</w:t>
      </w:r>
    </w:p>
    <w:p w:rsidR="0017246A" w:rsidRPr="00400446" w:rsidRDefault="0017246A" w:rsidP="0017246A">
      <w:pPr>
        <w:rPr>
          <w:sz w:val="16"/>
          <w:szCs w:val="16"/>
        </w:rPr>
      </w:pPr>
      <w:r w:rsidRPr="00400446">
        <w:rPr>
          <w:rStyle w:val="StyleBoldUnderline"/>
        </w:rPr>
        <w:t>For bioremediation to be successful, the bioremediation methods depend on having the right microbes in the right place with the right environmental factors for degradation to occur</w:t>
      </w:r>
      <w:r w:rsidRPr="00400446">
        <w:rPr>
          <w:sz w:val="16"/>
          <w:szCs w:val="16"/>
        </w:rPr>
        <w:t xml:space="preserve">. The right microbes are bacteria or fungi, which have the physiological and metabolic capabilities to degrade the pollutants. Bioremediation offers several advantages over conventional techniques such as land filling or incineration. Bioremediation can be done on site, is often less expensive and site disruption is minimal. It eliminates waste permanently, eliminates long-term liability, and has greater public acceptance, with regulatory encouragement, and it can be coupled with other physical or chemical treatment methods. </w:t>
      </w:r>
      <w:r w:rsidRPr="00400446">
        <w:rPr>
          <w:rStyle w:val="StyleBoldUnderline"/>
        </w:rPr>
        <w:t>Bioremediation has also its limitations. Some chemicals are not amenable to biodegradation, for instance, heavy metals, radionuclides and some chlorinated compounds</w:t>
      </w:r>
      <w:r w:rsidRPr="00400446">
        <w:rPr>
          <w:sz w:val="16"/>
          <w:szCs w:val="16"/>
        </w:rPr>
        <w:t xml:space="preserve">. In some cases, </w:t>
      </w:r>
      <w:r w:rsidRPr="00400446">
        <w:rPr>
          <w:rStyle w:val="StyleBoldUnderline"/>
        </w:rPr>
        <w:t>microbial metabolism of contaminants may produce toxic metabolites</w:t>
      </w:r>
      <w:r w:rsidRPr="00400446">
        <w:rPr>
          <w:sz w:val="16"/>
          <w:szCs w:val="16"/>
        </w:rPr>
        <w:t xml:space="preserve">. </w:t>
      </w:r>
      <w:r w:rsidRPr="00400446">
        <w:rPr>
          <w:rStyle w:val="StyleBoldUnderline"/>
        </w:rPr>
        <w:t>Bioremediation is a scientifically intensive procedure which must be tailored to the site-specific conditions, which means one has to do treatability studies on a smallscale before the actual clean-up</w:t>
      </w:r>
      <w:r w:rsidRPr="00400446">
        <w:rPr>
          <w:sz w:val="16"/>
          <w:szCs w:val="16"/>
        </w:rPr>
        <w:t xml:space="preserve"> of the sites. </w:t>
      </w:r>
      <w:r w:rsidRPr="00400446">
        <w:rPr>
          <w:rStyle w:val="StyleBoldUnderline"/>
        </w:rPr>
        <w:t>Some of the questions one has to answer</w:t>
      </w:r>
      <w:r w:rsidRPr="00400446">
        <w:rPr>
          <w:sz w:val="16"/>
          <w:szCs w:val="16"/>
        </w:rPr>
        <w:t xml:space="preserve"> before using bioremediation techniques are: is </w:t>
      </w:r>
      <w:r w:rsidRPr="00400446">
        <w:rPr>
          <w:rStyle w:val="StyleBoldUnderline"/>
        </w:rPr>
        <w:t>the contaminant biodegradable? Is biodegradation occurring in the site naturally? are environmental conditions appropriate for biodegradation? If the waste does not completely biodegrade, where will it go?</w:t>
      </w:r>
      <w:r w:rsidRPr="00400446">
        <w:rPr>
          <w:sz w:val="16"/>
          <w:szCs w:val="16"/>
        </w:rPr>
        <w:t xml:space="preserve"> These questions can be answered by doing site characterization and also by treatability studies.</w:t>
      </w:r>
    </w:p>
    <w:p w:rsidR="0017246A" w:rsidRDefault="0017246A" w:rsidP="0017246A">
      <w:pPr>
        <w:pStyle w:val="Heading3"/>
      </w:pPr>
      <w:r>
        <w:lastRenderedPageBreak/>
        <w:t>environment turn</w:t>
      </w:r>
    </w:p>
    <w:p w:rsidR="0017246A" w:rsidRPr="003A5A83" w:rsidRDefault="0017246A" w:rsidP="0017246A">
      <w:pPr>
        <w:pStyle w:val="Heading4"/>
      </w:pPr>
      <w:r w:rsidRPr="003A5A83">
        <w:t>Exploration is dangerous without regulation – lack of knowledge means we devastate the environment without knowing it</w:t>
      </w:r>
    </w:p>
    <w:p w:rsidR="0017246A" w:rsidRPr="00AD6711" w:rsidRDefault="0017246A" w:rsidP="0017246A">
      <w:pPr>
        <w:rPr>
          <w:sz w:val="16"/>
          <w:szCs w:val="16"/>
        </w:rPr>
      </w:pPr>
      <w:r w:rsidRPr="00AD6711">
        <w:rPr>
          <w:rStyle w:val="StyleStyleBold12pt"/>
        </w:rPr>
        <w:t>Childs 14</w:t>
      </w:r>
      <w:r w:rsidRPr="00AD6711">
        <w:rPr>
          <w:sz w:val="16"/>
          <w:szCs w:val="16"/>
        </w:rPr>
        <w:t xml:space="preserve"> (Laura, “DEEP SEA MYSTERY”, I Science, 7/14/14, http://www.isciencemag.co.uk/features/deep-sea-mystery/)</w:t>
      </w:r>
    </w:p>
    <w:p w:rsidR="0017246A" w:rsidRDefault="0017246A" w:rsidP="0017246A">
      <w:pPr>
        <w:rPr>
          <w:rStyle w:val="StyleBoldUnderline"/>
        </w:rPr>
      </w:pPr>
      <w:r w:rsidRPr="00AD6711">
        <w:rPr>
          <w:rStyle w:val="StyleBoldUnderline"/>
        </w:rPr>
        <w:t>Given the range and novelty of species found in the deep sea, it’s not surprising that the search for valuable new commodities, which are in short supply on land, is now moving underwater</w:t>
      </w:r>
      <w:r w:rsidRPr="00AD6711">
        <w:rPr>
          <w:sz w:val="16"/>
          <w:szCs w:val="16"/>
        </w:rPr>
        <w:t xml:space="preserve">. As antibiotic resistance increases, researchers are going to further extremes than ever before in their efforts to discover new ones. The PharmaSea project, launched last year, is a collaboration between European scientists hoping to find new bioactive compounds from marine organisms. Due to the remote nature of these hostile environments, life in each deep sea trench has evolved in very different ways, encouraging hopes of discovering a wide variety of novel microorganisms. By collecting mud and sediment samples from deep sea trenches, and culturing them back in the lab, </w:t>
      </w:r>
      <w:r w:rsidRPr="00AD6711">
        <w:rPr>
          <w:rStyle w:val="StyleBoldUnderline"/>
        </w:rPr>
        <w:t>researchers believe that the resulting deep sea bacteria could have valuable properties including possible new antibiotic agents</w:t>
      </w:r>
      <w:r w:rsidRPr="00AD6711">
        <w:rPr>
          <w:sz w:val="16"/>
          <w:szCs w:val="16"/>
        </w:rPr>
        <w:t>. And it’s not just drugs on offer either. Vast reserves of minerals, including rare-earth metals, are known to exist in the seabed. These are key components of our much-loved smart phones and burgeoning hybrid car industry and are currently in short supply</w:t>
      </w:r>
      <w:r w:rsidRPr="00AD6711">
        <w:rPr>
          <w:rStyle w:val="StyleBoldUnderline"/>
        </w:rPr>
        <w:t xml:space="preserve">. The deep sea is </w:t>
      </w:r>
      <w:r w:rsidRPr="00AD6711">
        <w:t>therefore</w:t>
      </w:r>
      <w:r w:rsidRPr="00AD6711">
        <w:rPr>
          <w:rStyle w:val="StyleBoldUnderline"/>
        </w:rPr>
        <w:t xml:space="preserve"> predicted to be the next big target for mining</w:t>
      </w:r>
      <w:r w:rsidRPr="00AD6711">
        <w:rPr>
          <w:sz w:val="16"/>
          <w:szCs w:val="16"/>
        </w:rPr>
        <w:t xml:space="preserve">, and 19 leases have already been issued for prospecting in international waters, covering a combined area the size of Mexico. </w:t>
      </w:r>
      <w:r w:rsidRPr="00AD6711">
        <w:rPr>
          <w:rStyle w:val="StyleBoldUnderline"/>
        </w:rPr>
        <w:t>But because we know so little about the deep ocean, it’s hard to know what the effects of such invasive exploration could be</w:t>
      </w:r>
      <w:r w:rsidRPr="00AD6711">
        <w:rPr>
          <w:sz w:val="16"/>
          <w:szCs w:val="16"/>
        </w:rPr>
        <w:t xml:space="preserve">. In February, </w:t>
      </w:r>
      <w:r w:rsidRPr="00AD6711">
        <w:rPr>
          <w:rStyle w:val="StyleBoldUnderline"/>
        </w:rPr>
        <w:t>scientists warned that we need to stop and think before moving ahead with this</w:t>
      </w:r>
      <w:r w:rsidRPr="00AD6711">
        <w:rPr>
          <w:sz w:val="16"/>
          <w:szCs w:val="16"/>
        </w:rPr>
        <w:t xml:space="preserve"> relatively new type of resource extraction. </w:t>
      </w:r>
      <w:r w:rsidRPr="00AD6711">
        <w:rPr>
          <w:rStyle w:val="StyleBoldUnderline"/>
        </w:rPr>
        <w:t>Given the harmful effects that have arisen from the large-scale destruction of the rainforests, there’s a pressing need for research to be carried out, and possible regulation put in place, before the world’s oceans are exploited. As technological advancements make exploration of the deep sea easier, one of the last great unexplored regions on Earth is about to become a little more familiar. Let’s treat it with the respect it deserves.</w:t>
      </w:r>
    </w:p>
    <w:p w:rsidR="0017246A" w:rsidRDefault="0017246A" w:rsidP="0017246A">
      <w:pPr>
        <w:pStyle w:val="Heading3"/>
      </w:pPr>
      <w:r>
        <w:lastRenderedPageBreak/>
        <w:t>pollution alt cause</w:t>
      </w:r>
    </w:p>
    <w:p w:rsidR="0017246A" w:rsidRPr="000C1037" w:rsidRDefault="0017246A" w:rsidP="0017246A">
      <w:pPr>
        <w:pStyle w:val="Heading4"/>
      </w:pPr>
      <w:r w:rsidRPr="000C1037">
        <w:t>Alt cause to pollution – lack of regulatory enforcement ensures it continues at a faster pace than they can clean it up</w:t>
      </w:r>
    </w:p>
    <w:p w:rsidR="0017246A" w:rsidRPr="000C1037" w:rsidRDefault="0017246A" w:rsidP="0017246A">
      <w:pPr>
        <w:rPr>
          <w:sz w:val="16"/>
          <w:szCs w:val="16"/>
        </w:rPr>
      </w:pPr>
      <w:r w:rsidRPr="000C1037">
        <w:rPr>
          <w:rStyle w:val="StyleStyleBold12pt"/>
        </w:rPr>
        <w:t>Canary Club No Date</w:t>
      </w:r>
      <w:r w:rsidRPr="000C1037">
        <w:rPr>
          <w:sz w:val="16"/>
          <w:szCs w:val="16"/>
        </w:rPr>
        <w:t xml:space="preserve"> (“Most Dangerous Pollution”, Canary Club, http://www.canaryclub.org/component/content/article/31-toxins-health-category/278-article-most-dangerous-pollution.html)</w:t>
      </w:r>
    </w:p>
    <w:p w:rsidR="0017246A" w:rsidRPr="000C1037" w:rsidRDefault="0017246A" w:rsidP="0017246A">
      <w:pPr>
        <w:rPr>
          <w:rStyle w:val="StyleBoldUnderline"/>
        </w:rPr>
      </w:pPr>
      <w:r w:rsidRPr="000C1037">
        <w:rPr>
          <w:rStyle w:val="StyleBoldUnderline"/>
        </w:rPr>
        <w:t>Currently, polluters don't have to report any releases of toxic chemicals if they don't manufacture 25,000 pounds of them or use 10,000 pounds of them annually</w:t>
      </w:r>
      <w:r w:rsidRPr="000C1037">
        <w:rPr>
          <w:sz w:val="16"/>
          <w:szCs w:val="16"/>
        </w:rPr>
        <w:t xml:space="preserve">. </w:t>
      </w:r>
      <w:r w:rsidRPr="000C1037">
        <w:rPr>
          <w:rStyle w:val="StyleBoldUnderline"/>
        </w:rPr>
        <w:t>Since most of these exempted chemicals are low level by-products of industrial processes, releases almost never are reported to the public</w:t>
      </w:r>
      <w:r w:rsidRPr="000C1037">
        <w:rPr>
          <w:sz w:val="16"/>
          <w:szCs w:val="16"/>
        </w:rPr>
        <w:t xml:space="preserve">. Overall, </w:t>
      </w:r>
      <w:r w:rsidRPr="000C1037">
        <w:rPr>
          <w:rStyle w:val="StyleBoldUnderline"/>
        </w:rPr>
        <w:t>less than 9% of these toxic chemicals released into our air and water by industrial pollution were reported. This means the industry has very little incentive to reduce their pollution of these potentally lethal chemicals</w:t>
      </w:r>
      <w:r w:rsidRPr="000C1037">
        <w:rPr>
          <w:sz w:val="16"/>
          <w:szCs w:val="16"/>
        </w:rPr>
        <w:t xml:space="preserve">. NET believs that the all releases of highly dangerous toxins must be reported to the public. We can no longer treat these highly toxic, persistent, and body-accumulating chemicals like other industrial chemicals. The Environmental Protection Agency is considering asking polluters to report their emissions if they produce or use as little as 10 pounds of these substances. That sounds like a significant step forward, but consider: MERCURY A coal-fired industrial boiler or power plant would have to consume 90,000 tons of coal to emit 10 pounds of mercury. Approximately half of the industrial boilers and a good many power plants (the nation's largest source of mercury) would still be exempt from reporting and could legally hide their pollution from the public. Hundreds of oil refineries, paper mills, chemical plants, incinerators, and other industrial facilities in communities across the country will enjoy similar exemptions. They will also be able to continue to hide their pollution from the public. </w:t>
      </w:r>
      <w:r w:rsidRPr="000C1037">
        <w:rPr>
          <w:rStyle w:val="StyleBoldUnderline"/>
        </w:rPr>
        <w:t>Industrial processes such as coal combustion, chlorine processing, waste incineration, and metal processing are releasing mercury into the environment in dangerous quantities. Emissions of mercury into the atmosphere contaminate not just the air but also water bodies that the pollution settles upon</w:t>
      </w:r>
      <w:r w:rsidRPr="000C1037">
        <w:rPr>
          <w:sz w:val="16"/>
          <w:szCs w:val="16"/>
        </w:rPr>
        <w:t xml:space="preserve">. Because of this pollution of lakes and rivers, mercury is responsible for most of the fish advisories in the United States: Thirteen states have issued advisories declaring fish in every lake in their state unsafe to eat. 40% of Americans are eating fish contaminated with unsafe levels of mercury. A single can of tuna fish contains mercury exceeding EPA's recommended safe level for adults. A fraction of a teaspoon of mercury can contaminate a 25 acre lake to the extent that the fish are too toxic to eat. Children and pregnant women are especially vulnerable to mercury-contaminated fish because even very small amounts of mercury can cause severe neurological damage to the child. Humans are generally exposed to mercury through eating contaminated fish although mercury can also be breathed through the air. Mercury poisoning causes a variety of health problems including nervous system damage, kidney damage, and developmental effects. Children born to women with high levels of mercury have exhibited mental retardation, blindness, and cerebral palsy. Under the current right-to-know law, only 8% of mercury emissions are reported to the federal Toxics Release Inventory. LEAD </w:t>
      </w:r>
      <w:r w:rsidRPr="000C1037">
        <w:rPr>
          <w:rStyle w:val="StyleBoldUnderline"/>
        </w:rPr>
        <w:t>Lead is used in a variety of consumer products including plumbing and electrical and electronic components. Most lead emissions are released into the environment through lead smelting, waste incineration, and fuel burning.</w:t>
      </w:r>
      <w:r w:rsidRPr="000C1037">
        <w:rPr>
          <w:sz w:val="16"/>
          <w:szCs w:val="16"/>
        </w:rPr>
        <w:t xml:space="preserve"> Although lead emissions have dropped since its removal from gasoline, the EPA estimates that 3,943 tons were released into the air in 1995. Lead in air attaches to dust and can be carried for long distances. It is usually found in the upper level of soils, and heavy rains can wash it into river and lakes. Breathing lead dust, and exposure to contaminated soil and water are the most common sources of human lead poisoning. Since children spend a lot of time playing near the ground and engage in a lot of hand-to-mouth activity, they are usually exposed to higher levels of lead than adults. Even at low levels, childhood lead exposure can cause learning disabilities, delays in normal physical and mental development, and deficits in hearing. Prolonged exposure to lead has been linked to human cerebrovascular, kidney, reproductive, and neurological disease. Exposure to lead by pregnant women can cause premature birth, low birth weight, or miscarriages. Certain compounds of lead can also cause cancer. Only 35% of industrial lead air emissions are reported every year to the federal Toxics Release Inventory. DIOXINS, PCBs, AND SIMILAR COMPOUNDS Dioxins and their effects on public health became infamous in the late 1970s when the community of Love Canal, New York, was evacuated after dioxins leaked through storage barrels and contaminated the entire community. Dioxins accumulate in the body and cause cancer, reproductive problems, and immune system damage. They are also considered to be endocrine disruptors, compounds that mimic human hormones affecting the development of fetuses and small children. Fetal exposure can damage the reproductive and immune systems as well as disrupt learning and behavior. D</w:t>
      </w:r>
      <w:r w:rsidRPr="000C1037">
        <w:rPr>
          <w:rStyle w:val="StyleBoldUnderline"/>
        </w:rPr>
        <w:t>i</w:t>
      </w:r>
      <w:r w:rsidRPr="000C1037">
        <w:rPr>
          <w:sz w:val="16"/>
          <w:szCs w:val="16"/>
        </w:rPr>
        <w:t xml:space="preserve">oxin-like compounds–mainly PCBs and furans–are similar in chemical make-up, toxicity, and their effects on human health. </w:t>
      </w:r>
      <w:r w:rsidRPr="000C1037">
        <w:rPr>
          <w:rStyle w:val="StyleBoldUnderline"/>
        </w:rPr>
        <w:t>The main source of dioxin-like emissions are combustion sources such as waste incinerators, paper mills, and chemical manufacturing facilities. Dioxin-like compounds have been found throughout the world in air, soil, water, sediment, fish, wildlife, meat, and dairy products</w:t>
      </w:r>
      <w:r w:rsidRPr="000C1037">
        <w:rPr>
          <w:sz w:val="16"/>
          <w:szCs w:val="16"/>
        </w:rPr>
        <w:t xml:space="preserve">. The main pathway of dioxin and PCB exposure is through the food we eat. These compounds bind to fat and virtually all animals, including humans, have them in their bodies. Just one gram of dioxins, the weight of a single M&amp;M candy, could expose up to a million people to a toxic dose. U.S. industry emits about 50 grams of dioxins into the environment every year. Scientists have found PCBs in arctic polar bears and seals, and high levels of dioxins have been discovered in the bodies of arctic natives who haved lived their entire lives thousands of miles away from any source of dioxin pollution. HEXACHLOROBENZENE Although there are currently no direct commercial uses of HCB in the United States, it is still commonly produced as a byproduct of chemical production and as a contaminant in many pesticides. Common releases of HCB are from coal combustion, discharges from chemical manufacturing processes, and applications of pesticides that include HCB as a contaminant. HCB builds up in the food chain, including plants such as wheat and vegetables. </w:t>
      </w:r>
      <w:r w:rsidRPr="000C1037">
        <w:rPr>
          <w:sz w:val="16"/>
          <w:szCs w:val="16"/>
        </w:rPr>
        <w:lastRenderedPageBreak/>
        <w:t xml:space="preserve">Humans are exposed mostly through eating low levels of HCB in contaminated foods. HCB causes liver, kidney, neurological, and immune system damage, as well as cancer. HCB is thought to be an endocrine disruptor, compounds that mimic human hormones affecting the development of fetuses and small children. It is also associated with reduced growth and arthritic changes in limbs of children who are exposed to HCB, either directly or through breast milk. Only 5% of industrial HCB air emissions are reported every year to the federal Toxics Release Inventory. PAHs </w:t>
      </w:r>
      <w:r w:rsidRPr="000C1037">
        <w:rPr>
          <w:rStyle w:val="StyleBoldUnderline"/>
        </w:rPr>
        <w:t>PAHs are byproducts of incomplete burning, found as contaminants (such as coal tar and wood-treating residues), or are used in certain products (such as dyes, plastics, and pesticides). PAHs, unlike most dangerous toxics, have large natural sources including wildfires and volcanos. Man-made activities, however, are greatly increasing PAH releases</w:t>
      </w:r>
      <w:r w:rsidRPr="000C1037">
        <w:rPr>
          <w:sz w:val="16"/>
          <w:szCs w:val="16"/>
        </w:rPr>
        <w:t xml:space="preserve">. PAHs are found far from their sources and are thought to be capable of traveling long distances through the air. The level of PAHs in urban air is 10 times higher than the air levels in rural areas. PAHs also bind to soil and levels in normal urban environments may be well above the level determined to be potentially dangerous to human health. Humans are exposed to PAHs through contaminated air and water and smoking tobacco. High levels of PAHs can cause red blood cell damage and suppress the immune system. Smaller, more frequent doses can cause developmental and reproductive effects. Animal testing has shown that PAHs can be carcinogens and can reduce the fertility of the exposed individual as well as their offspring. </w:t>
      </w:r>
      <w:r w:rsidRPr="000C1037">
        <w:rPr>
          <w:rStyle w:val="StyleBoldUnderline"/>
        </w:rPr>
        <w:t>Only 3% of industrial PAH emissions are reported every year to the federal Toxics Release Inventory.</w:t>
      </w:r>
    </w:p>
    <w:p w:rsidR="0017246A" w:rsidRPr="000C1037" w:rsidRDefault="0017246A" w:rsidP="0017246A"/>
    <w:p w:rsidR="0017246A" w:rsidRDefault="0017246A" w:rsidP="0017246A">
      <w:pPr>
        <w:pStyle w:val="Heading3"/>
      </w:pPr>
      <w:r>
        <w:lastRenderedPageBreak/>
        <w:t>no impact to plastic pollution</w:t>
      </w:r>
    </w:p>
    <w:p w:rsidR="0017246A" w:rsidRDefault="0017246A" w:rsidP="0017246A">
      <w:pPr>
        <w:pStyle w:val="Heading4"/>
      </w:pPr>
      <w:r>
        <w:t>No impact to plastic pollution – their ev is all circumstantial</w:t>
      </w:r>
    </w:p>
    <w:p w:rsidR="0017246A" w:rsidRPr="000C1037" w:rsidRDefault="0017246A" w:rsidP="0017246A">
      <w:pPr>
        <w:rPr>
          <w:sz w:val="16"/>
          <w:szCs w:val="16"/>
        </w:rPr>
      </w:pPr>
      <w:r w:rsidRPr="000C1037">
        <w:rPr>
          <w:rStyle w:val="StyleStyleBold12pt"/>
        </w:rPr>
        <w:t>Hohn 08</w:t>
      </w:r>
      <w:r w:rsidRPr="000C1037">
        <w:rPr>
          <w:sz w:val="16"/>
          <w:szCs w:val="16"/>
        </w:rPr>
        <w:t xml:space="preserve"> (Donovan, senior editor of Harper’s, “Sea of Trash”, The New York Times, 6/22/08, http://www.nytimes.com/2008/06/22/magazine/22Plastics-t.html?pagewanted=all)</w:t>
      </w:r>
    </w:p>
    <w:p w:rsidR="0017246A" w:rsidRPr="000C1037" w:rsidRDefault="0017246A" w:rsidP="0017246A">
      <w:pPr>
        <w:rPr>
          <w:rStyle w:val="StyleBoldUnderline"/>
        </w:rPr>
      </w:pPr>
      <w:r w:rsidRPr="000C1037">
        <w:rPr>
          <w:sz w:val="16"/>
          <w:szCs w:val="16"/>
        </w:rPr>
        <w:t xml:space="preserve">Beth Flint’s nuanced testimony was typical. </w:t>
      </w:r>
      <w:r w:rsidRPr="000C1037">
        <w:rPr>
          <w:rStyle w:val="StyleBoldUnderline"/>
        </w:rPr>
        <w:t xml:space="preserve">Flint is a wildlife biologist with the U. S. </w:t>
      </w:r>
      <w:hyperlink r:id="rId114" w:tooltip="More articles about Fish and Wildlife Service, U.S." w:history="1">
        <w:r w:rsidRPr="000C1037">
          <w:rPr>
            <w:rStyle w:val="StyleBoldUnderline"/>
          </w:rPr>
          <w:t>Fish and Wildlife Service</w:t>
        </w:r>
      </w:hyperlink>
      <w:r w:rsidRPr="000C1037">
        <w:rPr>
          <w:rStyle w:val="StyleBoldUnderline"/>
        </w:rPr>
        <w:t>. One seabird she studies is the Laysan albatross, which</w:t>
      </w:r>
      <w:r w:rsidRPr="000C1037">
        <w:rPr>
          <w:sz w:val="16"/>
          <w:szCs w:val="16"/>
        </w:rPr>
        <w:t xml:space="preserve">, thanks to a recent </w:t>
      </w:r>
      <w:hyperlink r:id="rId115" w:tooltip="More articles about Greenpeace" w:history="1">
        <w:r w:rsidRPr="000C1037">
          <w:rPr>
            <w:rStyle w:val="Hyperlink"/>
            <w:sz w:val="16"/>
            <w:szCs w:val="16"/>
          </w:rPr>
          <w:t>Greenpeace</w:t>
        </w:r>
      </w:hyperlink>
      <w:r w:rsidRPr="000C1037">
        <w:rPr>
          <w:sz w:val="16"/>
          <w:szCs w:val="16"/>
        </w:rPr>
        <w:t xml:space="preserve"> ad campaign</w:t>
      </w:r>
      <w:r w:rsidRPr="000C1037">
        <w:rPr>
          <w:rStyle w:val="StyleBoldUnderline"/>
        </w:rPr>
        <w:t>, has become plastic pollution’s most famous victim — its poster bird</w:t>
      </w:r>
      <w:r w:rsidRPr="000C1037">
        <w:rPr>
          <w:sz w:val="16"/>
          <w:szCs w:val="16"/>
        </w:rPr>
        <w:t xml:space="preserve">, if you will. The ad shows a photograph in which a slimy casserole of bottle caps, cigarette lighters and unidentifiable plastic shards spills from the downy belly of a necropsied Laysan albatross chick. “How to starve to death on a full stomach,” the caption reads. The image is not merely powerful, or shocking; it’s persuasively accusatory. Look, dear consumer, it seems to say; look at what you’ve done, look where what you throw away ends up. </w:t>
      </w:r>
      <w:r w:rsidRPr="000C1037">
        <w:rPr>
          <w:rStyle w:val="StyleBoldUnderline"/>
        </w:rPr>
        <w:t>There’s only one problem</w:t>
      </w:r>
      <w:r w:rsidRPr="000C1037">
        <w:rPr>
          <w:sz w:val="16"/>
          <w:szCs w:val="16"/>
        </w:rPr>
        <w:t xml:space="preserve">, Flint says. </w:t>
      </w:r>
      <w:r w:rsidRPr="000C1037">
        <w:rPr>
          <w:rStyle w:val="StyleBoldUnderline"/>
        </w:rPr>
        <w:t>No one knows for certain whether plastic killed the albatross.</w:t>
      </w:r>
      <w:r w:rsidRPr="000C1037">
        <w:rPr>
          <w:sz w:val="16"/>
          <w:szCs w:val="16"/>
        </w:rPr>
        <w:t xml:space="preserve"> </w:t>
      </w:r>
      <w:r w:rsidRPr="000C1037">
        <w:rPr>
          <w:rStyle w:val="StyleBoldUnderline"/>
        </w:rPr>
        <w:t>Do plastic shards perforate the intestines of chicks? Sometimes</w:t>
      </w:r>
      <w:r w:rsidRPr="000C1037">
        <w:rPr>
          <w:sz w:val="16"/>
          <w:szCs w:val="16"/>
        </w:rPr>
        <w:t xml:space="preserve">. Does plastic obstruct the digestive tract or make a bird “starve to death with a full stomach”? Probably, in some cases. </w:t>
      </w:r>
      <w:r w:rsidRPr="000C1037">
        <w:rPr>
          <w:rStyle w:val="StyleBoldUnderline"/>
        </w:rPr>
        <w:t>Then again albatrosses eat squid, and chitonous squid beaks are also indigestible</w:t>
      </w:r>
      <w:r w:rsidRPr="000C1037">
        <w:rPr>
          <w:sz w:val="16"/>
          <w:szCs w:val="16"/>
        </w:rPr>
        <w:t xml:space="preserve">. Are the toxins in and on plastics poisoning the birds, as Moore has proposed? It wouldn’t be surprising. According to Flint, long-lived seabirds like albatrosses do indeed have alarmingly high contaminant burdens. But </w:t>
      </w:r>
      <w:r w:rsidRPr="000C1037">
        <w:rPr>
          <w:rStyle w:val="StyleBoldUnderline"/>
        </w:rPr>
        <w:t>research into the pathology of plastic poisoning is ongoing, and in the meantime, “it’s still all sort of circumstantial.”</w:t>
      </w:r>
    </w:p>
    <w:p w:rsidR="0017246A" w:rsidRDefault="0017246A" w:rsidP="0017246A">
      <w:pPr>
        <w:pStyle w:val="Heading3"/>
      </w:pPr>
      <w:r>
        <w:lastRenderedPageBreak/>
        <w:t>no impact- resilient</w:t>
      </w:r>
    </w:p>
    <w:p w:rsidR="0017246A" w:rsidRPr="004A0CBB" w:rsidRDefault="0017246A" w:rsidP="0017246A">
      <w:pPr>
        <w:keepNext/>
        <w:keepLines/>
        <w:spacing w:before="40"/>
        <w:outlineLvl w:val="3"/>
        <w:rPr>
          <w:rFonts w:ascii="Cambria" w:eastAsia="MS Gothic" w:hAnsi="Cambria" w:cs="Times New Roman"/>
          <w:b/>
          <w:iCs/>
          <w:sz w:val="26"/>
        </w:rPr>
      </w:pPr>
      <w:r w:rsidRPr="004A0CBB">
        <w:rPr>
          <w:rFonts w:ascii="Cambria" w:eastAsia="MS Gothic" w:hAnsi="Cambria" w:cs="Times New Roman"/>
          <w:b/>
          <w:iCs/>
          <w:sz w:val="26"/>
        </w:rPr>
        <w:t>All elements of the marine ecosystem are resilient and recovering now – new regulations solve</w:t>
      </w:r>
    </w:p>
    <w:p w:rsidR="0017246A" w:rsidRPr="004A0CBB" w:rsidRDefault="0017246A" w:rsidP="0017246A">
      <w:pPr>
        <w:rPr>
          <w:rFonts w:ascii="Cambria" w:eastAsia="Cambria" w:hAnsi="Cambria" w:cs="Times New Roman"/>
          <w:b/>
          <w:bCs/>
          <w:sz w:val="26"/>
        </w:rPr>
      </w:pPr>
      <w:r w:rsidRPr="004A0CBB">
        <w:rPr>
          <w:rFonts w:ascii="Cambria" w:eastAsia="Cambria" w:hAnsi="Cambria" w:cs="Times New Roman"/>
          <w:b/>
          <w:bCs/>
          <w:sz w:val="26"/>
        </w:rPr>
        <w:t>Lotze et al. 11</w:t>
      </w:r>
    </w:p>
    <w:p w:rsidR="0017246A" w:rsidRPr="004A0CBB" w:rsidRDefault="0017246A" w:rsidP="0017246A">
      <w:pPr>
        <w:rPr>
          <w:rFonts w:ascii="Cambria" w:eastAsia="Cambria" w:hAnsi="Cambria" w:cs="Times New Roman"/>
        </w:rPr>
      </w:pPr>
      <w:r w:rsidRPr="004A0CBB">
        <w:rPr>
          <w:rFonts w:ascii="Cambria" w:eastAsia="Cambria" w:hAnsi="Cambria" w:cs="Times New Roman"/>
        </w:rPr>
        <w:t>Dr. Heike Lotz – Canada Research Chair in Marine Renewable Energy, associate professor for Marine Ecology at Dalhousie University, recipient of the prestigious Peter Benchley Award for Excellence in Science, author of numerous celebrated journal articles in relevant publications; Dr. Marta Coll – postdoctoral fellow at the institute of Marine Science, researcher at the Marine Exploited Ecosystems mixed research unit, writer of various papers published in reputable journals; Dr. Laura Airoldi – associate professor in evolutionary biology at the University of Bologna in Italy, member of the American Institute of Biological Sciences,  member of the Society for Conservation Biology, Ph. D. in Environmental Sciences from the University of Genova in Italy etc.</w:t>
      </w:r>
    </w:p>
    <w:p w:rsidR="0017246A" w:rsidRPr="004A0CBB" w:rsidRDefault="0017246A" w:rsidP="0017246A">
      <w:pPr>
        <w:rPr>
          <w:rFonts w:ascii="Cambria" w:eastAsia="Cambria" w:hAnsi="Cambria" w:cs="Times New Roman"/>
        </w:rPr>
      </w:pPr>
      <w:r w:rsidRPr="004A0CBB">
        <w:rPr>
          <w:rFonts w:ascii="Cambria" w:eastAsia="Cambria" w:hAnsi="Cambria" w:cs="Times New Roman"/>
        </w:rPr>
        <w:t>(“Recovery of marine animal populations and ecosystems”, November 2011, http://ac.els-cdn.com/S0169534711002060/1-s2.0-S0169534711002060-main.pdf?_tid=00c20ae8-079e-11e4-a468-00000aacb35e&amp;acdnat=1404933772_8f7f837a2f1f6f95f8b7639da0389303)//EO</w:t>
      </w:r>
    </w:p>
    <w:p w:rsidR="0017246A" w:rsidRPr="004A0CBB" w:rsidRDefault="0017246A" w:rsidP="0017246A">
      <w:pPr>
        <w:rPr>
          <w:rFonts w:ascii="Cambria" w:eastAsia="Cambria" w:hAnsi="Cambria" w:cs="Times New Roman"/>
          <w:sz w:val="16"/>
        </w:rPr>
      </w:pPr>
      <w:r w:rsidRPr="004A0CBB">
        <w:rPr>
          <w:rFonts w:ascii="Cambria" w:eastAsia="Cambria" w:hAnsi="Cambria" w:cs="Times New Roman"/>
          <w:sz w:val="16"/>
        </w:rPr>
        <w:t xml:space="preserve">The response variables can be analyzed over time to esti-mate the magnitude, rate and time span of change from a disturbed state or low point (Figure lb). </w:t>
      </w:r>
      <w:r w:rsidRPr="004A0CBB">
        <w:rPr>
          <w:rFonts w:ascii="Cambria" w:eastAsia="Cambria" w:hAnsi="Cambria" w:cs="Times New Roman"/>
          <w:b/>
          <w:u w:val="single"/>
        </w:rPr>
        <w:t xml:space="preserve">To place recovery into context, it can be useful to relate these measures to the magnitude, rate and time span of former depletion or degradation, or to scale them to an expected rate of re-sponse, such as population growth rate, generation time or succession rate </w:t>
      </w:r>
      <w:r w:rsidRPr="004A0CBB">
        <w:rPr>
          <w:rFonts w:ascii="Cambria" w:eastAsia="Cambria" w:hAnsi="Cambria" w:cs="Times New Roman"/>
          <w:sz w:val="16"/>
        </w:rPr>
        <w:t xml:space="preserve">(Box 1). In addition, </w:t>
      </w:r>
      <w:r w:rsidRPr="004A0CBB">
        <w:rPr>
          <w:rFonts w:ascii="Cambria" w:eastAsia="Cambria" w:hAnsi="Cambria" w:cs="Times New Roman"/>
          <w:b/>
          <w:u w:val="single"/>
        </w:rPr>
        <w:t>they should be viewed in the context of natural population fluctuations that can enhance or dampen recovery. Clearly stating which mea-sure is used will enable further comparisons and syntheses across species and ecosystems.</w:t>
      </w:r>
      <w:r w:rsidRPr="004A0CBB">
        <w:rPr>
          <w:rFonts w:ascii="Cambria" w:eastAsia="Cambria" w:hAnsi="Cambria" w:cs="Times New Roman"/>
          <w:sz w:val="16"/>
        </w:rPr>
        <w:t xml:space="preserve"> </w:t>
      </w:r>
      <w:r w:rsidRPr="004A0CBB">
        <w:rPr>
          <w:rFonts w:ascii="Cambria" w:eastAsia="Cambria" w:hAnsi="Cambria" w:cs="Times New Roman"/>
          <w:b/>
          <w:u w:val="single"/>
        </w:rPr>
        <w:t>Examples of population and ecosystem recovery</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Over the past decades, </w:t>
      </w:r>
      <w:r w:rsidRPr="00557640">
        <w:rPr>
          <w:rFonts w:ascii="Cambria" w:eastAsia="Cambria" w:hAnsi="Cambria" w:cs="Times New Roman"/>
          <w:b/>
          <w:highlight w:val="green"/>
          <w:u w:val="single"/>
        </w:rPr>
        <w:t>an increasing number of studies have reported recoveries of depleted marine populations and degraded ecosystems</w:t>
      </w:r>
      <w:r w:rsidRPr="004A0CBB">
        <w:rPr>
          <w:rFonts w:ascii="Cambria" w:eastAsia="Cambria" w:hAnsi="Cambria" w:cs="Times New Roman"/>
          <w:b/>
          <w:u w:val="single"/>
        </w:rPr>
        <w:t>.</w:t>
      </w:r>
      <w:r w:rsidRPr="004A0CBB">
        <w:rPr>
          <w:rFonts w:ascii="Cambria" w:eastAsia="Cambria" w:hAnsi="Cambria" w:cs="Times New Roman"/>
          <w:sz w:val="16"/>
        </w:rPr>
        <w:t xml:space="preserve"> We first provide a selection of examples and then synthesize the general patterns. </w:t>
      </w:r>
      <w:r w:rsidRPr="004A0CBB">
        <w:rPr>
          <w:rFonts w:ascii="Cambria" w:eastAsia="Cambria" w:hAnsi="Cambria" w:cs="Times New Roman"/>
          <w:b/>
          <w:u w:val="single"/>
        </w:rPr>
        <w:t xml:space="preserve">Marine mammals After the League of Nations banned </w:t>
      </w:r>
      <w:r w:rsidRPr="004A0CBB">
        <w:rPr>
          <w:rFonts w:ascii="Cambria" w:eastAsia="Cambria" w:hAnsi="Cambria" w:cs="Times New Roman"/>
          <w:sz w:val="16"/>
        </w:rPr>
        <w:t>the</w:t>
      </w:r>
      <w:r w:rsidRPr="004A0CBB">
        <w:rPr>
          <w:rFonts w:ascii="Cambria" w:eastAsia="Cambria" w:hAnsi="Cambria" w:cs="Times New Roman"/>
          <w:b/>
          <w:u w:val="single"/>
        </w:rPr>
        <w:t xml:space="preserve"> commercial whal-ing </w:t>
      </w:r>
      <w:r w:rsidRPr="004A0CBB">
        <w:rPr>
          <w:rFonts w:ascii="Cambria" w:eastAsia="Cambria" w:hAnsi="Cambria" w:cs="Times New Roman"/>
          <w:sz w:val="16"/>
        </w:rPr>
        <w:t xml:space="preserve">of strongly decimated right, bowhead and gray whales during the 1930s, some </w:t>
      </w:r>
      <w:r w:rsidRPr="004A0CBB">
        <w:rPr>
          <w:rFonts w:ascii="Cambria" w:eastAsia="Cambria" w:hAnsi="Cambria" w:cs="Times New Roman"/>
          <w:b/>
          <w:u w:val="single"/>
        </w:rPr>
        <w:t>populations started to recover</w:t>
      </w:r>
      <w:r w:rsidRPr="004A0CBB">
        <w:rPr>
          <w:rFonts w:ascii="Cambria" w:eastAsia="Cambria" w:hAnsi="Cambria" w:cs="Times New Roman"/>
          <w:sz w:val="16"/>
        </w:rPr>
        <w:t xml:space="preserve"> [e.g. </w:t>
      </w:r>
      <w:r w:rsidRPr="004A0CBB">
        <w:rPr>
          <w:rFonts w:ascii="Cambria" w:eastAsia="Cambria" w:hAnsi="Cambria" w:cs="Times New Roman"/>
          <w:b/>
          <w:u w:val="single"/>
        </w:rPr>
        <w:t>Southern right whales</w:t>
      </w:r>
      <w:r w:rsidRPr="004A0CBB">
        <w:rPr>
          <w:rFonts w:ascii="Cambria" w:eastAsia="Cambria" w:hAnsi="Cambria" w:cs="Times New Roman"/>
          <w:sz w:val="16"/>
        </w:rPr>
        <w:t xml:space="preserve"> Eubalaena australis, </w:t>
      </w:r>
      <w:r w:rsidRPr="004A0CBB">
        <w:rPr>
          <w:rFonts w:ascii="Cambria" w:eastAsia="Cambria" w:hAnsi="Cambria" w:cs="Times New Roman"/>
          <w:b/>
          <w:u w:val="single"/>
        </w:rPr>
        <w:t>Western Arc-tic bowhead whales</w:t>
      </w:r>
      <w:r w:rsidRPr="004A0CBB">
        <w:rPr>
          <w:rFonts w:ascii="Cambria" w:eastAsia="Cambria" w:hAnsi="Cambria" w:cs="Times New Roman"/>
          <w:sz w:val="16"/>
        </w:rPr>
        <w:t xml:space="preserve"> Balaena mysticetus (Figure 2a) and </w:t>
      </w:r>
      <w:r w:rsidRPr="004A0CBB">
        <w:rPr>
          <w:rFonts w:ascii="Cambria" w:eastAsia="Cambria" w:hAnsi="Cambria" w:cs="Times New Roman"/>
          <w:b/>
          <w:u w:val="single"/>
        </w:rPr>
        <w:t>Northeast Pacific gray whales</w:t>
      </w:r>
      <w:r w:rsidRPr="004A0CBB">
        <w:rPr>
          <w:rFonts w:ascii="Cambria" w:eastAsia="Cambria" w:hAnsi="Cambria" w:cs="Times New Roman"/>
          <w:sz w:val="16"/>
        </w:rPr>
        <w:t xml:space="preserve"> Eschrkhtius robustusJ, whereas others remained at low population levels [25,33,34]. In 1986, </w:t>
      </w:r>
      <w:r w:rsidRPr="004A0CBB">
        <w:rPr>
          <w:rFonts w:ascii="Cambria" w:eastAsia="Cambria" w:hAnsi="Cambria" w:cs="Times New Roman"/>
          <w:b/>
          <w:u w:val="single"/>
        </w:rPr>
        <w:t>the International Whaling Commission expanded the commercial whaling moratorium to all great whales, leading to increases in other species</w:t>
      </w:r>
      <w:r w:rsidRPr="004A0CBB">
        <w:rPr>
          <w:rFonts w:ascii="Cambria" w:eastAsia="Cambria" w:hAnsi="Cambria" w:cs="Times New Roman"/>
          <w:sz w:val="16"/>
        </w:rPr>
        <w:t xml:space="preserve">, such as sperm Physeter macrocephalus [35] and </w:t>
      </w:r>
      <w:r w:rsidRPr="004A0CBB">
        <w:rPr>
          <w:rFonts w:ascii="Cambria" w:eastAsia="Cambria" w:hAnsi="Cambria" w:cs="Times New Roman"/>
          <w:b/>
          <w:u w:val="single"/>
        </w:rPr>
        <w:t>blue whales</w:t>
      </w:r>
      <w:r w:rsidRPr="004A0CBB">
        <w:rPr>
          <w:rFonts w:ascii="Cambria" w:eastAsia="Cambria" w:hAnsi="Cambria" w:cs="Times New Roman"/>
          <w:sz w:val="16"/>
        </w:rPr>
        <w:t xml:space="preserve"> Balaenoptera musculus 1361. </w:t>
      </w:r>
      <w:r w:rsidRPr="004A0CBB">
        <w:rPr>
          <w:rFonts w:ascii="Cambria" w:eastAsia="Cambria" w:hAnsi="Cambria" w:cs="Times New Roman"/>
          <w:b/>
          <w:u w:val="single"/>
        </w:rPr>
        <w:t>Similarly, several populations of pinnipeds and other marine mammals started to increase after the hunting for fur, skin, blubber, ivory or bounty was either prohibited or reduced</w:t>
      </w:r>
      <w:r w:rsidRPr="004A0CBB">
        <w:rPr>
          <w:rFonts w:ascii="Cambria" w:eastAsia="Cambria" w:hAnsi="Cambria" w:cs="Times New Roman"/>
          <w:sz w:val="16"/>
        </w:rPr>
        <w:t xml:space="preserve"> [3] (Anna M. Magera, MSc thesis, Dalhousie University, 2011). Some </w:t>
      </w:r>
      <w:r w:rsidRPr="004A0CBB">
        <w:rPr>
          <w:rFonts w:ascii="Cambria" w:eastAsia="Cambria" w:hAnsi="Cambria" w:cs="Times New Roman"/>
          <w:b/>
          <w:u w:val="single"/>
        </w:rPr>
        <w:t>populations showed remarkable population increases after being almost extir-pated,</w:t>
      </w:r>
      <w:r w:rsidRPr="004A0CBB">
        <w:rPr>
          <w:rFonts w:ascii="Cambria" w:eastAsia="Cambria" w:hAnsi="Cambria" w:cs="Times New Roman"/>
          <w:sz w:val="16"/>
        </w:rPr>
        <w:t xml:space="preserve"> such as </w:t>
      </w:r>
      <w:r w:rsidRPr="004A0CBB">
        <w:rPr>
          <w:rFonts w:ascii="Cambria" w:eastAsia="Cambria" w:hAnsi="Cambria" w:cs="Times New Roman"/>
          <w:b/>
          <w:u w:val="single"/>
        </w:rPr>
        <w:t>Northern elephant seals</w:t>
      </w:r>
      <w:r w:rsidRPr="004A0CBB">
        <w:rPr>
          <w:rFonts w:ascii="Cambria" w:eastAsia="Cambria" w:hAnsi="Cambria" w:cs="Times New Roman"/>
          <w:sz w:val="16"/>
        </w:rPr>
        <w:t xml:space="preserve"> Mirounga angu-stkostris 1371 and </w:t>
      </w:r>
      <w:r w:rsidRPr="004A0CBB">
        <w:rPr>
          <w:rFonts w:ascii="Cambria" w:eastAsia="Cambria" w:hAnsi="Cambria" w:cs="Times New Roman"/>
          <w:b/>
          <w:u w:val="single"/>
        </w:rPr>
        <w:t>sea otters</w:t>
      </w:r>
      <w:r w:rsidRPr="004A0CBB">
        <w:rPr>
          <w:rFonts w:ascii="Cambria" w:eastAsia="Cambria" w:hAnsi="Cambria" w:cs="Times New Roman"/>
          <w:sz w:val="16"/>
        </w:rPr>
        <w:t xml:space="preserve"> Enhydra lutris (Box 2)138,391. </w:t>
      </w:r>
      <w:r w:rsidRPr="004A0CBB">
        <w:rPr>
          <w:rFonts w:ascii="Cambria" w:eastAsia="Cambria" w:hAnsi="Cambria" w:cs="Times New Roman"/>
          <w:b/>
          <w:u w:val="single"/>
        </w:rPr>
        <w:t>Birds Conservation efforts</w:t>
      </w:r>
      <w:r w:rsidRPr="004A0CBB">
        <w:rPr>
          <w:rFonts w:ascii="Cambria" w:eastAsia="Cambria" w:hAnsi="Cambria" w:cs="Times New Roman"/>
          <w:sz w:val="16"/>
        </w:rPr>
        <w:t xml:space="preserve"> for birds </w:t>
      </w:r>
      <w:r w:rsidRPr="004A0CBB">
        <w:rPr>
          <w:rFonts w:ascii="Cambria" w:eastAsia="Cambria" w:hAnsi="Cambria" w:cs="Times New Roman"/>
          <w:b/>
          <w:u w:val="single"/>
        </w:rPr>
        <w:t>began during the early 20th century, after a long history of exploitation</w:t>
      </w:r>
      <w:r w:rsidRPr="004A0CBB">
        <w:rPr>
          <w:rFonts w:ascii="Cambria" w:eastAsia="Cambria" w:hAnsi="Cambria" w:cs="Times New Roman"/>
          <w:sz w:val="16"/>
        </w:rPr>
        <w:t xml:space="preserve"> for their meat, eggs, feathers and oil left many species at very low abun-dance 131. </w:t>
      </w:r>
      <w:r w:rsidRPr="004A0CBB">
        <w:rPr>
          <w:rFonts w:ascii="Cambria" w:eastAsia="Cambria" w:hAnsi="Cambria" w:cs="Times New Roman"/>
          <w:b/>
          <w:u w:val="single"/>
        </w:rPr>
        <w:t xml:space="preserve">The </w:t>
      </w:r>
      <w:r w:rsidRPr="004A0CBB">
        <w:rPr>
          <w:rFonts w:ascii="Cambria" w:eastAsia="Cambria" w:hAnsi="Cambria" w:cs="Times New Roman"/>
          <w:sz w:val="16"/>
        </w:rPr>
        <w:t>near</w:t>
      </w:r>
      <w:r w:rsidRPr="004A0CBB">
        <w:rPr>
          <w:rFonts w:ascii="Cambria" w:eastAsia="Cambria" w:hAnsi="Cambria" w:cs="Times New Roman"/>
          <w:b/>
          <w:u w:val="single"/>
        </w:rPr>
        <w:t xml:space="preserve"> extinction of the great blue heron </w:t>
      </w:r>
      <w:r w:rsidRPr="004A0CBB">
        <w:rPr>
          <w:rFonts w:ascii="Cambria" w:eastAsia="Cambria" w:hAnsi="Cambria" w:cs="Times New Roman"/>
          <w:sz w:val="16"/>
        </w:rPr>
        <w:t xml:space="preserve">Ardea herodias was </w:t>
      </w:r>
      <w:r w:rsidRPr="004A0CBB">
        <w:rPr>
          <w:rFonts w:ascii="Cambria" w:eastAsia="Cambria" w:hAnsi="Cambria" w:cs="Times New Roman"/>
          <w:b/>
          <w:u w:val="single"/>
        </w:rPr>
        <w:t>prevented in the USA by the Federal Lacey Act</w:t>
      </w:r>
      <w:r w:rsidRPr="004A0CBB">
        <w:rPr>
          <w:rFonts w:ascii="Cambria" w:eastAsia="Cambria" w:hAnsi="Cambria" w:cs="Times New Roman"/>
          <w:sz w:val="16"/>
        </w:rPr>
        <w:t xml:space="preserve"> in 1900, which prohibited the trade of highly valued feathers [40]. </w:t>
      </w:r>
      <w:r w:rsidRPr="004A0CBB">
        <w:rPr>
          <w:rFonts w:ascii="Cambria" w:eastAsia="Cambria" w:hAnsi="Cambria" w:cs="Times New Roman"/>
          <w:b/>
          <w:u w:val="single"/>
        </w:rPr>
        <w:t>The Migratory Bird Treaty Act between the USA and Great Britain</w:t>
      </w:r>
      <w:r w:rsidRPr="004A0CBB">
        <w:rPr>
          <w:rFonts w:ascii="Cambria" w:eastAsia="Cambria" w:hAnsi="Cambria" w:cs="Times New Roman"/>
          <w:sz w:val="16"/>
        </w:rPr>
        <w:t xml:space="preserve"> in 1918 </w:t>
      </w:r>
      <w:r w:rsidRPr="004A0CBB">
        <w:rPr>
          <w:rFonts w:ascii="Cambria" w:eastAsia="Cambria" w:hAnsi="Cambria" w:cs="Times New Roman"/>
          <w:b/>
          <w:u w:val="single"/>
        </w:rPr>
        <w:t>protected</w:t>
      </w:r>
      <w:r w:rsidRPr="004A0CBB">
        <w:rPr>
          <w:rFonts w:ascii="Cambria" w:eastAsia="Cambria" w:hAnsi="Cambria" w:cs="Times New Roman"/>
          <w:sz w:val="16"/>
        </w:rPr>
        <w:t xml:space="preserve"> a range of </w:t>
      </w:r>
      <w:r w:rsidRPr="004A0CBB">
        <w:rPr>
          <w:rFonts w:ascii="Cambria" w:eastAsia="Cambria" w:hAnsi="Cambria" w:cs="Times New Roman"/>
          <w:b/>
          <w:u w:val="single"/>
        </w:rPr>
        <w:t>migratory birds</w:t>
      </w:r>
      <w:r w:rsidRPr="004A0CBB">
        <w:rPr>
          <w:rFonts w:ascii="Cambria" w:eastAsia="Cambria" w:hAnsi="Cambria" w:cs="Times New Roman"/>
          <w:sz w:val="16"/>
        </w:rPr>
        <w:t xml:space="preserve"> from hunting, egg collection and nest destruction [40]. </w:t>
      </w:r>
      <w:r w:rsidRPr="004A0CBB">
        <w:rPr>
          <w:rFonts w:ascii="Cambria" w:eastAsia="Cambria" w:hAnsi="Cambria" w:cs="Times New Roman"/>
          <w:b/>
          <w:u w:val="single"/>
        </w:rPr>
        <w:t>Over time, many countries implemented similar conventions to protect birds and their habitats, enabling many decimated populations to increase</w:t>
      </w:r>
      <w:r w:rsidRPr="004A0CBB">
        <w:rPr>
          <w:rFonts w:ascii="Cambria" w:eastAsia="Cambria" w:hAnsi="Cambria" w:cs="Times New Roman"/>
          <w:b/>
          <w:sz w:val="16"/>
        </w:rPr>
        <w:t xml:space="preserve"> </w:t>
      </w:r>
      <w:r w:rsidRPr="004A0CBB">
        <w:rPr>
          <w:rFonts w:ascii="Cambria" w:eastAsia="Cambria" w:hAnsi="Cambria" w:cs="Times New Roman"/>
          <w:sz w:val="16"/>
        </w:rPr>
        <w:t xml:space="preserve">(Figure 2b) [41-43], albeit rarely to historical levels [3]. Some </w:t>
      </w:r>
      <w:r w:rsidRPr="004A0CBB">
        <w:rPr>
          <w:rFonts w:ascii="Cambria" w:eastAsia="Cambria" w:hAnsi="Cambria" w:cs="Times New Roman"/>
          <w:b/>
          <w:u w:val="single"/>
        </w:rPr>
        <w:t>species naturally recolonized abandoned breeding colonies or habitats from which they had been extirpated</w:t>
      </w:r>
      <w:r w:rsidRPr="004A0CBB">
        <w:rPr>
          <w:rFonts w:ascii="Cambria" w:eastAsia="Cambria" w:hAnsi="Cambria" w:cs="Times New Roman"/>
          <w:sz w:val="16"/>
        </w:rPr>
        <w:t xml:space="preserve"> 142,43], whereas others needed assisted re-introduction 142] or formed new colonies at suitable sites [41]. In some cases, eradication of rats, foxes, raccoons or other human-introduced predators was necessary to restore seabird colonies [42,44]. </w:t>
      </w:r>
      <w:r w:rsidRPr="00557640">
        <w:rPr>
          <w:rFonts w:ascii="Cambria" w:eastAsia="Cambria" w:hAnsi="Cambria" w:cs="Times New Roman"/>
          <w:b/>
          <w:highlight w:val="green"/>
          <w:u w:val="single"/>
        </w:rPr>
        <w:t>Another important factor</w:t>
      </w:r>
      <w:r w:rsidRPr="004A0CBB">
        <w:rPr>
          <w:rFonts w:ascii="Cambria" w:eastAsia="Cambria" w:hAnsi="Cambria" w:cs="Times New Roman"/>
          <w:sz w:val="16"/>
        </w:rPr>
        <w:t xml:space="preserve"> in the recovery of many birds was </w:t>
      </w:r>
      <w:r w:rsidRPr="00557640">
        <w:rPr>
          <w:rFonts w:ascii="Cambria" w:eastAsia="Cambria" w:hAnsi="Cambria" w:cs="Times New Roman"/>
          <w:b/>
          <w:highlight w:val="green"/>
          <w:u w:val="single"/>
        </w:rPr>
        <w:t>the ban of DDT</w:t>
      </w:r>
      <w:r w:rsidRPr="004A0CBB">
        <w:rPr>
          <w:rFonts w:ascii="Cambria" w:eastAsia="Cambria" w:hAnsi="Cambria" w:cs="Times New Roman"/>
          <w:sz w:val="16"/>
        </w:rPr>
        <w:t xml:space="preserve"> during the 1970s [40]. Reptiles </w:t>
      </w:r>
      <w:r w:rsidRPr="004A0CBB">
        <w:rPr>
          <w:rFonts w:ascii="Cambria" w:eastAsia="Cambria" w:hAnsi="Cambria" w:cs="Times New Roman"/>
          <w:b/>
          <w:u w:val="single"/>
        </w:rPr>
        <w:t xml:space="preserve">Over the past 25 years, </w:t>
      </w:r>
      <w:r w:rsidRPr="004A0CBB">
        <w:rPr>
          <w:rFonts w:ascii="Cambria" w:eastAsia="Cambria" w:hAnsi="Cambria" w:cs="Times New Roman"/>
          <w:sz w:val="16"/>
        </w:rPr>
        <w:t xml:space="preserve">six </w:t>
      </w:r>
      <w:r w:rsidRPr="004A0CBB">
        <w:rPr>
          <w:rFonts w:ascii="Cambria" w:eastAsia="Cambria" w:hAnsi="Cambria" w:cs="Times New Roman"/>
          <w:b/>
          <w:u w:val="single"/>
        </w:rPr>
        <w:t>major</w:t>
      </w:r>
      <w:r w:rsidRPr="004A0CBB">
        <w:rPr>
          <w:rFonts w:ascii="Cambria" w:eastAsia="Cambria" w:hAnsi="Cambria" w:cs="Times New Roman"/>
          <w:sz w:val="16"/>
        </w:rPr>
        <w:t xml:space="preserve"> green </w:t>
      </w:r>
      <w:r w:rsidRPr="004A0CBB">
        <w:rPr>
          <w:rFonts w:ascii="Cambria" w:eastAsia="Cambria" w:hAnsi="Cambria" w:cs="Times New Roman"/>
          <w:b/>
          <w:u w:val="single"/>
        </w:rPr>
        <w:t>turtle</w:t>
      </w:r>
      <w:r w:rsidRPr="004A0CBB">
        <w:rPr>
          <w:rFonts w:ascii="Cambria" w:eastAsia="Cambria" w:hAnsi="Cambria" w:cs="Times New Roman"/>
          <w:sz w:val="16"/>
        </w:rPr>
        <w:t xml:space="preserve"> Chelonia mydas </w:t>
      </w:r>
      <w:r w:rsidRPr="004A0CBB">
        <w:rPr>
          <w:rFonts w:ascii="Cambria" w:eastAsia="Cambria" w:hAnsi="Cambria" w:cs="Times New Roman"/>
          <w:b/>
          <w:u w:val="single"/>
        </w:rPr>
        <w:t xml:space="preserve">nesting populations in Japan, Australia, Hawaii, Florida and Costa Rica have been </w:t>
      </w:r>
      <w:r w:rsidRPr="004A0CBB">
        <w:rPr>
          <w:rFonts w:ascii="Cambria" w:eastAsia="Cambria" w:hAnsi="Cambria" w:cs="Times New Roman"/>
          <w:b/>
          <w:u w:val="single"/>
        </w:rPr>
        <w:lastRenderedPageBreak/>
        <w:t>increasing by 3.8-13.9% per year following protection from human exploitation of eggs and turtles</w:t>
      </w:r>
      <w:r w:rsidRPr="004A0CBB">
        <w:rPr>
          <w:rFonts w:ascii="Cambria" w:eastAsia="Cambria" w:hAnsi="Cambria" w:cs="Times New Roman"/>
          <w:sz w:val="16"/>
        </w:rPr>
        <w:t xml:space="preserve"> (Figure 2c) [45). Other sea turtle species have also shown some increases, although most are far from historical abundance levels and are listed as threat-ened or endangered 140,45,46). By contrast, more offshore-venturing loggerhead Caretta caretta and leatherback Der-mochelys coriacea turtles have experienced strong popula-tion declines owing to being bycatch in fisheries 147). </w:t>
      </w:r>
      <w:r w:rsidRPr="004A0CBB">
        <w:rPr>
          <w:rFonts w:ascii="Cambria" w:eastAsia="Cambria" w:hAnsi="Cambria" w:cs="Times New Roman"/>
          <w:b/>
          <w:u w:val="single"/>
        </w:rPr>
        <w:t>Other marine reptiles have also shown recovery</w:t>
      </w:r>
      <w:r w:rsidRPr="004A0CBB">
        <w:rPr>
          <w:rFonts w:ascii="Cambria" w:eastAsia="Cambria" w:hAnsi="Cambria" w:cs="Times New Roman"/>
          <w:sz w:val="16"/>
        </w:rPr>
        <w:t xml:space="preserve">, such as </w:t>
      </w:r>
      <w:r w:rsidRPr="004A0CBB">
        <w:rPr>
          <w:rFonts w:ascii="Cambria" w:eastAsia="Cambria" w:hAnsi="Cambria" w:cs="Times New Roman"/>
          <w:b/>
          <w:u w:val="single"/>
        </w:rPr>
        <w:t>the American alligator</w:t>
      </w:r>
      <w:r w:rsidRPr="004A0CBB">
        <w:rPr>
          <w:rFonts w:ascii="Cambria" w:eastAsia="Cambria" w:hAnsi="Cambria" w:cs="Times New Roman"/>
          <w:sz w:val="16"/>
        </w:rPr>
        <w:t xml:space="preserve"> Alligator mississippiensis in the south-east USA, </w:t>
      </w:r>
      <w:r w:rsidRPr="004A0CBB">
        <w:rPr>
          <w:rFonts w:ascii="Cambria" w:eastAsia="Cambria" w:hAnsi="Cambria" w:cs="Times New Roman"/>
          <w:b/>
          <w:u w:val="single"/>
        </w:rPr>
        <w:t>owing to legal protection under the US Endan-gered Species Act and bans on hunting and trade</w:t>
      </w:r>
      <w:r w:rsidRPr="004A0CBB">
        <w:rPr>
          <w:rFonts w:ascii="Cambria" w:eastAsia="Cambria" w:hAnsi="Cambria" w:cs="Times New Roman"/>
          <w:sz w:val="16"/>
        </w:rPr>
        <w:t xml:space="preserve"> [e.g. Convention on International Trade in Endangered Species (CITES) [40)). </w:t>
      </w:r>
      <w:r w:rsidRPr="004A0CBB">
        <w:rPr>
          <w:rFonts w:ascii="Cambria" w:eastAsia="Cambria" w:hAnsi="Cambria" w:cs="Times New Roman"/>
          <w:b/>
          <w:u w:val="single"/>
        </w:rPr>
        <w:t>Fishes Over the past decade, stricter management and improved governance have enabled the rebuilding of</w:t>
      </w:r>
      <w:r w:rsidRPr="004A0CBB">
        <w:rPr>
          <w:rFonts w:ascii="Cambria" w:eastAsia="Cambria" w:hAnsi="Cambria" w:cs="Times New Roman"/>
          <w:sz w:val="16"/>
        </w:rPr>
        <w:t xml:space="preserve"> some </w:t>
      </w:r>
      <w:r w:rsidRPr="004A0CBB">
        <w:rPr>
          <w:rFonts w:ascii="Cambria" w:eastAsia="Cambria" w:hAnsi="Cambria" w:cs="Times New Roman"/>
          <w:b/>
          <w:u w:val="single"/>
        </w:rPr>
        <w:t>fish popu-lations</w:t>
      </w:r>
      <w:r w:rsidRPr="004A0CBB">
        <w:rPr>
          <w:rFonts w:ascii="Cambria" w:eastAsia="Cambria" w:hAnsi="Cambria" w:cs="Times New Roman"/>
          <w:sz w:val="16"/>
        </w:rPr>
        <w:t xml:space="preserve">, whereas others remain at low population numbers (8,9). </w:t>
      </w:r>
      <w:r w:rsidRPr="004A0CBB">
        <w:rPr>
          <w:rFonts w:ascii="Cambria" w:eastAsia="Cambria" w:hAnsi="Cambria" w:cs="Times New Roman"/>
          <w:b/>
          <w:u w:val="single"/>
        </w:rPr>
        <w:t>After severe declines of groundfish stocks</w:t>
      </w:r>
      <w:r w:rsidRPr="004A0CBB">
        <w:rPr>
          <w:rFonts w:ascii="Cambria" w:eastAsia="Cambria" w:hAnsi="Cambria" w:cs="Times New Roman"/>
          <w:sz w:val="16"/>
        </w:rPr>
        <w:t xml:space="preserve">, a large-scale </w:t>
      </w:r>
      <w:r w:rsidRPr="004A0CBB">
        <w:rPr>
          <w:rFonts w:ascii="Cambria" w:eastAsia="Cambria" w:hAnsi="Cambria" w:cs="Times New Roman"/>
          <w:b/>
          <w:u w:val="single"/>
        </w:rPr>
        <w:t>fishing closure on Georges Bank</w:t>
      </w:r>
      <w:r w:rsidRPr="004A0CBB">
        <w:rPr>
          <w:rFonts w:ascii="Cambria" w:eastAsia="Cambria" w:hAnsi="Cambria" w:cs="Times New Roman"/>
          <w:sz w:val="16"/>
        </w:rPr>
        <w:t xml:space="preserve"> in 1992 </w:t>
      </w:r>
      <w:r w:rsidRPr="004A0CBB">
        <w:rPr>
          <w:rFonts w:ascii="Cambria" w:eastAsia="Cambria" w:hAnsi="Cambria" w:cs="Times New Roman"/>
          <w:b/>
          <w:u w:val="single"/>
        </w:rPr>
        <w:t>resulted in a strong increase of haddock</w:t>
      </w:r>
      <w:r w:rsidRPr="004A0CBB">
        <w:rPr>
          <w:rFonts w:ascii="Cambria" w:eastAsia="Cambria" w:hAnsi="Cambria" w:cs="Times New Roman"/>
          <w:sz w:val="16"/>
        </w:rPr>
        <w:t xml:space="preserve"> Melanogrammus aeglefinus (81, whereas a fishing moratorium for cod Gadus morhua in Atlantic Canada after its collapse during the early 1990s has not yet resulted in significant recovery (201. </w:t>
      </w:r>
      <w:r w:rsidRPr="004A0CBB">
        <w:rPr>
          <w:rFonts w:ascii="Cambria" w:eastAsia="Cambria" w:hAnsi="Cambria" w:cs="Times New Roman"/>
          <w:b/>
          <w:u w:val="single"/>
        </w:rPr>
        <w:t>In the Southern California Bight, a ban of gill nets</w:t>
      </w:r>
      <w:r w:rsidRPr="004A0CBB">
        <w:rPr>
          <w:rFonts w:ascii="Cambria" w:eastAsia="Cambria" w:hAnsi="Cambria" w:cs="Times New Roman"/>
          <w:sz w:val="16"/>
        </w:rPr>
        <w:t xml:space="preserve"> in 1994 </w:t>
      </w:r>
      <w:r w:rsidRPr="004A0CBB">
        <w:rPr>
          <w:rFonts w:ascii="Cambria" w:eastAsia="Cambria" w:hAnsi="Cambria" w:cs="Times New Roman"/>
          <w:b/>
          <w:u w:val="single"/>
        </w:rPr>
        <w:t>resulted in the</w:t>
      </w:r>
      <w:r w:rsidRPr="004A0CBB">
        <w:rPr>
          <w:rFonts w:ascii="Cambria" w:eastAsia="Cambria" w:hAnsi="Cambria" w:cs="Times New Roman"/>
          <w:sz w:val="16"/>
        </w:rPr>
        <w:t xml:space="preserve"> slow </w:t>
      </w:r>
      <w:r w:rsidRPr="004A0CBB">
        <w:rPr>
          <w:rFonts w:ascii="Cambria" w:eastAsia="Cambria" w:hAnsi="Cambria" w:cs="Times New Roman"/>
          <w:b/>
          <w:u w:val="single"/>
        </w:rPr>
        <w:t xml:space="preserve">recovery of strongly depleted white sea bass </w:t>
      </w:r>
      <w:r w:rsidRPr="004A0CBB">
        <w:rPr>
          <w:rFonts w:ascii="Cambria" w:eastAsia="Cambria" w:hAnsi="Cambria" w:cs="Times New Roman"/>
          <w:sz w:val="16"/>
        </w:rPr>
        <w:t xml:space="preserve">Atractoscion nobilis and other predatory fishes (Figure 2d) (48). Similarly, </w:t>
      </w:r>
      <w:r w:rsidRPr="004A0CBB">
        <w:rPr>
          <w:rFonts w:ascii="Cambria" w:eastAsia="Cambria" w:hAnsi="Cambria" w:cs="Times New Roman"/>
          <w:b/>
          <w:u w:val="single"/>
        </w:rPr>
        <w:t>the ban of beach seine nets in combination with closed areas resulted in marked increases in fish abundance</w:t>
      </w:r>
      <w:r w:rsidRPr="004A0CBB">
        <w:rPr>
          <w:rFonts w:ascii="Cambria" w:eastAsia="Cambria" w:hAnsi="Cambria" w:cs="Times New Roman"/>
          <w:sz w:val="16"/>
        </w:rPr>
        <w:t xml:space="preserve"> in Kenya [49). </w:t>
      </w:r>
      <w:r w:rsidRPr="004A0CBB">
        <w:rPr>
          <w:rFonts w:ascii="Cambria" w:eastAsia="Cambria" w:hAnsi="Cambria" w:cs="Times New Roman"/>
          <w:b/>
          <w:u w:val="single"/>
        </w:rPr>
        <w:t>In the North-west Atlantic, profitability cessation of foreign fishing enabled the porbeagle shark</w:t>
      </w:r>
      <w:r w:rsidRPr="004A0CBB">
        <w:rPr>
          <w:rFonts w:ascii="Cambria" w:eastAsia="Cambria" w:hAnsi="Cambria" w:cs="Times New Roman"/>
          <w:sz w:val="16"/>
        </w:rPr>
        <w:t xml:space="preserve"> Lamna nasus </w:t>
      </w:r>
      <w:r w:rsidRPr="004A0CBB">
        <w:rPr>
          <w:rFonts w:ascii="Cambria" w:eastAsia="Cambria" w:hAnsi="Cambria" w:cs="Times New Roman"/>
          <w:b/>
          <w:u w:val="single"/>
        </w:rPr>
        <w:t>to recover after its stock collapsed</w:t>
      </w:r>
      <w:r w:rsidRPr="004A0CBB">
        <w:rPr>
          <w:rFonts w:ascii="Cambria" w:eastAsia="Cambria" w:hAnsi="Cambria" w:cs="Times New Roman"/>
          <w:sz w:val="16"/>
        </w:rPr>
        <w:t xml:space="preserve"> during the 1960s, but renewed Canadi-an fisheries during the 1990s again depleted the popula-tion, until recent management measures halted its decline (50). For diadromous fishes, recovery efforts often need to address multiple threats. Reduction of river pollution and creation of fish ladders on dams to access spawning habitat enabled strong returns of gaspereau Alosa spp. and Atlan-tic salmon Salmo solar in the St. Croix River, Canada during the 1980s before some dams were closed again in 1995 (42). The recent removal of dams on the Kennebec River in Maine also resulted in strong returns of several diadromous fish species (51). Habitats </w:t>
      </w:r>
      <w:r w:rsidRPr="00557640">
        <w:rPr>
          <w:rFonts w:ascii="Cambria" w:eastAsia="Cambria" w:hAnsi="Cambria" w:cs="Times New Roman"/>
          <w:b/>
          <w:highlight w:val="green"/>
          <w:u w:val="single"/>
        </w:rPr>
        <w:t>Around the world, increasing efforts are directed towards the protection and restoration of coastal habitats,</w:t>
      </w:r>
      <w:r w:rsidRPr="004A0CBB">
        <w:rPr>
          <w:rFonts w:ascii="Cambria" w:eastAsia="Cambria" w:hAnsi="Cambria" w:cs="Times New Roman"/>
          <w:b/>
          <w:u w:val="single"/>
        </w:rPr>
        <w:t xml:space="preserve"> such as wetlands, mangroves, seagrass beds, kelp forests, and oyster and coral reefs. </w:t>
      </w:r>
      <w:r w:rsidRPr="004A0CBB">
        <w:rPr>
          <w:rFonts w:ascii="Cambria" w:eastAsia="Cambria" w:hAnsi="Cambria" w:cs="Times New Roman"/>
          <w:sz w:val="16"/>
        </w:rPr>
        <w:t xml:space="preserve">Some have achieved at least partial recovery, whereas others have not. For example, </w:t>
      </w:r>
      <w:r w:rsidRPr="004A0CBB">
        <w:rPr>
          <w:rFonts w:ascii="Cambria" w:eastAsia="Cambria" w:hAnsi="Cambria" w:cs="Times New Roman"/>
          <w:b/>
          <w:u w:val="single"/>
        </w:rPr>
        <w:t>the re-duction of nutrient pollution resulted in the recovery of 27 km2 of seagrass beds</w:t>
      </w:r>
      <w:r w:rsidRPr="004A0CBB">
        <w:rPr>
          <w:rFonts w:ascii="Cambria" w:eastAsia="Cambria" w:hAnsi="Cambria" w:cs="Times New Roman"/>
          <w:sz w:val="16"/>
        </w:rPr>
        <w:t xml:space="preserve"> </w:t>
      </w:r>
      <w:r w:rsidRPr="004A0CBB">
        <w:rPr>
          <w:rFonts w:ascii="Cambria" w:eastAsia="Cambria" w:hAnsi="Cambria" w:cs="Times New Roman"/>
          <w:b/>
          <w:u w:val="single"/>
        </w:rPr>
        <w:t>in</w:t>
      </w:r>
      <w:r w:rsidRPr="004A0CBB">
        <w:rPr>
          <w:rFonts w:ascii="Cambria" w:eastAsia="Cambria" w:hAnsi="Cambria" w:cs="Times New Roman"/>
          <w:sz w:val="16"/>
        </w:rPr>
        <w:t xml:space="preserve"> Tampa Bay, </w:t>
      </w:r>
      <w:r w:rsidRPr="004A0CBB">
        <w:rPr>
          <w:rFonts w:ascii="Cambria" w:eastAsia="Cambria" w:hAnsi="Cambria" w:cs="Times New Roman"/>
          <w:b/>
          <w:u w:val="single"/>
        </w:rPr>
        <w:t>Florida</w:t>
      </w:r>
      <w:r w:rsidRPr="004A0CBB">
        <w:rPr>
          <w:rFonts w:ascii="Cambria" w:eastAsia="Cambria" w:hAnsi="Cambria" w:cs="Times New Roman"/>
          <w:sz w:val="16"/>
        </w:rPr>
        <w:t xml:space="preserve"> [52), 25 ha </w:t>
      </w:r>
      <w:r w:rsidRPr="004A0CBB">
        <w:rPr>
          <w:rFonts w:ascii="Cambria" w:eastAsia="Cambria" w:hAnsi="Cambria" w:cs="Times New Roman"/>
          <w:b/>
          <w:u w:val="single"/>
        </w:rPr>
        <w:t>in</w:t>
      </w:r>
      <w:r w:rsidRPr="004A0CBB">
        <w:rPr>
          <w:rFonts w:ascii="Cambria" w:eastAsia="Cambria" w:hAnsi="Cambria" w:cs="Times New Roman"/>
          <w:sz w:val="16"/>
        </w:rPr>
        <w:t xml:space="preserve"> Mumford Cove, </w:t>
      </w:r>
      <w:r w:rsidRPr="004A0CBB">
        <w:rPr>
          <w:rFonts w:ascii="Cambria" w:eastAsia="Cambria" w:hAnsi="Cambria" w:cs="Times New Roman"/>
          <w:b/>
          <w:u w:val="single"/>
        </w:rPr>
        <w:t>Connecticut</w:t>
      </w:r>
      <w:r w:rsidRPr="004A0CBB">
        <w:rPr>
          <w:rFonts w:ascii="Cambria" w:eastAsia="Cambria" w:hAnsi="Cambria" w:cs="Times New Roman"/>
          <w:sz w:val="16"/>
        </w:rPr>
        <w:t xml:space="preserve"> (Figure 3a) (53), </w:t>
      </w:r>
      <w:r w:rsidRPr="004A0CBB">
        <w:rPr>
          <w:rFonts w:ascii="Cambria" w:eastAsia="Cambria" w:hAnsi="Cambria" w:cs="Times New Roman"/>
          <w:b/>
          <w:u w:val="single"/>
        </w:rPr>
        <w:t>and a more than threefold increase of seagrass beds up to 100 km2 in</w:t>
      </w:r>
      <w:r w:rsidRPr="004A0CBB">
        <w:rPr>
          <w:rFonts w:ascii="Cambria" w:eastAsia="Cambria" w:hAnsi="Cambria" w:cs="Times New Roman"/>
          <w:sz w:val="16"/>
        </w:rPr>
        <w:t xml:space="preserve"> the Northfrisian Wadden Sea, </w:t>
      </w:r>
      <w:r w:rsidRPr="004A0CBB">
        <w:rPr>
          <w:rFonts w:ascii="Cambria" w:eastAsia="Cambria" w:hAnsi="Cambria" w:cs="Times New Roman"/>
          <w:b/>
          <w:u w:val="single"/>
        </w:rPr>
        <w:t>Germany</w:t>
      </w:r>
      <w:r w:rsidRPr="004A0CBB">
        <w:rPr>
          <w:rFonts w:ascii="Cambria" w:eastAsia="Cambria" w:hAnsi="Cambria" w:cs="Times New Roman"/>
          <w:sz w:val="16"/>
        </w:rPr>
        <w:t xml:space="preserve"> from 1994-2006 1541. </w:t>
      </w:r>
      <w:r w:rsidRPr="004A0CBB">
        <w:rPr>
          <w:rFonts w:ascii="Cambria" w:eastAsia="Cambria" w:hAnsi="Cambria" w:cs="Times New Roman"/>
          <w:b/>
          <w:u w:val="single"/>
        </w:rPr>
        <w:t>In</w:t>
      </w:r>
      <w:r w:rsidRPr="004A0CBB">
        <w:rPr>
          <w:rFonts w:ascii="Cambria" w:eastAsia="Cambria" w:hAnsi="Cambria" w:cs="Times New Roman"/>
          <w:sz w:val="16"/>
        </w:rPr>
        <w:t xml:space="preserve"> Mondego Bay, </w:t>
      </w:r>
      <w:r w:rsidRPr="004A0CBB">
        <w:rPr>
          <w:rFonts w:ascii="Cambria" w:eastAsia="Cambria" w:hAnsi="Cambria" w:cs="Times New Roman"/>
          <w:b/>
          <w:u w:val="single"/>
        </w:rPr>
        <w:t>Portugal, seagrass recovered from 0.02 to 1.61</w:t>
      </w:r>
      <w:r w:rsidRPr="004A0CBB">
        <w:rPr>
          <w:rFonts w:ascii="Cambria" w:eastAsia="Cambria" w:hAnsi="Cambria" w:cs="Times New Roman"/>
          <w:sz w:val="16"/>
        </w:rPr>
        <w:t xml:space="preserve">=2 from 1997 to 2002 </w:t>
      </w:r>
      <w:r w:rsidRPr="004A0CBB">
        <w:rPr>
          <w:rFonts w:ascii="Cambria" w:eastAsia="Cambria" w:hAnsi="Cambria" w:cs="Times New Roman"/>
          <w:b/>
          <w:u w:val="single"/>
        </w:rPr>
        <w:t>following management actions to restore water quality and estuarine circulation and to reduce disturbance from fishing practices</w:t>
      </w:r>
      <w:r w:rsidRPr="004A0CBB">
        <w:rPr>
          <w:rFonts w:ascii="Cambria" w:eastAsia="Cambria" w:hAnsi="Cambria" w:cs="Times New Roman"/>
          <w:sz w:val="16"/>
        </w:rPr>
        <w:t xml:space="preserve"> 1551. Recovery can be more difficult when the former vegeta-tion has been lost. In the Delmarva Coastal Bays, USA, eelgrass Zodera marina showed natural recovery after the 1930s wasting disease and hurricane destruction in the four northern bays, probably from small remnant stands 1561. By contrast, no recovery occurred in the southern bays, owing to seed limitation, before active restoration efforts. This is one of a few examples where restoration of lost seartiess beds has been successful 161. </w:t>
      </w:r>
      <w:r w:rsidRPr="004A0CBB">
        <w:rPr>
          <w:rFonts w:ascii="Cambria" w:eastAsia="Cambria" w:hAnsi="Cambria" w:cs="Times New Roman"/>
          <w:b/>
          <w:u w:val="single"/>
        </w:rPr>
        <w:t xml:space="preserve">On many tem-perate coasts, </w:t>
      </w:r>
      <w:r w:rsidRPr="00557640">
        <w:rPr>
          <w:rFonts w:ascii="Cambria" w:eastAsia="Cambria" w:hAnsi="Cambria" w:cs="Times New Roman"/>
          <w:b/>
          <w:highlight w:val="green"/>
          <w:u w:val="single"/>
        </w:rPr>
        <w:t>kelp forests have recovered from deforesta-tion by sea urchins</w:t>
      </w:r>
      <w:r w:rsidRPr="004A0CBB">
        <w:rPr>
          <w:rFonts w:ascii="Cambria" w:eastAsia="Cambria" w:hAnsi="Cambria" w:cs="Times New Roman"/>
          <w:b/>
          <w:u w:val="single"/>
        </w:rPr>
        <w:t xml:space="preserve"> after sea urchin populations were reduced by natural predators</w:t>
      </w:r>
      <w:r w:rsidRPr="004A0CBB">
        <w:rPr>
          <w:rFonts w:ascii="Cambria" w:eastAsia="Cambria" w:hAnsi="Cambria" w:cs="Times New Roman"/>
          <w:sz w:val="16"/>
        </w:rPr>
        <w:t xml:space="preserve"> (e.g. sea otters, Box 2), fishing or disease 1571. By contrast, where kelp forests have been replaced by algal turfs, sediments or mussel beds, recovery potential seems limited even when the proximate drivers of loss are removed 158,591, but assisted restoration can help 1161. For non-vegetated habitats, such as oyster and coral reefs, recovery has also been difficult 160,611. </w:t>
      </w:r>
      <w:r w:rsidRPr="004A0CBB">
        <w:rPr>
          <w:rFonts w:ascii="Cambria" w:eastAsia="Cambria" w:hAnsi="Cambria" w:cs="Times New Roman"/>
          <w:b/>
          <w:u w:val="single"/>
        </w:rPr>
        <w:t>However, the potential for recovery of native oyster reefs is emerging from restoration efforts at several key localities within Chesapeake Bay</w:t>
      </w:r>
      <w:r w:rsidRPr="004A0CBB">
        <w:rPr>
          <w:rFonts w:ascii="Cambria" w:eastAsia="Cambria" w:hAnsi="Cambria" w:cs="Times New Roman"/>
          <w:sz w:val="16"/>
        </w:rPr>
        <w:t xml:space="preserve">, Pamlico Sound. Strangford Lough in Northern Ireland and the Limftord. Denmark 171. Marine reserves can also help. </w:t>
      </w:r>
      <w:r w:rsidRPr="004A0CBB">
        <w:rPr>
          <w:rFonts w:ascii="Cambria" w:eastAsia="Cambria" w:hAnsi="Cambria" w:cs="Times New Roman"/>
          <w:b/>
          <w:u w:val="single"/>
        </w:rPr>
        <w:t xml:space="preserve">Recovery of coral cover and size distribution after bleaching and hurricane disturbance was significantly enhanced </w:t>
      </w:r>
      <w:r w:rsidRPr="004A0CBB">
        <w:rPr>
          <w:rFonts w:ascii="Cambria" w:eastAsia="Cambria" w:hAnsi="Cambria" w:cs="Times New Roman"/>
          <w:sz w:val="16"/>
        </w:rPr>
        <w:t xml:space="preserve">inside a marine reserve in the Bahamas compared to outside, </w:t>
      </w:r>
      <w:r w:rsidRPr="004A0CBB">
        <w:rPr>
          <w:rFonts w:ascii="Cambria" w:eastAsia="Cambria" w:hAnsi="Cambria" w:cs="Times New Roman"/>
          <w:b/>
          <w:u w:val="single"/>
        </w:rPr>
        <w:t>owing to higher abun-dance of herbivorous fishes and resulting lower macroalgal cover</w:t>
      </w:r>
      <w:r w:rsidRPr="004A0CBB">
        <w:rPr>
          <w:rFonts w:ascii="Cambria" w:eastAsia="Cambria" w:hAnsi="Cambria" w:cs="Times New Roman"/>
          <w:sz w:val="16"/>
        </w:rPr>
        <w:t xml:space="preserve"> 1621. However, recovery might depend on the type. strength and timescale of the disturbance. Whereas some coral reefs might be able to recover from short-term bleach-ing and hurricane events within decades 1631, recovery from long-term reef degradation might take centuries or longer 12.641. Wafer Quality Unregulated discharges of wastes and waste waters into rivers and estuaries have caused strong pollution pro-blems, resulting in the decline or disappearance of many species, some of which have been successfully reversed 140,42,65,661. For example, the implementation of pollu-tion controls in the Thames estuary, UK during the 1960s enhanced water quality, especially oxygen levels, en-abling the return of estuarine fishes (Figure Sb) 1131. A 10x reduction of nitrogen loads in Tampa Bay, Florida during the late 1970s led to decreasing cyanobacterial blooms, increasing water clarity and, 10 years later, the return of seagrasses 113,521. Reduced nutrient loads also contributed to seagrass recovery in several other areas (Figure 3a) 1531. </w:t>
      </w:r>
      <w:r w:rsidRPr="00557640">
        <w:rPr>
          <w:rFonts w:ascii="Cambria" w:eastAsia="Cambria" w:hAnsi="Cambria" w:cs="Times New Roman"/>
          <w:b/>
          <w:highlight w:val="green"/>
          <w:u w:val="single"/>
        </w:rPr>
        <w:t>Water quality has also been restored with pollution controls</w:t>
      </w:r>
      <w:r w:rsidRPr="004A0CBB">
        <w:rPr>
          <w:rFonts w:ascii="Cambria" w:eastAsia="Cambria" w:hAnsi="Cambria" w:cs="Times New Roman"/>
          <w:sz w:val="16"/>
        </w:rPr>
        <w:t xml:space="preserve"> in Galveston Bay and with the unintentional help of invasive clams in San Francisco Bay 1401. Long-terra studies, however, show that suble-thal effects and shifts in community structure can persist long after the recovery of target species abundance or ecosystem processes 1651. Species diversity Although </w:t>
      </w:r>
      <w:r w:rsidRPr="004A0CBB">
        <w:rPr>
          <w:rFonts w:ascii="Cambria" w:eastAsia="Cambria" w:hAnsi="Cambria" w:cs="Times New Roman"/>
          <w:b/>
          <w:u w:val="single"/>
        </w:rPr>
        <w:t>there are increasing numbers of examples of individual population recoveries</w:t>
      </w:r>
      <w:r w:rsidRPr="004A0CBB">
        <w:rPr>
          <w:rFonts w:ascii="Cambria" w:eastAsia="Cambria" w:hAnsi="Cambria" w:cs="Times New Roman"/>
          <w:sz w:val="16"/>
        </w:rPr>
        <w:t xml:space="preserve">, attempts and studies of recovery at </w:t>
      </w:r>
      <w:r w:rsidRPr="004A0CBB">
        <w:rPr>
          <w:rFonts w:ascii="Cambria" w:eastAsia="Cambria" w:hAnsi="Cambria" w:cs="Times New Roman"/>
          <w:sz w:val="16"/>
        </w:rPr>
        <w:lastRenderedPageBreak/>
        <w:t xml:space="preserve">a community or ecosystem level are scarce. However, some </w:t>
      </w:r>
      <w:r w:rsidRPr="004A0CBB">
        <w:rPr>
          <w:rFonts w:ascii="Cambria" w:eastAsia="Cambria" w:hAnsi="Cambria" w:cs="Times New Roman"/>
          <w:b/>
          <w:u w:val="single"/>
        </w:rPr>
        <w:t>examples demonstrate the possibility of multi-species recoveries. Restoration of water quality resulted in the return of &gt;110 fish species to the Thames estuary</w:t>
      </w:r>
      <w:r w:rsidRPr="004A0CBB">
        <w:rPr>
          <w:rFonts w:ascii="Cambria" w:eastAsia="Cambria" w:hAnsi="Cambria" w:cs="Times New Roman"/>
          <w:sz w:val="16"/>
        </w:rPr>
        <w:t xml:space="preserve"> (Figure Sb) 1131 </w:t>
      </w:r>
      <w:r w:rsidRPr="004A0CBB">
        <w:rPr>
          <w:rFonts w:ascii="Cambria" w:eastAsia="Cambria" w:hAnsi="Cambria" w:cs="Times New Roman"/>
          <w:b/>
          <w:u w:val="single"/>
        </w:rPr>
        <w:t xml:space="preserve">and the recovery of intertidal macroalgal communities from 1984 to 2006 after imple-menting sewage treatment in </w:t>
      </w:r>
      <w:r w:rsidRPr="004A0CBB">
        <w:rPr>
          <w:rFonts w:ascii="Cambria" w:eastAsia="Cambria" w:hAnsi="Cambria" w:cs="Times New Roman"/>
          <w:sz w:val="16"/>
        </w:rPr>
        <w:t xml:space="preserve">Bilbao, </w:t>
      </w:r>
      <w:r w:rsidRPr="004A0CBB">
        <w:rPr>
          <w:rFonts w:ascii="Cambria" w:eastAsia="Cambria" w:hAnsi="Cambria" w:cs="Times New Roman"/>
          <w:b/>
          <w:u w:val="single"/>
        </w:rPr>
        <w:t>Spain</w:t>
      </w:r>
      <w:r w:rsidRPr="004A0CBB">
        <w:rPr>
          <w:rFonts w:ascii="Cambria" w:eastAsia="Cambria" w:hAnsi="Cambria" w:cs="Times New Roman"/>
          <w:sz w:val="16"/>
        </w:rPr>
        <w:t xml:space="preserve"> 1661. </w:t>
      </w:r>
      <w:r w:rsidRPr="004A0CBB">
        <w:rPr>
          <w:rFonts w:ascii="Cambria" w:eastAsia="Cambria" w:hAnsi="Cambria" w:cs="Times New Roman"/>
          <w:b/>
          <w:u w:val="single"/>
        </w:rPr>
        <w:t>Cessation of exploitation in marine protected areas</w:t>
      </w:r>
      <w:r w:rsidRPr="004A0CBB">
        <w:rPr>
          <w:rFonts w:ascii="Cambria" w:eastAsia="Cambria" w:hAnsi="Cambria" w:cs="Times New Roman"/>
          <w:sz w:val="16"/>
        </w:rPr>
        <w:t xml:space="preserve"> (MPAs) </w:t>
      </w:r>
      <w:r w:rsidRPr="004A0CBB">
        <w:rPr>
          <w:rFonts w:ascii="Cambria" w:eastAsia="Cambria" w:hAnsi="Cambria" w:cs="Times New Roman"/>
          <w:b/>
          <w:u w:val="single"/>
        </w:rPr>
        <w:t>around the world resulted in significant increases in species rich-ness of fishes and invertebrates 115,221 and habitat resto-ration of oyster reefs has enhanced associated species diversity</w:t>
      </w:r>
      <w:r w:rsidRPr="004A0CBB">
        <w:rPr>
          <w:rFonts w:ascii="Cambria" w:eastAsia="Cambria" w:hAnsi="Cambria" w:cs="Times New Roman"/>
          <w:sz w:val="16"/>
        </w:rPr>
        <w:t xml:space="preserve"> 1671. Ecosystem structure, functions end services </w:t>
      </w:r>
      <w:r w:rsidRPr="004A0CBB">
        <w:rPr>
          <w:rFonts w:ascii="Cambria" w:eastAsia="Cambria" w:hAnsi="Cambria" w:cs="Times New Roman"/>
          <w:b/>
          <w:u w:val="single"/>
        </w:rPr>
        <w:t xml:space="preserve">In addition to species diversity, </w:t>
      </w:r>
      <w:r w:rsidRPr="00557640">
        <w:rPr>
          <w:rFonts w:ascii="Cambria" w:eastAsia="Cambria" w:hAnsi="Cambria" w:cs="Times New Roman"/>
          <w:b/>
          <w:highlight w:val="green"/>
          <w:u w:val="single"/>
        </w:rPr>
        <w:t>some studies have further demonstrated the recovery of structural or functional eco-system components</w:t>
      </w:r>
      <w:r w:rsidRPr="004A0CBB">
        <w:rPr>
          <w:rFonts w:ascii="Cambria" w:eastAsia="Cambria" w:hAnsi="Cambria" w:cs="Times New Roman"/>
          <w:sz w:val="16"/>
        </w:rPr>
        <w:t xml:space="preserve"> following protection measures. </w:t>
      </w:r>
      <w:r w:rsidRPr="004A0CBB">
        <w:rPr>
          <w:rFonts w:ascii="Cambria" w:eastAsia="Cambria" w:hAnsi="Cambria" w:cs="Times New Roman"/>
          <w:b/>
          <w:u w:val="single"/>
        </w:rPr>
        <w:t>A large-scale fishing closure on Georges Bank</w:t>
      </w:r>
      <w:r w:rsidRPr="004A0CBB">
        <w:rPr>
          <w:rFonts w:ascii="Cambria" w:eastAsia="Cambria" w:hAnsi="Cambria" w:cs="Times New Roman"/>
          <w:sz w:val="16"/>
        </w:rPr>
        <w:t xml:space="preserve"> during the 1990a </w:t>
      </w:r>
      <w:r w:rsidRPr="004A0CBB">
        <w:rPr>
          <w:rFonts w:ascii="Cambria" w:eastAsia="Cambria" w:hAnsi="Cambria" w:cs="Times New Roman"/>
          <w:b/>
          <w:u w:val="single"/>
        </w:rPr>
        <w:t>enabled the recovery of the entire benthic commu-nity</w:t>
      </w:r>
      <w:r w:rsidRPr="004A0CBB">
        <w:rPr>
          <w:rFonts w:ascii="Cambria" w:eastAsia="Cambria" w:hAnsi="Cambria" w:cs="Times New Roman"/>
          <w:sz w:val="16"/>
        </w:rPr>
        <w:t xml:space="preserve"> 191 and strongly reduced exploitation rates have led to the rebuilding of the fish community biomass in the Cali-fornia Current since 2000 191. </w:t>
      </w:r>
      <w:r w:rsidRPr="004A0CBB">
        <w:rPr>
          <w:rFonts w:ascii="Cambria" w:eastAsia="Cambria" w:hAnsi="Cambria" w:cs="Times New Roman"/>
          <w:b/>
          <w:u w:val="single"/>
        </w:rPr>
        <w:t>Restoration of kelp along Korean coasts resulted in the complete recovery of macro-algal community structure and trophic food webs</w:t>
      </w:r>
      <w:r w:rsidRPr="004A0CBB">
        <w:rPr>
          <w:rFonts w:ascii="Cambria" w:eastAsia="Cambria" w:hAnsi="Cambria" w:cs="Times New Roman"/>
          <w:sz w:val="16"/>
        </w:rPr>
        <w:t xml:space="preserve"> 1161. </w:t>
      </w:r>
      <w:r w:rsidRPr="004A0CBB">
        <w:rPr>
          <w:rFonts w:ascii="Cambria" w:eastAsia="Cambria" w:hAnsi="Cambria" w:cs="Times New Roman"/>
          <w:b/>
          <w:u w:val="single"/>
        </w:rPr>
        <w:t>Studies in MPAs illustrate successional recovery of differ-ent community components</w:t>
      </w:r>
      <w:r w:rsidRPr="004A0CBB">
        <w:rPr>
          <w:rFonts w:ascii="Cambria" w:eastAsia="Cambria" w:hAnsi="Cambria" w:cs="Times New Roman"/>
          <w:sz w:val="16"/>
        </w:rPr>
        <w:t xml:space="preserve"> (Figure 3c) </w:t>
      </w:r>
      <w:r w:rsidRPr="004A0CBB">
        <w:rPr>
          <w:rFonts w:ascii="Cambria" w:eastAsia="Cambria" w:hAnsi="Cambria" w:cs="Times New Roman"/>
          <w:b/>
          <w:u w:val="single"/>
        </w:rPr>
        <w:t>as well as re-es-tablishment of lost predatory interactions and food-web structure</w:t>
      </w:r>
      <w:r w:rsidRPr="004A0CBB">
        <w:rPr>
          <w:rFonts w:ascii="Cambria" w:eastAsia="Cambria" w:hAnsi="Cambria" w:cs="Times New Roman"/>
          <w:sz w:val="16"/>
        </w:rPr>
        <w:t xml:space="preserve"> 114.15.68,691. Moreover, </w:t>
      </w:r>
      <w:r w:rsidRPr="004A0CBB">
        <w:rPr>
          <w:rFonts w:ascii="Cambria" w:eastAsia="Cambria" w:hAnsi="Cambria" w:cs="Times New Roman"/>
          <w:b/>
          <w:u w:val="single"/>
        </w:rPr>
        <w:t>significant increases occurred in secondary productivity, ecosystem stability and economic revenue</w:t>
      </w:r>
      <w:r w:rsidRPr="004A0CBB">
        <w:rPr>
          <w:rFonts w:ascii="Cambria" w:eastAsia="Cambria" w:hAnsi="Cambria" w:cs="Times New Roman"/>
          <w:sz w:val="16"/>
        </w:rPr>
        <w:t xml:space="preserve"> </w:t>
      </w:r>
      <w:r w:rsidRPr="004A0CBB">
        <w:rPr>
          <w:rFonts w:ascii="Cambria" w:eastAsia="Cambria" w:hAnsi="Cambria" w:cs="Times New Roman"/>
          <w:b/>
          <w:u w:val="single"/>
        </w:rPr>
        <w:t>from</w:t>
      </w:r>
      <w:r w:rsidRPr="004A0CBB">
        <w:rPr>
          <w:rFonts w:ascii="Cambria" w:eastAsia="Cambria" w:hAnsi="Cambria" w:cs="Times New Roman"/>
          <w:sz w:val="16"/>
        </w:rPr>
        <w:t xml:space="preserve"> recreational diving in 48 </w:t>
      </w:r>
      <w:r w:rsidRPr="004A0CBB">
        <w:rPr>
          <w:rFonts w:ascii="Cambria" w:eastAsia="Cambria" w:hAnsi="Cambria" w:cs="Times New Roman"/>
          <w:b/>
          <w:u w:val="single"/>
        </w:rPr>
        <w:t>MPAs</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and fisheries closures worldwide </w:t>
      </w:r>
      <w:r w:rsidRPr="004A0CBB">
        <w:rPr>
          <w:rFonts w:ascii="Cambria" w:eastAsia="Cambria" w:hAnsi="Cambria" w:cs="Times New Roman"/>
          <w:sz w:val="16"/>
        </w:rPr>
        <w:t xml:space="preserve">1221. In Kenya, fishers' catches and income strongly increased after the establish-ment of dosed areas combined with beach seine bans 19,491. In some cases, </w:t>
      </w:r>
      <w:r w:rsidRPr="00557640">
        <w:rPr>
          <w:rFonts w:ascii="Cambria" w:eastAsia="Cambria" w:hAnsi="Cambria" w:cs="Times New Roman"/>
          <w:b/>
          <w:highlight w:val="green"/>
          <w:u w:val="single"/>
        </w:rPr>
        <w:t>marine recoveries can even benefit terrestrial ecosystems</w:t>
      </w:r>
      <w:r w:rsidRPr="004A0CBB">
        <w:rPr>
          <w:rFonts w:ascii="Cambria" w:eastAsia="Cambria" w:hAnsi="Cambria" w:cs="Times New Roman"/>
          <w:b/>
          <w:u w:val="single"/>
        </w:rPr>
        <w:t>, as in the recovery of seabird colo-nies that enhance biodiversity and functions of island ecosystems by supplying essential marine-derived nitro-gen</w:t>
      </w:r>
      <w:r w:rsidRPr="004A0CBB">
        <w:rPr>
          <w:rFonts w:ascii="Cambria" w:eastAsia="Cambria" w:hAnsi="Cambria" w:cs="Times New Roman"/>
          <w:sz w:val="16"/>
        </w:rPr>
        <w:t xml:space="preserve"> (Figure 3d11171. Only a few marine ecosystems, such as Monterey Bay, California 1701, have so far shown strong recovery in their structure, function and services over a large area General patterns of recovery.</w:t>
      </w:r>
    </w:p>
    <w:p w:rsidR="0017246A" w:rsidRPr="004105A9" w:rsidRDefault="0017246A" w:rsidP="0017246A"/>
    <w:p w:rsidR="0017246A" w:rsidRDefault="0017246A" w:rsidP="0017246A">
      <w:pPr>
        <w:pStyle w:val="Heading3"/>
      </w:pPr>
      <w:r>
        <w:lastRenderedPageBreak/>
        <w:t>alt cause</w:t>
      </w:r>
    </w:p>
    <w:p w:rsidR="0017246A" w:rsidRPr="004A0CBB" w:rsidRDefault="0017246A" w:rsidP="0017246A">
      <w:pPr>
        <w:keepNext/>
        <w:keepLines/>
        <w:spacing w:before="40"/>
        <w:ind w:left="1440" w:hanging="1440"/>
        <w:outlineLvl w:val="3"/>
        <w:rPr>
          <w:rFonts w:ascii="Cambria" w:eastAsia="MS Gothic" w:hAnsi="Cambria" w:cs="Times New Roman"/>
          <w:b/>
          <w:iCs/>
          <w:sz w:val="26"/>
        </w:rPr>
      </w:pPr>
      <w:r w:rsidRPr="004A0CBB">
        <w:rPr>
          <w:rFonts w:ascii="Cambria" w:eastAsia="MS Gothic" w:hAnsi="Cambria" w:cs="Times New Roman"/>
          <w:b/>
          <w:iCs/>
          <w:sz w:val="26"/>
        </w:rPr>
        <w:t>Ocean acidification means near term collapse is inevitable</w:t>
      </w:r>
    </w:p>
    <w:p w:rsidR="0017246A" w:rsidRPr="004A0CBB" w:rsidRDefault="0017246A" w:rsidP="0017246A">
      <w:pPr>
        <w:rPr>
          <w:rFonts w:ascii="Cambria" w:eastAsia="Cambria" w:hAnsi="Cambria" w:cs="Times New Roman"/>
          <w:sz w:val="16"/>
        </w:rPr>
      </w:pPr>
      <w:r w:rsidRPr="004A0CBB">
        <w:rPr>
          <w:rFonts w:ascii="Cambria" w:eastAsia="Cambria" w:hAnsi="Cambria" w:cs="Times New Roman"/>
          <w:b/>
          <w:bCs/>
          <w:sz w:val="26"/>
        </w:rPr>
        <w:t>Rogers 2/17</w:t>
      </w:r>
      <w:r w:rsidRPr="004A0CBB">
        <w:rPr>
          <w:rFonts w:ascii="Cambria" w:eastAsia="Cambria" w:hAnsi="Cambria" w:cs="Times New Roman"/>
          <w:sz w:val="16"/>
        </w:rPr>
        <w:t xml:space="preserve"> [Alex Rogers, Scientific Director of IPSO and Professor of Conservation Biology at the Department of Zoology, University of Oxford, 2014, “The Ocean’s Death March,” </w:t>
      </w:r>
      <w:hyperlink r:id="rId116" w:history="1">
        <w:r w:rsidRPr="004A0CBB">
          <w:rPr>
            <w:rFonts w:ascii="Cambria" w:eastAsia="Cambria" w:hAnsi="Cambria" w:cs="Times New Roman"/>
            <w:sz w:val="16"/>
          </w:rPr>
          <w:t>http://www.counterpunch.org/2014/02/17/the-oceans-death-march/</w:t>
        </w:r>
      </w:hyperlink>
      <w:r w:rsidRPr="004A0CBB">
        <w:rPr>
          <w:rFonts w:ascii="Cambria" w:eastAsia="Cambria" w:hAnsi="Cambria" w:cs="Times New Roman"/>
          <w:sz w:val="16"/>
        </w:rPr>
        <w:t>]</w:t>
      </w:r>
    </w:p>
    <w:p w:rsidR="0017246A" w:rsidRPr="004A0CBB" w:rsidRDefault="0017246A" w:rsidP="0017246A">
      <w:pPr>
        <w:rPr>
          <w:rFonts w:ascii="Cambria" w:eastAsia="Cambria" w:hAnsi="Cambria" w:cs="Times New Roman"/>
          <w:sz w:val="16"/>
        </w:rPr>
      </w:pPr>
      <w:r w:rsidRPr="004A0CBB">
        <w:rPr>
          <w:rFonts w:ascii="Cambria" w:eastAsia="Cambria" w:hAnsi="Cambria" w:cs="Times New Roman"/>
          <w:sz w:val="16"/>
        </w:rPr>
        <w:t xml:space="preserve">This problem is unquestionably serious, and here’s why: </w:t>
      </w:r>
      <w:r w:rsidRPr="00557640">
        <w:rPr>
          <w:rFonts w:ascii="Cambria" w:eastAsia="Cambria" w:hAnsi="Cambria" w:cs="Times New Roman"/>
          <w:b/>
          <w:highlight w:val="green"/>
          <w:u w:val="single"/>
        </w:rPr>
        <w:t>The rate of change of ocean</w:t>
      </w:r>
      <w:r w:rsidRPr="004A0CBB">
        <w:rPr>
          <w:rFonts w:ascii="Cambria" w:eastAsia="Cambria" w:hAnsi="Cambria" w:cs="Times New Roman"/>
          <w:sz w:val="16"/>
        </w:rPr>
        <w:t xml:space="preserve"> pH (measure of </w:t>
      </w:r>
      <w:r w:rsidRPr="00557640">
        <w:rPr>
          <w:rFonts w:ascii="Cambria" w:eastAsia="Cambria" w:hAnsi="Cambria" w:cs="Times New Roman"/>
          <w:b/>
          <w:highlight w:val="green"/>
          <w:u w:val="single"/>
        </w:rPr>
        <w:t>acidity</w:t>
      </w:r>
      <w:r w:rsidRPr="00557640">
        <w:rPr>
          <w:rFonts w:ascii="Cambria" w:eastAsia="Cambria" w:hAnsi="Cambria" w:cs="Times New Roman"/>
          <w:sz w:val="16"/>
          <w:highlight w:val="green"/>
        </w:rPr>
        <w:t xml:space="preserve">) </w:t>
      </w:r>
      <w:r w:rsidRPr="00557640">
        <w:rPr>
          <w:rFonts w:ascii="Cambria" w:eastAsia="Cambria" w:hAnsi="Cambria" w:cs="Times New Roman"/>
          <w:b/>
          <w:highlight w:val="green"/>
          <w:u w:val="single"/>
        </w:rPr>
        <w:t xml:space="preserve">is </w:t>
      </w:r>
      <w:r w:rsidRPr="00557640">
        <w:rPr>
          <w:rFonts w:ascii="Cambria" w:eastAsia="Cambria" w:hAnsi="Cambria" w:cs="Times New Roman"/>
          <w:b/>
          <w:iCs/>
          <w:highlight w:val="green"/>
          <w:u w:val="single"/>
          <w:bdr w:val="single" w:sz="18" w:space="0" w:color="auto"/>
        </w:rPr>
        <w:t>10 times faster</w:t>
      </w:r>
      <w:r w:rsidRPr="004A0CBB">
        <w:rPr>
          <w:rFonts w:ascii="Cambria" w:eastAsia="Cambria" w:hAnsi="Cambria" w:cs="Times New Roman"/>
          <w:b/>
          <w:u w:val="single"/>
        </w:rPr>
        <w:t xml:space="preserve"> than 55 million years ago</w:t>
      </w:r>
      <w:r w:rsidRPr="004A0CBB">
        <w:rPr>
          <w:rFonts w:ascii="Cambria" w:eastAsia="Cambria" w:hAnsi="Cambria" w:cs="Times New Roman"/>
          <w:sz w:val="16"/>
        </w:rPr>
        <w:t xml:space="preserve">. That period of geologic history was </w:t>
      </w:r>
      <w:r w:rsidRPr="004A0CBB">
        <w:rPr>
          <w:rFonts w:ascii="Cambria" w:eastAsia="Cambria" w:hAnsi="Cambria" w:cs="Times New Roman"/>
          <w:b/>
          <w:u w:val="single"/>
        </w:rPr>
        <w:t>directly linked to a mass extinction event as levels of CO2</w:t>
      </w:r>
      <w:r w:rsidRPr="004A0CBB">
        <w:rPr>
          <w:rFonts w:ascii="Cambria" w:eastAsia="Cambria" w:hAnsi="Cambria" w:cs="Times New Roman"/>
          <w:sz w:val="16"/>
        </w:rPr>
        <w:t xml:space="preserve"> mysteriously </w:t>
      </w:r>
      <w:r w:rsidRPr="004A0CBB">
        <w:rPr>
          <w:rFonts w:ascii="Cambria" w:eastAsia="Cambria" w:hAnsi="Cambria" w:cs="Times New Roman"/>
          <w:b/>
          <w:u w:val="single"/>
        </w:rPr>
        <w:t>went off the charts. Ten times larger is</w:t>
      </w:r>
      <w:r w:rsidRPr="004A0CBB">
        <w:rPr>
          <w:rFonts w:ascii="Cambria" w:eastAsia="Cambria" w:hAnsi="Cambria" w:cs="Times New Roman"/>
          <w:sz w:val="16"/>
        </w:rPr>
        <w:t xml:space="preserve"> big, </w:t>
      </w:r>
      <w:r w:rsidRPr="004A0CBB">
        <w:rPr>
          <w:rFonts w:ascii="Cambria" w:eastAsia="Cambria" w:hAnsi="Cambria" w:cs="Times New Roman"/>
          <w:b/>
          <w:u w:val="single"/>
        </w:rPr>
        <w:t>very big</w:t>
      </w:r>
      <w:r w:rsidRPr="004A0CBB">
        <w:rPr>
          <w:rFonts w:ascii="Cambria" w:eastAsia="Cambria" w:hAnsi="Cambria" w:cs="Times New Roman"/>
          <w:sz w:val="16"/>
        </w:rPr>
        <w:t xml:space="preserve">, </w:t>
      </w:r>
      <w:r w:rsidRPr="004A0CBB">
        <w:rPr>
          <w:rFonts w:ascii="Cambria" w:eastAsia="Cambria" w:hAnsi="Cambria" w:cs="Times New Roman"/>
          <w:b/>
          <w:u w:val="single"/>
        </w:rPr>
        <w:t>when a measurement of 0.1 in change</w:t>
      </w:r>
      <w:r w:rsidRPr="004A0CBB">
        <w:rPr>
          <w:rFonts w:ascii="Cambria" w:eastAsia="Cambria" w:hAnsi="Cambria" w:cs="Times New Roman"/>
          <w:sz w:val="16"/>
        </w:rPr>
        <w:t xml:space="preserve"> of pH </w:t>
      </w:r>
      <w:r w:rsidRPr="004A0CBB">
        <w:rPr>
          <w:rFonts w:ascii="Cambria" w:eastAsia="Cambria" w:hAnsi="Cambria" w:cs="Times New Roman"/>
          <w:b/>
          <w:u w:val="single"/>
        </w:rPr>
        <w:t>is</w:t>
      </w:r>
      <w:r w:rsidRPr="004A0CBB">
        <w:rPr>
          <w:rFonts w:ascii="Cambria" w:eastAsia="Cambria" w:hAnsi="Cambria" w:cs="Times New Roman"/>
          <w:sz w:val="16"/>
        </w:rPr>
        <w:t xml:space="preserve"> consistent with </w:t>
      </w:r>
      <w:r w:rsidRPr="004A0CBB">
        <w:rPr>
          <w:rFonts w:ascii="Cambria" w:eastAsia="Cambria" w:hAnsi="Cambria" w:cs="Times New Roman"/>
          <w:b/>
          <w:u w:val="single"/>
        </w:rPr>
        <w:t>significant</w:t>
      </w:r>
      <w:r w:rsidRPr="004A0CBB">
        <w:rPr>
          <w:rFonts w:ascii="Cambria" w:eastAsia="Cambria" w:hAnsi="Cambria" w:cs="Times New Roman"/>
          <w:sz w:val="16"/>
        </w:rPr>
        <w:t xml:space="preserve"> change! </w:t>
      </w:r>
      <w:r w:rsidRPr="004A0CBB">
        <w:rPr>
          <w:rFonts w:ascii="Cambria" w:eastAsia="Cambria" w:hAnsi="Cambria" w:cs="Times New Roman"/>
          <w:sz w:val="16"/>
          <w:szCs w:val="16"/>
        </w:rPr>
        <w:t xml:space="preserve">According to C.L.Dybas, On a Collision Course: Oceans Plankton and Climate Change, BioScience, 2006: “This </w:t>
      </w:r>
      <w:r w:rsidRPr="004A0CBB">
        <w:rPr>
          <w:rFonts w:ascii="Cambria" w:eastAsia="Cambria" w:hAnsi="Cambria" w:cs="Times New Roman"/>
          <w:b/>
          <w:u w:val="single"/>
        </w:rPr>
        <w:t xml:space="preserve">acidification is occurring at a rate [10-to-100] times faster [depending upon the area] than ever recorded.” </w:t>
      </w:r>
      <w:r w:rsidRPr="004A0CBB">
        <w:rPr>
          <w:rFonts w:ascii="Cambria" w:eastAsia="Cambria" w:hAnsi="Cambria" w:cs="Times New Roman"/>
          <w:sz w:val="16"/>
        </w:rPr>
        <w:t xml:space="preserve">In other words, </w:t>
      </w:r>
      <w:r w:rsidRPr="004A0CBB">
        <w:rPr>
          <w:rFonts w:ascii="Cambria" w:eastAsia="Cambria" w:hAnsi="Cambria" w:cs="Times New Roman"/>
          <w:b/>
          <w:u w:val="single"/>
        </w:rPr>
        <w:t>as far as science is concerned, the rate of change of pH in the ocean is</w:t>
      </w:r>
      <w:r w:rsidRPr="004A0CBB">
        <w:rPr>
          <w:rFonts w:ascii="Cambria" w:eastAsia="Cambria" w:hAnsi="Cambria" w:cs="Times New Roman"/>
          <w:sz w:val="16"/>
        </w:rPr>
        <w:t xml:space="preserve"> “</w:t>
      </w:r>
      <w:r w:rsidRPr="004A0CBB">
        <w:rPr>
          <w:rFonts w:ascii="Cambria" w:eastAsia="Cambria" w:hAnsi="Cambria" w:cs="Times New Roman"/>
          <w:b/>
          <w:u w:val="single"/>
        </w:rPr>
        <w:t>off the charts.</w:t>
      </w:r>
      <w:r w:rsidRPr="004A0CBB">
        <w:rPr>
          <w:rFonts w:ascii="Cambria" w:eastAsia="Cambria" w:hAnsi="Cambria" w:cs="Times New Roman"/>
          <w:sz w:val="16"/>
        </w:rPr>
        <w:t xml:space="preserve">” Therefore, and as a result, nobody knows how this will play out because there is no known example in geologic history of such a rapid change in pH. This begs the biggest question of modern times, which is: Will ocean acidification cause an extinction event this century, within current lifetimes? </w:t>
      </w:r>
      <w:r w:rsidRPr="004A0CBB">
        <w:rPr>
          <w:rFonts w:ascii="Cambria" w:eastAsia="Cambria" w:hAnsi="Cambria" w:cs="Times New Roman"/>
          <w:sz w:val="16"/>
          <w:szCs w:val="16"/>
        </w:rPr>
        <w:t xml:space="preserve">The Extinction Event Already Appears to be Underway </w:t>
      </w:r>
      <w:r w:rsidRPr="004A0CBB">
        <w:rPr>
          <w:rFonts w:ascii="Cambria" w:eastAsia="Cambria" w:hAnsi="Cambria" w:cs="Times New Roman"/>
          <w:b/>
          <w:u w:val="single"/>
        </w:rPr>
        <w:t>According to the State of the Ocean Report</w:t>
      </w:r>
      <w:r w:rsidRPr="004A0CBB">
        <w:rPr>
          <w:rFonts w:ascii="Cambria" w:eastAsia="Cambria" w:hAnsi="Cambria" w:cs="Times New Roman"/>
          <w:sz w:val="16"/>
        </w:rPr>
        <w:t>, d/d October 3, 2013,International Programme on the State of the Ocean (IPSO): “</w:t>
      </w:r>
      <w:r w:rsidRPr="00557640">
        <w:rPr>
          <w:rFonts w:ascii="Cambria" w:eastAsia="Cambria" w:hAnsi="Cambria" w:cs="Times New Roman"/>
          <w:b/>
          <w:highlight w:val="green"/>
          <w:u w:val="single"/>
        </w:rPr>
        <w:t>This</w:t>
      </w:r>
      <w:r w:rsidRPr="004A0CBB">
        <w:rPr>
          <w:rFonts w:ascii="Cambria" w:eastAsia="Cambria" w:hAnsi="Cambria" w:cs="Times New Roman"/>
          <w:sz w:val="16"/>
        </w:rPr>
        <w:t xml:space="preserve"> [</w:t>
      </w:r>
      <w:r w:rsidRPr="004A0CBB">
        <w:rPr>
          <w:rFonts w:ascii="Cambria" w:eastAsia="Cambria" w:hAnsi="Cambria" w:cs="Times New Roman"/>
          <w:b/>
          <w:u w:val="single"/>
        </w:rPr>
        <w:t>acidification</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of the ocean </w:t>
      </w:r>
      <w:r w:rsidRPr="00557640">
        <w:rPr>
          <w:rFonts w:ascii="Cambria" w:eastAsia="Cambria" w:hAnsi="Cambria" w:cs="Times New Roman"/>
          <w:b/>
          <w:highlight w:val="green"/>
          <w:u w:val="single"/>
        </w:rPr>
        <w:t>is unprecedented</w:t>
      </w:r>
      <w:r w:rsidRPr="004A0CBB">
        <w:rPr>
          <w:rFonts w:ascii="Cambria" w:eastAsia="Cambria" w:hAnsi="Cambria" w:cs="Times New Roman"/>
          <w:b/>
          <w:u w:val="single"/>
        </w:rPr>
        <w:t xml:space="preserve"> in the Earth’s known history. We are entering an unknown territory of marine ecosystem change… </w:t>
      </w:r>
      <w:r w:rsidRPr="00557640">
        <w:rPr>
          <w:rFonts w:ascii="Cambria" w:eastAsia="Cambria" w:hAnsi="Cambria" w:cs="Times New Roman"/>
          <w:b/>
          <w:iCs/>
          <w:highlight w:val="green"/>
          <w:u w:val="single"/>
          <w:bdr w:val="single" w:sz="18" w:space="0" w:color="auto"/>
        </w:rPr>
        <w:t>The next mass extinction may have already begun</w:t>
      </w:r>
      <w:r w:rsidRPr="004A0CBB">
        <w:rPr>
          <w:rFonts w:ascii="Cambria" w:eastAsia="Cambria" w:hAnsi="Cambria" w:cs="Times New Roman"/>
          <w:b/>
          <w:iCs/>
          <w:u w:val="single"/>
          <w:bdr w:val="single" w:sz="18" w:space="0" w:color="auto"/>
        </w:rPr>
        <w:t>.</w:t>
      </w:r>
      <w:r w:rsidRPr="004A0CBB">
        <w:rPr>
          <w:rFonts w:ascii="Cambria" w:eastAsia="Cambria" w:hAnsi="Cambria" w:cs="Times New Roman"/>
          <w:sz w:val="16"/>
        </w:rPr>
        <w:t xml:space="preserve">” According to Jane Lubchenco, PhD, who is the former director (2009-13) of the US National Oceanic and Atmospheric Administration, </w:t>
      </w:r>
      <w:r w:rsidRPr="004A0CBB">
        <w:rPr>
          <w:rFonts w:ascii="Cambria" w:eastAsia="Cambria" w:hAnsi="Cambria" w:cs="Times New Roman"/>
          <w:b/>
          <w:u w:val="single"/>
        </w:rPr>
        <w:t xml:space="preserve">the effects of acidification are already present in </w:t>
      </w:r>
      <w:r w:rsidRPr="004A0CBB">
        <w:rPr>
          <w:rFonts w:ascii="Cambria" w:eastAsia="Cambria" w:hAnsi="Cambria" w:cs="Times New Roman"/>
        </w:rPr>
        <w:t>some</w:t>
      </w:r>
      <w:r w:rsidRPr="004A0CBB">
        <w:rPr>
          <w:rFonts w:ascii="Cambria" w:eastAsia="Cambria" w:hAnsi="Cambria" w:cs="Times New Roman"/>
          <w:b/>
          <w:u w:val="single"/>
        </w:rPr>
        <w:t xml:space="preserve"> </w:t>
      </w:r>
      <w:r w:rsidRPr="004A0CBB">
        <w:rPr>
          <w:rFonts w:ascii="Cambria" w:eastAsia="Cambria" w:hAnsi="Cambria" w:cs="Times New Roman"/>
        </w:rPr>
        <w:t>oyster</w:t>
      </w:r>
      <w:r w:rsidRPr="004A0CBB">
        <w:rPr>
          <w:rFonts w:ascii="Cambria" w:eastAsia="Cambria" w:hAnsi="Cambria" w:cs="Times New Roman"/>
          <w:b/>
          <w:u w:val="single"/>
        </w:rPr>
        <w:t xml:space="preserve"> fisheries, </w:t>
      </w:r>
      <w:r w:rsidRPr="004A0CBB">
        <w:rPr>
          <w:rFonts w:ascii="Cambria" w:eastAsia="Cambria" w:hAnsi="Cambria" w:cs="Times New Roman"/>
          <w:sz w:val="16"/>
        </w:rPr>
        <w:t xml:space="preserve">like the West Coast of the U.S. According to Lubchenco: </w:t>
      </w:r>
      <w:r w:rsidRPr="004A0CBB">
        <w:rPr>
          <w:rFonts w:ascii="Cambria" w:eastAsia="Cambria" w:hAnsi="Cambria" w:cs="Times New Roman"/>
          <w:b/>
          <w:u w:val="single"/>
        </w:rPr>
        <w:t>“You can actually see this happening… It’s not something a long way into the future. It is a very big problem</w:t>
      </w:r>
      <w:r w:rsidRPr="004A0CBB">
        <w:rPr>
          <w:rFonts w:ascii="Cambria" w:eastAsia="Cambria" w:hAnsi="Cambria" w:cs="Times New Roman"/>
          <w:sz w:val="16"/>
        </w:rPr>
        <w:t>,” Fiona Harvey, Ocean Acidification due to Carbon Emissions is at Highest for 300M Years, The Guardian October 2, 2013. And, according to Richard Feely, PhD, (Dep. Of Oceanography, University of Washington) and Christopher Sabine, PhD, (Senior Fellow, University of Washington, Joint Institute for the Study of the Atmosphere and Ocean): “</w:t>
      </w:r>
      <w:r w:rsidRPr="00557640">
        <w:rPr>
          <w:rFonts w:ascii="Cambria" w:eastAsia="Cambria" w:hAnsi="Cambria" w:cs="Times New Roman"/>
          <w:b/>
          <w:highlight w:val="green"/>
          <w:u w:val="single"/>
        </w:rPr>
        <w:t>If</w:t>
      </w:r>
      <w:r w:rsidRPr="004A0CBB">
        <w:rPr>
          <w:rFonts w:ascii="Cambria" w:eastAsia="Cambria" w:hAnsi="Cambria" w:cs="Times New Roman"/>
          <w:b/>
          <w:u w:val="single"/>
        </w:rPr>
        <w:t xml:space="preserve"> the </w:t>
      </w:r>
      <w:r w:rsidRPr="00557640">
        <w:rPr>
          <w:rFonts w:ascii="Cambria" w:eastAsia="Cambria" w:hAnsi="Cambria" w:cs="Times New Roman"/>
          <w:b/>
          <w:highlight w:val="green"/>
          <w:u w:val="single"/>
        </w:rPr>
        <w:t>current</w:t>
      </w:r>
      <w:r w:rsidRPr="004A0CBB">
        <w:rPr>
          <w:rFonts w:ascii="Cambria" w:eastAsia="Cambria" w:hAnsi="Cambria" w:cs="Times New Roman"/>
          <w:b/>
          <w:u w:val="single"/>
        </w:rPr>
        <w:t xml:space="preserve"> </w:t>
      </w:r>
      <w:r w:rsidRPr="004A0CBB">
        <w:rPr>
          <w:rFonts w:ascii="Cambria" w:eastAsia="Cambria" w:hAnsi="Cambria" w:cs="Times New Roman"/>
          <w:iCs/>
          <w:u w:val="single"/>
          <w:bdr w:val="single" w:sz="18" w:space="0" w:color="auto"/>
        </w:rPr>
        <w:t xml:space="preserve">carbon dioxide </w:t>
      </w:r>
      <w:r w:rsidRPr="00557640">
        <w:rPr>
          <w:rFonts w:ascii="Cambria" w:eastAsia="Cambria" w:hAnsi="Cambria" w:cs="Times New Roman"/>
          <w:iCs/>
          <w:highlight w:val="green"/>
          <w:u w:val="single"/>
          <w:bdr w:val="single" w:sz="18" w:space="0" w:color="auto"/>
        </w:rPr>
        <w:t>emission trends</w:t>
      </w:r>
      <w:r w:rsidRPr="00557640">
        <w:rPr>
          <w:rFonts w:ascii="Cambria" w:eastAsia="Cambria" w:hAnsi="Cambria" w:cs="Times New Roman"/>
          <w:b/>
          <w:highlight w:val="green"/>
          <w:u w:val="single"/>
        </w:rPr>
        <w:t xml:space="preserve"> continue</w:t>
      </w:r>
      <w:r w:rsidRPr="004A0CBB">
        <w:rPr>
          <w:rFonts w:ascii="Cambria" w:eastAsia="Cambria" w:hAnsi="Cambria" w:cs="Times New Roman"/>
          <w:b/>
          <w:u w:val="single"/>
        </w:rPr>
        <w:t xml:space="preserve">… the ocean will continue to undergo acidification, to an extent and at rates that have not occurred for tens of millions of years… </w:t>
      </w:r>
      <w:r w:rsidRPr="00557640">
        <w:rPr>
          <w:rFonts w:ascii="Cambria" w:eastAsia="Cambria" w:hAnsi="Cambria" w:cs="Times New Roman"/>
          <w:b/>
          <w:highlight w:val="green"/>
          <w:u w:val="single"/>
        </w:rPr>
        <w:t>nearly all marine life forms that build calcium carbonate shells</w:t>
      </w:r>
      <w:r w:rsidRPr="004A0CBB">
        <w:rPr>
          <w:rFonts w:ascii="Cambria" w:eastAsia="Cambria" w:hAnsi="Cambria" w:cs="Times New Roman"/>
          <w:b/>
          <w:u w:val="single"/>
        </w:rPr>
        <w:t xml:space="preserve"> and skeletons studied by scientists thus far </w:t>
      </w:r>
      <w:r w:rsidRPr="00557640">
        <w:rPr>
          <w:rFonts w:ascii="Cambria" w:eastAsia="Cambria" w:hAnsi="Cambria" w:cs="Times New Roman"/>
          <w:b/>
          <w:highlight w:val="green"/>
          <w:u w:val="single"/>
        </w:rPr>
        <w:t>have shown deterioration</w:t>
      </w:r>
      <w:r w:rsidRPr="004A0CBB">
        <w:rPr>
          <w:rFonts w:ascii="Cambria" w:eastAsia="Cambria" w:hAnsi="Cambria" w:cs="Times New Roman"/>
          <w:b/>
          <w:u w:val="single"/>
        </w:rPr>
        <w:t xml:space="preserve"> due to increasing carbon dioxide levels in seawater</w:t>
      </w:r>
      <w:r w:rsidRPr="004A0CBB">
        <w:rPr>
          <w:rFonts w:ascii="Cambria" w:eastAsia="Cambria" w:hAnsi="Cambria" w:cs="Times New Roman"/>
          <w:sz w:val="16"/>
        </w:rPr>
        <w:t xml:space="preserve">,” Dr. Richard Feely and Dr. Christopher Sabine, Oceanographers, Carbon Dioxide and Our Ocean Legacy, Pacific Marine Environmental Laboratory of the National Oceanic and Atmospheric Administration, April 2006. And, according to Alex Rogers, PhD, Scientific Director of the International Programme on the State of the Ocean, OneWorld (UK) Video, Aug. 2011: “I think </w:t>
      </w:r>
      <w:r w:rsidRPr="004A0CBB">
        <w:rPr>
          <w:rFonts w:ascii="Cambria" w:eastAsia="Cambria" w:hAnsi="Cambria" w:cs="Times New Roman"/>
          <w:b/>
          <w:u w:val="single"/>
        </w:rPr>
        <w:t xml:space="preserve">if we continue on the current trajectory, </w:t>
      </w:r>
      <w:r w:rsidRPr="00557640">
        <w:rPr>
          <w:rFonts w:ascii="Cambria" w:eastAsia="Cambria" w:hAnsi="Cambria" w:cs="Times New Roman"/>
          <w:b/>
          <w:highlight w:val="green"/>
          <w:u w:val="single"/>
        </w:rPr>
        <w:t>we are looking at a mass extinction of marine species</w:t>
      </w:r>
      <w:r w:rsidRPr="004A0CBB">
        <w:rPr>
          <w:rFonts w:ascii="Cambria" w:eastAsia="Cambria" w:hAnsi="Cambria" w:cs="Times New Roman"/>
          <w:sz w:val="16"/>
        </w:rPr>
        <w:t xml:space="preserve"> </w:t>
      </w:r>
      <w:r w:rsidRPr="004A0CBB">
        <w:rPr>
          <w:rFonts w:ascii="Cambria" w:eastAsia="Cambria" w:hAnsi="Cambria" w:cs="Times New Roman"/>
          <w:b/>
          <w:u w:val="single"/>
        </w:rPr>
        <w:t>even if only coral reef systems go down, which it looks like they will certainly</w:t>
      </w:r>
      <w:r w:rsidRPr="004A0CBB">
        <w:rPr>
          <w:rFonts w:ascii="Cambria" w:eastAsia="Cambria" w:hAnsi="Cambria" w:cs="Times New Roman"/>
          <w:sz w:val="16"/>
        </w:rPr>
        <w:t xml:space="preserve"> by the end of the century.” “</w:t>
      </w:r>
      <w:r w:rsidRPr="004A0CBB">
        <w:rPr>
          <w:rFonts w:ascii="Cambria" w:eastAsia="Cambria" w:hAnsi="Cambria" w:cs="Times New Roman"/>
          <w:b/>
          <w:u w:val="single"/>
        </w:rPr>
        <w:t>Today’s human-induced acidification is a unique event in the geological history of our planet due to its rapid rate of change.</w:t>
      </w:r>
      <w:r w:rsidRPr="004A0CBB">
        <w:rPr>
          <w:rFonts w:ascii="Cambria" w:eastAsia="Cambria" w:hAnsi="Cambria" w:cs="Times New Roman"/>
          <w:sz w:val="16"/>
        </w:rPr>
        <w:t xml:space="preserve"> </w:t>
      </w:r>
      <w:r w:rsidRPr="004A0CBB">
        <w:rPr>
          <w:rFonts w:ascii="Cambria" w:eastAsia="Cambria" w:hAnsi="Cambria" w:cs="Times New Roman"/>
          <w:b/>
          <w:u w:val="single"/>
        </w:rPr>
        <w:t>An analysis of ocean acidification over the last 300 million years highlights the unprecedented rate of change of the current acidification.</w:t>
      </w:r>
      <w:r w:rsidRPr="004A0CBB">
        <w:rPr>
          <w:rFonts w:ascii="Cambria" w:eastAsia="Cambria" w:hAnsi="Cambria" w:cs="Times New Roman"/>
          <w:sz w:val="16"/>
        </w:rPr>
        <w:t xml:space="preserve"> </w:t>
      </w:r>
      <w:r w:rsidRPr="004A0CBB">
        <w:rPr>
          <w:rFonts w:ascii="Cambria" w:eastAsia="Cambria" w:hAnsi="Cambria" w:cs="Times New Roman"/>
          <w:b/>
          <w:u w:val="single"/>
        </w:rPr>
        <w:t>The most comparable event 55 million years ago was linked to mass extinctions</w:t>
      </w:r>
      <w:r w:rsidRPr="004A0CBB">
        <w:rPr>
          <w:rFonts w:ascii="Cambria" w:eastAsia="Cambria" w:hAnsi="Cambria" w:cs="Times New Roman"/>
          <w:sz w:val="16"/>
        </w:rPr>
        <w:t xml:space="preserve">… </w:t>
      </w:r>
      <w:r w:rsidRPr="004A0CBB">
        <w:rPr>
          <w:rFonts w:ascii="Cambria" w:eastAsia="Cambria" w:hAnsi="Cambria" w:cs="Times New Roman"/>
          <w:b/>
          <w:u w:val="single"/>
        </w:rPr>
        <w:t>At that time, though the rate of change of ocean pH was rapid, it may have been 10 times slower than current change</w:t>
      </w:r>
      <w:r w:rsidRPr="004A0CBB">
        <w:rPr>
          <w:rFonts w:ascii="Cambria" w:eastAsia="Cambria" w:hAnsi="Cambria" w:cs="Times New Roman"/>
        </w:rPr>
        <w:t>,”</w:t>
      </w:r>
      <w:r w:rsidRPr="004A0CBB">
        <w:rPr>
          <w:rFonts w:ascii="Cambria" w:eastAsia="Cambria" w:hAnsi="Cambria" w:cs="Times New Roman"/>
          <w:sz w:val="16"/>
        </w:rPr>
        <w:t xml:space="preserve"> IGBP, IOC, SCOR [2013], Ocean Acidification Summary for Policymakers – Third Symposium on the Ocean in a High- CO2 World, International Geosphere-Biosphere Programme, Stockholm, Sweden, 2013. </w:t>
      </w:r>
      <w:r w:rsidRPr="004A0CBB">
        <w:rPr>
          <w:rFonts w:ascii="Cambria" w:eastAsia="Cambria" w:hAnsi="Cambria" w:cs="Times New Roman"/>
          <w:sz w:val="16"/>
          <w:szCs w:val="16"/>
        </w:rPr>
        <w:t xml:space="preserve">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 </w:t>
      </w:r>
      <w:r w:rsidRPr="004A0CBB">
        <w:rPr>
          <w:rFonts w:ascii="Cambria" w:eastAsia="Cambria" w:hAnsi="Cambria" w:cs="Times New Roman"/>
          <w:sz w:val="16"/>
        </w:rPr>
        <w:t>“</w:t>
      </w:r>
      <w:r w:rsidRPr="004A0CBB">
        <w:rPr>
          <w:rFonts w:ascii="Cambria" w:eastAsia="Cambria" w:hAnsi="Cambria" w:cs="Times New Roman"/>
          <w:b/>
          <w:u w:val="single"/>
        </w:rPr>
        <w:t>Most</w:t>
      </w:r>
      <w:r w:rsidRPr="004A0CBB">
        <w:rPr>
          <w:rFonts w:ascii="Cambria" w:eastAsia="Cambria" w:hAnsi="Cambria" w:cs="Times New Roman"/>
          <w:sz w:val="16"/>
        </w:rPr>
        <w:t xml:space="preserve">, if not all, </w:t>
      </w:r>
      <w:r w:rsidRPr="004A0CBB">
        <w:rPr>
          <w:rFonts w:ascii="Cambria" w:eastAsia="Cambria" w:hAnsi="Cambria" w:cs="Times New Roman"/>
          <w:b/>
          <w:u w:val="single"/>
        </w:rPr>
        <w:t>of the five global mass extinctions in Earth’s history carry the fingerprints of the main symptoms of</w:t>
      </w:r>
      <w:r w:rsidRPr="004A0CBB">
        <w:rPr>
          <w:rFonts w:ascii="Cambria" w:eastAsia="Cambria" w:hAnsi="Cambria" w:cs="Times New Roman"/>
          <w:sz w:val="16"/>
        </w:rPr>
        <w:t xml:space="preserve">… </w:t>
      </w:r>
      <w:r w:rsidRPr="004A0CBB">
        <w:rPr>
          <w:rFonts w:ascii="Cambria" w:eastAsia="Cambria" w:hAnsi="Cambria" w:cs="Times New Roman"/>
          <w:b/>
          <w:u w:val="single"/>
        </w:rPr>
        <w:t>global warming, ocean acidification and</w:t>
      </w:r>
      <w:r w:rsidRPr="004A0CBB">
        <w:rPr>
          <w:rFonts w:ascii="Cambria" w:eastAsia="Cambria" w:hAnsi="Cambria" w:cs="Times New Roman"/>
          <w:sz w:val="16"/>
        </w:rPr>
        <w:t xml:space="preserve"> anoxia or </w:t>
      </w:r>
      <w:r w:rsidRPr="004A0CBB">
        <w:rPr>
          <w:rFonts w:ascii="Cambria" w:eastAsia="Cambria" w:hAnsi="Cambria" w:cs="Times New Roman"/>
          <w:b/>
          <w:u w:val="single"/>
        </w:rPr>
        <w:t>lack of oxygen.</w:t>
      </w:r>
      <w:r w:rsidRPr="004A0CBB">
        <w:rPr>
          <w:rFonts w:ascii="Cambria" w:eastAsia="Cambria" w:hAnsi="Cambria" w:cs="Times New Roman"/>
          <w:sz w:val="16"/>
        </w:rPr>
        <w:t xml:space="preserve"> It is </w:t>
      </w:r>
      <w:r w:rsidRPr="004A0CBB">
        <w:rPr>
          <w:rFonts w:ascii="Cambria" w:eastAsia="Cambria" w:hAnsi="Cambria" w:cs="Times New Roman"/>
          <w:b/>
          <w:u w:val="single"/>
        </w:rPr>
        <w:t>these three factors</w:t>
      </w:r>
      <w:r w:rsidRPr="004A0CBB">
        <w:rPr>
          <w:rFonts w:ascii="Cambria" w:eastAsia="Cambria" w:hAnsi="Cambria" w:cs="Times New Roman"/>
          <w:sz w:val="16"/>
        </w:rPr>
        <w:t xml:space="preserve"> — the ‘deadly trio’ — which </w:t>
      </w:r>
      <w:r w:rsidRPr="004A0CBB">
        <w:rPr>
          <w:rFonts w:ascii="Cambria" w:eastAsia="Cambria" w:hAnsi="Cambria" w:cs="Times New Roman"/>
          <w:b/>
          <w:u w:val="single"/>
        </w:rPr>
        <w:t>are present in the ocean today.</w:t>
      </w:r>
      <w:r w:rsidRPr="004A0CBB">
        <w:rPr>
          <w:rFonts w:ascii="Cambria" w:eastAsia="Cambria" w:hAnsi="Cambria" w:cs="Times New Roman"/>
          <w:sz w:val="16"/>
        </w:rPr>
        <w:t xml:space="preserve"> </w:t>
      </w:r>
      <w:r w:rsidRPr="004A0CBB">
        <w:rPr>
          <w:rFonts w:ascii="Cambria" w:eastAsia="Cambria" w:hAnsi="Cambria" w:cs="Times New Roman"/>
          <w:b/>
          <w:u w:val="single"/>
        </w:rPr>
        <w:t>In fact, (the situation) is unprecedented in the Earth’s history because of the high rate and speed of change</w:t>
      </w:r>
      <w:r w:rsidRPr="004A0CBB">
        <w:rPr>
          <w:rFonts w:ascii="Cambria" w:eastAsia="Cambria" w:hAnsi="Cambria" w:cs="Times New Roman"/>
          <w:sz w:val="16"/>
        </w:rPr>
        <w:t xml:space="preserve">,” Rogers, A.D., Laffoley, D. d’A. 2011. International Earth System Expert Workshop on Ocean Stresses and Impacts, Summary Report, IPSO Oxford, 2011. </w:t>
      </w:r>
      <w:r w:rsidRPr="004A0CBB">
        <w:rPr>
          <w:rFonts w:ascii="Cambria" w:eastAsia="Cambria" w:hAnsi="Cambria" w:cs="Times New Roman"/>
          <w:sz w:val="16"/>
          <w:szCs w:val="16"/>
        </w:rPr>
        <w:t xml:space="preserve">Zooming in on the Future, circa 2050 – Location: Castello Aragonese Scientists have discovered a real life Petri dish of seawater conditions similar to what will occur by the year 2050, assuming humans continue to emit CO2 at current rates. This real life Petri dish is located in the Tyrrhenian Sea at Castello Aragonese, which is a tiny island that rises straight up out of the sea like a tower. The island is located 17 miles west of Naples. Tourists like to visit Aragonese Castle (est. 474 BC) on the island to see the display of medieval torture devices. But, the real action is offshore, under the water, where Castello Aragonese </w:t>
      </w:r>
      <w:r w:rsidRPr="004A0CBB">
        <w:rPr>
          <w:rFonts w:ascii="Cambria" w:eastAsia="Cambria" w:hAnsi="Cambria" w:cs="Times New Roman"/>
          <w:sz w:val="16"/>
          <w:szCs w:val="16"/>
        </w:rPr>
        <w:lastRenderedPageBreak/>
        <w:t xml:space="preserve">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 </w:t>
      </w:r>
      <w:r w:rsidRPr="004A0CBB">
        <w:rPr>
          <w:rFonts w:ascii="Cambria" w:eastAsia="Cambria" w:hAnsi="Cambria" w:cs="Times New Roman"/>
          <w:sz w:val="16"/>
        </w:rPr>
        <w:t>“</w:t>
      </w:r>
      <w:r w:rsidRPr="004A0CBB">
        <w:rPr>
          <w:rFonts w:ascii="Cambria" w:eastAsia="Cambria" w:hAnsi="Cambria" w:cs="Times New Roman"/>
          <w:b/>
          <w:u w:val="single"/>
        </w:rPr>
        <w:t>When you get to</w:t>
      </w:r>
      <w:r w:rsidRPr="004A0CBB">
        <w:rPr>
          <w:rFonts w:ascii="Cambria" w:eastAsia="Cambria" w:hAnsi="Cambria" w:cs="Times New Roman"/>
          <w:sz w:val="16"/>
        </w:rPr>
        <w:t xml:space="preserve"> the </w:t>
      </w:r>
      <w:r w:rsidRPr="00557640">
        <w:rPr>
          <w:rFonts w:ascii="Cambria" w:eastAsia="Cambria" w:hAnsi="Cambria" w:cs="Times New Roman"/>
          <w:b/>
          <w:highlight w:val="green"/>
          <w:u w:val="single"/>
        </w:rPr>
        <w:t xml:space="preserve">extremely high CO2 almost </w:t>
      </w:r>
      <w:r w:rsidRPr="00557640">
        <w:rPr>
          <w:rFonts w:ascii="Cambria" w:eastAsia="Cambria" w:hAnsi="Cambria" w:cs="Times New Roman"/>
          <w:b/>
          <w:iCs/>
          <w:highlight w:val="green"/>
          <w:u w:val="single"/>
          <w:bdr w:val="single" w:sz="18" w:space="0" w:color="auto"/>
        </w:rPr>
        <w:t>nothing can tolerate that</w:t>
      </w:r>
      <w:r w:rsidRPr="004A0CBB">
        <w:rPr>
          <w:rFonts w:ascii="Cambria" w:eastAsia="Cambria" w:hAnsi="Cambria" w:cs="Times New Roman"/>
          <w:sz w:val="16"/>
        </w:rPr>
        <w:t xml:space="preserve">,” according to Jason-Hall Spencer, PhD, professor of marine biology, School of Marine Science and Engineering, Plymouth University (UK), who studies the seawater around Castello Aragonese (Elizabeth Kolbert, The Acid Sea, National Geographic, April, 2011.) </w:t>
      </w:r>
      <w:r w:rsidRPr="004A0CBB">
        <w:rPr>
          <w:rFonts w:ascii="Cambria" w:eastAsia="Cambria" w:hAnsi="Cambria" w:cs="Times New Roman"/>
          <w:sz w:val="16"/>
          <w:szCs w:val="16"/>
        </w:rPr>
        <w:t xml:space="preserve">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 The only life forms found around Castello Aragonese are jellyfish, sea grass, and algae; whereas, an abundance of underwater sea life is found in the more distant surrounding waters. Thus, the Castello Aragonese Petri dish is essentially a dead sea except for weeds. </w:t>
      </w:r>
      <w:r w:rsidRPr="004A0CBB">
        <w:rPr>
          <w:rFonts w:ascii="Cambria" w:eastAsia="Cambria" w:hAnsi="Cambria" w:cs="Times New Roman"/>
          <w:sz w:val="16"/>
        </w:rPr>
        <w:t xml:space="preserve">This explains why Jane </w:t>
      </w:r>
      <w:r w:rsidRPr="004A0CBB">
        <w:rPr>
          <w:rFonts w:ascii="Cambria" w:eastAsia="Cambria" w:hAnsi="Cambria" w:cs="Times New Roman"/>
          <w:b/>
          <w:u w:val="single"/>
        </w:rPr>
        <w:t>Lubchenco</w:t>
      </w:r>
      <w:r w:rsidRPr="004A0CBB">
        <w:rPr>
          <w:rFonts w:ascii="Cambria" w:eastAsia="Cambria" w:hAnsi="Cambria" w:cs="Times New Roman"/>
          <w:sz w:val="16"/>
        </w:rPr>
        <w:t xml:space="preserve">, </w:t>
      </w:r>
      <w:r w:rsidRPr="004A0CBB">
        <w:rPr>
          <w:rFonts w:ascii="Cambria" w:eastAsia="Cambria" w:hAnsi="Cambria" w:cs="Times New Roman"/>
          <w:b/>
          <w:u w:val="single"/>
        </w:rPr>
        <w:t>former head of the N</w:t>
      </w:r>
      <w:r w:rsidRPr="004A0CBB">
        <w:rPr>
          <w:rFonts w:ascii="Cambria" w:eastAsia="Cambria" w:hAnsi="Cambria" w:cs="Times New Roman"/>
          <w:sz w:val="16"/>
        </w:rPr>
        <w:t xml:space="preserve">ational </w:t>
      </w:r>
      <w:r w:rsidRPr="004A0CBB">
        <w:rPr>
          <w:rFonts w:ascii="Cambria" w:eastAsia="Cambria" w:hAnsi="Cambria" w:cs="Times New Roman"/>
          <w:b/>
          <w:u w:val="single"/>
        </w:rPr>
        <w:t>O</w:t>
      </w:r>
      <w:r w:rsidRPr="004A0CBB">
        <w:rPr>
          <w:rFonts w:ascii="Cambria" w:eastAsia="Cambria" w:hAnsi="Cambria" w:cs="Times New Roman"/>
          <w:sz w:val="16"/>
        </w:rPr>
        <w:t xml:space="preserve">ceanic and </w:t>
      </w:r>
      <w:r w:rsidRPr="004A0CBB">
        <w:rPr>
          <w:rFonts w:ascii="Cambria" w:eastAsia="Cambria" w:hAnsi="Cambria" w:cs="Times New Roman"/>
          <w:b/>
          <w:u w:val="single"/>
        </w:rPr>
        <w:t>A</w:t>
      </w:r>
      <w:r w:rsidRPr="004A0CBB">
        <w:rPr>
          <w:rFonts w:ascii="Cambria" w:eastAsia="Cambria" w:hAnsi="Cambria" w:cs="Times New Roman"/>
          <w:sz w:val="16"/>
        </w:rPr>
        <w:t xml:space="preserve">tmospheric </w:t>
      </w:r>
      <w:r w:rsidRPr="004A0CBB">
        <w:rPr>
          <w:rFonts w:ascii="Cambria" w:eastAsia="Cambria" w:hAnsi="Cambria" w:cs="Times New Roman"/>
          <w:b/>
          <w:u w:val="single"/>
        </w:rPr>
        <w:t>A</w:t>
      </w:r>
      <w:r w:rsidRPr="004A0CBB">
        <w:rPr>
          <w:rFonts w:ascii="Cambria" w:eastAsia="Cambria" w:hAnsi="Cambria" w:cs="Times New Roman"/>
          <w:sz w:val="16"/>
        </w:rPr>
        <w:t xml:space="preserve">dministration, </w:t>
      </w:r>
      <w:r w:rsidRPr="004A0CBB">
        <w:rPr>
          <w:rFonts w:ascii="Cambria" w:eastAsia="Cambria" w:hAnsi="Cambria" w:cs="Times New Roman"/>
          <w:b/>
          <w:u w:val="single"/>
        </w:rPr>
        <w:t xml:space="preserve">refers to ocean acidification as </w:t>
      </w:r>
      <w:r w:rsidRPr="004A0CBB">
        <w:rPr>
          <w:rFonts w:ascii="Cambria" w:eastAsia="Cambria" w:hAnsi="Cambria" w:cs="Times New Roman"/>
          <w:b/>
          <w:iCs/>
          <w:u w:val="single"/>
          <w:bdr w:val="single" w:sz="18" w:space="0" w:color="auto"/>
        </w:rPr>
        <w:t>global warming’s</w:t>
      </w:r>
      <w:r w:rsidRPr="004A0CBB">
        <w:rPr>
          <w:rFonts w:ascii="Cambria" w:eastAsia="Cambria" w:hAnsi="Cambria" w:cs="Times New Roman"/>
          <w:sz w:val="16"/>
        </w:rPr>
        <w:t xml:space="preserve"> “equally </w:t>
      </w:r>
      <w:r w:rsidRPr="004A0CBB">
        <w:rPr>
          <w:rFonts w:ascii="Cambria" w:eastAsia="Cambria" w:hAnsi="Cambria" w:cs="Times New Roman"/>
          <w:b/>
          <w:iCs/>
          <w:u w:val="single"/>
          <w:bdr w:val="single" w:sz="18" w:space="0" w:color="auto"/>
        </w:rPr>
        <w:t>evil twin</w:t>
      </w:r>
      <w:r w:rsidRPr="004A0CBB">
        <w:rPr>
          <w:rFonts w:ascii="Cambria" w:eastAsia="Cambria" w:hAnsi="Cambria" w:cs="Times New Roman"/>
          <w:sz w:val="16"/>
        </w:rPr>
        <w:t xml:space="preserve">,” Ibid. To that end, </w:t>
      </w:r>
      <w:r w:rsidRPr="004A0CBB">
        <w:rPr>
          <w:rFonts w:ascii="Cambria" w:eastAsia="Cambria" w:hAnsi="Cambria" w:cs="Times New Roman"/>
          <w:b/>
          <w:u w:val="single"/>
        </w:rPr>
        <w:t xml:space="preserve">a slow motion death march is consuming life in the ocean in real time, and we humans are witnesses to this </w:t>
      </w:r>
      <w:r w:rsidRPr="004A0CBB">
        <w:rPr>
          <w:rFonts w:ascii="Cambria" w:eastAsia="Cambria" w:hAnsi="Cambria" w:cs="Times New Roman"/>
          <w:b/>
          <w:iCs/>
          <w:u w:val="single"/>
          <w:bdr w:val="single" w:sz="18" w:space="0" w:color="auto"/>
        </w:rPr>
        <w:t>extinction event.</w:t>
      </w:r>
    </w:p>
    <w:p w:rsidR="0017246A" w:rsidRPr="004A0CBB" w:rsidRDefault="0017246A" w:rsidP="0017246A">
      <w:pPr>
        <w:keepNext/>
        <w:keepLines/>
        <w:spacing w:before="4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Whaling</w:t>
      </w:r>
    </w:p>
    <w:p w:rsidR="0017246A" w:rsidRPr="004A0CBB" w:rsidRDefault="0017246A" w:rsidP="0017246A">
      <w:pPr>
        <w:rPr>
          <w:rFonts w:ascii="Times New Roman" w:eastAsia="Cambria" w:hAnsi="Times New Roman" w:cs="Times New Roman"/>
        </w:rPr>
      </w:pPr>
      <w:r w:rsidRPr="004A0CBB">
        <w:rPr>
          <w:rFonts w:ascii="Times New Roman" w:eastAsia="Cambria" w:hAnsi="Times New Roman" w:cs="Times New Roman"/>
          <w:b/>
          <w:bCs/>
          <w:sz w:val="26"/>
        </w:rPr>
        <w:t>COLLINS 14</w:t>
      </w:r>
      <w:r w:rsidRPr="004A0CBB">
        <w:rPr>
          <w:rFonts w:ascii="Times New Roman" w:eastAsia="Cambria" w:hAnsi="Times New Roman" w:cs="Times New Roman"/>
        </w:rPr>
        <w:t xml:space="preserve"> (Katie, writer for Wired Science, Whales are the engineers of our ocean ecosystems, </w:t>
      </w:r>
      <w:hyperlink r:id="rId117" w:history="1">
        <w:r w:rsidRPr="004A0CBB">
          <w:rPr>
            <w:rFonts w:ascii="Times New Roman" w:eastAsia="Cambria" w:hAnsi="Times New Roman" w:cs="Times New Roman"/>
          </w:rPr>
          <w:t>http://www.wired.co.uk/news/archive/2014-07/03/whales-ecosystem-engineers</w:t>
        </w:r>
      </w:hyperlink>
      <w:r w:rsidRPr="004A0CBB">
        <w:rPr>
          <w:rFonts w:ascii="Times New Roman" w:eastAsia="Cambria" w:hAnsi="Times New Roman" w:cs="Times New Roman"/>
        </w:rPr>
        <w:t>, 7/3/14)</w:t>
      </w:r>
    </w:p>
    <w:p w:rsidR="0017246A" w:rsidRPr="004A0CBB" w:rsidRDefault="0017246A" w:rsidP="0017246A">
      <w:pPr>
        <w:rPr>
          <w:rFonts w:ascii="Times New Roman" w:eastAsia="Cambria" w:hAnsi="Times New Roman" w:cs="Times New Roman"/>
          <w:sz w:val="16"/>
        </w:rPr>
      </w:pPr>
      <w:r w:rsidRPr="004A0CBB">
        <w:rPr>
          <w:rFonts w:ascii="Times New Roman" w:eastAsia="Cambria" w:hAnsi="Times New Roman" w:cs="Times New Roman"/>
          <w:sz w:val="16"/>
        </w:rPr>
        <w:t xml:space="preserve">Thanks to marine biologists around the world we now know that </w:t>
      </w:r>
      <w:r w:rsidRPr="004A0CBB">
        <w:rPr>
          <w:rFonts w:ascii="Times New Roman" w:eastAsia="Cambria" w:hAnsi="Times New Roman" w:cs="Times New Roman"/>
          <w:b/>
          <w:u w:val="single"/>
        </w:rPr>
        <w:t>the gentle giants of our oceans have a powerful and positive impact on our underwater ecosystems</w:t>
      </w:r>
      <w:r w:rsidRPr="004A0CBB">
        <w:rPr>
          <w:rFonts w:ascii="Times New Roman" w:eastAsia="Cambria" w:hAnsi="Times New Roman" w:cs="Times New Roman"/>
          <w:sz w:val="16"/>
        </w:rPr>
        <w:t xml:space="preserve">. It has long been presumed that whales are so rare that their effect on our oceans is negligible. Not so, according to new research published in the journal Frontiers in Ecology and the Environment, which has taken into account </w:t>
      </w:r>
      <w:r w:rsidRPr="004A0CBB">
        <w:rPr>
          <w:rFonts w:ascii="Times New Roman" w:eastAsia="Cambria" w:hAnsi="Times New Roman" w:cs="Times New Roman"/>
          <w:b/>
          <w:u w:val="single"/>
        </w:rPr>
        <w:t>several decades of whale-related data and found that their influence can be seen in the global carbon storage and the health of commercial fisheries</w:t>
      </w:r>
      <w:r w:rsidRPr="004A0CBB">
        <w:rPr>
          <w:rFonts w:ascii="Times New Roman" w:eastAsia="Cambria" w:hAnsi="Times New Roman" w:cs="Times New Roman"/>
          <w:sz w:val="16"/>
        </w:rPr>
        <w:t xml:space="preserve">. In the past fishermen have often taken taken the view that whales, which after all have massive metabolic demands, are their competition. It turns out, however, that </w:t>
      </w:r>
      <w:r w:rsidRPr="004A0CBB">
        <w:rPr>
          <w:rFonts w:ascii="Times New Roman" w:eastAsia="Cambria" w:hAnsi="Times New Roman" w:cs="Times New Roman"/>
          <w:b/>
          <w:u w:val="single"/>
        </w:rPr>
        <w:t xml:space="preserve">a prevalence of whales actually encourages the development of more robust fisheries. It's estimated that the dramatic decline in whale numbers, primarily due to industrial whaling, has seen their numbers decline between 66 and 90 percent, </w:t>
      </w:r>
      <w:r w:rsidRPr="004A0CBB">
        <w:rPr>
          <w:rFonts w:ascii="Times New Roman" w:eastAsia="Cambria" w:hAnsi="Times New Roman" w:cs="Times New Roman"/>
          <w:sz w:val="16"/>
        </w:rPr>
        <w:t>but there are signs of recovery, which could well have a dramatically positive impact on the health of ocean ecosystems overall. "</w:t>
      </w:r>
      <w:r w:rsidRPr="004A0CBB">
        <w:rPr>
          <w:rFonts w:ascii="Times New Roman" w:eastAsia="Cambria" w:hAnsi="Times New Roman" w:cs="Times New Roman"/>
          <w:b/>
          <w:u w:val="single"/>
        </w:rPr>
        <w:t>Future changes in the structure and function of the world's oceans can be expected</w:t>
      </w:r>
      <w:r w:rsidRPr="004A0CBB">
        <w:rPr>
          <w:rFonts w:ascii="Times New Roman" w:eastAsia="Cambria" w:hAnsi="Times New Roman" w:cs="Times New Roman"/>
          <w:sz w:val="16"/>
        </w:rPr>
        <w:t xml:space="preserve"> with the restoration of great whale population," write the researchers in the study's abstract.</w:t>
      </w:r>
    </w:p>
    <w:p w:rsidR="0017246A" w:rsidRPr="004A0CBB" w:rsidRDefault="0017246A" w:rsidP="0017246A">
      <w:pPr>
        <w:keepNext/>
        <w:keepLines/>
        <w:spacing w:before="4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Declining fish size</w:t>
      </w:r>
    </w:p>
    <w:p w:rsidR="0017246A" w:rsidRPr="004A0CBB" w:rsidRDefault="0017246A" w:rsidP="0017246A">
      <w:pPr>
        <w:rPr>
          <w:rFonts w:ascii="Times New Roman" w:eastAsia="Cambria" w:hAnsi="Times New Roman" w:cs="Times New Roman"/>
        </w:rPr>
      </w:pPr>
      <w:r w:rsidRPr="004A0CBB">
        <w:rPr>
          <w:rFonts w:ascii="Times New Roman" w:eastAsia="Cambria" w:hAnsi="Times New Roman" w:cs="Times New Roman"/>
          <w:b/>
          <w:bCs/>
          <w:sz w:val="26"/>
        </w:rPr>
        <w:t>Rietta 14</w:t>
      </w:r>
      <w:r w:rsidRPr="004A0CBB">
        <w:rPr>
          <w:rFonts w:ascii="Times New Roman" w:eastAsia="Cambria" w:hAnsi="Times New Roman" w:cs="Times New Roman"/>
        </w:rPr>
        <w:t xml:space="preserve"> (commentator at Pucci Foods ocean blog citing a recent study, conducted by fisheries scientists with the University of Aberdeen, Rising Ocean Temperatures: Smaller Fish Will Impact Fisheries and Ecosystems Unless Humans Learn to Adapt, </w:t>
      </w:r>
      <w:hyperlink r:id="rId118" w:history="1">
        <w:r w:rsidRPr="004A0CBB">
          <w:rPr>
            <w:rFonts w:ascii="Times New Roman" w:eastAsia="Cambria" w:hAnsi="Times New Roman" w:cs="Times New Roman"/>
          </w:rPr>
          <w:t>http://puccifoods.com/pucciseafood-new/blog/ocean-temperatures-rise-smaller-fish-will-impact-fisheries-ecosystems-unless-humans-learn-adapt/</w:t>
        </w:r>
      </w:hyperlink>
      <w:r w:rsidRPr="004A0CBB">
        <w:rPr>
          <w:rFonts w:ascii="Times New Roman" w:eastAsia="Cambria" w:hAnsi="Times New Roman" w:cs="Times New Roman"/>
        </w:rPr>
        <w:t>, 3/3/14)</w:t>
      </w:r>
    </w:p>
    <w:p w:rsidR="0017246A" w:rsidRPr="004A0CBB" w:rsidRDefault="0017246A" w:rsidP="0017246A">
      <w:pPr>
        <w:rPr>
          <w:rFonts w:ascii="Times New Roman" w:eastAsia="Cambria" w:hAnsi="Times New Roman" w:cs="Times New Roman"/>
          <w:b/>
          <w:u w:val="single"/>
        </w:rPr>
      </w:pPr>
      <w:r w:rsidRPr="004A0CBB">
        <w:rPr>
          <w:rFonts w:ascii="Times New Roman" w:eastAsia="Cambria" w:hAnsi="Times New Roman" w:cs="Times New Roman"/>
          <w:b/>
          <w:u w:val="single"/>
        </w:rPr>
        <w:t>There may be serious negative effects on entire ecosystems that come with decreasing fish size. Everything in the ocean food web is connected – if fish on a lower trophic level become smaller, they will naturally yield fewer nutrients for organisms higher up on the energy chain. These animals could be predatory fish or sharks that are already suffering from the same depleted oxygen levels, or marine mammals that need to sustain massive amounts of energy to survive. They will be compelled to eat more of the smaller fish – lending to a decline in population</w:t>
      </w:r>
      <w:r w:rsidRPr="004A0CBB">
        <w:rPr>
          <w:rFonts w:ascii="Times New Roman" w:eastAsia="Cambria" w:hAnsi="Times New Roman" w:cs="Times New Roman"/>
          <w:sz w:val="16"/>
        </w:rPr>
        <w:t xml:space="preserve"> – or switch their food source to something else. </w:t>
      </w:r>
      <w:r w:rsidRPr="004A0CBB">
        <w:rPr>
          <w:rFonts w:ascii="Times New Roman" w:eastAsia="Cambria" w:hAnsi="Times New Roman" w:cs="Times New Roman"/>
          <w:b/>
          <w:u w:val="single"/>
        </w:rPr>
        <w:t>Ripple effects could be seen far and wide in many different ocean ecosystems. Organisms have an amazing ability to adapt and evolve to survive. But much more time is needed to keep things in balance. These fish are being forced to adapt too quickly to changing conditions – entire ecosystems need at least thousands of years to properly evolve. Right now human activity is forcing monumental changes over a span of decades.</w:t>
      </w:r>
    </w:p>
    <w:p w:rsidR="0017246A" w:rsidRPr="004A0CBB" w:rsidRDefault="0017246A" w:rsidP="0017246A">
      <w:pPr>
        <w:keepNext/>
        <w:keepLines/>
        <w:spacing w:before="4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Increased ocean temperatures</w:t>
      </w:r>
    </w:p>
    <w:p w:rsidR="0017246A" w:rsidRPr="004A0CBB" w:rsidRDefault="0017246A" w:rsidP="0017246A">
      <w:pPr>
        <w:rPr>
          <w:rFonts w:ascii="Times New Roman" w:eastAsia="Cambria" w:hAnsi="Times New Roman" w:cs="Times New Roman"/>
        </w:rPr>
      </w:pPr>
      <w:r w:rsidRPr="004A0CBB">
        <w:rPr>
          <w:rFonts w:ascii="Times New Roman" w:eastAsia="Cambria" w:hAnsi="Times New Roman" w:cs="Times New Roman"/>
          <w:b/>
          <w:bCs/>
          <w:sz w:val="26"/>
        </w:rPr>
        <w:t>Rietta 14</w:t>
      </w:r>
      <w:r w:rsidRPr="004A0CBB">
        <w:rPr>
          <w:rFonts w:ascii="Times New Roman" w:eastAsia="Cambria" w:hAnsi="Times New Roman" w:cs="Times New Roman"/>
        </w:rPr>
        <w:t xml:space="preserve"> (commentator at Pucci Foods ocean blog citing a recent study, conducted by fisheries scientists with the University of Aberdeen, Rising Ocean Temperatures: Smaller Fish Will Impact </w:t>
      </w:r>
      <w:r w:rsidRPr="004A0CBB">
        <w:rPr>
          <w:rFonts w:ascii="Times New Roman" w:eastAsia="Cambria" w:hAnsi="Times New Roman" w:cs="Times New Roman"/>
        </w:rPr>
        <w:lastRenderedPageBreak/>
        <w:t xml:space="preserve">Fisheries and Ecosystems Unless Humans Learn to Adapt, </w:t>
      </w:r>
      <w:hyperlink r:id="rId119" w:history="1">
        <w:r w:rsidRPr="004A0CBB">
          <w:rPr>
            <w:rFonts w:ascii="Times New Roman" w:eastAsia="Cambria" w:hAnsi="Times New Roman" w:cs="Times New Roman"/>
          </w:rPr>
          <w:t>http://puccifoods.com/pucciseafood-new/blog/ocean-temperatures-rise-smaller-fish-will-impact-fisheries-ecosystems-unless-humans-learn-adapt/</w:t>
        </w:r>
      </w:hyperlink>
      <w:r w:rsidRPr="004A0CBB">
        <w:rPr>
          <w:rFonts w:ascii="Times New Roman" w:eastAsia="Cambria" w:hAnsi="Times New Roman" w:cs="Times New Roman"/>
        </w:rPr>
        <w:t>, 3/3/14)</w:t>
      </w:r>
    </w:p>
    <w:p w:rsidR="0017246A" w:rsidRPr="004A0CBB" w:rsidRDefault="0017246A" w:rsidP="0017246A">
      <w:pPr>
        <w:rPr>
          <w:rFonts w:ascii="Times New Roman" w:eastAsia="Cambria" w:hAnsi="Times New Roman" w:cs="Times New Roman"/>
          <w:u w:val="single"/>
        </w:rPr>
      </w:pPr>
      <w:r w:rsidRPr="004A0CBB">
        <w:rPr>
          <w:rFonts w:ascii="Times New Roman" w:eastAsia="Cambria" w:hAnsi="Times New Roman" w:cs="Times New Roman"/>
          <w:b/>
          <w:u w:val="single"/>
        </w:rPr>
        <w:t>This study took place on fish data from the North Sea, but what about other areas? Although scientists predict that different regions will show quite a bit of variation, we have seen a global increase in sea surface temperatures. We must wonder how other animals are likely to be affected. If all our oceans are warming, then we must believe that they will all begin losing the capacity to hold oxygen. Organisms rely on this oxyge</w:t>
      </w:r>
      <w:r w:rsidRPr="004A0CBB">
        <w:rPr>
          <w:rFonts w:ascii="Times New Roman" w:eastAsia="Cambria" w:hAnsi="Times New Roman" w:cs="Times New Roman"/>
          <w:sz w:val="16"/>
        </w:rPr>
        <w:t xml:space="preserve">n – it would be akin to our atmospheric being sucked away, so that humans were forced to survive on less oxygen. </w:t>
      </w:r>
      <w:r w:rsidRPr="004A0CBB">
        <w:rPr>
          <w:rFonts w:ascii="Times New Roman" w:eastAsia="Cambria" w:hAnsi="Times New Roman" w:cs="Times New Roman"/>
          <w:b/>
          <w:u w:val="single"/>
        </w:rPr>
        <w:t>Imagine a world where it is hard for our lungs to gather enough oxygen to fuel the movement of our bodies. Just walking down the street would become a tremendously difficult task. Fish and invertebrates would surely lose the energy needed to find food, shelter and mates. Coral reefs are especially sensitive to environmental conditions, with higher temperatures causing coral bleaching and eventual death</w:t>
      </w:r>
      <w:r w:rsidRPr="004A0CBB">
        <w:rPr>
          <w:rFonts w:ascii="Times New Roman" w:eastAsia="Cambria" w:hAnsi="Times New Roman" w:cs="Times New Roman"/>
          <w:sz w:val="16"/>
        </w:rPr>
        <w:t xml:space="preserve">. Coral reefs are home to 25% of life in the oceans with biodiversity levels on par with terrestrial rainforests. Coral reefs provide millions of people with food and jobs in fishing and ecotourism. </w:t>
      </w:r>
      <w:r w:rsidRPr="004A0CBB">
        <w:rPr>
          <w:rFonts w:ascii="Times New Roman" w:eastAsia="Cambria" w:hAnsi="Times New Roman" w:cs="Times New Roman"/>
          <w:b/>
          <w:u w:val="single"/>
        </w:rPr>
        <w:t xml:space="preserve">Their disappearance would have grave implications for the future. </w:t>
      </w:r>
    </w:p>
    <w:p w:rsidR="0017246A" w:rsidRPr="004A0CBB" w:rsidRDefault="0017246A" w:rsidP="0017246A">
      <w:pPr>
        <w:keepNext/>
        <w:keepLines/>
        <w:spacing w:before="40"/>
        <w:outlineLvl w:val="3"/>
        <w:rPr>
          <w:rFonts w:ascii="Times New Roman" w:eastAsia="MS Gothic" w:hAnsi="Times New Roman" w:cs="Times New Roman"/>
          <w:b/>
          <w:iCs/>
          <w:sz w:val="26"/>
        </w:rPr>
      </w:pPr>
      <w:r w:rsidRPr="004A0CBB">
        <w:rPr>
          <w:rFonts w:ascii="Times New Roman" w:eastAsia="MS Gothic" w:hAnsi="Times New Roman" w:cs="Times New Roman"/>
          <w:b/>
          <w:iCs/>
          <w:sz w:val="26"/>
        </w:rPr>
        <w:t>Caribbean Reefs will disappear in 20 years- increased pressures and lack of grazers</w:t>
      </w:r>
    </w:p>
    <w:p w:rsidR="0017246A" w:rsidRPr="004A0CBB" w:rsidRDefault="0017246A" w:rsidP="0017246A">
      <w:pPr>
        <w:rPr>
          <w:rFonts w:ascii="Times New Roman" w:eastAsia="Cambria" w:hAnsi="Times New Roman" w:cs="Times New Roman"/>
        </w:rPr>
      </w:pPr>
      <w:r w:rsidRPr="004A0CBB">
        <w:rPr>
          <w:rFonts w:ascii="Times New Roman" w:eastAsia="Cambria" w:hAnsi="Times New Roman" w:cs="Times New Roman"/>
          <w:b/>
          <w:bCs/>
          <w:sz w:val="26"/>
        </w:rPr>
        <w:t>Seattle Times 7/7/14</w:t>
      </w:r>
      <w:r w:rsidRPr="004A0CBB">
        <w:rPr>
          <w:rFonts w:ascii="Times New Roman" w:eastAsia="Cambria" w:hAnsi="Times New Roman" w:cs="Times New Roman"/>
        </w:rPr>
        <w:t xml:space="preserve"> (“Study: Caribbean coral reefs will be lost within 20 years” Seattle times 7/7/14 </w:t>
      </w:r>
      <w:hyperlink r:id="rId120" w:history="1">
        <w:r w:rsidRPr="004A0CBB">
          <w:rPr>
            <w:rFonts w:ascii="Times New Roman" w:eastAsia="Cambria" w:hAnsi="Times New Roman" w:cs="Times New Roman"/>
          </w:rPr>
          <w:t>http://seattletimes.com/html/outdoors/2024012938_caribbeanreefs</w:t>
        </w:r>
      </w:hyperlink>
      <w:r w:rsidRPr="004A0CBB">
        <w:rPr>
          <w:rFonts w:ascii="Times New Roman" w:eastAsia="Cambria" w:hAnsi="Times New Roman" w:cs="Times New Roman"/>
        </w:rPr>
        <w:t xml:space="preserve"> disappearingxml.html)//BLOV</w:t>
      </w:r>
    </w:p>
    <w:p w:rsidR="0017246A" w:rsidRPr="004A0CBB" w:rsidRDefault="0017246A" w:rsidP="0017246A">
      <w:pPr>
        <w:rPr>
          <w:rFonts w:ascii="Times New Roman" w:eastAsia="Cambria" w:hAnsi="Times New Roman" w:cs="Times New Roman"/>
          <w:sz w:val="16"/>
        </w:rPr>
      </w:pPr>
      <w:r w:rsidRPr="004A0CBB">
        <w:rPr>
          <w:rFonts w:ascii="Times New Roman" w:eastAsia="Cambria" w:hAnsi="Times New Roman" w:cs="Times New Roman"/>
          <w:sz w:val="16"/>
        </w:rPr>
        <w:t xml:space="preserve">Most </w:t>
      </w:r>
      <w:r w:rsidRPr="004A0CBB">
        <w:rPr>
          <w:rFonts w:ascii="Times New Roman" w:eastAsia="Cambria" w:hAnsi="Times New Roman" w:cs="Times New Roman"/>
          <w:b/>
          <w:iCs/>
          <w:u w:val="single"/>
          <w:bdr w:val="single" w:sz="18" w:space="0" w:color="auto"/>
        </w:rPr>
        <w:t>Caribbean coral reefs will disappear within the next 20 years</w:t>
      </w:r>
      <w:r w:rsidRPr="004A0CBB">
        <w:rPr>
          <w:rFonts w:ascii="Times New Roman" w:eastAsia="Cambria" w:hAnsi="Times New Roman" w:cs="Times New Roman"/>
          <w:sz w:val="16"/>
        </w:rPr>
        <w:t xml:space="preserve"> unless action is taken to protect them, primarily </w:t>
      </w:r>
      <w:r w:rsidRPr="004A0CBB">
        <w:rPr>
          <w:rFonts w:ascii="Times New Roman" w:eastAsia="Cambria" w:hAnsi="Times New Roman" w:cs="Times New Roman"/>
          <w:b/>
          <w:u w:val="single"/>
        </w:rPr>
        <w:t xml:space="preserve">due to the decline of grazers such as sea urchins and parrotfish, a new report has warned. </w:t>
      </w:r>
      <w:r w:rsidRPr="004A0CBB">
        <w:rPr>
          <w:rFonts w:ascii="Times New Roman" w:eastAsia="Cambria" w:hAnsi="Times New Roman" w:cs="Times New Roman"/>
          <w:sz w:val="16"/>
        </w:rPr>
        <w:t xml:space="preserve">A comprehensive analysis by </w:t>
      </w:r>
      <w:r w:rsidRPr="004A0CBB">
        <w:rPr>
          <w:rFonts w:ascii="Times New Roman" w:eastAsia="Cambria" w:hAnsi="Times New Roman" w:cs="Times New Roman"/>
          <w:b/>
          <w:iCs/>
          <w:u w:val="single"/>
          <w:bdr w:val="single" w:sz="18" w:space="0" w:color="auto"/>
        </w:rPr>
        <w:t>90 experts of more than 35,000 surveys</w:t>
      </w:r>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conducted at nearly 100 Caribbean locations since 1970 shows that the region’s corals have declined by more than 50 percen</w:t>
      </w:r>
      <w:r w:rsidRPr="004A0CBB">
        <w:rPr>
          <w:rFonts w:ascii="Times New Roman" w:eastAsia="Cambria" w:hAnsi="Times New Roman" w:cs="Times New Roman"/>
          <w:sz w:val="16"/>
        </w:rPr>
        <w:t xml:space="preserve">t. 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(IUCN) and the U.N.’s Environment Program. </w:t>
      </w:r>
      <w:r w:rsidRPr="004A0CBB">
        <w:rPr>
          <w:rFonts w:ascii="Times New Roman" w:eastAsia="Cambria" w:hAnsi="Times New Roman" w:cs="Times New Roman"/>
          <w:b/>
          <w:u w:val="single"/>
        </w:rPr>
        <w:t>While climate change and the resulting ocean acidification and coral bleaching does pose a major threat to the region</w:t>
      </w:r>
      <w:r w:rsidRPr="004A0CBB">
        <w:rPr>
          <w:rFonts w:ascii="Times New Roman" w:eastAsia="Cambria" w:hAnsi="Times New Roman" w:cs="Times New Roman"/>
          <w:sz w:val="16"/>
        </w:rPr>
        <w:t xml:space="preserve">, the report — Status and Trends of Caribbean Coral Reefs: 1970-2012 — found that </w:t>
      </w:r>
      <w:r w:rsidRPr="004A0CBB">
        <w:rPr>
          <w:rFonts w:ascii="Times New Roman" w:eastAsia="Cambria" w:hAnsi="Times New Roman" w:cs="Times New Roman"/>
          <w:b/>
          <w:iCs/>
          <w:u w:val="single"/>
          <w:bdr w:val="single" w:sz="18" w:space="0" w:color="auto"/>
        </w:rPr>
        <w:t>local pressures such as tourism, overfishing and pollution posed the biggest problems.</w:t>
      </w:r>
      <w:r w:rsidRPr="004A0CBB">
        <w:rPr>
          <w:rFonts w:ascii="Times New Roman" w:eastAsia="Cambria" w:hAnsi="Times New Roman" w:cs="Times New Roman"/>
          <w:sz w:val="16"/>
        </w:rPr>
        <w:t xml:space="preserve"> And these factors have made the loss of the two main grazer species, the parrotfish and sea urchin, the key driver of coral decline in the Caribbean. </w:t>
      </w:r>
      <w:r w:rsidRPr="004A0CBB">
        <w:rPr>
          <w:rFonts w:ascii="Times New Roman" w:eastAsia="Cambria" w:hAnsi="Times New Roman" w:cs="Times New Roman"/>
          <w:b/>
          <w:u w:val="single"/>
        </w:rPr>
        <w:t xml:space="preserve">Grazers are important fish in the marine ecosystem as they eat the algae that can smother corals. An unidentified disease led to a mass mortality of the sea urchin in 1983 and overfishing throughout the 20th century has brought </w:t>
      </w:r>
      <w:r w:rsidRPr="004A0CBB">
        <w:rPr>
          <w:rFonts w:ascii="Times New Roman" w:eastAsia="Cambria" w:hAnsi="Times New Roman" w:cs="Times New Roman"/>
          <w:b/>
          <w:iCs/>
          <w:u w:val="single"/>
          <w:bdr w:val="single" w:sz="18" w:space="0" w:color="auto"/>
        </w:rPr>
        <w:t xml:space="preserve">the parrotfish population to the brink of extinction </w:t>
      </w:r>
      <w:r w:rsidRPr="004A0CBB">
        <w:rPr>
          <w:rFonts w:ascii="Times New Roman" w:eastAsia="Cambria" w:hAnsi="Times New Roman" w:cs="Times New Roman"/>
          <w:b/>
          <w:u w:val="single"/>
        </w:rPr>
        <w:t>in some regions, according to the report</w:t>
      </w:r>
      <w:r w:rsidRPr="004A0CBB">
        <w:rPr>
          <w:rFonts w:ascii="Times New Roman" w:eastAsia="Cambria" w:hAnsi="Times New Roman" w:cs="Times New Roman"/>
          <w:sz w:val="16"/>
        </w:rPr>
        <w:t xml:space="preserve">. </w:t>
      </w:r>
      <w:r w:rsidRPr="004A0CBB">
        <w:rPr>
          <w:rFonts w:ascii="Times New Roman" w:eastAsia="Cambria" w:hAnsi="Times New Roman" w:cs="Times New Roman"/>
          <w:b/>
          <w:u w:val="single"/>
        </w:rPr>
        <w:t>Reefs where parrotfish are not protected have suffered significant declines, including Jamaica, the entire Florida reef tract from Miami to Key West, and the U.S. Virgin Islands</w:t>
      </w:r>
      <w:r w:rsidRPr="004A0CBB">
        <w:rPr>
          <w:rFonts w:ascii="Times New Roman" w:eastAsia="Cambria" w:hAnsi="Times New Roman" w:cs="Times New Roman"/>
          <w:sz w:val="16"/>
        </w:rPr>
        <w:t>. At the same time, the report showed that some of the healthiest Caribbean coral reefs are those that are home to big populations of grazing parrotfish. These include the U.S. Flower Garden Banks national marine sanctuary in the northern Gulf of Mexico, Bermuda and Bonaire — all of which have restricted or banned fishing practices that harm parrotfish.</w:t>
      </w:r>
    </w:p>
    <w:p w:rsidR="0017246A" w:rsidRPr="004105A9" w:rsidRDefault="0017246A" w:rsidP="0017246A"/>
    <w:p w:rsidR="0017246A" w:rsidRDefault="0017246A" w:rsidP="0017246A">
      <w:pPr>
        <w:pStyle w:val="Heading3"/>
      </w:pPr>
      <w:r>
        <w:lastRenderedPageBreak/>
        <w:t>at: 5-yr tf</w:t>
      </w:r>
    </w:p>
    <w:p w:rsidR="0017246A" w:rsidRDefault="0017246A" w:rsidP="0017246A">
      <w:pPr>
        <w:pStyle w:val="Heading4"/>
      </w:pPr>
      <w:r>
        <w:t>Development of marine research products takes 5-7 years minimum – they can’t solve the ocean in time</w:t>
      </w:r>
    </w:p>
    <w:p w:rsidR="0017246A" w:rsidRPr="003A5A83" w:rsidRDefault="0017246A" w:rsidP="0017246A">
      <w:pPr>
        <w:rPr>
          <w:sz w:val="16"/>
          <w:szCs w:val="16"/>
        </w:rPr>
      </w:pPr>
      <w:r w:rsidRPr="003A5A83">
        <w:rPr>
          <w:rStyle w:val="StyleStyleBold12pt"/>
        </w:rPr>
        <w:t>NRC 02</w:t>
      </w:r>
      <w:r w:rsidRPr="003A5A83">
        <w:rPr>
          <w:sz w:val="16"/>
          <w:szCs w:val="16"/>
        </w:rPr>
        <w:t xml:space="preserve"> (National Research Council, “MARINE BIOTECHNOLOGY IN THE TWENTY-FIRST CENTURY”, Committee on Marine Biotechnology: Biomedical Applications of Marine Natural Products Ocean Studies Board Board on Life Sciences Division on Earth and Life Studies National Research Council, 2002, http://worldtracker.org/media/library/Science/Biotechnology/Marine%20Biotechnology%20in%20the%2021st%20Century%20-%20Nrc.pdf)</w:t>
      </w:r>
    </w:p>
    <w:p w:rsidR="0017246A" w:rsidRPr="003A5A83" w:rsidRDefault="0017246A" w:rsidP="0017246A">
      <w:pPr>
        <w:rPr>
          <w:sz w:val="16"/>
          <w:szCs w:val="16"/>
        </w:rPr>
      </w:pPr>
      <w:r w:rsidRPr="003A5A83">
        <w:rPr>
          <w:rStyle w:val="StyleBoldUnderline"/>
        </w:rPr>
        <w:t>Federal regulations control the development and marketing of bioproducts with human health and safety implications</w:t>
      </w:r>
      <w:r w:rsidRPr="003A5A83">
        <w:rPr>
          <w:sz w:val="16"/>
          <w:szCs w:val="16"/>
        </w:rPr>
        <w:t xml:space="preserve">. Preclinicaland clinical-product </w:t>
      </w:r>
      <w:r w:rsidRPr="003A5A83">
        <w:rPr>
          <w:rStyle w:val="StyleBoldUnderline"/>
        </w:rPr>
        <w:t>development related to the regulatory process can take an average of 5 to 7 years and can cost from $15 million to more than $200 million</w:t>
      </w:r>
      <w:r w:rsidRPr="003A5A83">
        <w:rPr>
          <w:sz w:val="16"/>
          <w:szCs w:val="16"/>
        </w:rPr>
        <w:t xml:space="preserve"> (Cato, 1988; Trenter, 1999), with some reports of costs as high as $800 million (DiMasi, 2001). </w:t>
      </w:r>
      <w:r w:rsidRPr="003A5A83">
        <w:rPr>
          <w:rStyle w:val="StyleBoldUnderline"/>
        </w:rPr>
        <w:t>This cost can be one of the most important hurdles to surmount in the development of a marine-derived bioproduct</w:t>
      </w:r>
      <w:r w:rsidRPr="003A5A83">
        <w:rPr>
          <w:sz w:val="16"/>
          <w:szCs w:val="16"/>
        </w:rPr>
        <w:t xml:space="preserve">. </w:t>
      </w:r>
      <w:r w:rsidRPr="003A5A83">
        <w:rPr>
          <w:rStyle w:val="StyleBoldUnderline"/>
        </w:rPr>
        <w:t>Mechanisms to streamline the process and lower the expense must be explored if marine bioproduct development for medical applications is to succeed</w:t>
      </w:r>
      <w:r w:rsidRPr="003A5A83">
        <w:rPr>
          <w:sz w:val="16"/>
          <w:szCs w:val="16"/>
        </w:rPr>
        <w:t xml:space="preserve">. A look at the marine bioproducts available today through the advances of marine biotechnology suggests that numerous products of marine origin have already been successful. Products have been brought to market (Tables l and 2), and ideas have been licensed for commercial development (Table 3). Despite these successes, there are concerns that </w:t>
      </w:r>
      <w:r w:rsidRPr="003A5A83">
        <w:rPr>
          <w:rStyle w:val="StyleBoldUnderline"/>
        </w:rPr>
        <w:t>the potential of many marine bioproducts is being compromised because the transition from labor atory discovery to early commercial development has not been efficient or successful, and regulatory hurdles have not been surmounted</w:t>
      </w:r>
      <w:r w:rsidRPr="003A5A83">
        <w:rPr>
          <w:sz w:val="16"/>
          <w:szCs w:val="16"/>
        </w:rPr>
        <w:t xml:space="preserve">. To overcome these bottlenecks </w:t>
      </w:r>
      <w:r w:rsidRPr="003A5A83">
        <w:rPr>
          <w:rStyle w:val="StyleBoldUnderline"/>
        </w:rPr>
        <w:t>it is necessary to educate marine scientists more aggressively about intellectual property rights and regulatory processes. That education should result in increased invention disclosure rates that will preserve nascent patent rights and ensu</w:t>
      </w:r>
      <w:r>
        <w:rPr>
          <w:rStyle w:val="StyleBoldUnderline"/>
        </w:rPr>
        <w:t>re that more products are avail</w:t>
      </w:r>
      <w:r w:rsidRPr="003A5A83">
        <w:rPr>
          <w:rStyle w:val="StyleBoldUnderline"/>
        </w:rPr>
        <w:t>a</w:t>
      </w:r>
      <w:r>
        <w:rPr>
          <w:rStyle w:val="StyleBoldUnderline"/>
        </w:rPr>
        <w:t>b</w:t>
      </w:r>
      <w:r w:rsidRPr="003A5A83">
        <w:rPr>
          <w:rStyle w:val="StyleBoldUnderline"/>
        </w:rPr>
        <w:t>le</w:t>
      </w:r>
      <w:r w:rsidRPr="003A5A83">
        <w:rPr>
          <w:sz w:val="16"/>
          <w:szCs w:val="16"/>
        </w:rPr>
        <w:t xml:space="preserve"> for commercialization. Efforts should also be made to encourage transitional research, thus enhancing the movement of an idea to marketable product.</w:t>
      </w:r>
    </w:p>
    <w:p w:rsidR="0017246A" w:rsidRPr="00AD6711" w:rsidRDefault="0017246A" w:rsidP="0017246A"/>
    <w:p w:rsidR="0017246A" w:rsidRDefault="0017246A" w:rsidP="0017246A">
      <w:pPr>
        <w:pStyle w:val="Heading2"/>
      </w:pPr>
      <w:r>
        <w:lastRenderedPageBreak/>
        <w:t>Oil Dependence Good</w:t>
      </w:r>
    </w:p>
    <w:p w:rsidR="0017246A" w:rsidRDefault="0017246A" w:rsidP="0017246A">
      <w:pPr>
        <w:pStyle w:val="Heading3"/>
      </w:pPr>
      <w:r>
        <w:lastRenderedPageBreak/>
        <w:t>UQ</w:t>
      </w:r>
    </w:p>
    <w:p w:rsidR="0017246A" w:rsidRDefault="0017246A" w:rsidP="0017246A">
      <w:pPr>
        <w:pStyle w:val="Heading4"/>
      </w:pPr>
      <w:r>
        <w:t>US oil imports from the Middle East are high</w:t>
      </w:r>
    </w:p>
    <w:p w:rsidR="0017246A" w:rsidRPr="00077BB8" w:rsidRDefault="0017246A" w:rsidP="0017246A">
      <w:r w:rsidRPr="00BA2E2A">
        <w:rPr>
          <w:rStyle w:val="StyleStyleBold12pt"/>
        </w:rPr>
        <w:t>Makan</w:t>
      </w:r>
      <w:r>
        <w:t xml:space="preserve"> 2/25/</w:t>
      </w:r>
      <w:r w:rsidRPr="00BA2E2A">
        <w:rPr>
          <w:rStyle w:val="StyleStyleBold12pt"/>
        </w:rPr>
        <w:t>13</w:t>
      </w:r>
      <w:r>
        <w:t xml:space="preserve"> (Ajay Makan, oil and gas correspondent, “US oil imports from Middle East increase”, </w:t>
      </w:r>
      <w:hyperlink r:id="rId121" w:anchor="axzz37YR1Sr42" w:history="1">
        <w:r w:rsidRPr="007718FA">
          <w:rPr>
            <w:rStyle w:val="Hyperlink"/>
          </w:rPr>
          <w:t>http://www.ft.com/intl/cms/s/0/d792c648-7f46-11e2-89ed-00144feabdc0.html#axzz37YR1Sr42</w:t>
        </w:r>
      </w:hyperlink>
      <w:r>
        <w:t xml:space="preserve"> )</w:t>
      </w:r>
    </w:p>
    <w:p w:rsidR="0017246A" w:rsidRPr="00C412AE" w:rsidRDefault="0017246A" w:rsidP="0017246A">
      <w:r>
        <w:t xml:space="preserve">However, </w:t>
      </w:r>
      <w:r w:rsidRPr="00077BB8">
        <w:rPr>
          <w:rStyle w:val="StyleBoldUnderline"/>
        </w:rPr>
        <w:t>recent oil import trends from the Gulf region suggest why the US might continue to play a critical security role in the region. While domestic production increased the most in 150 years last year, Washington will confirm later this week that oil imports from the Gulf region continued to rise.</w:t>
      </w:r>
      <w:r>
        <w:rPr>
          <w:rStyle w:val="StyleBoldUnderline"/>
        </w:rPr>
        <w:t xml:space="preserve"> </w:t>
      </w:r>
      <w:r w:rsidRPr="00077BB8">
        <w:rPr>
          <w:rStyle w:val="StyleBoldUnderline"/>
        </w:rPr>
        <w:t>By the end of November the US had already imported more than 450m barrels of crude from Saudi Arabia,</w:t>
      </w:r>
      <w:r>
        <w:t xml:space="preserve"> more than it imported from Riyadh in the whole of 2009, 2010 or 2011, according to figures from the US energy department. </w:t>
      </w:r>
      <w:r w:rsidRPr="00077BB8">
        <w:rPr>
          <w:rStyle w:val="StyleBoldUnderline"/>
        </w:rPr>
        <w:t>For the first time since 2003, Saudi imports accounted for more than 15 per cent of total US oil imports. The Gulf as a whole accounted for more than 25 per cent, a nine-year high.</w:t>
      </w:r>
      <w:r>
        <w:rPr>
          <w:rStyle w:val="StyleBoldUnderline"/>
        </w:rPr>
        <w:t xml:space="preserve"> </w:t>
      </w:r>
      <w:r w:rsidRPr="00077BB8">
        <w:rPr>
          <w:rStyle w:val="StyleBoldUnderline"/>
        </w:rPr>
        <w:t>Other Gulf exporters are also seeing unusually strong US demand.</w:t>
      </w:r>
      <w:r>
        <w:t xml:space="preserve"> By the end of November, Kuwait had shipped more oil to the US than in any year since 1998. Analysts are expecting annual figures to be released later this week to confirm the trend seen up to November.</w:t>
      </w:r>
    </w:p>
    <w:p w:rsidR="0017246A" w:rsidRDefault="0017246A" w:rsidP="0017246A">
      <w:pPr>
        <w:pStyle w:val="Heading4"/>
      </w:pPr>
      <w:r>
        <w:t>America relies on oil from the Middle East</w:t>
      </w:r>
    </w:p>
    <w:p w:rsidR="0017246A" w:rsidRPr="00C412AE" w:rsidRDefault="0017246A" w:rsidP="0017246A">
      <w:r w:rsidRPr="00A20C37">
        <w:rPr>
          <w:rStyle w:val="StyleStyleBold12pt"/>
        </w:rPr>
        <w:t>Cavell 4/11</w:t>
      </w:r>
      <w:r>
        <w:t xml:space="preserve">/12 (Collin S. Cavell, Assistant Professor of Political Science Chair, “AMERICA’S DEPENDENCY ON MIDDLE EAST OIL”, </w:t>
      </w:r>
      <w:hyperlink r:id="rId122" w:history="1">
        <w:r w:rsidRPr="007718FA">
          <w:rPr>
            <w:rStyle w:val="Hyperlink"/>
          </w:rPr>
          <w:t>http://www.globalresearch.ca/america-s-dependency-on-middle-east-oil/30177</w:t>
        </w:r>
      </w:hyperlink>
      <w:r>
        <w:t xml:space="preserve"> )</w:t>
      </w:r>
    </w:p>
    <w:p w:rsidR="0017246A" w:rsidRDefault="0017246A" w:rsidP="0017246A">
      <w:r w:rsidRPr="00C412AE">
        <w:rPr>
          <w:rStyle w:val="StyleBoldUnderline"/>
        </w:rPr>
        <w:t>North America is the largest consumer of oil regionally,</w:t>
      </w:r>
      <w:r>
        <w:t xml:space="preserve"> followed by Asia (primarily Japan), Europe, and then other world regions.  </w:t>
      </w:r>
      <w:r w:rsidRPr="00C412AE">
        <w:rPr>
          <w:rStyle w:val="StyleBoldUnderline"/>
        </w:rPr>
        <w:t>Importing over 13.5 million barrels of oil per day, the U.S. is easily the world’s largest oil importer, accounting for over 63% of total U.S. daily consumption.  “Oil from the Middle East (specifically, the Persian Gulf) accounts for 17 percent of U.S. oil imports, and this dependence is growing</w:t>
      </w:r>
      <w:r>
        <w:t xml:space="preserve">,” wrote Heritage Foundation researcher Ariel Cohen in April of 2006. </w:t>
      </w:r>
    </w:p>
    <w:p w:rsidR="0017246A" w:rsidRDefault="0017246A" w:rsidP="0017246A"/>
    <w:p w:rsidR="0017246A" w:rsidRPr="00545939" w:rsidRDefault="0017246A" w:rsidP="0017246A">
      <w:pPr>
        <w:pStyle w:val="Heading3"/>
      </w:pPr>
      <w:r>
        <w:t>Link</w:t>
      </w:r>
    </w:p>
    <w:p w:rsidR="0017246A" w:rsidRPr="00545939" w:rsidRDefault="0017246A" w:rsidP="0017246A">
      <w:r>
        <w:t>**If they don’t read the algae biofuels advantage, this turn doesn’t apply. If they do, but don’t read scenario 2, here’s the link.</w:t>
      </w:r>
    </w:p>
    <w:p w:rsidR="0017246A" w:rsidRPr="00CC79FC" w:rsidRDefault="0017246A" w:rsidP="0017246A">
      <w:pPr>
        <w:pStyle w:val="Heading4"/>
      </w:pPr>
      <w:r w:rsidRPr="00CC79FC">
        <w:t>Algae biofuels solve fuel demand</w:t>
      </w:r>
      <w:r>
        <w:t>- trades off with other resources like oil</w:t>
      </w:r>
    </w:p>
    <w:p w:rsidR="0017246A" w:rsidRPr="00CC79FC" w:rsidRDefault="0017246A" w:rsidP="0017246A">
      <w:r w:rsidRPr="00CC79FC">
        <w:rPr>
          <w:rStyle w:val="StyleStyleBold12pt"/>
        </w:rPr>
        <w:t>Enderle 2013</w:t>
      </w:r>
      <w:r w:rsidRPr="00CC79FC">
        <w:t xml:space="preserve"> (Timo Enderle, Biotech Consultancy and a Life Science Marketing Agency.)(“Sea Water Could Hold Key to Fuel Demands,” Algae Observer, University of Aberdeen, 2/5/13, http://www.algaeobserver.com/sea-water-key-to-fuel-demands//PL)</w:t>
      </w:r>
    </w:p>
    <w:p w:rsidR="0017246A" w:rsidRDefault="0017246A" w:rsidP="0017246A">
      <w:pPr>
        <w:rPr>
          <w:rStyle w:val="Emphasis"/>
        </w:rPr>
      </w:pPr>
      <w:r w:rsidRPr="00CC79FC">
        <w:rPr>
          <w:rStyle w:val="StyleBoldUnderline"/>
          <w:sz w:val="24"/>
        </w:rPr>
        <w:t>The answer to society’s fuel demands could literally be</w:t>
      </w:r>
      <w:r w:rsidRPr="00CC79FC">
        <w:rPr>
          <w:rStyle w:val="StyleBoldUnderline"/>
        </w:rPr>
        <w:t xml:space="preserve"> all around us according to Aberdeen scientists</w:t>
      </w:r>
      <w:r w:rsidRPr="00CC79FC">
        <w:rPr>
          <w:sz w:val="16"/>
        </w:rPr>
        <w:t xml:space="preserve"> – in fact it makes up two thirds of the planet’s surface. An international research team led by the University of Aberdeen is hoping to make biofuels out of </w:t>
      </w:r>
      <w:r w:rsidRPr="00CC79FC">
        <w:rPr>
          <w:rStyle w:val="Emphasis"/>
        </w:rPr>
        <w:t xml:space="preserve">microscopic algae found in the world’s oceans and seas. </w:t>
      </w:r>
      <w:r w:rsidRPr="00CC79FC">
        <w:rPr>
          <w:rStyle w:val="StyleBoldUnderline"/>
        </w:rPr>
        <w:t>Currently biofuels are created from crops and land-based vegetation</w:t>
      </w:r>
      <w:r w:rsidRPr="00CC79FC">
        <w:rPr>
          <w:sz w:val="16"/>
        </w:rPr>
        <w:t xml:space="preserve"> – something project coordinator Dr. Oliver Ebenhoeh, from the University of Aberdeen’s Institute of Complex Systems and Mathematical Biology, </w:t>
      </w:r>
      <w:r w:rsidRPr="00CC79FC">
        <w:rPr>
          <w:rStyle w:val="StyleBoldUnderline"/>
        </w:rPr>
        <w:t xml:space="preserve">says is not sustainable. </w:t>
      </w:r>
      <w:r w:rsidRPr="00CC79FC">
        <w:rPr>
          <w:sz w:val="16"/>
        </w:rPr>
        <w:t>He said: “</w:t>
      </w:r>
      <w:r w:rsidRPr="00CC79FC">
        <w:rPr>
          <w:rStyle w:val="StyleBoldUnderline"/>
        </w:rPr>
        <w:t xml:space="preserve">We need to find </w:t>
      </w:r>
      <w:r w:rsidRPr="00CC79FC">
        <w:rPr>
          <w:rStyle w:val="Emphasis"/>
        </w:rPr>
        <w:t>efficient ways of supplying our energy demand in a way that doesn’t compete for valuable resources</w:t>
      </w:r>
      <w:r w:rsidRPr="00CC79FC">
        <w:rPr>
          <w:rStyle w:val="StyleBoldUnderline"/>
        </w:rPr>
        <w:t xml:space="preserve"> like arable land or fresh water.</w:t>
      </w:r>
      <w:r w:rsidRPr="00CC79FC">
        <w:rPr>
          <w:sz w:val="16"/>
        </w:rPr>
        <w:t xml:space="preserve"> “We can’t just put corn in your car’s gas tank because it’s being used to feed millions already – it won’t be sustainable. This is one of the key motivations to look into marine microalgae. “</w:t>
      </w:r>
      <w:r w:rsidRPr="00CC79FC">
        <w:rPr>
          <w:rStyle w:val="StyleBoldUnderline"/>
        </w:rPr>
        <w:t xml:space="preserve">Cultivating algae using water that can’t be used for irrigation, like salt water or brackish water, makes sense because it’s so vast </w:t>
      </w:r>
      <w:r w:rsidRPr="00CC79FC">
        <w:rPr>
          <w:sz w:val="16"/>
        </w:rPr>
        <w:t xml:space="preserve">– it’s all around us and </w:t>
      </w:r>
      <w:r w:rsidRPr="00CC79FC">
        <w:rPr>
          <w:rStyle w:val="StyleBoldUnderline"/>
        </w:rPr>
        <w:t xml:space="preserve">there’s no competition to use the land to grow other things.” </w:t>
      </w:r>
      <w:r w:rsidRPr="00CC79FC">
        <w:rPr>
          <w:sz w:val="16"/>
        </w:rPr>
        <w:t xml:space="preserve">The AccliPhot project is due to run for four years and is backed by €4million of EU funding and involves 12 partners from across the continent. Today First Minister Alex Salmond praised the initiative. He said: “Scotland is leading the way in the energy sector, with our world class oil and gas industry now allied to a vibrant renewables sector that is harnessing the power of our boundless wind and water resources to bring jobs and investment to our country and ensure we can power our nation on a sustainable basis. “The AccliPhot project could herald another exciting development in Scotland’s energy story with the team at the University of Aberdeen using cutting-edge techniques to support the development of a sustainable biofuel from microscopic algae. “In many ways, these researchers are ideally placed to undertake this work, being based in a city that has a magnificent heritage in the offshore industry. I would like to extend my best wishes to the team for this exciting project and I look forward to hearing the results.” The team will try to understand more fully how plants and microalgae respond to changes in light and other conditions and use that information to make new products. </w:t>
      </w:r>
      <w:r w:rsidRPr="00CC79FC">
        <w:rPr>
          <w:rStyle w:val="StyleBoldUnderline"/>
        </w:rPr>
        <w:t>Whilst the main focus is on biofuels the study could also yield breakthroughs in antibiotics, nutritional supplements or even produce chemical compounds used in the cosmetics industry.</w:t>
      </w:r>
      <w:r w:rsidRPr="00CC79FC">
        <w:rPr>
          <w:sz w:val="16"/>
        </w:rPr>
        <w:t xml:space="preserve"> Dr Ebenhoeh added: “We’re hoping to understand the principles that guide these changes to environments and then see if this can be scaled up to industry scale. If that is successful then the applications are enormous because then you can really look into targeted pharmaceuticals or precursors for the chemical industry.” </w:t>
      </w:r>
      <w:r w:rsidRPr="00CC79FC">
        <w:rPr>
          <w:rStyle w:val="StyleBoldUnderline"/>
        </w:rPr>
        <w:t>Micro algae eat nothing but carbon dioxide, light and some minerals.</w:t>
      </w:r>
      <w:r w:rsidRPr="00CC79FC">
        <w:rPr>
          <w:sz w:val="16"/>
        </w:rPr>
        <w:t xml:space="preserve"> Cells of microalgae typically measure between a few to several hundred micrometers across and can be grown in vast numbers in giant 10,000 litre water tanks called photo-bioreactors. </w:t>
      </w:r>
      <w:r w:rsidRPr="00CC79FC">
        <w:rPr>
          <w:rStyle w:val="StyleBoldUnderline"/>
        </w:rPr>
        <w:t xml:space="preserve">So </w:t>
      </w:r>
      <w:r w:rsidRPr="00CC79FC">
        <w:rPr>
          <w:rStyle w:val="Emphasis"/>
        </w:rPr>
        <w:t>if they can be successfully cultivated to make biofuels</w:t>
      </w:r>
      <w:r w:rsidRPr="00CC79FC">
        <w:rPr>
          <w:rStyle w:val="StyleBoldUnderline"/>
        </w:rPr>
        <w:t xml:space="preserve"> </w:t>
      </w:r>
      <w:r w:rsidRPr="00CC79FC">
        <w:rPr>
          <w:rStyle w:val="Emphasis"/>
        </w:rPr>
        <w:t xml:space="preserve">they could contribute hugely to the planet’s energy </w:t>
      </w:r>
      <w:r>
        <w:rPr>
          <w:rStyle w:val="Emphasis"/>
        </w:rPr>
        <w:t>consumption</w:t>
      </w:r>
    </w:p>
    <w:p w:rsidR="0017246A" w:rsidRDefault="0017246A" w:rsidP="0017246A">
      <w:pPr>
        <w:pStyle w:val="Heading4"/>
      </w:pPr>
      <w:r w:rsidRPr="00F46AFC">
        <w:t>Algal biofuels trade off imported oil</w:t>
      </w:r>
    </w:p>
    <w:p w:rsidR="0017246A" w:rsidRPr="00F46AFC" w:rsidRDefault="0017246A" w:rsidP="0017246A">
      <w:r w:rsidRPr="00A20C37">
        <w:rPr>
          <w:rStyle w:val="StyleStyleBold12pt"/>
        </w:rPr>
        <w:t>White 2011</w:t>
      </w:r>
      <w:r>
        <w:t xml:space="preserve"> (Frances White, biological anthropologist, professor, and primatologist at the University of Oregon, “Study: Algae could replace 17% of U.S. oil imports”, </w:t>
      </w:r>
      <w:hyperlink r:id="rId123" w:history="1">
        <w:r w:rsidRPr="007718FA">
          <w:rPr>
            <w:rStyle w:val="Hyperlink"/>
          </w:rPr>
          <w:t>http://www.pnnl.gov/news/release.aspx?id=859</w:t>
        </w:r>
      </w:hyperlink>
      <w:r>
        <w:t xml:space="preserve">  )</w:t>
      </w:r>
    </w:p>
    <w:p w:rsidR="0017246A" w:rsidRPr="00A93C69" w:rsidRDefault="0017246A" w:rsidP="0017246A">
      <w:pPr>
        <w:rPr>
          <w:sz w:val="16"/>
        </w:rPr>
      </w:pPr>
      <w:r w:rsidRPr="00A93C69">
        <w:rPr>
          <w:sz w:val="16"/>
        </w:rPr>
        <w:t xml:space="preserve">RICHLAND, Wash. – High oil prices and environmental and economic security concerns have triggered interest in using algae-derived oils as an alternative to fossil fuels. But growing algae — or any other biofuel source — can require a lot of water. However, </w:t>
      </w:r>
      <w:r w:rsidRPr="00A93C69">
        <w:rPr>
          <w:rStyle w:val="StyleBoldUnderline"/>
        </w:rPr>
        <w:t>a new study shows that being smart about where we grow algae can drastically reduce how much water is needed for algal biofuel. Growing algae for biofuel, while being water-wise, could also help meet congressionally mandated renewable fuel targets by replacing 17 percent of the nation's imported oil</w:t>
      </w:r>
      <w:r w:rsidRPr="00A93C69">
        <w:rPr>
          <w:sz w:val="16"/>
        </w:rPr>
        <w:t xml:space="preserve"> for transportation, according to a paper published in the journal Water Resources Research.</w:t>
      </w:r>
    </w:p>
    <w:p w:rsidR="0017246A" w:rsidRDefault="0017246A" w:rsidP="0017246A">
      <w:pPr>
        <w:pStyle w:val="Heading3"/>
      </w:pPr>
      <w:r>
        <w:t>Asian Economy</w:t>
      </w:r>
    </w:p>
    <w:p w:rsidR="0017246A" w:rsidRDefault="0017246A" w:rsidP="0017246A">
      <w:pPr>
        <w:pStyle w:val="Heading4"/>
      </w:pPr>
      <w:r>
        <w:t>Oil independence wrecks Asian economies and exacerbates oil conflicts with China- turns case</w:t>
      </w:r>
    </w:p>
    <w:p w:rsidR="0017246A" w:rsidRDefault="0017246A" w:rsidP="0017246A">
      <w:r w:rsidRPr="00A20C37">
        <w:rPr>
          <w:rStyle w:val="StyleStyleBold12pt"/>
        </w:rPr>
        <w:t>Thompson 2012</w:t>
      </w:r>
      <w:r>
        <w:t xml:space="preserve"> (Loren Thompson, contributor to Forbes magazine, 12/3/12, “What Happens When America No Longer Needs Middle East Oil?”, </w:t>
      </w:r>
      <w:hyperlink r:id="rId124" w:history="1">
        <w:r w:rsidRPr="00D13869">
          <w:rPr>
            <w:rStyle w:val="Hyperlink"/>
          </w:rPr>
          <w:t>http://www.forbes.com/sites/lorenthompson/2012/12/03/what-happens-when-america-no-longer-needs-middle-east-oil/</w:t>
        </w:r>
      </w:hyperlink>
      <w:r>
        <w:t xml:space="preserve"> )</w:t>
      </w:r>
    </w:p>
    <w:p w:rsidR="0017246A" w:rsidRPr="00337196" w:rsidRDefault="0017246A" w:rsidP="0017246A">
      <w:pPr>
        <w:rPr>
          <w:rStyle w:val="StyleBoldUnderline"/>
          <w:sz w:val="16"/>
        </w:rPr>
      </w:pPr>
      <w:r w:rsidRPr="00503D35">
        <w:rPr>
          <w:rStyle w:val="StyleBoldUnderline"/>
        </w:rPr>
        <w:t>The second category of losers would be the economies of East Asia,</w:t>
      </w:r>
      <w:r w:rsidRPr="00337196">
        <w:rPr>
          <w:sz w:val="16"/>
        </w:rPr>
        <w:t xml:space="preserve"> which the International Energy Agency says will be the main consumers of Persian Gulf oil in the years ahead.  </w:t>
      </w:r>
      <w:r w:rsidRPr="00503D35">
        <w:rPr>
          <w:rStyle w:val="StyleBoldUnderline"/>
        </w:rPr>
        <w:t>China, Japan, South Korea and Taiwan are heavily dependent on the flow of oil passing through the Strait of Hormuz, and yet do little to assure that flow is not disrupted by local tensions.  If America pulls out of the Gulf, the nations of East Asia will either have to play a bigger military role in the Middle East, or find other sources of oil</w:t>
      </w:r>
      <w:r w:rsidRPr="00337196">
        <w:rPr>
          <w:sz w:val="16"/>
        </w:rPr>
        <w:t xml:space="preserve">.  America might have sufficient new-found reserves of fossil fuel to supply Japan and South Korea in an emergency, but </w:t>
      </w:r>
      <w:r w:rsidRPr="00503D35">
        <w:rPr>
          <w:rStyle w:val="StyleBoldUnderline"/>
        </w:rPr>
        <w:t>concern about access to Persian Gulf oil would undoubtedly exacerbate tensions over who owns contested oil reserves in the South China Sea and elsewhere.</w:t>
      </w:r>
    </w:p>
    <w:p w:rsidR="0017246A" w:rsidRPr="00AD3E03" w:rsidRDefault="0017246A" w:rsidP="0017246A"/>
    <w:p w:rsidR="0017246A" w:rsidRPr="00337196" w:rsidRDefault="0017246A" w:rsidP="0017246A">
      <w:pPr>
        <w:pStyle w:val="Heading3"/>
      </w:pPr>
      <w:r>
        <w:t>Heg</w:t>
      </w:r>
    </w:p>
    <w:p w:rsidR="0017246A" w:rsidRDefault="0017246A" w:rsidP="0017246A">
      <w:pPr>
        <w:pStyle w:val="Heading4"/>
      </w:pPr>
      <w:r>
        <w:t>Oil independence leads to a US withdrawal from the Middle East- U.S. influence in the region would diminish</w:t>
      </w:r>
    </w:p>
    <w:p w:rsidR="0017246A" w:rsidRPr="00C04D70" w:rsidRDefault="0017246A" w:rsidP="0017246A">
      <w:r w:rsidRPr="00A20C37">
        <w:rPr>
          <w:rStyle w:val="StyleStyleBold12pt"/>
        </w:rPr>
        <w:t>Thompson 2012</w:t>
      </w:r>
      <w:r>
        <w:t xml:space="preserve"> (Loren Thompson, contributor to Forbes magazine, 12/3/12, “What Happens When America No Longer Needs Middle East Oil?”, </w:t>
      </w:r>
      <w:hyperlink r:id="rId125" w:history="1">
        <w:r w:rsidRPr="00D13869">
          <w:rPr>
            <w:rStyle w:val="Hyperlink"/>
          </w:rPr>
          <w:t>http://www.forbes.com/sites/lorenthompson/2012/12/03/what-happens-when-america-no-longer-needs-middle-east-oil/</w:t>
        </w:r>
      </w:hyperlink>
      <w:r>
        <w:t xml:space="preserve"> ) </w:t>
      </w:r>
    </w:p>
    <w:p w:rsidR="0017246A" w:rsidRDefault="0017246A" w:rsidP="0017246A">
      <w:pPr>
        <w:rPr>
          <w:rStyle w:val="StyleBoldUnderline"/>
        </w:rPr>
      </w:pPr>
      <w:r w:rsidRPr="00C04D70">
        <w:rPr>
          <w:sz w:val="16"/>
        </w:rPr>
        <w:t xml:space="preserve">That’s good news for America, however it could have ramifications that are not good for the rest of the world. </w:t>
      </w:r>
      <w:r>
        <w:rPr>
          <w:rStyle w:val="StyleBoldUnderline"/>
        </w:rPr>
        <w:t>If the United States no longer needs access to Middle East oil under any foreseeable circumstances, then the priority Washington assigns to the region will plummet</w:t>
      </w:r>
      <w:r w:rsidRPr="00C04D70">
        <w:rPr>
          <w:sz w:val="16"/>
        </w:rPr>
        <w:t xml:space="preserve">. </w:t>
      </w:r>
      <w:r>
        <w:rPr>
          <w:rStyle w:val="StyleBoldUnderline"/>
        </w:rPr>
        <w:t>Many analysts believe that a unified global pricing structure for fossil fuels will keep America engaged</w:t>
      </w:r>
      <w:r w:rsidRPr="00C04D70">
        <w:rPr>
          <w:sz w:val="16"/>
        </w:rPr>
        <w:t>, but with U.S. spot prices for natural gas currently running at a fraction of what the fuel costs in Europe and East Asia, it appears global pricing isn’t so integrated after all.</w:t>
      </w:r>
      <w:r w:rsidRPr="00C04D70">
        <w:rPr>
          <w:sz w:val="12"/>
        </w:rPr>
        <w:t>¶</w:t>
      </w:r>
      <w:r w:rsidRPr="00C04D70">
        <w:rPr>
          <w:sz w:val="16"/>
        </w:rPr>
        <w:t xml:space="preserve"> Even if it were, </w:t>
      </w:r>
      <w:r>
        <w:rPr>
          <w:rStyle w:val="StyleBoldUnderline"/>
        </w:rPr>
        <w:t>Washington’s options for insulating U.S. energy markets from global price swings are multiplying as domestic production grows</w:t>
      </w:r>
      <w:r w:rsidRPr="00C04D70">
        <w:rPr>
          <w:sz w:val="16"/>
        </w:rPr>
        <w:t xml:space="preserve">. If you know the history of global oil in the years before World War Two, then you realize there is nothing new about America enjoying energy independence as Asia worries about its own needs. What definitely is new, though, is that </w:t>
      </w:r>
      <w:r>
        <w:rPr>
          <w:rStyle w:val="StyleBoldUnderline"/>
        </w:rPr>
        <w:t>in the near future there might be no western nation capable of or willing to police the Persian Gulf</w:t>
      </w:r>
      <w:r w:rsidRPr="00C04D70">
        <w:rPr>
          <w:sz w:val="16"/>
        </w:rPr>
        <w:t>.</w:t>
      </w:r>
      <w:r w:rsidRPr="00C04D70">
        <w:rPr>
          <w:sz w:val="12"/>
        </w:rPr>
        <w:t>¶</w:t>
      </w:r>
      <w:r w:rsidRPr="00C04D70">
        <w:rPr>
          <w:sz w:val="16"/>
        </w:rPr>
        <w:t xml:space="preserve"> Britain carried that burden from the late 1700s until World War Two, but its circumstances were so diminished in the war’s aftermath that it soon exited all of its military bases “East of Suez</w:t>
      </w:r>
      <w:r w:rsidRPr="004766EA">
        <w:rPr>
          <w:rStyle w:val="StyleBoldUnderline"/>
        </w:rPr>
        <w:t>.” As Britain receded in the Middle East, America’s role there grew — especially after successive energy crises engineered by members of the Organization of Petroleum Exporting Countries alerted Washington to its growing dependence on foreign oil. So the Pentagon became accustomed to assuring the security of oil passing through the Strait of Hormuz, maintaining a continuous naval presence in and around the Gulf while periodically deploying ground forces to protect fragile oil-producing states.</w:t>
      </w:r>
      <w:r w:rsidRPr="00C04D70">
        <w:rPr>
          <w:rStyle w:val="StyleBoldUnderline"/>
          <w:sz w:val="12"/>
        </w:rPr>
        <w:t>¶</w:t>
      </w:r>
      <w:r w:rsidRPr="004766EA">
        <w:rPr>
          <w:rStyle w:val="StyleBoldUnderline"/>
        </w:rPr>
        <w:t xml:space="preserve"> Nothing lasts forever, though, and now</w:t>
      </w:r>
      <w:r w:rsidRPr="00C04D70">
        <w:rPr>
          <w:sz w:val="16"/>
        </w:rPr>
        <w:t xml:space="preserve"> </w:t>
      </w:r>
      <w:r>
        <w:rPr>
          <w:rStyle w:val="StyleBoldUnderline"/>
        </w:rPr>
        <w:t>a combination of energy independence and economic necessity may lead Washington to become more insular in its outlook</w:t>
      </w:r>
      <w:r w:rsidRPr="00C04D70">
        <w:rPr>
          <w:sz w:val="16"/>
        </w:rPr>
        <w:t xml:space="preserve">, the same way London did after the war. </w:t>
      </w:r>
      <w:r>
        <w:rPr>
          <w:rStyle w:val="StyleBoldUnderline"/>
        </w:rPr>
        <w:t>With less need for foreign oil and an increasingly urgent requirement to rein in federal borrowing,</w:t>
      </w:r>
      <w:r w:rsidRPr="00C04D70">
        <w:rPr>
          <w:sz w:val="16"/>
        </w:rPr>
        <w:t xml:space="preserve"> it doesn’t take a genius to figure out where </w:t>
      </w:r>
      <w:r>
        <w:rPr>
          <w:rStyle w:val="StyleBoldUnderline"/>
        </w:rPr>
        <w:t>the political system will be inclined to cut spending</w:t>
      </w:r>
      <w:r w:rsidRPr="00C04D70">
        <w:rPr>
          <w:sz w:val="16"/>
        </w:rPr>
        <w:t>. It will be in distant places that have ceased having an impact on how elections turn out.</w:t>
      </w:r>
      <w:r w:rsidRPr="00C04D70">
        <w:rPr>
          <w:sz w:val="12"/>
        </w:rPr>
        <w:t>¶</w:t>
      </w:r>
      <w:r w:rsidRPr="00C04D70">
        <w:rPr>
          <w:sz w:val="16"/>
        </w:rPr>
        <w:t xml:space="preserve">With the prospect of OPEC-induced energy shortages off the table, at least in America, </w:t>
      </w:r>
      <w:r>
        <w:rPr>
          <w:rStyle w:val="StyleBoldUnderline"/>
        </w:rPr>
        <w:t>political leaders are sure to begin asking why the U.S. Navy is carrying the burden of making sure China has secure sources of oil</w:t>
      </w:r>
      <w:r w:rsidRPr="00C04D70">
        <w:rPr>
          <w:sz w:val="16"/>
        </w:rPr>
        <w:t>. The answers they get from Pentagon strategists aren’t likely to be well received in a nation where economic growth has slowed to a crawl due in no small part to Chinese mercantilism.</w:t>
      </w:r>
      <w:r w:rsidRPr="00C04D70">
        <w:rPr>
          <w:sz w:val="12"/>
        </w:rPr>
        <w:t>¶</w:t>
      </w:r>
      <w:r w:rsidRPr="00C04D70">
        <w:rPr>
          <w:sz w:val="16"/>
        </w:rPr>
        <w:t xml:space="preserve">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w:t>
      </w:r>
      <w:r w:rsidRPr="00C04D70">
        <w:rPr>
          <w:sz w:val="12"/>
        </w:rPr>
        <w:t>¶</w:t>
      </w:r>
      <w:r w:rsidRPr="00C04D70">
        <w:rPr>
          <w:sz w:val="16"/>
        </w:rPr>
        <w:t xml:space="preserve"> </w:t>
      </w:r>
      <w:r>
        <w:rPr>
          <w:rStyle w:val="StyleBoldUnderline"/>
        </w:rPr>
        <w:t>The biggest losers would be the Arab oil states grouped in the Gulf Cooperation Council,</w:t>
      </w:r>
      <w:r w:rsidRPr="00C04D70">
        <w:rPr>
          <w:sz w:val="16"/>
        </w:rPr>
        <w:t xml:space="preserve"> </w:t>
      </w:r>
      <w:r>
        <w:rPr>
          <w:rStyle w:val="StyleBoldUnderline"/>
        </w:rPr>
        <w:t>most of which are monarchies kept in power by a combination oil dollars and American military power</w:t>
      </w:r>
      <w:r w:rsidRPr="00C04D70">
        <w:rPr>
          <w:sz w:val="16"/>
        </w:rPr>
        <w:t xml:space="preserve">. </w:t>
      </w:r>
      <w:r>
        <w:rPr>
          <w:rStyle w:val="StyleBoldUnderline"/>
        </w:rPr>
        <w:t>Despite their oil revenues, none of these countries</w:t>
      </w:r>
      <w:r w:rsidRPr="00C04D70">
        <w:rPr>
          <w:sz w:val="16"/>
        </w:rPr>
        <w:t xml:space="preserve"> except Saudi Arabia </w:t>
      </w:r>
      <w:r>
        <w:rPr>
          <w:rStyle w:val="StyleBoldUnderline"/>
        </w:rPr>
        <w:t>has the wherewithal to defend itself against military pressure from Iran if America leaves the stage</w:t>
      </w:r>
      <w:r w:rsidRPr="00C04D70">
        <w:rPr>
          <w:sz w:val="16"/>
        </w:rPr>
        <w:t xml:space="preserve"> </w:t>
      </w:r>
      <w:r w:rsidRPr="00C04D70">
        <w:rPr>
          <w:rStyle w:val="StyleBoldUnderline"/>
        </w:rPr>
        <w:t>– or for that matter from Iraq,</w:t>
      </w:r>
      <w:r w:rsidRPr="00C04D70">
        <w:rPr>
          <w:sz w:val="16"/>
        </w:rPr>
        <w:t xml:space="preserve"> which has repeatedly laid claim to oil fields in Kuwait and other nearby states. </w:t>
      </w:r>
      <w:r>
        <w:rPr>
          <w:rStyle w:val="StyleBoldUnderline"/>
        </w:rPr>
        <w:t>The vacuum created by an American departure would force nations like Bahrain and Qatar to seek new military protectors, either by submitting to the influence of bigger regional powers or by reaching out to China.</w:t>
      </w:r>
    </w:p>
    <w:p w:rsidR="0017246A" w:rsidRPr="00337196" w:rsidRDefault="0017246A" w:rsidP="0017246A">
      <w:pPr>
        <w:pStyle w:val="Heading4"/>
      </w:pPr>
      <w:r w:rsidRPr="00337196">
        <w:t>Hegemony solves great power wars- retrenchment intensifies Middle East conflicts</w:t>
      </w:r>
    </w:p>
    <w:p w:rsidR="0017246A" w:rsidRPr="000A4FAB" w:rsidRDefault="0017246A" w:rsidP="0017246A">
      <w:pPr>
        <w:rPr>
          <w:sz w:val="16"/>
        </w:rPr>
      </w:pPr>
      <w:r w:rsidRPr="000A4FAB">
        <w:rPr>
          <w:b/>
          <w:sz w:val="26"/>
          <w:u w:val="single"/>
        </w:rPr>
        <w:t>Ikenberry et. al, 13</w:t>
      </w:r>
      <w:r w:rsidRPr="000A4FAB">
        <w:rPr>
          <w:sz w:val="16"/>
        </w:rPr>
        <w:t xml:space="preserve"> –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rsidR="0017246A" w:rsidRDefault="0017246A" w:rsidP="0017246A">
      <w:pPr>
        <w:rPr>
          <w:rStyle w:val="Emphasis"/>
        </w:rPr>
      </w:pPr>
      <w:r w:rsidRPr="000A4FAB">
        <w:rPr>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0A4FAB">
        <w:rPr>
          <w:rStyle w:val="StyleBoldUnderline"/>
        </w:rPr>
        <w:t xml:space="preserve">A core premise of deep </w:t>
      </w:r>
      <w:r w:rsidRPr="000A4FAB">
        <w:rPr>
          <w:rStyle w:val="StyleBoldUnderline"/>
          <w:highlight w:val="yellow"/>
        </w:rPr>
        <w:t>engagement</w:t>
      </w:r>
      <w:r w:rsidRPr="000A4FAB">
        <w:rPr>
          <w:rStyle w:val="StyleBoldUnderline"/>
        </w:rPr>
        <w:t xml:space="preserve"> is that it</w:t>
      </w:r>
      <w:r w:rsidRPr="000A4FAB">
        <w:rPr>
          <w:sz w:val="16"/>
        </w:rPr>
        <w:t xml:space="preserve"> </w:t>
      </w:r>
      <w:r w:rsidRPr="000A4FAB">
        <w:rPr>
          <w:rStyle w:val="Emphasis"/>
          <w:highlight w:val="yellow"/>
        </w:rPr>
        <w:t xml:space="preserve">prevents </w:t>
      </w:r>
      <w:r w:rsidRPr="000A4FAB">
        <w:rPr>
          <w:rStyle w:val="Emphasis"/>
        </w:rPr>
        <w:t xml:space="preserve">the </w:t>
      </w:r>
      <w:r w:rsidRPr="000A4FAB">
        <w:rPr>
          <w:rStyle w:val="Emphasis"/>
          <w:highlight w:val="yellow"/>
        </w:rPr>
        <w:t xml:space="preserve">emergence of </w:t>
      </w:r>
      <w:r w:rsidRPr="000A4FAB">
        <w:rPr>
          <w:rStyle w:val="Emphasis"/>
        </w:rPr>
        <w:t xml:space="preserve">a far more </w:t>
      </w:r>
      <w:r w:rsidRPr="000A4FAB">
        <w:rPr>
          <w:rStyle w:val="Emphasis"/>
          <w:highlight w:val="yellow"/>
        </w:rPr>
        <w:t>dangerous global security environment</w:t>
      </w:r>
      <w:r w:rsidRPr="000A4FAB">
        <w:rPr>
          <w:sz w:val="16"/>
        </w:rPr>
        <w:t xml:space="preserve">. For one thing, as noted above, </w:t>
      </w:r>
      <w:r w:rsidRPr="000A4FAB">
        <w:rPr>
          <w:rStyle w:val="StyleBoldUnderline"/>
        </w:rPr>
        <w:t>th</w:t>
      </w:r>
      <w:r w:rsidRPr="00C25804">
        <w:rPr>
          <w:rStyle w:val="StyleBoldUnderline"/>
          <w:highlight w:val="yellow"/>
        </w:rPr>
        <w:t>e United States’</w:t>
      </w:r>
      <w:r w:rsidRPr="00C25804">
        <w:rPr>
          <w:rStyle w:val="StyleBoldUnderline"/>
        </w:rPr>
        <w:t xml:space="preserve"> overseas </w:t>
      </w:r>
      <w:r w:rsidRPr="00C25804">
        <w:rPr>
          <w:rStyle w:val="StyleBoldUnderline"/>
          <w:highlight w:val="yellow"/>
        </w:rPr>
        <w:t>presence gives it the leverage to restrain partners from taking provocative action.</w:t>
      </w:r>
      <w:r w:rsidRPr="000A4FAB">
        <w:rPr>
          <w:sz w:val="16"/>
        </w:rPr>
        <w:t xml:space="preserve"> Perhaps more important, </w:t>
      </w:r>
      <w:r w:rsidRPr="000A4FAB">
        <w:rPr>
          <w:rStyle w:val="StyleBoldUnderline"/>
        </w:rPr>
        <w:t xml:space="preserve">its core </w:t>
      </w:r>
      <w:r w:rsidRPr="000A4FAB">
        <w:rPr>
          <w:rStyle w:val="StyleBoldUnderline"/>
          <w:highlight w:val="yellow"/>
        </w:rPr>
        <w:t>alliance commitments</w:t>
      </w:r>
      <w:r w:rsidRPr="000A4FAB">
        <w:rPr>
          <w:rStyle w:val="StyleBoldUnderline"/>
        </w:rPr>
        <w:t xml:space="preserve"> also </w:t>
      </w:r>
      <w:r w:rsidRPr="000A4FAB">
        <w:rPr>
          <w:rStyle w:val="StyleBoldUnderline"/>
          <w:highlight w:val="yellow"/>
        </w:rPr>
        <w:t>deter states with aspirations to regional hegemony</w:t>
      </w:r>
      <w:r w:rsidRPr="000A4FAB">
        <w:rPr>
          <w:rStyle w:val="StyleBoldUnderline"/>
        </w:rPr>
        <w:t xml:space="preserve"> from contemplating expansion and make its partners more secure, reducing their incentive to adopt solutions to their security problems that threaten others and thus stoke security dilemmas</w:t>
      </w:r>
      <w:r w:rsidRPr="000A4FAB">
        <w:rPr>
          <w:sz w:val="16"/>
        </w:rPr>
        <w:t xml:space="preserve">. </w:t>
      </w:r>
      <w:r w:rsidRPr="000A4FAB">
        <w:rPr>
          <w:rStyle w:val="StyleBoldUnderline"/>
        </w:rPr>
        <w:t xml:space="preserve">The contention that engaged U.S. power dampens the baleful effects of anarchy is </w:t>
      </w:r>
      <w:r w:rsidRPr="000A4FAB">
        <w:rPr>
          <w:rStyle w:val="Emphasis"/>
        </w:rPr>
        <w:t>consistent with influential variants of realist theory</w:t>
      </w:r>
      <w:r w:rsidRPr="000A4FAB">
        <w:rPr>
          <w:sz w:val="16"/>
        </w:rPr>
        <w:t xml:space="preserve">. Indeed, arguably the scariest portrayal of </w:t>
      </w:r>
      <w:r w:rsidRPr="000A4FAB">
        <w:rPr>
          <w:rStyle w:val="StyleBoldUnderline"/>
          <w:highlight w:val="yellow"/>
        </w:rPr>
        <w:t>the war-prone world</w:t>
      </w:r>
      <w:r w:rsidRPr="000A4FAB">
        <w:rPr>
          <w:rStyle w:val="StyleBoldUnderline"/>
        </w:rPr>
        <w:t xml:space="preserve"> that would emerge </w:t>
      </w:r>
      <w:r w:rsidRPr="000A4FAB">
        <w:rPr>
          <w:rStyle w:val="StyleBoldUnderline"/>
          <w:highlight w:val="yellow"/>
        </w:rPr>
        <w:t>absent the “American Pacifier” is</w:t>
      </w:r>
      <w:r w:rsidRPr="000A4FAB">
        <w:rPr>
          <w:rStyle w:val="StyleBoldUnderline"/>
        </w:rPr>
        <w:t xml:space="preserve"> provided in the works of John Mearsheimer, who forecasts dangerous multipolar regions </w:t>
      </w:r>
      <w:r w:rsidRPr="000A4FAB">
        <w:rPr>
          <w:rStyle w:val="StyleBoldUnderline"/>
          <w:highlight w:val="yellow"/>
        </w:rPr>
        <w:t>replete with</w:t>
      </w:r>
      <w:r w:rsidRPr="000A4FAB">
        <w:rPr>
          <w:rStyle w:val="Emphasis"/>
          <w:highlight w:val="yellow"/>
        </w:rPr>
        <w:t xml:space="preserve"> security competition, arms races, nuclear proliferation</w:t>
      </w:r>
      <w:r w:rsidRPr="000A4FAB">
        <w:rPr>
          <w:rStyle w:val="Emphasis"/>
        </w:rPr>
        <w:t xml:space="preserve"> and associated preventive war temptations, </w:t>
      </w:r>
      <w:r w:rsidRPr="000A4FAB">
        <w:rPr>
          <w:rStyle w:val="Emphasis"/>
          <w:highlight w:val="yellow"/>
        </w:rPr>
        <w:t>regional rivalries</w:t>
      </w:r>
      <w:r w:rsidRPr="000A4FAB">
        <w:rPr>
          <w:rStyle w:val="Emphasis"/>
        </w:rPr>
        <w:t xml:space="preserve">, and even runs at regional hegemony </w:t>
      </w:r>
      <w:r w:rsidRPr="000A4FAB">
        <w:rPr>
          <w:rStyle w:val="Emphasis"/>
          <w:highlight w:val="yellow"/>
        </w:rPr>
        <w:t>and full-scale great power war</w:t>
      </w:r>
      <w:r w:rsidRPr="000A4FAB">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0A4FAB">
        <w:rPr>
          <w:rStyle w:val="StyleBoldUnderline"/>
        </w:rPr>
        <w:t xml:space="preserve">each of these responses is nonetheless a weaker argument for retrenchment than advocates acknowledge. </w:t>
      </w:r>
      <w:r w:rsidRPr="000A4FAB">
        <w:rPr>
          <w:sz w:val="16"/>
        </w:rPr>
        <w:t xml:space="preserve">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w:t>
      </w:r>
      <w:r w:rsidRPr="000A4FAB">
        <w:rPr>
          <w:rStyle w:val="StyleBoldUnderline"/>
        </w:rPr>
        <w:t>There are three other major bodies of scholarship, however, that might give decisionmakers pause before making this bet</w:t>
      </w:r>
      <w:r w:rsidRPr="000A4FAB">
        <w:rPr>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0A4FAB">
        <w:rPr>
          <w:rStyle w:val="StyleBoldUnderline"/>
        </w:rPr>
        <w:t xml:space="preserve">The result might be a </w:t>
      </w:r>
      <w:r w:rsidRPr="00C25804">
        <w:rPr>
          <w:rStyle w:val="Emphasis"/>
        </w:rPr>
        <w:t>Europe</w:t>
      </w:r>
      <w:r w:rsidRPr="000A4FAB">
        <w:rPr>
          <w:rStyle w:val="Emphasis"/>
        </w:rPr>
        <w:t xml:space="preserve"> that </w:t>
      </w:r>
      <w:r w:rsidRPr="00C25804">
        <w:rPr>
          <w:rStyle w:val="Emphasis"/>
        </w:rPr>
        <w:t xml:space="preserve">is incapable of securing itself </w:t>
      </w:r>
      <w:r w:rsidRPr="000A4FAB">
        <w:rPr>
          <w:rStyle w:val="Emphasis"/>
        </w:rPr>
        <w:t>from various threats</w:t>
      </w:r>
      <w:r w:rsidRPr="000A4FAB">
        <w:rPr>
          <w:rStyle w:val="StyleBoldUnderline"/>
        </w:rPr>
        <w:t xml:space="preserve"> that could be destabilizing within the region and beyond</w:t>
      </w:r>
      <w:r w:rsidRPr="000A4FAB">
        <w:rPr>
          <w:sz w:val="16"/>
        </w:rPr>
        <w:t xml:space="preserve"> (e.g., a regional conflict akin to the 1990s Balkan wars), </w:t>
      </w:r>
      <w:r w:rsidRPr="000A4FAB">
        <w:rPr>
          <w:rStyle w:val="StyleBoldUnderline"/>
        </w:rPr>
        <w:t>lacks capacity for global security missions in which U.S. leaders might want European participation, and is vulnerable to the influence of outside rising powers.</w:t>
      </w:r>
      <w:r w:rsidRPr="000A4FAB">
        <w:rPr>
          <w:sz w:val="16"/>
        </w:rPr>
        <w:t xml:space="preserve"> What about the other parts of Eurasia where the United States has a substantial military presence? </w:t>
      </w:r>
      <w:r w:rsidRPr="000A4FAB">
        <w:rPr>
          <w:rStyle w:val="StyleBoldUnderline"/>
        </w:rPr>
        <w:t xml:space="preserve">Regarding </w:t>
      </w:r>
      <w:r w:rsidRPr="000A4FAB">
        <w:rPr>
          <w:rStyle w:val="StyleBoldUnderline"/>
          <w:highlight w:val="yellow"/>
        </w:rPr>
        <w:t>the Middle East</w:t>
      </w:r>
      <w:r w:rsidRPr="000A4FAB">
        <w:rPr>
          <w:rStyle w:val="StyleBoldUnderline"/>
        </w:rPr>
        <w:t xml:space="preserve">, the balance begins to swing toward pessimists concerned that states currently backed by Washington— notably </w:t>
      </w:r>
      <w:r w:rsidRPr="000A4FAB">
        <w:rPr>
          <w:rStyle w:val="Emphasis"/>
          <w:highlight w:val="yellow"/>
        </w:rPr>
        <w:t>Israel, Egypt, and Saudi Arabia</w:t>
      </w:r>
      <w:r w:rsidRPr="000A4FAB">
        <w:rPr>
          <w:rStyle w:val="StyleBoldUnderline"/>
          <w:highlight w:val="yellow"/>
        </w:rPr>
        <w:t>—might</w:t>
      </w:r>
      <w:r w:rsidRPr="000A4FAB">
        <w:rPr>
          <w:rStyle w:val="StyleBoldUnderline"/>
        </w:rPr>
        <w:t xml:space="preserve"> take actions upon U.S.</w:t>
      </w:r>
      <w:r w:rsidRPr="000A4FAB">
        <w:rPr>
          <w:sz w:val="16"/>
        </w:rPr>
        <w:t xml:space="preserve"> </w:t>
      </w:r>
      <w:r w:rsidRPr="000A4FAB">
        <w:rPr>
          <w:rStyle w:val="Emphasis"/>
        </w:rPr>
        <w:t xml:space="preserve">retrenchment that would </w:t>
      </w:r>
      <w:r w:rsidRPr="000A4FAB">
        <w:rPr>
          <w:rStyle w:val="Emphasis"/>
          <w:highlight w:val="yellow"/>
        </w:rPr>
        <w:t>intensify security dilemmas</w:t>
      </w:r>
      <w:r w:rsidRPr="000A4FAB">
        <w:rPr>
          <w:sz w:val="16"/>
        </w:rPr>
        <w:t xml:space="preserve">. And concerning </w:t>
      </w:r>
      <w:r w:rsidRPr="000A4FAB">
        <w:rPr>
          <w:rStyle w:val="StyleBoldUnderline"/>
        </w:rPr>
        <w:t>East Asia, pessimism regarding the region’s prospects without the American pacifier is pronounced</w:t>
      </w:r>
      <w:r w:rsidRPr="000A4FAB">
        <w:rPr>
          <w:sz w:val="16"/>
        </w:rPr>
        <w:t xml:space="preserve">. Arguably the principal concern expressed by area experts is that </w:t>
      </w:r>
      <w:r w:rsidRPr="000A4FAB">
        <w:rPr>
          <w:rStyle w:val="Emphasis"/>
          <w:highlight w:val="yellow"/>
        </w:rPr>
        <w:t>Japan and South Korea are likely to obtain a nuclear capacity and</w:t>
      </w:r>
      <w:r w:rsidRPr="000A4FAB">
        <w:rPr>
          <w:rStyle w:val="Emphasis"/>
        </w:rPr>
        <w:t xml:space="preserve"> increase their military commitments, which could </w:t>
      </w:r>
      <w:r w:rsidRPr="000A4FAB">
        <w:rPr>
          <w:rStyle w:val="Emphasis"/>
          <w:highlight w:val="yellow"/>
        </w:rPr>
        <w:t>stoke a destabilizing reaction from China</w:t>
      </w:r>
      <w:r w:rsidRPr="000A4FAB">
        <w:rPr>
          <w:rStyle w:val="Emphasis"/>
        </w:rPr>
        <w:t>.</w:t>
      </w:r>
      <w:r w:rsidRPr="000A4FAB">
        <w:rPr>
          <w:sz w:val="16"/>
        </w:rPr>
        <w:t xml:space="preserve"> It is notable that </w:t>
      </w:r>
      <w:r w:rsidRPr="000A4FAB">
        <w:rPr>
          <w:rStyle w:val="StyleBoldUnderline"/>
        </w:rPr>
        <w:t>during the Cold War, both South Korea and Taiwan moved to obtain a nuclear weapons capacity and were only constrained from doing so by a still-engaged United States</w:t>
      </w:r>
      <w:r w:rsidRPr="000A4FAB">
        <w:rPr>
          <w:sz w:val="16"/>
        </w:rPr>
        <w:t xml:space="preserve">. 75 </w:t>
      </w:r>
      <w:r w:rsidRPr="000A4FAB">
        <w:rPr>
          <w:rStyle w:val="StyleBoldUnderline"/>
        </w:rPr>
        <w:t>The second body of scholarship casting doubt on the bet on defensive realism’s sanguine portrayal is all of the research that undermines its conception of state preferences</w:t>
      </w:r>
      <w:r w:rsidRPr="000A4FAB">
        <w:rPr>
          <w:sz w:val="16"/>
        </w:rPr>
        <w:t xml:space="preserve">. Defensive realism’s optimism about what would happen if the United States retrenched is very much dependent on its particular—and highly restrictive—assumption about state preferences; </w:t>
      </w:r>
      <w:r w:rsidRPr="000A4FAB">
        <w:rPr>
          <w:rStyle w:val="StyleBoldUnderline"/>
        </w:rPr>
        <w:t>once we relax this assumption, then much of its basis for optimism vanishes</w:t>
      </w:r>
      <w:r w:rsidRPr="000A4FAB">
        <w:rPr>
          <w:sz w:val="16"/>
        </w:rPr>
        <w:t xml:space="preserve">. Specifically, </w:t>
      </w:r>
      <w:r w:rsidRPr="000A4FAB">
        <w:rPr>
          <w:rStyle w:val="StyleBoldUnderline"/>
        </w:rPr>
        <w:t>the prediction of post-American tranquility throughout Eurasia rests on the assumption that security is the only relevant state preference</w:t>
      </w:r>
      <w:r w:rsidRPr="000A4FAB">
        <w:rPr>
          <w:sz w:val="16"/>
        </w:rPr>
        <w:t xml:space="preserve">, with security defined narrowly in terms of protection from violent external attacks on the homeland. Under that assumption, </w:t>
      </w:r>
      <w:r w:rsidRPr="000A4FAB">
        <w:rPr>
          <w:rStyle w:val="StyleBoldUnderline"/>
        </w:rPr>
        <w:t>the security problem is largely solved as soon as offense and defense are clearly distinguishable, and offense is extremely expensive relative to defense</w:t>
      </w:r>
      <w:r w:rsidRPr="000A4FAB">
        <w:rPr>
          <w:sz w:val="16"/>
        </w:rPr>
        <w:t xml:space="preserve">. Burgeoning research across the social and other sciences, however, undermines that core assumption: </w:t>
      </w:r>
      <w:r w:rsidRPr="000A4FAB">
        <w:rPr>
          <w:rStyle w:val="StyleBoldUnderline"/>
        </w:rPr>
        <w:t>states have preferences not only for security but also for prestige, status, and other aims, and they engage in trade-offs among the various objectives</w:t>
      </w:r>
      <w:r w:rsidRPr="000A4FAB">
        <w:rPr>
          <w:sz w:val="16"/>
        </w:rPr>
        <w:t xml:space="preserve">. 76 In addition, they define security not just in terms of territorial protection but in view of many and varied milieu goals. It follows that </w:t>
      </w:r>
      <w:r w:rsidRPr="000A4FAB">
        <w:rPr>
          <w:rStyle w:val="StyleBoldUnderline"/>
          <w:highlight w:val="yellow"/>
        </w:rPr>
        <w:t xml:space="preserve">even states </w:t>
      </w:r>
      <w:r w:rsidRPr="000A4FAB">
        <w:rPr>
          <w:rStyle w:val="StyleBoldUnderline"/>
        </w:rPr>
        <w:t xml:space="preserve">that are </w:t>
      </w:r>
      <w:r w:rsidRPr="000A4FAB">
        <w:rPr>
          <w:rStyle w:val="StyleBoldUnderline"/>
          <w:highlight w:val="yellow"/>
        </w:rPr>
        <w:t xml:space="preserve">relatively secure may </w:t>
      </w:r>
      <w:r w:rsidRPr="000A4FAB">
        <w:rPr>
          <w:rStyle w:val="StyleBoldUnderline"/>
        </w:rPr>
        <w:t xml:space="preserve">nevertheless </w:t>
      </w:r>
      <w:r w:rsidRPr="000A4FAB">
        <w:rPr>
          <w:rStyle w:val="StyleBoldUnderline"/>
          <w:highlight w:val="yellow"/>
        </w:rPr>
        <w:t>engage in highly competitive behavior</w:t>
      </w:r>
      <w:r w:rsidRPr="000A4FAB">
        <w:rPr>
          <w:sz w:val="16"/>
        </w:rPr>
        <w:t xml:space="preserve">. </w:t>
      </w:r>
      <w:r w:rsidRPr="000A4FAB">
        <w:rPr>
          <w:rStyle w:val="StyleBoldUnderline"/>
        </w:rPr>
        <w:t>Empirical studies show that this is indeed sometimes the case</w:t>
      </w:r>
      <w:r w:rsidRPr="000A4FAB">
        <w:rPr>
          <w:sz w:val="16"/>
        </w:rPr>
        <w:t xml:space="preserve">. 77 In sum, </w:t>
      </w:r>
      <w:r w:rsidRPr="000A4FAB">
        <w:rPr>
          <w:rStyle w:val="StyleBoldUnderline"/>
        </w:rPr>
        <w:t xml:space="preserve">a bet on a benign postretrenchment Eurasia is a bet that leaders of major countries will never allow these nonsecurity preferences to influence their strategic choices. </w:t>
      </w:r>
      <w:r w:rsidRPr="000A4FAB">
        <w:rPr>
          <w:sz w:val="16"/>
        </w:rPr>
        <w:t xml:space="preserve">To the degree that these bodies of scholarly knowledge have predictive leverage, </w:t>
      </w:r>
      <w:r w:rsidRPr="000A4FAB">
        <w:rPr>
          <w:rStyle w:val="Emphasis"/>
        </w:rPr>
        <w:t xml:space="preserve">U.S. </w:t>
      </w:r>
      <w:r w:rsidRPr="000A4FAB">
        <w:rPr>
          <w:rStyle w:val="Emphasis"/>
          <w:highlight w:val="yellow"/>
        </w:rPr>
        <w:t xml:space="preserve">retrenchment would result in </w:t>
      </w:r>
      <w:r w:rsidRPr="000A4FAB">
        <w:rPr>
          <w:rStyle w:val="Emphasis"/>
        </w:rPr>
        <w:t xml:space="preserve">a significant </w:t>
      </w:r>
      <w:r w:rsidRPr="000A4FAB">
        <w:rPr>
          <w:rStyle w:val="Emphasis"/>
          <w:highlight w:val="yellow"/>
        </w:rPr>
        <w:t>deterioration in the security environment</w:t>
      </w:r>
      <w:r w:rsidRPr="000A4FAB">
        <w:rPr>
          <w:sz w:val="16"/>
        </w:rPr>
        <w:t xml:space="preserve"> </w:t>
      </w:r>
      <w:r w:rsidRPr="000A4FAB">
        <w:rPr>
          <w:rStyle w:val="StyleBoldUnderline"/>
        </w:rPr>
        <w:t>in at least some of the world’s key regions</w:t>
      </w:r>
      <w:r w:rsidRPr="000A4FAB">
        <w:rPr>
          <w:sz w:val="16"/>
        </w:rPr>
        <w:t xml:space="preserve">. We have already mentioned the third, even more alarming body of scholarship. Offensive realism predicts that </w:t>
      </w:r>
      <w:r w:rsidRPr="000A4FAB">
        <w:rPr>
          <w:rStyle w:val="StyleBoldUnderline"/>
        </w:rPr>
        <w:t xml:space="preserve">the </w:t>
      </w:r>
      <w:r w:rsidRPr="000A4FAB">
        <w:rPr>
          <w:rStyle w:val="StyleBoldUnderline"/>
          <w:highlight w:val="yellow"/>
        </w:rPr>
        <w:t>withdrawal of the American pacifier will yield</w:t>
      </w:r>
      <w:r w:rsidRPr="000A4FAB">
        <w:rPr>
          <w:rStyle w:val="StyleBoldUnderline"/>
        </w:rPr>
        <w:t xml:space="preserve"> either a competitive regional multipolarity complete with</w:t>
      </w:r>
      <w:r w:rsidRPr="000A4FAB">
        <w:rPr>
          <w:sz w:val="16"/>
        </w:rPr>
        <w:t xml:space="preserve"> </w:t>
      </w:r>
      <w:r w:rsidRPr="000A4FAB">
        <w:rPr>
          <w:rStyle w:val="Emphasis"/>
        </w:rPr>
        <w:t xml:space="preserve">associated </w:t>
      </w:r>
      <w:r w:rsidRPr="000A4FAB">
        <w:rPr>
          <w:rStyle w:val="Emphasis"/>
          <w:highlight w:val="yellow"/>
        </w:rPr>
        <w:t>insecurity, arms racing, crisis instability, nuclear proliferation</w:t>
      </w:r>
      <w:r w:rsidRPr="000A4FAB">
        <w:rPr>
          <w:rStyle w:val="StyleBoldUnderline"/>
          <w:highlight w:val="yellow"/>
        </w:rPr>
        <w:t>, and</w:t>
      </w:r>
      <w:r w:rsidRPr="000A4FAB">
        <w:rPr>
          <w:rStyle w:val="StyleBoldUnderline"/>
        </w:rPr>
        <w:t xml:space="preserve"> the like, or</w:t>
      </w:r>
      <w:r w:rsidRPr="000A4FAB">
        <w:rPr>
          <w:sz w:val="16"/>
        </w:rPr>
        <w:t xml:space="preserve"> </w:t>
      </w:r>
      <w:r w:rsidRPr="000A4FAB">
        <w:rPr>
          <w:rStyle w:val="Emphasis"/>
          <w:highlight w:val="yellow"/>
        </w:rPr>
        <w:t>bids for regional hegemony, which</w:t>
      </w:r>
      <w:r w:rsidRPr="000A4FAB">
        <w:rPr>
          <w:rStyle w:val="Emphasis"/>
        </w:rPr>
        <w:t xml:space="preserve"> may be beyond the capacity of local great powers to contain</w:t>
      </w:r>
      <w:r w:rsidRPr="000A4FAB">
        <w:rPr>
          <w:sz w:val="16"/>
        </w:rPr>
        <w:t xml:space="preserve"> </w:t>
      </w:r>
      <w:r w:rsidRPr="000A4FAB">
        <w:rPr>
          <w:rStyle w:val="StyleBoldUnderline"/>
        </w:rPr>
        <w:t xml:space="preserve">(and which in any case would </w:t>
      </w:r>
      <w:r w:rsidRPr="000A4FAB">
        <w:rPr>
          <w:rStyle w:val="StyleBoldUnderline"/>
          <w:highlight w:val="yellow"/>
        </w:rPr>
        <w:t>generate</w:t>
      </w:r>
      <w:r w:rsidRPr="000A4FAB">
        <w:rPr>
          <w:rStyle w:val="StyleBoldUnderline"/>
        </w:rPr>
        <w:t xml:space="preserve"> intensely competitive behavior, possibly</w:t>
      </w:r>
      <w:r w:rsidRPr="000A4FAB">
        <w:rPr>
          <w:sz w:val="16"/>
        </w:rPr>
        <w:t xml:space="preserve"> </w:t>
      </w:r>
      <w:r w:rsidRPr="000A4FAB">
        <w:rPr>
          <w:rStyle w:val="Emphasis"/>
        </w:rPr>
        <w:t xml:space="preserve">including regional </w:t>
      </w:r>
      <w:r w:rsidRPr="000A4FAB">
        <w:rPr>
          <w:rStyle w:val="Emphasis"/>
          <w:highlight w:val="yellow"/>
        </w:rPr>
        <w:t>great power war</w:t>
      </w:r>
      <w:r w:rsidRPr="000A4FAB">
        <w:rPr>
          <w:rStyle w:val="Emphasis"/>
        </w:rPr>
        <w:t xml:space="preserve">). </w:t>
      </w:r>
    </w:p>
    <w:p w:rsidR="0017246A" w:rsidRDefault="0017246A" w:rsidP="0017246A">
      <w:pPr>
        <w:rPr>
          <w:rStyle w:val="StyleBoldUnderline"/>
        </w:rPr>
      </w:pPr>
    </w:p>
    <w:p w:rsidR="0017246A" w:rsidRPr="004105A9" w:rsidRDefault="0017246A" w:rsidP="0017246A"/>
    <w:p w:rsidR="00984FEB" w:rsidRDefault="00984FEB" w:rsidP="00756B88">
      <w:pPr>
        <w:pStyle w:val="Heading2"/>
      </w:pPr>
      <w:r>
        <w:t>Pharma</w:t>
      </w:r>
      <w:r w:rsidR="00756B88">
        <w:t xml:space="preserve"> Advantage</w:t>
      </w:r>
    </w:p>
    <w:p w:rsidR="00984FEB" w:rsidRDefault="00984FEB" w:rsidP="00984FEB">
      <w:pPr>
        <w:pStyle w:val="Heading3"/>
      </w:pPr>
      <w:r>
        <w:t>sq solves</w:t>
      </w:r>
    </w:p>
    <w:p w:rsidR="00984FEB" w:rsidRPr="000C1037" w:rsidRDefault="00984FEB" w:rsidP="00984FEB">
      <w:pPr>
        <w:pStyle w:val="Heading4"/>
      </w:pPr>
      <w:r w:rsidRPr="000C1037">
        <w:t>Health care law solves the pharmaceutical industry – increases profits by a third</w:t>
      </w:r>
    </w:p>
    <w:p w:rsidR="00984FEB" w:rsidRPr="000C1037" w:rsidRDefault="00984FEB" w:rsidP="00984FEB">
      <w:pPr>
        <w:rPr>
          <w:sz w:val="16"/>
          <w:szCs w:val="16"/>
        </w:rPr>
      </w:pPr>
      <w:r w:rsidRPr="000C1037">
        <w:rPr>
          <w:rStyle w:val="StyleStyleBold12pt"/>
        </w:rPr>
        <w:t>Japsen 13</w:t>
      </w:r>
      <w:r w:rsidRPr="000C1037">
        <w:rPr>
          <w:sz w:val="16"/>
          <w:szCs w:val="16"/>
        </w:rPr>
        <w:t xml:space="preserve"> (Bruce, “Obamacare Will Bring Drug Industry $35 Billion In Profits”, Forbes, 5/25/13, http://www.forbes.com/sites/brucejapsen/2013/05/25/obamacare-will-bring-drug-industry-35-billion-in-profits/)</w:t>
      </w:r>
    </w:p>
    <w:p w:rsidR="00984FEB" w:rsidRDefault="00984FEB" w:rsidP="00984FEB">
      <w:pPr>
        <w:rPr>
          <w:sz w:val="16"/>
          <w:szCs w:val="16"/>
        </w:rPr>
      </w:pPr>
      <w:r w:rsidRPr="000C1037">
        <w:rPr>
          <w:rStyle w:val="StyleBoldUnderline"/>
        </w:rPr>
        <w:t>Despite expiring patents on blockbuster drugs and a wave of new regulation from the Affordable Care Act</w:t>
      </w:r>
      <w:r w:rsidRPr="000C1037">
        <w:rPr>
          <w:sz w:val="16"/>
          <w:szCs w:val="16"/>
        </w:rPr>
        <w:t xml:space="preserve"> that will cost drug makers, </w:t>
      </w:r>
      <w:r w:rsidRPr="000C1037">
        <w:rPr>
          <w:rStyle w:val="StyleBoldUnderline"/>
        </w:rPr>
        <w:t>the pharmaceutical industry will reap between “$10 billion and $35 billion in additional profits</w:t>
      </w:r>
      <w:r w:rsidRPr="000C1037">
        <w:rPr>
          <w:sz w:val="16"/>
          <w:szCs w:val="16"/>
        </w:rPr>
        <w:t xml:space="preserve"> over the next decade,” a new analysis shows. </w:t>
      </w:r>
      <w:r w:rsidRPr="000C1037">
        <w:rPr>
          <w:rStyle w:val="StyleBoldUnderline"/>
        </w:rPr>
        <w:t>The health law</w:t>
      </w:r>
      <w:r w:rsidRPr="000C1037">
        <w:rPr>
          <w:sz w:val="16"/>
          <w:szCs w:val="16"/>
        </w:rPr>
        <w:t xml:space="preserve">, which will bring millions of uninsured Americans health benefits beginning in January 2014, </w:t>
      </w:r>
      <w:r w:rsidRPr="000C1037">
        <w:rPr>
          <w:rStyle w:val="StyleBoldUnderline"/>
        </w:rPr>
        <w:t>will be a critical boon to pharmaceutical industry balance sheets, increasing revenue by one-third by the end of the decade</w:t>
      </w:r>
      <w:r w:rsidRPr="000C1037">
        <w:rPr>
          <w:sz w:val="16"/>
          <w:szCs w:val="16"/>
        </w:rPr>
        <w:t xml:space="preserve">, according to a new report from research and consulting firm GlobalData of London. </w:t>
      </w:r>
      <w:r w:rsidRPr="000C1037">
        <w:rPr>
          <w:rStyle w:val="StyleBoldUnderline"/>
        </w:rPr>
        <w:t>That means the U.S. pharmaceutical industry’s market value will mushroom by 33 percent to $476 billion in 2020 from $359 billion last year</w:t>
      </w:r>
      <w:r w:rsidRPr="000C1037">
        <w:rPr>
          <w:sz w:val="16"/>
          <w:szCs w:val="16"/>
        </w:rPr>
        <w:t xml:space="preserve">. </w:t>
      </w:r>
      <w:r w:rsidRPr="000C1037">
        <w:rPr>
          <w:rStyle w:val="StyleBoldUnderline"/>
        </w:rPr>
        <w:t>The increase in sales and profits comes amid a wave of expiring patents on some of the industry’s most popular brand name drugs</w:t>
      </w:r>
      <w:r w:rsidRPr="000C1037">
        <w:rPr>
          <w:sz w:val="16"/>
          <w:szCs w:val="16"/>
        </w:rPr>
        <w:t xml:space="preserve"> such as Lipitor from </w:t>
      </w:r>
      <w:hyperlink r:id="rId126" w:history="1">
        <w:r w:rsidRPr="000C1037">
          <w:rPr>
            <w:rStyle w:val="Hyperlink"/>
            <w:sz w:val="16"/>
            <w:szCs w:val="16"/>
          </w:rPr>
          <w:t>Pfizer</w:t>
        </w:r>
      </w:hyperlink>
      <w:r w:rsidRPr="000C1037">
        <w:rPr>
          <w:sz w:val="16"/>
          <w:szCs w:val="16"/>
        </w:rPr>
        <w:t xml:space="preserve"> </w:t>
      </w:r>
      <w:hyperlink r:id="rId127" w:history="1">
        <w:r w:rsidRPr="000C1037">
          <w:rPr>
            <w:rStyle w:val="Hyperlink"/>
            <w:sz w:val="16"/>
            <w:szCs w:val="16"/>
          </w:rPr>
          <w:t>PFE +0.47%</w:t>
        </w:r>
      </w:hyperlink>
      <w:r w:rsidRPr="000C1037">
        <w:rPr>
          <w:sz w:val="16"/>
          <w:szCs w:val="16"/>
        </w:rPr>
        <w:t xml:space="preserve"> (PFE), the blood thinner Plavix sold by </w:t>
      </w:r>
      <w:hyperlink r:id="rId128" w:history="1">
        <w:r w:rsidRPr="000C1037">
          <w:rPr>
            <w:rStyle w:val="Hyperlink"/>
            <w:sz w:val="16"/>
            <w:szCs w:val="16"/>
          </w:rPr>
          <w:t>Bristol-Myers Squibb</w:t>
        </w:r>
      </w:hyperlink>
      <w:r w:rsidRPr="000C1037">
        <w:rPr>
          <w:sz w:val="16"/>
          <w:szCs w:val="16"/>
        </w:rPr>
        <w:t xml:space="preserve"> </w:t>
      </w:r>
      <w:hyperlink r:id="rId129" w:history="1">
        <w:r w:rsidRPr="000C1037">
          <w:rPr>
            <w:rStyle w:val="Hyperlink"/>
            <w:sz w:val="16"/>
            <w:szCs w:val="16"/>
          </w:rPr>
          <w:t>BMY +0.29%</w:t>
        </w:r>
      </w:hyperlink>
      <w:r w:rsidRPr="000C1037">
        <w:rPr>
          <w:sz w:val="16"/>
          <w:szCs w:val="16"/>
        </w:rPr>
        <w:t xml:space="preserve"> (BMY), the diabetes drug Actos from Eli Lilly (LLY) and Takeda Pharmaceuticals as well as various cholesterol treatments sold by </w:t>
      </w:r>
      <w:hyperlink r:id="rId130" w:history="1">
        <w:r w:rsidRPr="000C1037">
          <w:rPr>
            <w:rStyle w:val="Hyperlink"/>
            <w:sz w:val="16"/>
            <w:szCs w:val="16"/>
          </w:rPr>
          <w:t>Abbott Laboratories</w:t>
        </w:r>
      </w:hyperlink>
      <w:r w:rsidRPr="000C1037">
        <w:rPr>
          <w:sz w:val="16"/>
          <w:szCs w:val="16"/>
        </w:rPr>
        <w:t xml:space="preserve"> </w:t>
      </w:r>
      <w:hyperlink r:id="rId131" w:history="1">
        <w:r w:rsidRPr="000C1037">
          <w:rPr>
            <w:rStyle w:val="Hyperlink"/>
            <w:sz w:val="16"/>
            <w:szCs w:val="16"/>
          </w:rPr>
          <w:t>ABT +1.04%</w:t>
        </w:r>
      </w:hyperlink>
      <w:r w:rsidRPr="000C1037">
        <w:rPr>
          <w:sz w:val="16"/>
          <w:szCs w:val="16"/>
        </w:rPr>
        <w:t xml:space="preserve">(ABT) and its recently spun off proprietary business </w:t>
      </w:r>
      <w:hyperlink r:id="rId132" w:history="1">
        <w:r w:rsidRPr="000C1037">
          <w:rPr>
            <w:rStyle w:val="Hyperlink"/>
            <w:sz w:val="16"/>
            <w:szCs w:val="16"/>
          </w:rPr>
          <w:t>AbbVie</w:t>
        </w:r>
      </w:hyperlink>
      <w:r w:rsidRPr="000C1037">
        <w:rPr>
          <w:sz w:val="16"/>
          <w:szCs w:val="16"/>
        </w:rPr>
        <w:t xml:space="preserve"> </w:t>
      </w:r>
      <w:hyperlink r:id="rId133" w:history="1">
        <w:r w:rsidRPr="000C1037">
          <w:rPr>
            <w:rStyle w:val="Hyperlink"/>
            <w:sz w:val="16"/>
            <w:szCs w:val="16"/>
          </w:rPr>
          <w:t>ABBV -0.66%</w:t>
        </w:r>
      </w:hyperlink>
      <w:r w:rsidRPr="000C1037">
        <w:rPr>
          <w:sz w:val="16"/>
          <w:szCs w:val="16"/>
        </w:rPr>
        <w:t xml:space="preserve"> (ABBV). In large part because of competition from cheaper generic drugs, a report last year from IMS </w:t>
      </w:r>
      <w:hyperlink r:id="rId134" w:history="1">
        <w:r w:rsidRPr="000C1037">
          <w:rPr>
            <w:rStyle w:val="Hyperlink"/>
            <w:sz w:val="16"/>
            <w:szCs w:val="16"/>
          </w:rPr>
          <w:t>Health</w:t>
        </w:r>
      </w:hyperlink>
      <w:r w:rsidRPr="000C1037">
        <w:rPr>
          <w:sz w:val="16"/>
          <w:szCs w:val="16"/>
        </w:rPr>
        <w:t xml:space="preserve">, for example, said pharmaceutical manufacturers will see “minimal growth in their branded products through 2016.” </w:t>
      </w:r>
      <w:r w:rsidRPr="000C1037">
        <w:rPr>
          <w:rStyle w:val="StyleBoldUnderline"/>
        </w:rPr>
        <w:t>But the health law will pave the way for a major rebound in sales with an estimated $115 billion in new business over a 10-year period. Enrollment in the Medicaid health insurance program alone is expected to increase by about 19.5 million people</w:t>
      </w:r>
      <w:r w:rsidRPr="000C1037">
        <w:rPr>
          <w:sz w:val="16"/>
          <w:szCs w:val="16"/>
        </w:rPr>
        <w:t>, GlobalData said.</w:t>
      </w:r>
    </w:p>
    <w:p w:rsidR="00984FEB" w:rsidRDefault="00984FEB" w:rsidP="00984FEB">
      <w:pPr>
        <w:rPr>
          <w:sz w:val="16"/>
          <w:szCs w:val="16"/>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Pharmaceutical industry is recovering- cost-cutting, downsizing, new products, and emerging markets- prefer predictive evidence</w:t>
      </w:r>
    </w:p>
    <w:p w:rsidR="00984FEB" w:rsidRPr="004A0CBB" w:rsidRDefault="00984FEB" w:rsidP="00984FEB">
      <w:pPr>
        <w:rPr>
          <w:rFonts w:eastAsia="Calibri" w:cs="Times New Roman"/>
          <w:b/>
          <w:sz w:val="16"/>
        </w:rPr>
      </w:pPr>
      <w:r w:rsidRPr="004A0CBB">
        <w:rPr>
          <w:rFonts w:eastAsia="Calibri" w:cs="Times New Roman"/>
          <w:b/>
        </w:rPr>
        <w:t xml:space="preserve">Dutt 2014 </w:t>
      </w:r>
      <w:r w:rsidRPr="004A0CBB">
        <w:rPr>
          <w:rFonts w:eastAsia="Calibri" w:cs="Times New Roman"/>
          <w:b/>
          <w:sz w:val="16"/>
        </w:rPr>
        <w:t>(Arpita Dutt, writer for Zacks, industry stock research engine, March 26, 2014. “Pharma and Biotech Stock Outlook – March 2014”. http://www.zacks.com/commentary/31869/pharma-biotech-stock-outlook---march-2014)//NR</w:t>
      </w:r>
    </w:p>
    <w:p w:rsidR="00984FEB" w:rsidRPr="004A0CBB" w:rsidRDefault="00984FEB" w:rsidP="00984FEB">
      <w:pPr>
        <w:rPr>
          <w:rFonts w:eastAsia="Calibri" w:cs="Times New Roman"/>
          <w:sz w:val="16"/>
        </w:rPr>
      </w:pPr>
      <w:r w:rsidRPr="00557640">
        <w:rPr>
          <w:rFonts w:eastAsia="Calibri" w:cs="Times New Roman"/>
          <w:b/>
          <w:highlight w:val="green"/>
          <w:u w:val="single"/>
        </w:rPr>
        <w:t>The pharmaceutical sector has been</w:t>
      </w:r>
      <w:r w:rsidRPr="004A0CBB">
        <w:rPr>
          <w:rFonts w:eastAsia="Calibri" w:cs="Times New Roman"/>
          <w:sz w:val="16"/>
        </w:rPr>
        <w:t xml:space="preserve"> slowly but </w:t>
      </w:r>
      <w:r w:rsidRPr="00557640">
        <w:rPr>
          <w:rFonts w:eastAsia="Calibri" w:cs="Times New Roman"/>
          <w:b/>
          <w:highlight w:val="green"/>
          <w:u w:val="single"/>
        </w:rPr>
        <w:t>steadily recovering</w:t>
      </w:r>
      <w:r w:rsidRPr="004A0CBB">
        <w:rPr>
          <w:rFonts w:eastAsia="Calibri" w:cs="Times New Roman"/>
          <w:sz w:val="16"/>
        </w:rPr>
        <w:t xml:space="preserve"> from the impact of the patent cliff being faced by several companies over the past few years. </w:t>
      </w:r>
      <w:r w:rsidRPr="004A0CBB">
        <w:rPr>
          <w:rFonts w:eastAsia="Calibri" w:cs="Times New Roman"/>
          <w:b/>
          <w:u w:val="single"/>
        </w:rPr>
        <w:t>The worst</w:t>
      </w:r>
      <w:r w:rsidRPr="004A0CBB">
        <w:rPr>
          <w:rFonts w:eastAsia="Calibri" w:cs="Times New Roman"/>
          <w:sz w:val="16"/>
        </w:rPr>
        <w:t xml:space="preserve"> of the patent cliff </w:t>
      </w:r>
      <w:r w:rsidRPr="004A0CBB">
        <w:rPr>
          <w:rFonts w:eastAsia="Calibri" w:cs="Times New Roman"/>
          <w:b/>
          <w:u w:val="single"/>
        </w:rPr>
        <w:t>is over</w:t>
      </w:r>
      <w:r w:rsidRPr="004A0CBB">
        <w:rPr>
          <w:rFonts w:eastAsia="Calibri" w:cs="Times New Roman"/>
          <w:sz w:val="16"/>
        </w:rPr>
        <w:t xml:space="preserve"> </w:t>
      </w:r>
      <w:r w:rsidRPr="004A0CBB">
        <w:rPr>
          <w:rFonts w:eastAsia="Calibri" w:cs="Times New Roman"/>
          <w:b/>
          <w:u w:val="single"/>
        </w:rPr>
        <w:t>and the</w:t>
      </w:r>
      <w:r w:rsidRPr="004A0CBB">
        <w:rPr>
          <w:rFonts w:eastAsia="Calibri" w:cs="Times New Roman"/>
          <w:sz w:val="16"/>
        </w:rPr>
        <w:t xml:space="preserve"> NYSE ARCA </w:t>
      </w:r>
      <w:r w:rsidRPr="00557640">
        <w:rPr>
          <w:rFonts w:eastAsia="Calibri" w:cs="Times New Roman"/>
          <w:b/>
          <w:highlight w:val="green"/>
          <w:u w:val="single"/>
        </w:rPr>
        <w:t>Pharmaceutical Index</w:t>
      </w:r>
      <w:r w:rsidRPr="004A0CBB">
        <w:rPr>
          <w:rFonts w:eastAsia="Calibri" w:cs="Times New Roman"/>
          <w:sz w:val="16"/>
        </w:rPr>
        <w:t xml:space="preserve"> (^DRG) </w:t>
      </w:r>
      <w:r w:rsidRPr="00557640">
        <w:rPr>
          <w:rFonts w:eastAsia="Calibri" w:cs="Times New Roman"/>
          <w:b/>
          <w:highlight w:val="green"/>
          <w:u w:val="single"/>
        </w:rPr>
        <w:t>is up 21.</w:t>
      </w:r>
      <w:r w:rsidRPr="00557640">
        <w:rPr>
          <w:rFonts w:eastAsia="Calibri" w:cs="Times New Roman"/>
          <w:sz w:val="16"/>
          <w:highlight w:val="green"/>
        </w:rPr>
        <w:t>4</w:t>
      </w:r>
      <w:r w:rsidRPr="00557640">
        <w:rPr>
          <w:rFonts w:eastAsia="Calibri" w:cs="Times New Roman"/>
          <w:b/>
          <w:highlight w:val="green"/>
          <w:u w:val="single"/>
        </w:rPr>
        <w:t>%</w:t>
      </w:r>
      <w:r w:rsidRPr="004A0CBB">
        <w:rPr>
          <w:rFonts w:eastAsia="Calibri" w:cs="Times New Roman"/>
          <w:sz w:val="16"/>
        </w:rPr>
        <w:t xml:space="preserve"> over the last year. So far in 2014, the index is up 6.9%. Several </w:t>
      </w:r>
      <w:r w:rsidRPr="00557640">
        <w:rPr>
          <w:rFonts w:eastAsia="Calibri" w:cs="Times New Roman"/>
          <w:b/>
          <w:highlight w:val="green"/>
          <w:u w:val="single"/>
        </w:rPr>
        <w:t>companies</w:t>
      </w:r>
      <w:r w:rsidRPr="004A0CBB">
        <w:rPr>
          <w:rFonts w:eastAsia="Calibri" w:cs="Times New Roman"/>
          <w:b/>
          <w:u w:val="single"/>
        </w:rPr>
        <w:t xml:space="preserve"> which had been struggling</w:t>
      </w:r>
      <w:r w:rsidRPr="004A0CBB">
        <w:rPr>
          <w:rFonts w:eastAsia="Calibri" w:cs="Times New Roman"/>
          <w:sz w:val="16"/>
        </w:rPr>
        <w:t xml:space="preserve"> to post growth in the face of genericization over the past few years </w:t>
      </w:r>
      <w:r w:rsidRPr="00557640">
        <w:rPr>
          <w:rFonts w:eastAsia="Calibri" w:cs="Times New Roman"/>
          <w:b/>
          <w:highlight w:val="green"/>
          <w:u w:val="single"/>
        </w:rPr>
        <w:t>are</w:t>
      </w:r>
      <w:r w:rsidRPr="004A0CBB">
        <w:rPr>
          <w:rFonts w:eastAsia="Calibri" w:cs="Times New Roman"/>
          <w:b/>
          <w:u w:val="single"/>
        </w:rPr>
        <w:t xml:space="preserve"> now </w:t>
      </w:r>
      <w:r w:rsidRPr="00557640">
        <w:rPr>
          <w:rFonts w:eastAsia="Calibri" w:cs="Times New Roman"/>
          <w:b/>
          <w:highlight w:val="green"/>
          <w:u w:val="single"/>
        </w:rPr>
        <w:t>on the recovery path</w:t>
      </w:r>
      <w:r w:rsidRPr="00557640">
        <w:rPr>
          <w:rFonts w:eastAsia="Calibri" w:cs="Times New Roman"/>
          <w:sz w:val="16"/>
          <w:highlight w:val="green"/>
        </w:rPr>
        <w:t>.</w:t>
      </w:r>
      <w:r w:rsidRPr="004A0CBB">
        <w:rPr>
          <w:rFonts w:eastAsia="Calibri" w:cs="Times New Roman"/>
          <w:sz w:val="16"/>
        </w:rPr>
        <w:t xml:space="preserve"> </w:t>
      </w:r>
      <w:r w:rsidRPr="00557640">
        <w:rPr>
          <w:rFonts w:eastAsia="Calibri" w:cs="Times New Roman"/>
          <w:b/>
          <w:highlight w:val="green"/>
          <w:u w:val="single"/>
        </w:rPr>
        <w:t>New products</w:t>
      </w:r>
      <w:r w:rsidRPr="004A0CBB">
        <w:rPr>
          <w:rFonts w:eastAsia="Calibri" w:cs="Times New Roman"/>
          <w:b/>
          <w:u w:val="single"/>
        </w:rPr>
        <w:t xml:space="preserve"> should</w:t>
      </w:r>
      <w:r w:rsidRPr="004A0CBB">
        <w:rPr>
          <w:rFonts w:eastAsia="Calibri" w:cs="Times New Roman"/>
          <w:sz w:val="16"/>
        </w:rPr>
        <w:t xml:space="preserve"> </w:t>
      </w:r>
      <w:r w:rsidRPr="00557640">
        <w:rPr>
          <w:rFonts w:eastAsia="Calibri" w:cs="Times New Roman"/>
          <w:sz w:val="16"/>
        </w:rPr>
        <w:t xml:space="preserve">start </w:t>
      </w:r>
      <w:r w:rsidRPr="00557640">
        <w:rPr>
          <w:rFonts w:eastAsia="Calibri" w:cs="Times New Roman"/>
          <w:b/>
          <w:highlight w:val="green"/>
          <w:u w:val="single"/>
        </w:rPr>
        <w:t>contribu</w:t>
      </w:r>
      <w:r w:rsidRPr="00557640">
        <w:rPr>
          <w:rFonts w:eastAsia="Calibri" w:cs="Times New Roman"/>
          <w:b/>
          <w:u w:val="single"/>
        </w:rPr>
        <w:t>ti</w:t>
      </w:r>
      <w:r w:rsidRPr="00557640">
        <w:rPr>
          <w:rFonts w:eastAsia="Calibri" w:cs="Times New Roman"/>
          <w:sz w:val="16"/>
        </w:rPr>
        <w:t>ng</w:t>
      </w:r>
      <w:r w:rsidRPr="004A0CBB">
        <w:rPr>
          <w:rFonts w:eastAsia="Calibri" w:cs="Times New Roman"/>
          <w:sz w:val="16"/>
        </w:rPr>
        <w:t xml:space="preserve"> </w:t>
      </w:r>
      <w:r w:rsidRPr="00557640">
        <w:rPr>
          <w:rFonts w:eastAsia="Calibri" w:cs="Times New Roman"/>
          <w:b/>
          <w:highlight w:val="green"/>
          <w:u w:val="single"/>
        </w:rPr>
        <w:t>significantly to results</w:t>
      </w:r>
      <w:r w:rsidRPr="004A0CBB">
        <w:rPr>
          <w:rFonts w:eastAsia="Calibri" w:cs="Times New Roman"/>
          <w:sz w:val="16"/>
        </w:rPr>
        <w:t xml:space="preserve">, and </w:t>
      </w:r>
      <w:r w:rsidRPr="004A0CBB">
        <w:rPr>
          <w:rFonts w:eastAsia="Calibri" w:cs="Times New Roman"/>
          <w:b/>
          <w:u w:val="single"/>
        </w:rPr>
        <w:t>increased pipeline visibility and appropriate utilization of cash should increase confidence in the sector</w:t>
      </w:r>
      <w:r w:rsidRPr="004A0CBB">
        <w:rPr>
          <w:rFonts w:eastAsia="Calibri" w:cs="Times New Roman"/>
          <w:sz w:val="16"/>
        </w:rPr>
        <w:t>. Products that lost exclusivity recently include Eli Lilly’s (</w:t>
      </w:r>
      <w:hyperlink r:id="rId135" w:history="1">
        <w:r w:rsidRPr="004A0CBB">
          <w:rPr>
            <w:rFonts w:eastAsia="Calibri" w:cs="Times New Roman"/>
            <w:sz w:val="16"/>
          </w:rPr>
          <w:t>LLY</w:t>
        </w:r>
      </w:hyperlink>
      <w:r w:rsidRPr="004A0CBB">
        <w:rPr>
          <w:rFonts w:eastAsia="Calibri" w:cs="Times New Roman"/>
          <w:sz w:val="16"/>
        </w:rPr>
        <w:t>) Cymbalta and Evista.AstraZeneca’s (</w:t>
      </w:r>
      <w:hyperlink r:id="rId136" w:history="1">
        <w:r w:rsidRPr="004A0CBB">
          <w:rPr>
            <w:rFonts w:eastAsia="Calibri" w:cs="Times New Roman"/>
            <w:sz w:val="16"/>
          </w:rPr>
          <w:t>AZN</w:t>
        </w:r>
      </w:hyperlink>
      <w:r w:rsidRPr="004A0CBB">
        <w:rPr>
          <w:rFonts w:eastAsia="Calibri" w:cs="Times New Roman"/>
          <w:sz w:val="16"/>
        </w:rPr>
        <w:t xml:space="preserve">) Nexium could also start facing generics from May 2014 in the U.S. where sales were $2.1 billion in 2013. Collaborations, Acquisitions and Restructuring The pharma sector witnessed major merger and acquisitions (M&amp;A) activity over the last couple of years. Going forward, we expect small bolt-on acquisitions to continue. In-licensing activities and collaborations for the development of pipeline candidates have also increased significantly. </w:t>
      </w:r>
      <w:r w:rsidRPr="004A0CBB">
        <w:rPr>
          <w:rFonts w:eastAsia="Calibri" w:cs="Times New Roman"/>
          <w:b/>
          <w:u w:val="single"/>
        </w:rPr>
        <w:t>Several pharma companies are focusing on in-licensing</w:t>
      </w:r>
      <w:r w:rsidRPr="004A0CBB">
        <w:rPr>
          <w:rFonts w:eastAsia="Calibri" w:cs="Times New Roman"/>
          <w:sz w:val="16"/>
        </w:rPr>
        <w:t xml:space="preserve"> mid-to-late stage </w:t>
      </w:r>
      <w:r w:rsidRPr="004A0CBB">
        <w:rPr>
          <w:rFonts w:eastAsia="Calibri" w:cs="Times New Roman"/>
          <w:b/>
          <w:u w:val="single"/>
        </w:rPr>
        <w:t>pipeline candidates that look promising</w:t>
      </w:r>
      <w:r w:rsidRPr="004A0CBB">
        <w:rPr>
          <w:rFonts w:eastAsia="Calibri" w:cs="Times New Roman"/>
          <w:sz w:val="16"/>
        </w:rPr>
        <w:t xml:space="preserve">, instead of developing a product from scratch, which involves a lot of funds and time. </w:t>
      </w:r>
      <w:r w:rsidRPr="00557640">
        <w:rPr>
          <w:rFonts w:eastAsia="Calibri" w:cs="Times New Roman"/>
          <w:b/>
          <w:highlight w:val="green"/>
          <w:u w:val="single"/>
        </w:rPr>
        <w:t>Small biotech companies are open to in-licensing activities</w:t>
      </w:r>
      <w:r w:rsidRPr="004A0CBB">
        <w:rPr>
          <w:rFonts w:eastAsia="Calibri" w:cs="Times New Roman"/>
          <w:sz w:val="16"/>
        </w:rPr>
        <w:t xml:space="preserve"> </w:t>
      </w:r>
      <w:r w:rsidRPr="004A0CBB">
        <w:rPr>
          <w:rFonts w:eastAsia="Calibri" w:cs="Times New Roman"/>
          <w:b/>
          <w:u w:val="single"/>
        </w:rPr>
        <w:t>and collaborations</w:t>
      </w:r>
      <w:r w:rsidRPr="004A0CBB">
        <w:rPr>
          <w:rFonts w:eastAsia="Calibri" w:cs="Times New Roman"/>
          <w:sz w:val="16"/>
        </w:rPr>
        <w:t>. Most of these companies find it challenging to raise cash, thereby making it difficult for them to survive and continue with the development of promising pipeline candidates. Therefore, it makes sense for them to seek deals with pharma companies that are sitting on huge piles of cash. We recommend biotech stocks that have attractive pipeline candidates or technology that can be used for the development of novel therapeutics. Therapeutic areas which could see a lot of in-licensing activity include immuno-oncology, oncology, central nervous system disorders, diabetes and immunology/inflammation. The hepatitis C virus (HCV) market is also attracting a lot of attention. Some recent acquisitions/deals include Shire’s (</w:t>
      </w:r>
      <w:hyperlink r:id="rId137" w:history="1">
        <w:r w:rsidRPr="004A0CBB">
          <w:rPr>
            <w:rFonts w:eastAsia="Calibri" w:cs="Times New Roman"/>
            <w:sz w:val="16"/>
          </w:rPr>
          <w:t>SHPG</w:t>
        </w:r>
      </w:hyperlink>
      <w:r w:rsidRPr="004A0CBB">
        <w:rPr>
          <w:rFonts w:eastAsia="Calibri" w:cs="Times New Roman"/>
          <w:sz w:val="16"/>
        </w:rPr>
        <w:t>) acquisition of ViroPharma,Salix’s (</w:t>
      </w:r>
      <w:hyperlink r:id="rId138" w:history="1">
        <w:r w:rsidRPr="004A0CBB">
          <w:rPr>
            <w:rFonts w:eastAsia="Calibri" w:cs="Times New Roman"/>
            <w:sz w:val="16"/>
          </w:rPr>
          <w:t>SLXP</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"http://www.zacks.com/registration/pfp/?ALERT=zrmodule&amp;ADID=ZACKS_PFP_TOP_ZRMODULE&amp;skip_rpt_name_check=skip_rpt_name_check&amp;t=SLXP"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acquisition of Santarus as well as the acquisition of Optimer Pharmaceuticals and Trius Therapeutics by Cubist Pharmaceuticals(</w:t>
      </w:r>
      <w:hyperlink r:id="rId139" w:history="1">
        <w:r w:rsidRPr="004A0CBB">
          <w:rPr>
            <w:rFonts w:eastAsia="Calibri" w:cs="Times New Roman"/>
            <w:sz w:val="16"/>
          </w:rPr>
          <w:t>CBST</w:t>
        </w:r>
      </w:hyperlink>
      <w:r w:rsidRPr="004A0CBB">
        <w:rPr>
          <w:rFonts w:eastAsia="Calibri" w:cs="Times New Roman"/>
          <w:sz w:val="16"/>
        </w:rPr>
        <w:t>) and that of Elan by Perrigo Company (</w:t>
      </w:r>
      <w:hyperlink r:id="rId140" w:history="1">
        <w:r w:rsidRPr="004A0CBB">
          <w:rPr>
            <w:rFonts w:eastAsia="Calibri" w:cs="Times New Roman"/>
            <w:sz w:val="16"/>
          </w:rPr>
          <w:t>PRGO</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"http://www.zacks.com/registration/pfp/?ALERT=zrmodule&amp;ADID=ZACKS_PFP_TOP_ZRMODULE&amp;skip_rpt_name_check=skip_rpt_name_check&amp;t=PRGO"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A major acquisition agreement was announced recently -- that of Forest Labs (</w:t>
      </w:r>
      <w:hyperlink r:id="rId141" w:history="1">
        <w:r w:rsidRPr="004A0CBB">
          <w:rPr>
            <w:rFonts w:eastAsia="Calibri" w:cs="Times New Roman"/>
            <w:sz w:val="16"/>
          </w:rPr>
          <w:t>FRX</w:t>
        </w:r>
      </w:hyperlink>
      <w:r w:rsidRPr="004A0CBB">
        <w:rPr>
          <w:rFonts w:eastAsia="Calibri" w:cs="Times New Roman"/>
          <w:sz w:val="16"/>
        </w:rPr>
        <w:t>) byActavis (</w:t>
      </w:r>
      <w:hyperlink r:id="rId142" w:history="1">
        <w:r w:rsidRPr="004A0CBB">
          <w:rPr>
            <w:rFonts w:eastAsia="Calibri" w:cs="Times New Roman"/>
            <w:sz w:val="16"/>
          </w:rPr>
          <w:t>ACT</w:t>
        </w:r>
      </w:hyperlink>
      <w:r w:rsidRPr="004A0CBB">
        <w:rPr>
          <w:rFonts w:eastAsia="Calibri" w:cs="Times New Roman"/>
          <w:sz w:val="16"/>
        </w:rPr>
        <w:t>). This deal shows the intention of generic companies to establish a strong position in the branded market. Another significant deal was the one signed between Celgene (</w:t>
      </w:r>
      <w:hyperlink r:id="rId143" w:history="1">
        <w:r w:rsidRPr="004A0CBB">
          <w:rPr>
            <w:rFonts w:eastAsia="Calibri" w:cs="Times New Roman"/>
            <w:sz w:val="16"/>
          </w:rPr>
          <w:t>CELG</w:t>
        </w:r>
      </w:hyperlink>
      <w:r w:rsidRPr="004A0CBB">
        <w:rPr>
          <w:rFonts w:eastAsia="Calibri" w:cs="Times New Roman"/>
          <w:sz w:val="16"/>
        </w:rPr>
        <w:t>) and OncoMed Pharmaceuticals (</w:t>
      </w:r>
      <w:hyperlink r:id="rId144" w:history="1">
        <w:r w:rsidRPr="004A0CBB">
          <w:rPr>
            <w:rFonts w:eastAsia="Calibri" w:cs="Times New Roman"/>
            <w:sz w:val="16"/>
          </w:rPr>
          <w:t>OMED</w:t>
        </w:r>
      </w:hyperlink>
      <w:r w:rsidRPr="004A0CBB">
        <w:rPr>
          <w:rFonts w:eastAsia="Calibri" w:cs="Times New Roman"/>
          <w:sz w:val="16"/>
        </w:rPr>
        <w:t xml:space="preserve"> - </w:t>
      </w:r>
      <w:r w:rsidR="00DA51D8">
        <w:fldChar w:fldCharType="begin"/>
      </w:r>
      <w:r w:rsidR="00DA51D8">
        <w:instrText xml:space="preserve"> HYPER</w:instrText>
      </w:r>
      <w:r w:rsidR="00DA51D8">
        <w:instrText xml:space="preserve">LINK "http://www.zacks.com/registration/pfp/?ALERT=zrmodule&amp;ADID=ZACKS_PFP_TOP_ZRMODULE&amp;skip_rpt_name_check=skip_rpt_name_check&amp;t=OMED" \t "_blank" \o "Snapshot Report" </w:instrText>
      </w:r>
      <w:r w:rsidR="00DA51D8">
        <w:fldChar w:fldCharType="separate"/>
      </w:r>
      <w:r w:rsidRPr="004A0CBB">
        <w:rPr>
          <w:rFonts w:eastAsia="Calibri" w:cs="Times New Roman"/>
          <w:sz w:val="16"/>
        </w:rPr>
        <w:t>Snapshot Report</w:t>
      </w:r>
      <w:r w:rsidR="00DA51D8">
        <w:rPr>
          <w:rFonts w:eastAsia="Calibri" w:cs="Times New Roman"/>
          <w:sz w:val="16"/>
        </w:rPr>
        <w:fldChar w:fldCharType="end"/>
      </w:r>
      <w:r w:rsidRPr="004A0CBB">
        <w:rPr>
          <w:rFonts w:eastAsia="Calibri" w:cs="Times New Roman"/>
          <w:sz w:val="16"/>
        </w:rPr>
        <w:t>) for the joint development and commercialization of up to six anti-cancer stem cell candidates from OncoMed's biologics pipeline. Another trend that we are seeing in recent months is the divestment of non-core business segments. Pfizer (</w:t>
      </w:r>
      <w:hyperlink r:id="rId145" w:history="1">
        <w:r w:rsidRPr="004A0CBB">
          <w:rPr>
            <w:rFonts w:eastAsia="Calibri" w:cs="Times New Roman"/>
            <w:sz w:val="16"/>
          </w:rPr>
          <w:t>PFE</w:t>
        </w:r>
      </w:hyperlink>
      <w:r w:rsidRPr="004A0CBB">
        <w:rPr>
          <w:rFonts w:eastAsia="Calibri" w:cs="Times New Roman"/>
          <w:sz w:val="16"/>
        </w:rPr>
        <w:t xml:space="preserve"> - </w:t>
      </w:r>
      <w:r w:rsidR="00DA51D8">
        <w:fldChar w:fldCharType="begin"/>
      </w:r>
      <w:r w:rsidR="00DA51D8">
        <w:instrText xml:space="preserve"> HYPERLINK "http://www.zacks</w:instrText>
      </w:r>
      <w:r w:rsidR="00DA51D8">
        <w:instrText xml:space="preserve">.com/registration/pfp/?ALERT=zrmodule&amp;ADID=ZACKS_PFP_TOP_ZRMODULE&amp;skip_rpt_name_check=skip_rpt_name_check&amp;t=PFE"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sold its Capsugel unit and its Nutrition business in Aug 2011 and Nov 2012, respectively. Pfizer then spun off its animal health business into a new company, Zoetis (</w:t>
      </w:r>
      <w:hyperlink r:id="rId146" w:history="1">
        <w:r w:rsidRPr="004A0CBB">
          <w:rPr>
            <w:rFonts w:eastAsia="Calibri" w:cs="Times New Roman"/>
            <w:sz w:val="16"/>
          </w:rPr>
          <w:t>ZTS</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"http://www.zacks.com/registration/pfp/?ALERT=zrmodule&amp;ADID=ZACKS_PFP_TOP_ZRMODULE&amp;skip_rpt_name_check=skip_rpt_</w:instrText>
      </w:r>
      <w:r w:rsidR="00DA51D8">
        <w:instrText xml:space="preserve">name_check&amp;t=ZTS"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Meanwhile, GlaxoSmithKline (</w:t>
      </w:r>
      <w:hyperlink r:id="rId147" w:history="1">
        <w:r w:rsidRPr="004A0CBB">
          <w:rPr>
            <w:rFonts w:eastAsia="Calibri" w:cs="Times New Roman"/>
            <w:sz w:val="16"/>
          </w:rPr>
          <w:t>GSK</w:t>
        </w:r>
      </w:hyperlink>
      <w:r w:rsidRPr="004A0CBB">
        <w:rPr>
          <w:rFonts w:eastAsia="Calibri" w:cs="Times New Roman"/>
          <w:sz w:val="16"/>
        </w:rPr>
        <w:t>) divested certain non-core brands from its Consumer Healthcare segment. In Aug 2011, AstraZeneca sold its Astra Tech business to DENTSPLY (</w:t>
      </w:r>
      <w:hyperlink r:id="rId148" w:history="1">
        <w:r w:rsidRPr="004A0CBB">
          <w:rPr>
            <w:rFonts w:eastAsia="Calibri" w:cs="Times New Roman"/>
            <w:sz w:val="16"/>
          </w:rPr>
          <w:t>XRAY</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"http://www.zacks.com/registration/pfp/?ALERT=zrmodule&amp;ADID=ZACKS_PFP_TOP_ZRMODULE&amp;skip_rpt_name_check=skip_rpt_name_check&amp;t=XRAY" \t "_blank" \o </w:instrText>
      </w:r>
      <w:r w:rsidR="00DA51D8">
        <w:instrText xml:space="preserve">"Analyst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The monetization of non-core assets will allow the pharma/biotech companies to focus on their areas of expertise. Abbott Labs (</w:t>
      </w:r>
      <w:hyperlink r:id="rId149" w:history="1">
        <w:r w:rsidRPr="004A0CBB">
          <w:rPr>
            <w:rFonts w:eastAsia="Calibri" w:cs="Times New Roman"/>
            <w:sz w:val="16"/>
          </w:rPr>
          <w:t>ABT</w:t>
        </w:r>
      </w:hyperlink>
      <w:r w:rsidRPr="004A0CBB">
        <w:rPr>
          <w:rFonts w:eastAsia="Calibri" w:cs="Times New Roman"/>
          <w:sz w:val="16"/>
        </w:rPr>
        <w:t>) split into two separate publicly traded companies; while one company deals in diversified medical products, the other, AbbVie (</w:t>
      </w:r>
      <w:hyperlink r:id="rId150" w:history="1">
        <w:r w:rsidRPr="004A0CBB">
          <w:rPr>
            <w:rFonts w:eastAsia="Calibri" w:cs="Times New Roman"/>
            <w:sz w:val="16"/>
          </w:rPr>
          <w:t>ABBV</w:t>
        </w:r>
      </w:hyperlink>
      <w:r w:rsidRPr="004A0CBB">
        <w:rPr>
          <w:rFonts w:eastAsia="Calibri" w:cs="Times New Roman"/>
          <w:sz w:val="16"/>
        </w:rPr>
        <w:t>), is focusing on research-based pharmaceuticals. Johnson &amp; Johnson (</w:t>
      </w:r>
      <w:hyperlink r:id="rId151" w:history="1">
        <w:r w:rsidRPr="004A0CBB">
          <w:rPr>
            <w:rFonts w:eastAsia="Calibri" w:cs="Times New Roman"/>
            <w:sz w:val="16"/>
          </w:rPr>
          <w:t>JNJ</w:t>
        </w:r>
      </w:hyperlink>
      <w:r w:rsidRPr="004A0CBB">
        <w:rPr>
          <w:rFonts w:eastAsia="Calibri" w:cs="Times New Roman"/>
          <w:sz w:val="16"/>
        </w:rPr>
        <w:t>) is also looking to divest its ortho-clinical diagnostics business. Vertex (</w:t>
      </w:r>
      <w:hyperlink r:id="rId152" w:history="1">
        <w:r w:rsidRPr="004A0CBB">
          <w:rPr>
            <w:rFonts w:eastAsia="Calibri" w:cs="Times New Roman"/>
            <w:sz w:val="16"/>
          </w:rPr>
          <w:t>VRTX</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w:instrText>
      </w:r>
      <w:r w:rsidR="00DA51D8">
        <w:instrText xml:space="preserve">_rpt_name_check=skip_rpt_name_check&amp;t=VRTX" \t "_blank" \o "Snapshot Report" </w:instrText>
      </w:r>
      <w:r w:rsidR="00DA51D8">
        <w:fldChar w:fldCharType="separate"/>
      </w:r>
      <w:r w:rsidRPr="004A0CBB">
        <w:rPr>
          <w:rFonts w:eastAsia="Calibri" w:cs="Times New Roman"/>
          <w:sz w:val="16"/>
        </w:rPr>
        <w:t>Snapshot Report</w:t>
      </w:r>
      <w:r w:rsidR="00DA51D8">
        <w:rPr>
          <w:rFonts w:eastAsia="Calibri" w:cs="Times New Roman"/>
          <w:sz w:val="16"/>
        </w:rPr>
        <w:fldChar w:fldCharType="end"/>
      </w:r>
      <w:r w:rsidRPr="004A0CBB">
        <w:rPr>
          <w:rFonts w:eastAsia="Calibri" w:cs="Times New Roman"/>
          <w:sz w:val="16"/>
        </w:rPr>
        <w:t xml:space="preserve">) monetized its Incivo-related royalties; the company can use the cash generated from this deal for its cystic fibrosis program. </w:t>
      </w:r>
      <w:r w:rsidRPr="00557640">
        <w:rPr>
          <w:rFonts w:eastAsia="Calibri" w:cs="Times New Roman"/>
          <w:b/>
          <w:highlight w:val="green"/>
          <w:u w:val="single"/>
        </w:rPr>
        <w:t>Restructuring activities are</w:t>
      </w:r>
      <w:r w:rsidRPr="004A0CBB">
        <w:rPr>
          <w:rFonts w:eastAsia="Calibri" w:cs="Times New Roman"/>
          <w:sz w:val="16"/>
        </w:rPr>
        <w:t xml:space="preserve"> also </w:t>
      </w:r>
      <w:r w:rsidRPr="00557640">
        <w:rPr>
          <w:rFonts w:eastAsia="Calibri" w:cs="Times New Roman"/>
          <w:b/>
          <w:highlight w:val="green"/>
          <w:u w:val="single"/>
        </w:rPr>
        <w:t>gaining momentum</w:t>
      </w:r>
      <w:r w:rsidRPr="004A0CBB">
        <w:rPr>
          <w:rFonts w:eastAsia="Calibri" w:cs="Times New Roman"/>
          <w:b/>
          <w:u w:val="single"/>
        </w:rPr>
        <w:t xml:space="preserve"> as large pharma companies are looking to cut costs and streamline their operations</w:t>
      </w:r>
      <w:r w:rsidRPr="004A0CBB">
        <w:rPr>
          <w:rFonts w:eastAsia="Calibri" w:cs="Times New Roman"/>
          <w:sz w:val="16"/>
        </w:rPr>
        <w:t>. Most of these companies are re-evaluating their pipelines and discontinuing programs which do not have a favorable risk-benefit profile. Some of the companies that announced restructuring plans include Merck (</w:t>
      </w:r>
      <w:hyperlink r:id="rId153" w:history="1">
        <w:r w:rsidRPr="004A0CBB">
          <w:rPr>
            <w:rFonts w:eastAsia="Calibri" w:cs="Times New Roman"/>
            <w:sz w:val="16"/>
          </w:rPr>
          <w:t>MRK</w:t>
        </w:r>
      </w:hyperlink>
      <w:r w:rsidRPr="004A0CBB">
        <w:rPr>
          <w:rFonts w:eastAsia="Calibri" w:cs="Times New Roman"/>
          <w:sz w:val="16"/>
        </w:rPr>
        <w:t>),Novartis (</w:t>
      </w:r>
      <w:hyperlink r:id="rId154" w:history="1">
        <w:r w:rsidRPr="004A0CBB">
          <w:rPr>
            <w:rFonts w:eastAsia="Calibri" w:cs="Times New Roman"/>
            <w:sz w:val="16"/>
          </w:rPr>
          <w:t>NVS</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w:instrText>
      </w:r>
      <w:r w:rsidR="00DA51D8">
        <w:instrText xml:space="preserve">DID=ZACKS_PFP_TOP_ZRMODULE&amp;skip_rpt_name_check=skip_rpt_name_check&amp;t=NVS" \t "_blank" \o "Snapshot Report" </w:instrText>
      </w:r>
      <w:r w:rsidR="00DA51D8">
        <w:fldChar w:fldCharType="separate"/>
      </w:r>
      <w:r w:rsidRPr="004A0CBB">
        <w:rPr>
          <w:rFonts w:eastAsia="Calibri" w:cs="Times New Roman"/>
          <w:sz w:val="16"/>
        </w:rPr>
        <w:t>Snapshot Report</w:t>
      </w:r>
      <w:r w:rsidR="00DA51D8">
        <w:rPr>
          <w:rFonts w:eastAsia="Calibri" w:cs="Times New Roman"/>
          <w:sz w:val="16"/>
        </w:rPr>
        <w:fldChar w:fldCharType="end"/>
      </w:r>
      <w:r w:rsidRPr="004A0CBB">
        <w:rPr>
          <w:rFonts w:eastAsia="Calibri" w:cs="Times New Roman"/>
          <w:sz w:val="16"/>
        </w:rPr>
        <w:t>), Eli Lilly, Shire and Sanofi (</w:t>
      </w:r>
      <w:hyperlink r:id="rId155" w:history="1">
        <w:r w:rsidRPr="004A0CBB">
          <w:rPr>
            <w:rFonts w:eastAsia="Calibri" w:cs="Times New Roman"/>
            <w:sz w:val="16"/>
          </w:rPr>
          <w:t>SNY</w:t>
        </w:r>
      </w:hyperlink>
      <w:r w:rsidRPr="004A0CBB">
        <w:rPr>
          <w:rFonts w:eastAsia="Calibri" w:cs="Times New Roman"/>
          <w:sz w:val="16"/>
        </w:rPr>
        <w:t xml:space="preserve"> - </w:t>
      </w:r>
      <w:r w:rsidR="00DA51D8">
        <w:fldChar w:fldCharType="begin"/>
      </w:r>
      <w:r w:rsidR="00DA51D8">
        <w:instrText xml:space="preserve"> HYPERLINK "http://www.zacks.com/registr</w:instrText>
      </w:r>
      <w:r w:rsidR="00DA51D8">
        <w:instrText xml:space="preserve">ation/pfp/?ALERT=zrmodule&amp;ADID=ZACKS_PFP_TOP_ZRMODULE&amp;skip_rpt_name_check=skip_rpt_name_check&amp;t=SNY"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Destination Ireland Of late, several companies have been looking towards Ireland for acquisitions. The latest company to join the Irish club is Horizon Pharma (</w:t>
      </w:r>
      <w:hyperlink r:id="rId156" w:history="1">
        <w:r w:rsidRPr="004A0CBB">
          <w:rPr>
            <w:rFonts w:eastAsia="Calibri" w:cs="Times New Roman"/>
            <w:sz w:val="16"/>
          </w:rPr>
          <w:t>HZNP</w:t>
        </w:r>
      </w:hyperlink>
      <w:r w:rsidRPr="004A0CBB">
        <w:rPr>
          <w:rFonts w:eastAsia="Calibri" w:cs="Times New Roman"/>
          <w:sz w:val="16"/>
        </w:rPr>
        <w:t xml:space="preserve">) which is doing a reverse merger with Dublin-based Vidara. Tax benefits are a major attraction for such deals. Other such recent acquisitions include that of Warner Chilcott by Actavis and Elan by Perrigo. Emerging Markets and Biosimilars Another trend seen in </w:t>
      </w:r>
      <w:r w:rsidRPr="004A0CBB">
        <w:rPr>
          <w:rFonts w:eastAsia="Calibri" w:cs="Times New Roman"/>
          <w:b/>
          <w:u w:val="single"/>
        </w:rPr>
        <w:t>the</w:t>
      </w:r>
      <w:r w:rsidRPr="004A0CBB">
        <w:rPr>
          <w:rFonts w:eastAsia="Calibri" w:cs="Times New Roman"/>
          <w:sz w:val="16"/>
        </w:rPr>
        <w:t xml:space="preserve"> </w:t>
      </w:r>
      <w:r w:rsidRPr="004A0CBB">
        <w:rPr>
          <w:rFonts w:eastAsia="Calibri" w:cs="Times New Roman"/>
          <w:b/>
          <w:u w:val="single"/>
        </w:rPr>
        <w:t>pharmaceutical sector is a focus on emerging markets</w:t>
      </w:r>
      <w:r w:rsidRPr="004A0CBB">
        <w:rPr>
          <w:rFonts w:eastAsia="Calibri" w:cs="Times New Roman"/>
          <w:sz w:val="16"/>
        </w:rPr>
        <w:t>. Companies like Mylan (</w:t>
      </w:r>
      <w:hyperlink r:id="rId157" w:history="1">
        <w:r w:rsidRPr="004A0CBB">
          <w:rPr>
            <w:rFonts w:eastAsia="Calibri" w:cs="Times New Roman"/>
            <w:sz w:val="16"/>
          </w:rPr>
          <w:t>MYL</w:t>
        </w:r>
      </w:hyperlink>
      <w:r w:rsidRPr="004A0CBB">
        <w:rPr>
          <w:rFonts w:eastAsia="Calibri" w:cs="Times New Roman"/>
          <w:sz w:val="16"/>
        </w:rPr>
        <w:t xml:space="preserve"> - </w:t>
      </w:r>
      <w:r w:rsidR="00DA51D8">
        <w:fldChar w:fldCharType="begin"/>
      </w:r>
      <w:r w:rsidR="00DA51D8">
        <w:instrText xml:space="preserve"> HYPERLINK "http://www.zacks.com/registration/pfp/?ALERT=zrmodule&amp;ADID=ZACKS_PFP_TOP_ZRMODULE&amp;skip_rpt_name_check=skip_rpt_name_check&amp;t=MYL" \t "_blank" \o "Analyst Report" </w:instrText>
      </w:r>
      <w:r w:rsidR="00DA51D8">
        <w:fldChar w:fldCharType="separate"/>
      </w:r>
      <w:r w:rsidRPr="004A0CBB">
        <w:rPr>
          <w:rFonts w:eastAsia="Calibri" w:cs="Times New Roman"/>
          <w:sz w:val="16"/>
        </w:rPr>
        <w:t>Analyst Report</w:t>
      </w:r>
      <w:r w:rsidR="00DA51D8">
        <w:rPr>
          <w:rFonts w:eastAsia="Calibri" w:cs="Times New Roman"/>
          <w:sz w:val="16"/>
        </w:rPr>
        <w:fldChar w:fldCharType="end"/>
      </w:r>
      <w:r w:rsidRPr="004A0CBB">
        <w:rPr>
          <w:rFonts w:eastAsia="Calibri" w:cs="Times New Roman"/>
          <w:sz w:val="16"/>
        </w:rPr>
        <w:t xml:space="preserve">), Pfizer, Merck, Eli Lilly, Glaxo and Sanofi are all looking to expand their presence in India, China, Brazil and other emerging markets. Until recently, most of the commercialization efforts were focused on the U.S. -- the largest pharmaceutical market -- along with Europe and Japan. </w:t>
      </w:r>
      <w:r w:rsidRPr="004A0CBB">
        <w:rPr>
          <w:rFonts w:eastAsia="Calibri" w:cs="Times New Roman"/>
          <w:b/>
          <w:u w:val="single"/>
        </w:rPr>
        <w:t>Emerging markets are</w:t>
      </w:r>
      <w:r w:rsidRPr="004A0CBB">
        <w:rPr>
          <w:rFonts w:eastAsia="Calibri" w:cs="Times New Roman"/>
          <w:sz w:val="16"/>
        </w:rPr>
        <w:t xml:space="preserve"> slowly and steadily </w:t>
      </w:r>
      <w:r w:rsidRPr="004A0CBB">
        <w:rPr>
          <w:rFonts w:eastAsia="Calibri" w:cs="Times New Roman"/>
          <w:b/>
          <w:u w:val="single"/>
        </w:rPr>
        <w:t>gaining more importance</w:t>
      </w:r>
      <w:r w:rsidRPr="004A0CBB">
        <w:rPr>
          <w:rFonts w:eastAsia="Calibri" w:cs="Times New Roman"/>
          <w:sz w:val="16"/>
        </w:rPr>
        <w:t xml:space="preserve">, and several companies are now shifting their focus to these areas. However, while higher demand for medicines, government initiatives for healthcare, </w:t>
      </w:r>
      <w:r w:rsidRPr="00557640">
        <w:rPr>
          <w:rFonts w:eastAsia="Calibri" w:cs="Times New Roman"/>
          <w:b/>
          <w:highlight w:val="green"/>
          <w:u w:val="single"/>
        </w:rPr>
        <w:t>new patient population and increasing use</w:t>
      </w:r>
      <w:r w:rsidRPr="004A0CBB">
        <w:rPr>
          <w:rFonts w:eastAsia="Calibri" w:cs="Times New Roman"/>
          <w:sz w:val="16"/>
        </w:rPr>
        <w:t xml:space="preserve"> of </w:t>
      </w:r>
      <w:r w:rsidRPr="00557640">
        <w:rPr>
          <w:rFonts w:eastAsia="Calibri" w:cs="Times New Roman"/>
          <w:sz w:val="16"/>
        </w:rPr>
        <w:t xml:space="preserve">generics </w:t>
      </w:r>
      <w:r w:rsidRPr="00557640">
        <w:rPr>
          <w:rFonts w:eastAsia="Calibri" w:cs="Times New Roman"/>
          <w:b/>
          <w:highlight w:val="green"/>
          <w:u w:val="single"/>
        </w:rPr>
        <w:t>should help drive demand</w:t>
      </w:r>
      <w:r w:rsidRPr="004A0CBB">
        <w:rPr>
          <w:rFonts w:eastAsia="Calibri" w:cs="Times New Roman"/>
          <w:sz w:val="16"/>
        </w:rPr>
        <w:t>, we point out that emerging markets are also not immune to genericization. Moreover, investigations into bribery charges in China could put a lid on near-term growth. Meanwhile, growth in Europe will continue to be pressurized by austerity and cost-containment measures. We are also seeing several companies entering into deals for the development of biosimilars, generic versions of biologics. Companies like Merck, Amgen, Biogen(</w:t>
      </w:r>
      <w:hyperlink r:id="rId158" w:history="1">
        <w:r w:rsidRPr="004A0CBB">
          <w:rPr>
            <w:rFonts w:eastAsia="Calibri" w:cs="Times New Roman"/>
            <w:sz w:val="16"/>
          </w:rPr>
          <w:t>BIIB</w:t>
        </w:r>
      </w:hyperlink>
      <w:r w:rsidRPr="004A0CBB">
        <w:rPr>
          <w:rFonts w:eastAsia="Calibri" w:cs="Times New Roman"/>
          <w:sz w:val="16"/>
        </w:rPr>
        <w:t xml:space="preserve">) and Actavis are all targeting the highly lucrative biosimilars market. 4Q Earnings All companies falling under the Medical sector have reported fourth quarter and full year 2013 results. While earnings-beat and revenue-beat ratios (percentage of companies coming out with positive surprises) were pretty impressive, growth ratios were modest. Fourth quarter results were characterized by currency headwinds as well as the impact of generics. Fourth quarter 2013 earnings "beat ratio" was 74.0% while the revenue "beat ratio" was 76.0%. Total earnings for this sector were up 1.1%, compared to 0.2% recorded in the third quarter of 2013. Total revenues moved up 5.3% in the quarter versus 5.8% growth in the third quarter of 2013. Looking at the consensus earnings expectations for the first quarter, earnings are expected to decline 3.3%. Tough challenges for some companies, negative currency movement and a few patent expirees will affect first quarter growth. However, growth should pick up from the second quarter for which 1.6% earnings growth is expected. Overall, 2014 earnings are expected to grow 6.5%. For a detailed look at the earnings outlook for the Medical and other sectors, please check our </w:t>
      </w:r>
      <w:hyperlink r:id="rId159" w:history="1">
        <w:r w:rsidRPr="004A0CBB">
          <w:rPr>
            <w:rFonts w:eastAsia="Calibri" w:cs="Times New Roman"/>
            <w:sz w:val="16"/>
          </w:rPr>
          <w:t>Zacks Earnings Trends</w:t>
        </w:r>
      </w:hyperlink>
      <w:r w:rsidRPr="004A0CBB">
        <w:rPr>
          <w:rFonts w:eastAsia="Calibri" w:cs="Times New Roman"/>
          <w:sz w:val="16"/>
        </w:rPr>
        <w:t>report. Focus on New Products 2013 saw the FDA approving 27 novel medicines, about one-third (33%) of which were identified by the FDA as “First-in-Class,” meaning they use a new and unique mechanism of action for treating a medical condition. These include drugs like Invokana (type II diabetes), Kadcyla (HER2-positive late-stage breast cancer), Sovaldi (an interferon-free oral treatment for some patients with chronic hepatitis C) and Mekinist (metastatic melanoma). Yet another one-third of the approved drugs fall under the rare or “orphan” disease category that affects 200,000 or fewer Americans. These include Imbruvica (mantle cell lymphoma), Gazyva (chronic lymphocytic leukemia), Kynamro (homozygous familial hypercholesterolemia) and Adempas and Opsumit (both for pulmonary arterial hypertension). Three of the approved drugs – Gazyva, Imbruvica and Sovaldi – had breakthrough therapy designation. Breakthrough status, a new designation that became effective after Jul 9, 2012, is designed to cut short the development time of promising new treatments. Some important products approved in 2013 include: Drugs like Tecfidera, Sovaldi and Imbruvica represent strong commercial potential. So far in 2014, drugs that have gained approval include AstraZeneca’s Myalept (complications of leptin deficiency) and Farxiga (type II diabetes), Chelsea Therapeutics’ (</w:t>
      </w:r>
      <w:hyperlink r:id="rId160" w:history="1">
        <w:r w:rsidRPr="004A0CBB">
          <w:rPr>
            <w:rFonts w:eastAsia="Calibri" w:cs="Times New Roman"/>
            <w:sz w:val="16"/>
          </w:rPr>
          <w:t>CHTP</w:t>
        </w:r>
      </w:hyperlink>
      <w:r w:rsidRPr="004A0CBB">
        <w:rPr>
          <w:rFonts w:eastAsia="Calibri" w:cs="Times New Roman"/>
          <w:sz w:val="16"/>
        </w:rPr>
        <w:t>) Northera (to treat neurogenic orthostatic hypotension),BioMarin’s (</w:t>
      </w:r>
      <w:hyperlink r:id="rId161" w:history="1">
        <w:r w:rsidRPr="004A0CBB">
          <w:rPr>
            <w:rFonts w:eastAsia="Calibri" w:cs="Times New Roman"/>
            <w:sz w:val="16"/>
          </w:rPr>
          <w:t>BMRN</w:t>
        </w:r>
      </w:hyperlink>
      <w:r w:rsidRPr="004A0CBB">
        <w:rPr>
          <w:rFonts w:eastAsia="Calibri" w:cs="Times New Roman"/>
          <w:sz w:val="16"/>
        </w:rPr>
        <w:t>) Vimizim (Morquio A syndrome) and Vanda Pharma’s Hetlioz (non-24- hour sleep-wake disorder). Upcoming events include FDA advisory panel review of the regulatory application forMannKind’s (</w:t>
      </w:r>
      <w:hyperlink r:id="rId162" w:history="1">
        <w:r w:rsidRPr="004A0CBB">
          <w:rPr>
            <w:rFonts w:eastAsia="Calibri" w:cs="Times New Roman"/>
            <w:sz w:val="16"/>
          </w:rPr>
          <w:t>MNKD</w:t>
        </w:r>
      </w:hyperlink>
      <w:r w:rsidRPr="004A0CBB">
        <w:rPr>
          <w:rFonts w:eastAsia="Calibri" w:cs="Times New Roman"/>
          <w:sz w:val="16"/>
        </w:rPr>
        <w:t xml:space="preserve">) experimental diabetes treatment, Afrezza. April should be an active month with the agency expected to deliver a response on the approvability of several experimental drugs including Afrezza, Glaxo’s Eperzan (type II diabetes) and Arzerra (CLL). Zacks Industry Rank Within the Zacks Industry classification, pharma and biotech are broadly grouped into the Medical sector (one of 16 Zacks sectors) and further sub-divided into four industries at the expanded level: large-cap pharma, med-biomed/gene, med-drugs and med-generic drugs. We rank all the 260-plus industries in the 16 Zacks sectors based on the earnings outlook and fundamental strength of the constituent companies in each industry. To learn more, visit: </w:t>
      </w:r>
      <w:hyperlink r:id="rId163" w:history="1">
        <w:r w:rsidRPr="004A0CBB">
          <w:rPr>
            <w:rFonts w:eastAsia="Calibri" w:cs="Times New Roman"/>
            <w:sz w:val="16"/>
          </w:rPr>
          <w:t>About Zacks Industry Rank</w:t>
        </w:r>
      </w:hyperlink>
      <w:r w:rsidRPr="004A0CBB">
        <w:rPr>
          <w:rFonts w:eastAsia="Calibri" w:cs="Times New Roman"/>
          <w:sz w:val="16"/>
        </w:rPr>
        <w:t xml:space="preserve">. As a point of reference, the outlook for industries with Zacks Industry Rank #88 and lower is ‘Positive,’ between #89 and #176 is ‘Neutral’ and #177 and higher is ‘Negative.’ The Zacks Industry Rank for large-cap pharma is #225, med-biomed/gene is #69, med-drugs is #84, while the med-generic drugs is #8. Analyzing the Zacks Industry Rank for different medical segments, it is obvious that the outlook is Positive for med-drugs, med-biomed/gene and med-generic drugs and Negative for large-cap pharma stocks. OPPORTUNITIES While several companies will continue to face challenges like EU austerity measures and genericization, </w:t>
      </w:r>
      <w:r w:rsidRPr="004A0CBB">
        <w:rPr>
          <w:rFonts w:eastAsia="Calibri" w:cs="Times New Roman"/>
          <w:b/>
          <w:u w:val="single"/>
        </w:rPr>
        <w:t>the pharma industry is out of the worst of its genericization</w:t>
      </w:r>
      <w:r w:rsidRPr="004A0CBB">
        <w:rPr>
          <w:rFonts w:eastAsia="Calibri" w:cs="Times New Roman"/>
          <w:sz w:val="16"/>
        </w:rPr>
        <w:t xml:space="preserve"> phase. </w:t>
      </w:r>
      <w:r w:rsidRPr="00557640">
        <w:rPr>
          <w:rFonts w:eastAsia="Calibri" w:cs="Times New Roman"/>
          <w:b/>
          <w:highlight w:val="green"/>
          <w:u w:val="single"/>
        </w:rPr>
        <w:t>Many companies</w:t>
      </w:r>
      <w:r w:rsidRPr="004A0CBB">
        <w:rPr>
          <w:rFonts w:eastAsia="Calibri" w:cs="Times New Roman"/>
          <w:sz w:val="16"/>
        </w:rPr>
        <w:t xml:space="preserve"> which had faced generic headwinds in the last couple of years should </w:t>
      </w:r>
      <w:r w:rsidRPr="00557640">
        <w:rPr>
          <w:rFonts w:eastAsia="Calibri" w:cs="Times New Roman"/>
          <w:b/>
          <w:highlight w:val="green"/>
          <w:u w:val="single"/>
        </w:rPr>
        <w:t>continue to see a sustained improvement in results</w:t>
      </w:r>
      <w:r w:rsidRPr="004A0CBB">
        <w:rPr>
          <w:rFonts w:eastAsia="Calibri" w:cs="Times New Roman"/>
          <w:sz w:val="16"/>
        </w:rPr>
        <w:t xml:space="preserve"> this year. </w:t>
      </w:r>
      <w:r w:rsidRPr="004A0CBB">
        <w:rPr>
          <w:rFonts w:eastAsia="Calibri" w:cs="Times New Roman"/>
          <w:b/>
          <w:u w:val="single"/>
        </w:rPr>
        <w:t>Cost-cutting, downsizing, streamlining of the pipeline, growth in emerging markets and new product launches should support growth</w:t>
      </w:r>
      <w:r w:rsidRPr="004A0CBB">
        <w:rPr>
          <w:rFonts w:eastAsia="Calibri" w:cs="Times New Roman"/>
          <w:sz w:val="16"/>
        </w:rPr>
        <w:t>. Among pharma stocks, Shire, a Zacks Rank #1 (Strong Buy) stock, looks well-positioned for growth with the company expanding its product portfolio and pipeline through the acquisition of ViroPharma. Horizon Pharma, a Zacks Rank #2 (Buy) stock, also seems on the right path with the company announcing its plans to acquire Ireland-based Vidara. In the biotech space, we are positive on Biogen. Tecfidera, the company’s recently launched oral multiple sclerosis drug, is off to a strong start with the product delivering sales of $876 million (as of Dec 31, 2013) since its launch in early April 2013. While Tecfidera has gained the top spot in the oral multiple sclerosis market in the U.S., Avonex and Tysabri should continue contributing significantly to sales. Tecfidera gained EU approval recently. Biogen is also progressing with its hemophilia pipeline. We are also positive on Amgen (</w:t>
      </w:r>
      <w:hyperlink r:id="rId164" w:history="1">
        <w:r w:rsidRPr="004A0CBB">
          <w:rPr>
            <w:rFonts w:eastAsia="Calibri" w:cs="Times New Roman"/>
            <w:sz w:val="16"/>
          </w:rPr>
          <w:t>AMGN</w:t>
        </w:r>
      </w:hyperlink>
      <w:r w:rsidRPr="004A0CBB">
        <w:rPr>
          <w:rFonts w:eastAsia="Calibri" w:cs="Times New Roman"/>
          <w:sz w:val="16"/>
        </w:rPr>
        <w:t>). Amgen should be able to deliver on its long-term strategy based on expansion in key markets, launch of new manufacturing technologies, and pipeline development. Enbrel should continue performing well. Amgen’s late-stage pipeline is also moving along. While Amgen is a Zacks Rank #2 stock, Biogen is a Zacks Rank #3 (Hold) stock. Gilead, a Zacks Rank #1 stock, continues to do well in the HIV segment and has a potential blockbuster in its portfolio in the form of HCV treatment, Sovaldi. Among generic companies, Actavis looks well-positioned. Actavis is slowly and steadily building its position in the branded market through acquisitions (Actavis Group, Warner Chilcott and the upcoming acquisition of Forest). With fewer major patent expiries slated to occur in the next few years, we are encouraged by Actavis’ focus on building its branded and biosimilars pipeline. The company carries a Zacks Rank #2.</w:t>
      </w:r>
    </w:p>
    <w:p w:rsidR="00984FEB" w:rsidRPr="004A0CBB" w:rsidRDefault="00984FEB" w:rsidP="00984FEB">
      <w:pPr>
        <w:rPr>
          <w:rFonts w:eastAsia="Calibri" w:cs="Times New Roman"/>
          <w:sz w:val="16"/>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Pharmaceutical industry resilient</w:t>
      </w:r>
    </w:p>
    <w:p w:rsidR="00984FEB" w:rsidRPr="004A0CBB" w:rsidRDefault="00984FEB" w:rsidP="00984FEB">
      <w:pPr>
        <w:rPr>
          <w:rFonts w:eastAsia="Calibri" w:cs="Times New Roman"/>
        </w:rPr>
      </w:pPr>
      <w:r w:rsidRPr="004A0CBB">
        <w:rPr>
          <w:rFonts w:eastAsia="Calibri" w:cs="Times New Roman"/>
          <w:b/>
          <w:bCs/>
        </w:rPr>
        <w:t>Americas Pharma 2008</w:t>
      </w:r>
      <w:r w:rsidRPr="004A0CBB">
        <w:rPr>
          <w:rFonts w:eastAsia="Calibri" w:cs="Times New Roman"/>
          <w:sz w:val="18"/>
        </w:rPr>
        <w:t xml:space="preserve"> </w:t>
      </w:r>
      <w:r w:rsidRPr="004A0CBB">
        <w:rPr>
          <w:rFonts w:eastAsia="Calibri" w:cs="Times New Roman"/>
          <w:sz w:val="16"/>
        </w:rPr>
        <w:t>(Americas Pharma, pharmaceutical research group, 2008. “Pharmaceuticals Remain Resilient In Economic Crisis”, 11-1, Lexis)//NR</w:t>
      </w:r>
    </w:p>
    <w:p w:rsidR="00984FEB" w:rsidRDefault="00984FEB" w:rsidP="00984FEB">
      <w:pPr>
        <w:rPr>
          <w:rFonts w:eastAsia="Calibri" w:cs="Times New Roman"/>
          <w:sz w:val="16"/>
        </w:rPr>
      </w:pPr>
      <w:r w:rsidRPr="004A0CBB">
        <w:rPr>
          <w:rFonts w:eastAsia="Calibri" w:cs="Times New Roman"/>
          <w:sz w:val="16"/>
        </w:rPr>
        <w:t xml:space="preserve">It has been the BMI Pharmaceuticals and Healthcare team's long-held view that </w:t>
      </w:r>
      <w:r w:rsidRPr="00557640">
        <w:rPr>
          <w:rFonts w:eastAsia="Calibri" w:cs="Times New Roman"/>
          <w:bCs/>
          <w:szCs w:val="26"/>
          <w:highlight w:val="green"/>
          <w:u w:val="single"/>
        </w:rPr>
        <w:t>the pharmaceutical industry should remain resilient to a financial crisis</w:t>
      </w:r>
      <w:r w:rsidRPr="004A0CBB">
        <w:rPr>
          <w:rFonts w:eastAsia="Calibri" w:cs="Times New Roman"/>
          <w:sz w:val="16"/>
        </w:rPr>
        <w:t xml:space="preserve">. </w:t>
      </w:r>
      <w:r w:rsidRPr="004A0CBB">
        <w:rPr>
          <w:rFonts w:eastAsia="Calibri" w:cs="Times New Roman"/>
          <w:bCs/>
          <w:szCs w:val="26"/>
          <w:u w:val="single"/>
        </w:rPr>
        <w:t>This</w:t>
      </w:r>
      <w:r w:rsidRPr="004A0CBB">
        <w:rPr>
          <w:rFonts w:eastAsia="Calibri" w:cs="Times New Roman"/>
          <w:sz w:val="16"/>
        </w:rPr>
        <w:t xml:space="preserve"> belief </w:t>
      </w:r>
      <w:r w:rsidRPr="004A0CBB">
        <w:rPr>
          <w:rFonts w:eastAsia="Calibri" w:cs="Times New Roman"/>
          <w:bCs/>
          <w:szCs w:val="26"/>
          <w:u w:val="single"/>
        </w:rPr>
        <w:t>remains underpinned by wider investor sentiment</w:t>
      </w:r>
      <w:r w:rsidRPr="004A0CBB">
        <w:rPr>
          <w:rFonts w:eastAsia="Calibri" w:cs="Times New Roman"/>
          <w:sz w:val="16"/>
        </w:rPr>
        <w:t xml:space="preserve">. Even including the challenged health insurance sector, the S&amp;P Health Care Index is seeing smaller loses than other industries. The Health Care Index fell by 31% over the year to October 10. Putting this in context, telecoms stocks are down 46%, energy stocks are down 44% and financial stocks are down 50%. While the economic crisis has now widened beyond its credit crunch catalyst, the ability to raise finance remains at the root of the problems faced by the global economy. In this regard, the pharmaceutical industry also remains in good shape. </w:t>
      </w:r>
      <w:r w:rsidRPr="00557640">
        <w:rPr>
          <w:rFonts w:eastAsia="Calibri" w:cs="Times New Roman"/>
          <w:bCs/>
          <w:szCs w:val="26"/>
          <w:highlight w:val="green"/>
          <w:u w:val="single"/>
        </w:rPr>
        <w:t>Drugmakers have reputations for sitting on</w:t>
      </w:r>
      <w:r w:rsidRPr="00557640">
        <w:rPr>
          <w:rFonts w:eastAsia="Calibri" w:cs="Times New Roman"/>
          <w:sz w:val="16"/>
          <w:highlight w:val="green"/>
        </w:rPr>
        <w:t xml:space="preserve"> </w:t>
      </w:r>
      <w:r w:rsidRPr="00557640">
        <w:rPr>
          <w:rFonts w:eastAsia="Calibri" w:cs="Times New Roman"/>
          <w:b/>
          <w:bCs/>
          <w:szCs w:val="26"/>
          <w:highlight w:val="green"/>
          <w:u w:val="single"/>
        </w:rPr>
        <w:t>war chests of cash</w:t>
      </w:r>
      <w:r w:rsidRPr="00557640">
        <w:rPr>
          <w:rFonts w:eastAsia="Calibri" w:cs="Times New Roman"/>
          <w:sz w:val="16"/>
          <w:highlight w:val="green"/>
        </w:rPr>
        <w:t xml:space="preserve">, </w:t>
      </w:r>
      <w:r w:rsidRPr="00557640">
        <w:rPr>
          <w:rFonts w:eastAsia="Calibri" w:cs="Times New Roman"/>
          <w:bCs/>
          <w:szCs w:val="26"/>
          <w:highlight w:val="green"/>
          <w:u w:val="single"/>
        </w:rPr>
        <w:t>making them less reliant on equity markets</w:t>
      </w:r>
      <w:r w:rsidRPr="004A0CBB">
        <w:rPr>
          <w:rFonts w:eastAsia="Calibri" w:cs="Times New Roman"/>
          <w:bCs/>
          <w:szCs w:val="26"/>
          <w:u w:val="single"/>
        </w:rPr>
        <w:t xml:space="preserve"> for finance</w:t>
      </w:r>
      <w:r w:rsidRPr="004A0CBB">
        <w:rPr>
          <w:rFonts w:eastAsia="Calibri" w:cs="Times New Roman"/>
          <w:sz w:val="16"/>
        </w:rPr>
        <w:t>. Yet, even those that do need to go to the markets for capital are finding a relatively warm reception - with the inelastic demand for pharmaceuticals meaning that the industry functions relatively independently of the wider economy.</w:t>
      </w:r>
    </w:p>
    <w:p w:rsidR="00984FEB" w:rsidRDefault="00984FEB" w:rsidP="00984FEB">
      <w:pPr>
        <w:rPr>
          <w:rFonts w:eastAsia="Calibri" w:cs="Times New Roman"/>
          <w:sz w:val="16"/>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Recent biotech advances take out the need for the aff- diseases are being cured and medicine is being developed at an exponential rate</w:t>
      </w:r>
    </w:p>
    <w:p w:rsidR="00984FEB" w:rsidRPr="004A0CBB" w:rsidRDefault="00984FEB" w:rsidP="00984FEB">
      <w:pPr>
        <w:rPr>
          <w:rFonts w:eastAsia="Calibri" w:cs="Times New Roman"/>
          <w:sz w:val="16"/>
        </w:rPr>
      </w:pPr>
      <w:r w:rsidRPr="004A0CBB">
        <w:rPr>
          <w:rFonts w:eastAsia="Calibri" w:cs="Times New Roman"/>
          <w:b/>
        </w:rPr>
        <w:t>Market Watch 2013</w:t>
      </w:r>
      <w:r w:rsidRPr="004A0CBB">
        <w:rPr>
          <w:rFonts w:eastAsia="Calibri" w:cs="Times New Roman"/>
        </w:rPr>
        <w:t xml:space="preserve"> </w:t>
      </w:r>
      <w:r w:rsidRPr="004A0CBB">
        <w:rPr>
          <w:rFonts w:eastAsia="Calibri" w:cs="Times New Roman"/>
          <w:sz w:val="16"/>
        </w:rPr>
        <w:t>(Market Watch, segment of the Wall Street Journal that reports on recent trend in the economy, November 7, 2013. “The global revolution in biotechnology and the impact of regenerative Medicine.” http://www.marketwatch.com/story/the-global-revolution-in-biotechnology-and-the-impact-of-regenerative-medicine-2013-11-07)//NR</w:t>
      </w:r>
    </w:p>
    <w:p w:rsidR="00984FEB" w:rsidRPr="004A0CBB" w:rsidRDefault="00984FEB" w:rsidP="00984FEB">
      <w:pPr>
        <w:rPr>
          <w:rFonts w:eastAsia="Calibri" w:cs="Times New Roman"/>
          <w:sz w:val="16"/>
        </w:rPr>
      </w:pPr>
      <w:r w:rsidRPr="004A0CBB">
        <w:rPr>
          <w:rFonts w:eastAsia="Calibri" w:cs="Times New Roman"/>
          <w:sz w:val="16"/>
        </w:rPr>
        <w:t>Nov 07, 2013 (ACCESSWIRE via COMTEX) -- "</w:t>
      </w:r>
      <w:r w:rsidRPr="00557640">
        <w:rPr>
          <w:rFonts w:eastAsia="Calibri" w:cs="Times New Roman"/>
          <w:b/>
          <w:iCs/>
          <w:highlight w:val="green"/>
          <w:u w:val="single"/>
          <w:bdr w:val="single" w:sz="18" w:space="0" w:color="auto"/>
        </w:rPr>
        <w:t>This is the golden age of science</w:t>
      </w:r>
      <w:r w:rsidRPr="004A0CBB">
        <w:rPr>
          <w:rFonts w:eastAsia="Calibri" w:cs="Times New Roman"/>
          <w:sz w:val="16"/>
        </w:rPr>
        <w:t xml:space="preserve">." That's what Mike Milken, chairman of the Milken Institute, told CNBC's Kelly Evans on Monday during an interview with Milken and National Institute of Health director Francis Collins at the 5th Annual Partnering for Cures convention at the Grand Hyatt in Manhattan. Francis Collins referenced </w:t>
      </w:r>
      <w:r w:rsidRPr="004A0CBB">
        <w:rPr>
          <w:rFonts w:eastAsia="Calibri" w:cs="Times New Roman"/>
          <w:b/>
          <w:u w:val="single"/>
        </w:rPr>
        <w:t>healthcare as being in an evolutionary period</w:t>
      </w:r>
      <w:r w:rsidRPr="004A0CBB">
        <w:rPr>
          <w:rFonts w:eastAsia="Calibri" w:cs="Times New Roman"/>
          <w:sz w:val="16"/>
        </w:rPr>
        <w:t xml:space="preserve"> and noted that steps need to be taken for the United States to maintain a world leadership position. "When you look at the rest of the world, they have read America's playbook and have seen how success happened and they are trying to become what we used to be," commented Collins. In our view, </w:t>
      </w:r>
      <w:r w:rsidRPr="004A0CBB">
        <w:rPr>
          <w:rFonts w:eastAsia="Calibri" w:cs="Times New Roman"/>
          <w:b/>
          <w:u w:val="single"/>
        </w:rPr>
        <w:t>a cornerstone in a robust U.S.</w:t>
      </w:r>
      <w:r w:rsidRPr="004A0CBB">
        <w:rPr>
          <w:rFonts w:eastAsia="Calibri" w:cs="Times New Roman"/>
          <w:sz w:val="16"/>
        </w:rPr>
        <w:t xml:space="preserve"> (and global) </w:t>
      </w:r>
      <w:r w:rsidRPr="00557640">
        <w:rPr>
          <w:rFonts w:eastAsia="Calibri" w:cs="Times New Roman"/>
          <w:b/>
          <w:highlight w:val="green"/>
          <w:u w:val="single"/>
        </w:rPr>
        <w:t>biotechnology ecosystem</w:t>
      </w:r>
      <w:r w:rsidRPr="004A0CBB">
        <w:rPr>
          <w:rFonts w:eastAsia="Calibri" w:cs="Times New Roman"/>
          <w:b/>
          <w:u w:val="single"/>
        </w:rPr>
        <w:t xml:space="preserve"> </w:t>
      </w:r>
      <w:r w:rsidRPr="00557640">
        <w:rPr>
          <w:rFonts w:eastAsia="Calibri" w:cs="Times New Roman"/>
          <w:b/>
          <w:highlight w:val="green"/>
          <w:u w:val="single"/>
        </w:rPr>
        <w:t>is regenerative medicine</w:t>
      </w:r>
      <w:r w:rsidRPr="00557640">
        <w:rPr>
          <w:rFonts w:eastAsia="Calibri" w:cs="Times New Roman"/>
          <w:sz w:val="16"/>
          <w:highlight w:val="green"/>
        </w:rPr>
        <w:t xml:space="preserve"> </w:t>
      </w:r>
      <w:r w:rsidRPr="00557640">
        <w:rPr>
          <w:rFonts w:eastAsia="Calibri" w:cs="Times New Roman"/>
          <w:b/>
          <w:highlight w:val="green"/>
          <w:u w:val="single"/>
        </w:rPr>
        <w:t>and</w:t>
      </w:r>
      <w:r w:rsidRPr="004A0CBB">
        <w:rPr>
          <w:rFonts w:eastAsia="Calibri" w:cs="Times New Roman"/>
          <w:sz w:val="16"/>
        </w:rPr>
        <w:t xml:space="preserve"> many of the </w:t>
      </w:r>
      <w:r w:rsidRPr="004A0CBB">
        <w:rPr>
          <w:rFonts w:eastAsia="Calibri" w:cs="Times New Roman"/>
          <w:b/>
          <w:u w:val="single"/>
        </w:rPr>
        <w:t>next generation treatments</w:t>
      </w:r>
      <w:r w:rsidRPr="004A0CBB">
        <w:rPr>
          <w:rFonts w:eastAsia="Calibri" w:cs="Times New Roman"/>
          <w:sz w:val="16"/>
        </w:rPr>
        <w:t xml:space="preserve"> that cell-based therapeutics has to offer. </w:t>
      </w:r>
      <w:r w:rsidRPr="00557640">
        <w:rPr>
          <w:rFonts w:eastAsia="Calibri" w:cs="Times New Roman"/>
          <w:b/>
          <w:iCs/>
          <w:highlight w:val="green"/>
          <w:u w:val="single"/>
          <w:bdr w:val="single" w:sz="18" w:space="0" w:color="auto"/>
        </w:rPr>
        <w:t>The rapidly growing field</w:t>
      </w:r>
      <w:r w:rsidRPr="004A0CBB">
        <w:rPr>
          <w:rFonts w:eastAsia="Calibri" w:cs="Times New Roman"/>
          <w:sz w:val="16"/>
        </w:rPr>
        <w:t xml:space="preserve"> as an adjunctive or front line treatment </w:t>
      </w:r>
      <w:r w:rsidRPr="00557640">
        <w:rPr>
          <w:rFonts w:eastAsia="Calibri" w:cs="Times New Roman"/>
          <w:b/>
          <w:highlight w:val="green"/>
          <w:u w:val="single"/>
        </w:rPr>
        <w:t>embodies a new wave</w:t>
      </w:r>
      <w:r w:rsidRPr="004A0CBB">
        <w:rPr>
          <w:rFonts w:eastAsia="Calibri" w:cs="Times New Roman"/>
          <w:sz w:val="16"/>
        </w:rPr>
        <w:t xml:space="preserve"> of therapies </w:t>
      </w:r>
      <w:r w:rsidRPr="004A0CBB">
        <w:rPr>
          <w:rFonts w:eastAsia="Calibri" w:cs="Times New Roman"/>
          <w:b/>
          <w:u w:val="single"/>
        </w:rPr>
        <w:t>to meet countless areas of great unmet medical need</w:t>
      </w:r>
      <w:r w:rsidRPr="004A0CBB">
        <w:rPr>
          <w:rFonts w:eastAsia="Calibri" w:cs="Times New Roman"/>
          <w:sz w:val="16"/>
        </w:rPr>
        <w:t xml:space="preserve"> where legacy, small molecule-based drugs are showing limited impact, or facing extreme challenges. </w:t>
      </w:r>
      <w:r w:rsidRPr="00557640">
        <w:rPr>
          <w:rFonts w:eastAsia="Calibri" w:cs="Times New Roman"/>
          <w:b/>
          <w:iCs/>
          <w:highlight w:val="green"/>
          <w:u w:val="single"/>
          <w:bdr w:val="single" w:sz="18" w:space="0" w:color="auto"/>
        </w:rPr>
        <w:t>This impact is being recognized globally</w:t>
      </w:r>
      <w:r w:rsidRPr="004A0CBB">
        <w:rPr>
          <w:rFonts w:eastAsia="Calibri" w:cs="Times New Roman"/>
          <w:sz w:val="16"/>
        </w:rPr>
        <w:t xml:space="preserve"> - a good example is Japan, which has embraced the potential of regenerative medicine and is actively seeking to establish itself as a global leader in the area. It has earmarked regenerative medicine specifically, </w:t>
      </w:r>
      <w:r w:rsidRPr="00557640">
        <w:rPr>
          <w:rFonts w:eastAsia="Calibri" w:cs="Times New Roman"/>
          <w:b/>
          <w:highlight w:val="green"/>
          <w:u w:val="single"/>
        </w:rPr>
        <w:t xml:space="preserve">announcing </w:t>
      </w:r>
      <w:r w:rsidRPr="00557640">
        <w:rPr>
          <w:rFonts w:eastAsia="Calibri" w:cs="Times New Roman"/>
          <w:b/>
          <w:iCs/>
          <w:highlight w:val="green"/>
          <w:u w:val="single"/>
          <w:bdr w:val="single" w:sz="18" w:space="0" w:color="auto"/>
        </w:rPr>
        <w:t>$3.2 billion</w:t>
      </w:r>
      <w:r w:rsidRPr="00557640">
        <w:rPr>
          <w:rFonts w:eastAsia="Calibri" w:cs="Times New Roman"/>
          <w:b/>
          <w:highlight w:val="green"/>
          <w:u w:val="single"/>
        </w:rPr>
        <w:t xml:space="preserve"> in funding</w:t>
      </w:r>
      <w:r w:rsidRPr="004A0CBB">
        <w:rPr>
          <w:rFonts w:eastAsia="Calibri" w:cs="Times New Roman"/>
          <w:b/>
          <w:u w:val="single"/>
        </w:rPr>
        <w:t xml:space="preserve"> for programs to advance the area</w:t>
      </w:r>
      <w:r w:rsidRPr="004A0CBB">
        <w:rPr>
          <w:rFonts w:eastAsia="Calibri" w:cs="Times New Roman"/>
          <w:sz w:val="16"/>
        </w:rPr>
        <w:t xml:space="preserve">, using pluripotent stem cells and other approaches. In the annual "Meeting on the Mesa," a three-day convention of world leaders and investors in regenerative medicine held in La Hoya, California last month, Dr. Gil Van Bokkelen, Chief Executive Officer and Chairman of Athersys, Inc. </w:t>
      </w:r>
      <w:hyperlink r:id="rId165" w:history="1">
        <w:r w:rsidRPr="004A0CBB">
          <w:rPr>
            <w:rFonts w:eastAsia="Calibri" w:cs="Times New Roman"/>
            <w:sz w:val="16"/>
          </w:rPr>
          <w:t>ATHX</w:t>
        </w:r>
      </w:hyperlink>
      <w:r w:rsidRPr="004A0CBB">
        <w:rPr>
          <w:rFonts w:eastAsia="Calibri" w:cs="Times New Roman"/>
          <w:sz w:val="16"/>
        </w:rPr>
        <w:t xml:space="preserve"> -2.80% touched not only on the initiatives of Japan, and global potential of the field of regenerative medicine, but also the unique potential of Athersys'MultiStem(R) technology. Interested investors can watch the entire video interview on YouTube here:</w:t>
      </w:r>
      <w:hyperlink r:id="rId166" w:history="1">
        <w:r w:rsidRPr="004A0CBB">
          <w:rPr>
            <w:rFonts w:eastAsia="Calibri" w:cs="Times New Roman"/>
            <w:sz w:val="16"/>
          </w:rPr>
          <w:t>http://www.youtube.com/watch?v=LO6rd3fWgKc</w:t>
        </w:r>
      </w:hyperlink>
      <w:r w:rsidRPr="004A0CBB">
        <w:rPr>
          <w:rFonts w:eastAsia="Calibri" w:cs="Times New Roman"/>
          <w:sz w:val="16"/>
        </w:rPr>
        <w:t xml:space="preserve"> Dr. Van Bokkelen noted that MultiStem is being developed as an </w:t>
      </w:r>
      <w:r w:rsidRPr="004A0CBB">
        <w:rPr>
          <w:rFonts w:eastAsia="Calibri" w:cs="Times New Roman"/>
          <w:b/>
          <w:u w:val="single"/>
        </w:rPr>
        <w:t>"off the shelf" medicine</w:t>
      </w:r>
      <w:r w:rsidRPr="004A0CBB">
        <w:rPr>
          <w:rFonts w:eastAsia="Calibri" w:cs="Times New Roman"/>
          <w:sz w:val="16"/>
        </w:rPr>
        <w:t xml:space="preserve">, or in technical terms an "allogeneic" stem cell therapy that can be </w:t>
      </w:r>
      <w:r w:rsidRPr="004A0CBB">
        <w:rPr>
          <w:rFonts w:eastAsia="Calibri" w:cs="Times New Roman"/>
          <w:b/>
          <w:u w:val="single"/>
        </w:rPr>
        <w:t>manufactured on a large scale</w:t>
      </w:r>
      <w:r w:rsidRPr="004A0CBB">
        <w:rPr>
          <w:rFonts w:eastAsia="Calibri" w:cs="Times New Roman"/>
          <w:sz w:val="16"/>
        </w:rPr>
        <w:t xml:space="preserve">, stored for years in frozen form, and administered without tissue matching or immune suppressive drugs. Athersys is developing the </w:t>
      </w:r>
      <w:r w:rsidRPr="00557640">
        <w:rPr>
          <w:rFonts w:eastAsia="Calibri" w:cs="Times New Roman"/>
          <w:b/>
          <w:highlight w:val="green"/>
          <w:u w:val="single"/>
        </w:rPr>
        <w:t>technology</w:t>
      </w:r>
      <w:r w:rsidRPr="004A0CBB">
        <w:rPr>
          <w:rFonts w:eastAsia="Calibri" w:cs="Times New Roman"/>
          <w:sz w:val="16"/>
        </w:rPr>
        <w:t xml:space="preserve"> for several indication areas, including some that are recognized by analysts and pundits as </w:t>
      </w:r>
      <w:r w:rsidRPr="00557640">
        <w:rPr>
          <w:rFonts w:eastAsia="Calibri" w:cs="Times New Roman"/>
          <w:b/>
          <w:iCs/>
          <w:highlight w:val="green"/>
          <w:u w:val="single"/>
          <w:bdr w:val="single" w:sz="18" w:space="0" w:color="auto"/>
        </w:rPr>
        <w:t>having breakthrough potential</w:t>
      </w:r>
      <w:r w:rsidRPr="004A0CBB">
        <w:rPr>
          <w:rFonts w:eastAsia="Calibri" w:cs="Times New Roman"/>
          <w:sz w:val="16"/>
        </w:rPr>
        <w:t xml:space="preserve">. Current clinical programs include, ischemic stroke, acute myocardial infarction, preventing Graph versus Host Disease (GvHD) and treating Inflammatory Bowel Disease (IBD) in patients where other medicines have proven ineffective. This latter program is part of an ongoing international Phase II trial in partnership with Pfizer, Inc. </w:t>
      </w:r>
      <w:hyperlink r:id="rId167" w:history="1">
        <w:r w:rsidRPr="004A0CBB">
          <w:rPr>
            <w:rFonts w:eastAsia="Calibri" w:cs="Times New Roman"/>
            <w:sz w:val="16"/>
          </w:rPr>
          <w:t>PFE</w:t>
        </w:r>
      </w:hyperlink>
      <w:r w:rsidRPr="004A0CBB">
        <w:rPr>
          <w:rFonts w:eastAsia="Calibri" w:cs="Times New Roman"/>
          <w:sz w:val="16"/>
        </w:rPr>
        <w:t xml:space="preserve"> -0.12% for treatment-refractory inflammatory bowel disease, with results expected in early 2014. New treatments for a condition like IBD, focusing on patients where other therapies have proven ineffective, could validate the potential of regenerative medicines to reverse the course of an advanced disease, at a time when treatment expenses skyrocket and quality of life deteriorates dramatically. In fact, a hallmark feature of regenerative medicine is its apparent utility in addressing areas of substantial unmet medical need, where the cost burden is high. Success from ongoing or planned MultiStem trials, especially for an area like ischemic stroke, could provide a powerful catalyst for Athersys shares.Top-line results from the IBD trial are expected in the first quarter of 2014, with results from the stroke clinical trial expected several months later. As noted by Dr. Van Bokkelen's presentation, MultiStem has great potential as a novel therapeutic approach for conditions where current standards of care are essentially non-existent or ineffective. One of the reasons for this is the multimodal activity of MultiStem, which addresses key shortcomings of traditional drugs or technologies that typically focus on a single mechanism of action. He notes that cells are different because they are capable of promoting healing in several ways, such as by expressing factors that reduce inflammatory damage, protect and preserve tissue that is at risk following an injury, promote formation of new blood vessels in regions of inadequate blood supply, and by stimulating recovery in other ways. Recent deal activity also suggests growing acceptance of regenerative medicine technologies, including the Cytori Therapeutics, Inc. </w:t>
      </w:r>
      <w:hyperlink r:id="rId168" w:history="1">
        <w:r w:rsidRPr="004A0CBB">
          <w:rPr>
            <w:rFonts w:eastAsia="Calibri" w:cs="Times New Roman"/>
            <w:sz w:val="16"/>
          </w:rPr>
          <w:t>CYTX</w:t>
        </w:r>
      </w:hyperlink>
      <w:r w:rsidRPr="004A0CBB">
        <w:rPr>
          <w:rFonts w:eastAsia="Calibri" w:cs="Times New Roman"/>
          <w:sz w:val="16"/>
        </w:rPr>
        <w:t xml:space="preserve"> -0.89% partnership to commercialize technology in Australia and Asia, and the recent Mesoblast, Inc. (asx:MSB) acquisition of the rights to the Osiris Therapeutics, Inc. </w:t>
      </w:r>
      <w:hyperlink r:id="rId169" w:history="1">
        <w:r w:rsidRPr="004A0CBB">
          <w:rPr>
            <w:rFonts w:eastAsia="Calibri" w:cs="Times New Roman"/>
            <w:sz w:val="16"/>
          </w:rPr>
          <w:t>OSIR</w:t>
        </w:r>
      </w:hyperlink>
      <w:r w:rsidRPr="004A0CBB">
        <w:rPr>
          <w:rFonts w:eastAsia="Calibri" w:cs="Times New Roman"/>
          <w:sz w:val="16"/>
        </w:rPr>
        <w:t xml:space="preserve"> -0.57% Prochymal franchise. With new regulatory initiatives in Japan and other countries poised to speed development options for companies focused on clinical development of new medicines, it seems that regenerative medicine is now beyond its flash point. </w:t>
      </w:r>
      <w:r w:rsidRPr="004A0CBB">
        <w:rPr>
          <w:rFonts w:eastAsia="Calibri" w:cs="Times New Roman"/>
          <w:b/>
          <w:u w:val="single"/>
        </w:rPr>
        <w:t>The tremendous potential is now being recognized in multiple areas around the world</w:t>
      </w:r>
      <w:r w:rsidRPr="004A0CBB">
        <w:rPr>
          <w:rFonts w:eastAsia="Calibri" w:cs="Times New Roman"/>
          <w:sz w:val="16"/>
        </w:rPr>
        <w:t>, including in some corners of Wall Street.</w:t>
      </w:r>
    </w:p>
    <w:p w:rsidR="00984FEB" w:rsidRPr="004A0CBB" w:rsidRDefault="00984FEB" w:rsidP="00984FEB">
      <w:pPr>
        <w:rPr>
          <w:rFonts w:eastAsia="Calibri" w:cs="Times New Roman"/>
          <w:sz w:val="16"/>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Pharmaceutical industry is growing in the squo- new medicines, govt. subsidies, new R&amp;D, and new markets</w:t>
      </w:r>
    </w:p>
    <w:p w:rsidR="00984FEB" w:rsidRPr="004A0CBB" w:rsidRDefault="00984FEB" w:rsidP="00984FEB">
      <w:pPr>
        <w:tabs>
          <w:tab w:val="left" w:pos="4455"/>
        </w:tabs>
        <w:rPr>
          <w:rFonts w:eastAsia="Calibri" w:cs="Times New Roman"/>
          <w:sz w:val="16"/>
        </w:rPr>
      </w:pPr>
      <w:r w:rsidRPr="004A0CBB">
        <w:rPr>
          <w:rFonts w:eastAsia="Calibri" w:cs="Times New Roman"/>
          <w:b/>
        </w:rPr>
        <w:t xml:space="preserve">SelectUSA 2014 </w:t>
      </w:r>
      <w:r w:rsidRPr="004A0CBB">
        <w:rPr>
          <w:rFonts w:eastAsia="Calibri" w:cs="Times New Roman"/>
          <w:sz w:val="16"/>
        </w:rPr>
        <w:t>(SelectUSA, domestic based market analyst group, May 23, 2014. “The Pharmaceutical and Biotech industries in the United States.” http://selectusa.commerce.gov/industry-snapshots/pharmaceutical-and-biotech-industries-united-states)//NR</w:t>
      </w:r>
    </w:p>
    <w:p w:rsidR="00984FEB" w:rsidRPr="004A0CBB" w:rsidRDefault="00984FEB" w:rsidP="00984FEB">
      <w:pPr>
        <w:rPr>
          <w:rFonts w:eastAsia="Calibri" w:cs="Times New Roman"/>
          <w:b/>
          <w:u w:val="single"/>
        </w:rPr>
      </w:pPr>
      <w:r w:rsidRPr="004A0CBB">
        <w:rPr>
          <w:rFonts w:eastAsia="Calibri" w:cs="Times New Roman"/>
          <w:b/>
          <w:u w:val="single"/>
        </w:rPr>
        <w:t>The United States is the world’s largest market for pharmaceuticals</w:t>
      </w:r>
      <w:r w:rsidRPr="004A0CBB">
        <w:rPr>
          <w:rFonts w:eastAsia="Calibri" w:cs="Times New Roman"/>
          <w:sz w:val="16"/>
        </w:rPr>
        <w:t xml:space="preserve"> </w:t>
      </w:r>
      <w:r w:rsidRPr="004A0CBB">
        <w:rPr>
          <w:rFonts w:eastAsia="Calibri" w:cs="Times New Roman"/>
          <w:b/>
          <w:u w:val="single"/>
        </w:rPr>
        <w:t>and the world leader in biopharmaceutical research</w:t>
      </w:r>
      <w:r w:rsidRPr="004A0CBB">
        <w:rPr>
          <w:rFonts w:eastAsia="Calibri" w:cs="Times New Roman"/>
          <w:sz w:val="16"/>
        </w:rPr>
        <w:t xml:space="preserve">. According to the Pharmaceutical Research and Manufacturers Association (PhRMA), </w:t>
      </w:r>
      <w:r w:rsidRPr="004A0CBB">
        <w:rPr>
          <w:rFonts w:eastAsia="Calibri" w:cs="Times New Roman"/>
          <w:b/>
          <w:u w:val="single"/>
        </w:rPr>
        <w:t>U.S. firms conduct the majority of the world’s research and development in pharmaceuticals</w:t>
      </w:r>
      <w:r w:rsidRPr="004A0CBB">
        <w:rPr>
          <w:rFonts w:eastAsia="Calibri" w:cs="Times New Roman"/>
          <w:sz w:val="16"/>
        </w:rPr>
        <w:t xml:space="preserve"> and hold the intellectual property rights on most new medicines. </w:t>
      </w:r>
      <w:r w:rsidRPr="004A0CBB">
        <w:rPr>
          <w:rFonts w:eastAsia="Calibri" w:cs="Times New Roman"/>
          <w:b/>
          <w:u w:val="single"/>
        </w:rPr>
        <w:t>The biopharmaceutical</w:t>
      </w:r>
      <w:r w:rsidRPr="004A0CBB">
        <w:rPr>
          <w:rFonts w:eastAsia="Calibri" w:cs="Times New Roman"/>
          <w:sz w:val="16"/>
        </w:rPr>
        <w:t xml:space="preserve"> pipeline also </w:t>
      </w:r>
      <w:r w:rsidRPr="004A0CBB">
        <w:rPr>
          <w:rFonts w:eastAsia="Calibri" w:cs="Times New Roman"/>
          <w:b/>
          <w:iCs/>
          <w:u w:val="single"/>
          <w:bdr w:val="single" w:sz="18" w:space="0" w:color="auto"/>
        </w:rPr>
        <w:t>has over 5,000 new medicines</w:t>
      </w:r>
      <w:r w:rsidRPr="004A0CBB">
        <w:rPr>
          <w:rFonts w:eastAsia="Calibri" w:cs="Times New Roman"/>
          <w:sz w:val="16"/>
        </w:rPr>
        <w:t xml:space="preserve"> currently </w:t>
      </w:r>
      <w:r w:rsidRPr="004A0CBB">
        <w:rPr>
          <w:rFonts w:eastAsia="Calibri" w:cs="Times New Roman"/>
          <w:b/>
          <w:u w:val="single"/>
        </w:rPr>
        <w:t>in development</w:t>
      </w:r>
      <w:r w:rsidRPr="004A0CBB">
        <w:rPr>
          <w:rFonts w:eastAsia="Calibri" w:cs="Times New Roman"/>
          <w:sz w:val="16"/>
        </w:rPr>
        <w:t xml:space="preserve"> around the world with approximately 3,400 compounds currently being studied in the United States - more than in any other region around the world. </w:t>
      </w:r>
      <w:r w:rsidRPr="004A0CBB">
        <w:rPr>
          <w:rFonts w:eastAsia="Calibri" w:cs="Times New Roman"/>
          <w:b/>
          <w:u w:val="single"/>
        </w:rPr>
        <w:t>More than 810,000 people work in the biopharmaceutical industry in the United States</w:t>
      </w:r>
      <w:r w:rsidRPr="004A0CBB">
        <w:rPr>
          <w:rFonts w:eastAsia="Calibri" w:cs="Times New Roman"/>
          <w:sz w:val="16"/>
        </w:rPr>
        <w:t xml:space="preserve"> as of 2012, </w:t>
      </w:r>
      <w:r w:rsidRPr="004A0CBB">
        <w:rPr>
          <w:rFonts w:eastAsia="Calibri" w:cs="Times New Roman"/>
          <w:b/>
          <w:u w:val="single"/>
        </w:rPr>
        <w:t>and the industry supports a total of nearly 3.4 million jobs across the U.S. economy</w:t>
      </w:r>
      <w:r w:rsidRPr="004A0CBB">
        <w:rPr>
          <w:rFonts w:eastAsia="Calibri" w:cs="Times New Roman"/>
          <w:sz w:val="16"/>
        </w:rPr>
        <w:t xml:space="preserve">, including jobs directly in biopharmaceutical companies, jobs with vendor companies in the broad biopharmaceutical supply chain, and jobs created by the economic activity of the biopharmaceutical industry workforce. The biopharmaceutical sector is one of the most research and development (R&amp;D)-intensive in the United States, with companies investing more than 10 times the amount of R&amp;D per employee than all manufacturing industries overall. </w:t>
      </w:r>
      <w:r w:rsidRPr="004A0CBB">
        <w:rPr>
          <w:rFonts w:eastAsia="Calibri" w:cs="Times New Roman"/>
          <w:b/>
          <w:u w:val="single"/>
        </w:rPr>
        <w:t>The markets for biologics</w:t>
      </w:r>
      <w:r w:rsidRPr="004A0CBB">
        <w:rPr>
          <w:rFonts w:eastAsia="Calibri" w:cs="Times New Roman"/>
          <w:sz w:val="16"/>
        </w:rPr>
        <w:t xml:space="preserve">, over-the-counter (OTC) medicines, and generics </w:t>
      </w:r>
      <w:r w:rsidRPr="004A0CBB">
        <w:rPr>
          <w:rFonts w:eastAsia="Calibri" w:cs="Times New Roman"/>
          <w:b/>
          <w:u w:val="single"/>
        </w:rPr>
        <w:t>show the most potential for growth and have become increasingly competitive</w:t>
      </w:r>
      <w:r w:rsidRPr="004A0CBB">
        <w:rPr>
          <w:rFonts w:eastAsia="Calibri" w:cs="Times New Roman"/>
          <w:sz w:val="16"/>
        </w:rPr>
        <w:t xml:space="preserve">. Biologics account for a quarter of all new drugs in clinical trials or awaiting U.S. Food and Drug Administration approval. OTC market growth will be driven by a growing aging population and consumer trend to self-medication, and the conversion of drugs from prescription to non-prescription or OTC status. The U.S. market is the world’s largest free-pricing market for pharmaceuticals and has a favorable patent and regulatory environment. Product success is largely based on competition in product quality, safety and efficacy and price. </w:t>
      </w:r>
      <w:r w:rsidRPr="004A0CBB">
        <w:rPr>
          <w:rFonts w:eastAsia="Calibri" w:cs="Times New Roman"/>
          <w:b/>
          <w:u w:val="single"/>
        </w:rPr>
        <w:t>U.S. government support of biomedical research</w:t>
      </w:r>
      <w:r w:rsidRPr="004A0CBB">
        <w:rPr>
          <w:rFonts w:eastAsia="Calibri" w:cs="Times New Roman"/>
          <w:sz w:val="16"/>
        </w:rPr>
        <w:t xml:space="preserve">, </w:t>
      </w:r>
      <w:r w:rsidRPr="004A0CBB">
        <w:rPr>
          <w:rFonts w:eastAsia="Calibri" w:cs="Times New Roman"/>
          <w:b/>
          <w:u w:val="single"/>
        </w:rPr>
        <w:t xml:space="preserve">along with its unparalleled scientific and research base and innovative biotechnology sector, make the U.S. market the preferred home for growth in the pharmaceutical industry. </w:t>
      </w:r>
    </w:p>
    <w:p w:rsidR="00984FEB" w:rsidRPr="004A0CBB" w:rsidRDefault="00984FEB" w:rsidP="00984FEB">
      <w:pPr>
        <w:rPr>
          <w:rFonts w:eastAsia="Calibri" w:cs="Times New Roman"/>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Pharmaceutical companies are recovering- growth rates are up and will sustain</w:t>
      </w:r>
    </w:p>
    <w:p w:rsidR="00984FEB" w:rsidRPr="004A0CBB" w:rsidRDefault="00984FEB" w:rsidP="00984FEB">
      <w:pPr>
        <w:contextualSpacing/>
        <w:rPr>
          <w:rFonts w:eastAsia="Calibri" w:cs="Times New Roman"/>
          <w:sz w:val="16"/>
        </w:rPr>
      </w:pPr>
      <w:r w:rsidRPr="004A0CBB">
        <w:rPr>
          <w:rFonts w:eastAsia="Calibri" w:cs="Times New Roman"/>
          <w:b/>
        </w:rPr>
        <w:t xml:space="preserve">Business Line 2014 </w:t>
      </w:r>
      <w:r w:rsidRPr="004A0CBB">
        <w:rPr>
          <w:rFonts w:eastAsia="Calibri" w:cs="Times New Roman"/>
          <w:sz w:val="16"/>
        </w:rPr>
        <w:t>(The Hindu Business Line, latest news on India and international business and finance, January 5, 2014. “Pharma cos likely to post 15% profit growth in Q3.” http://www.thehindubusinessline.com/industry-and-economy/pharma-cos-likely-to-post-15-profit-growth-in-q3/article5541288.ece//NR</w:t>
      </w:r>
    </w:p>
    <w:p w:rsidR="00984FEB" w:rsidRPr="004A0CBB" w:rsidRDefault="00984FEB" w:rsidP="00984FEB">
      <w:pPr>
        <w:contextualSpacing/>
        <w:rPr>
          <w:rFonts w:eastAsia="Calibri" w:cs="Times New Roman"/>
          <w:sz w:val="16"/>
        </w:rPr>
      </w:pPr>
      <w:r w:rsidRPr="004A0CBB">
        <w:rPr>
          <w:rFonts w:eastAsia="Calibri" w:cs="Times New Roman"/>
          <w:b/>
          <w:u w:val="single"/>
        </w:rPr>
        <w:t>Pharmaceutical companies are expected</w:t>
      </w:r>
      <w:r w:rsidRPr="004A0CBB">
        <w:rPr>
          <w:rFonts w:eastAsia="Calibri" w:cs="Times New Roman"/>
          <w:sz w:val="16"/>
        </w:rPr>
        <w:t xml:space="preserve"> to post core profit </w:t>
      </w:r>
      <w:r w:rsidRPr="004A0CBB">
        <w:rPr>
          <w:rFonts w:eastAsia="Calibri" w:cs="Times New Roman"/>
          <w:b/>
          <w:iCs/>
          <w:u w:val="single"/>
          <w:bdr w:val="single" w:sz="18" w:space="0" w:color="auto"/>
        </w:rPr>
        <w:t>growth of over 15 per cent year-on-year</w:t>
      </w:r>
      <w:r w:rsidRPr="004A0CBB">
        <w:rPr>
          <w:rFonts w:eastAsia="Calibri" w:cs="Times New Roman"/>
          <w:sz w:val="16"/>
        </w:rPr>
        <w:t xml:space="preserve"> for the quarter ended December 2013. “We expect core profit growth of over 15 per cent y-o-y across the pharmaceutical sector in Q3 FY14. </w:t>
      </w:r>
      <w:r w:rsidRPr="004A0CBB">
        <w:rPr>
          <w:rFonts w:eastAsia="Calibri" w:cs="Times New Roman"/>
          <w:b/>
          <w:u w:val="single"/>
        </w:rPr>
        <w:t>The US launches and currency benefit will be the key growth drivers</w:t>
      </w:r>
      <w:r w:rsidRPr="004A0CBB">
        <w:rPr>
          <w:rFonts w:eastAsia="Calibri" w:cs="Times New Roman"/>
          <w:sz w:val="16"/>
        </w:rPr>
        <w:t xml:space="preserve">,” Kotak Institutional Equities said in its report. </w:t>
      </w:r>
      <w:r w:rsidRPr="004A0CBB">
        <w:rPr>
          <w:rFonts w:eastAsia="Calibri" w:cs="Times New Roman"/>
          <w:b/>
          <w:u w:val="single"/>
        </w:rPr>
        <w:t>While the domestic growth stays subdued, the US launches remain strong,</w:t>
      </w:r>
      <w:r w:rsidRPr="004A0CBB">
        <w:rPr>
          <w:rFonts w:eastAsia="Calibri" w:cs="Times New Roman"/>
          <w:sz w:val="16"/>
        </w:rPr>
        <w:t xml:space="preserve"> it said. </w:t>
      </w:r>
      <w:r w:rsidRPr="004A0CBB">
        <w:rPr>
          <w:rFonts w:eastAsia="Calibri" w:cs="Times New Roman"/>
          <w:b/>
          <w:u w:val="single"/>
        </w:rPr>
        <w:t>It expects the US generic launches to be the key growth driver, offsetting weak growth</w:t>
      </w:r>
      <w:r w:rsidRPr="004A0CBB">
        <w:rPr>
          <w:rFonts w:eastAsia="Calibri" w:cs="Times New Roman"/>
          <w:sz w:val="16"/>
        </w:rPr>
        <w:t xml:space="preserve"> in India. Improving US product mix and currency remain key margin drivers for Indian generics, according to the report. “</w:t>
      </w:r>
      <w:r w:rsidRPr="004A0CBB">
        <w:rPr>
          <w:rFonts w:eastAsia="Calibri" w:cs="Times New Roman"/>
          <w:b/>
          <w:u w:val="single"/>
        </w:rPr>
        <w:t>The currency benefit</w:t>
      </w:r>
      <w:r w:rsidRPr="004A0CBB">
        <w:rPr>
          <w:rFonts w:eastAsia="Calibri" w:cs="Times New Roman"/>
          <w:b/>
          <w:iCs/>
          <w:u w:val="single"/>
          <w:bdr w:val="single" w:sz="18" w:space="0" w:color="auto"/>
        </w:rPr>
        <w:t xml:space="preserve"> is likely to sustain</w:t>
      </w:r>
      <w:r w:rsidRPr="004A0CBB">
        <w:rPr>
          <w:rFonts w:eastAsia="Calibri" w:cs="Times New Roman"/>
          <w:sz w:val="16"/>
        </w:rPr>
        <w:t xml:space="preserve">. In the current quarter, the Indian rupee has appreciated by 1 per cent sequentially on a quarter-end basis. Hence, we expect marginal impact due to translation impact of net balance-sheet items and MTM losses on foreign currency hedges,” said Kotak Equities research analyst Krishna Prasad. Among the leading pharma players, Sun Pharma and Dr Reddy’s will lead the sector, while Lupin US generics growth is expected to remain strong, it said, adding that Kotak expects a stable growth for Glenmark and remains conservative on recovery in Cipla and Cadila in the third quarter of 2013-14 fiscal (Q3 FY’14), the report said. “We expect core profit growth of over 15 per cent y-o-y across the sector except Cipla. Sun Pharma and Dr Reddy’s will lead the pack — with 45 per cent and 33 per cent y-o-y net profit growth, respectively. In both cases, we expect US generics to be the primary growth driver along with currency,” Prasad said. “For Lupin, we estimate 13 per cent y-o-y growth in EBITDA, while a PAT growth of 26 per cent is driven by lower tax rate. We expect strong margin expansion for Dr Reddy’s (360 bps y-o-y) driven by US launches,” the Kotak report said. </w:t>
      </w:r>
      <w:r w:rsidRPr="004A0CBB">
        <w:rPr>
          <w:rFonts w:eastAsia="Calibri" w:cs="Times New Roman"/>
          <w:b/>
          <w:u w:val="single"/>
        </w:rPr>
        <w:t>A gradual recovery is expected</w:t>
      </w:r>
      <w:r w:rsidRPr="004A0CBB">
        <w:rPr>
          <w:rFonts w:eastAsia="Calibri" w:cs="Times New Roman"/>
          <w:sz w:val="16"/>
        </w:rPr>
        <w:t xml:space="preserve"> for Cadila and Cipla, it said, adding that it does not factor in significant improvement in operational performance for the current quarter. “We estimate sharp recovery in core EBITDA margin for Ranbaxy at 9 per cent driven by lower remediation expense. We expect stable earnings performance for Glenmark with 19 per cent y-o-y growth in core net profit,” the report said. For Lupin, the strong growth in US generics is partially offset by muted performance in India/Japan leading to a marginal decline (40 bps) in EBITDA margin, Prasad said.</w:t>
      </w:r>
    </w:p>
    <w:p w:rsidR="00984FEB" w:rsidRPr="004A0CBB" w:rsidRDefault="00984FEB" w:rsidP="00984FEB">
      <w:pPr>
        <w:rPr>
          <w:rFonts w:eastAsia="Calibri" w:cs="Times New Roman"/>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Pharma sector growing now- exports, new products, and investor confidence</w:t>
      </w:r>
    </w:p>
    <w:p w:rsidR="00984FEB" w:rsidRPr="004A0CBB" w:rsidRDefault="00984FEB" w:rsidP="00984FEB">
      <w:pPr>
        <w:rPr>
          <w:rFonts w:eastAsia="Calibri" w:cs="Times New Roman"/>
          <w:sz w:val="16"/>
        </w:rPr>
      </w:pPr>
      <w:r w:rsidRPr="004A0CBB">
        <w:rPr>
          <w:rFonts w:eastAsia="Calibri" w:cs="Times New Roman"/>
          <w:b/>
        </w:rPr>
        <w:t xml:space="preserve">Kabtta 2013 </w:t>
      </w:r>
      <w:r w:rsidRPr="004A0CBB">
        <w:rPr>
          <w:rFonts w:eastAsia="Calibri" w:cs="Times New Roman"/>
          <w:sz w:val="16"/>
        </w:rPr>
        <w:t>(Kiran Kabtta, Market News reporter, Novermber 28, 2013. “Pharma sector: Export gains, domestic bounce-back augur well”. http://articles.economictimes.indiatimes.com/2013-11-28/news/44547025_1_sun-pharma-indian-companies-domestic-market)//NR</w:t>
      </w:r>
    </w:p>
    <w:p w:rsidR="00984FEB" w:rsidRPr="004A0CBB" w:rsidRDefault="00984FEB" w:rsidP="00984FEB">
      <w:pPr>
        <w:rPr>
          <w:rFonts w:eastAsia="Calibri" w:cs="Times New Roman"/>
          <w:sz w:val="16"/>
        </w:rPr>
      </w:pPr>
      <w:r w:rsidRPr="004A0CBB">
        <w:rPr>
          <w:rFonts w:eastAsia="Calibri" w:cs="Times New Roman"/>
          <w:b/>
          <w:u w:val="single"/>
        </w:rPr>
        <w:t>Drug makers posted healthy results</w:t>
      </w:r>
      <w:r w:rsidRPr="004A0CBB">
        <w:rPr>
          <w:rFonts w:eastAsia="Calibri" w:cs="Times New Roman"/>
          <w:sz w:val="16"/>
        </w:rPr>
        <w:t xml:space="preserve"> in the quarter to September </w:t>
      </w:r>
      <w:r w:rsidRPr="004A0CBB">
        <w:rPr>
          <w:rFonts w:eastAsia="Calibri" w:cs="Times New Roman"/>
          <w:b/>
          <w:u w:val="single"/>
        </w:rPr>
        <w:t>due to their strong performance in the United States</w:t>
      </w:r>
      <w:r w:rsidRPr="004A0CBB">
        <w:rPr>
          <w:rFonts w:eastAsia="Calibri" w:cs="Times New Roman"/>
          <w:sz w:val="16"/>
        </w:rPr>
        <w:t xml:space="preserve"> largely because of </w:t>
      </w:r>
      <w:hyperlink r:id="rId170" w:history="1">
        <w:r w:rsidRPr="004A0CBB">
          <w:rPr>
            <w:rFonts w:eastAsia="Calibri" w:cs="Times New Roman"/>
            <w:sz w:val="16"/>
          </w:rPr>
          <w:t>rupee depreciation</w:t>
        </w:r>
      </w:hyperlink>
      <w:r w:rsidRPr="004A0CBB">
        <w:rPr>
          <w:rFonts w:eastAsia="Calibri" w:cs="Times New Roman"/>
          <w:sz w:val="16"/>
        </w:rPr>
        <w:t xml:space="preserve">. </w:t>
      </w:r>
      <w:r w:rsidRPr="004A0CBB">
        <w:rPr>
          <w:rFonts w:eastAsia="Calibri" w:cs="Times New Roman"/>
          <w:b/>
          <w:u w:val="single"/>
        </w:rPr>
        <w:t>High realisations from exports</w:t>
      </w:r>
      <w:r w:rsidRPr="004A0CBB">
        <w:rPr>
          <w:rFonts w:eastAsia="Calibri" w:cs="Times New Roman"/>
          <w:sz w:val="16"/>
        </w:rPr>
        <w:t xml:space="preserve"> more than </w:t>
      </w:r>
      <w:r w:rsidRPr="004A0CBB">
        <w:rPr>
          <w:rFonts w:eastAsia="Calibri" w:cs="Times New Roman"/>
          <w:b/>
          <w:u w:val="single"/>
        </w:rPr>
        <w:t>compensated for the subdued performance in the domestic market</w:t>
      </w:r>
      <w:r w:rsidRPr="004A0CBB">
        <w:rPr>
          <w:rFonts w:eastAsia="Calibri" w:cs="Times New Roman"/>
          <w:sz w:val="16"/>
        </w:rPr>
        <w:t xml:space="preserve">, where trade-related disruptions and price revisions after the implementation of the new </w:t>
      </w:r>
      <w:hyperlink r:id="rId171" w:history="1">
        <w:r w:rsidRPr="004A0CBB">
          <w:rPr>
            <w:rFonts w:eastAsia="Calibri" w:cs="Times New Roman"/>
            <w:sz w:val="16"/>
          </w:rPr>
          <w:t>drug pricing policy</w:t>
        </w:r>
      </w:hyperlink>
      <w:r w:rsidRPr="004A0CBB">
        <w:rPr>
          <w:rFonts w:eastAsia="Calibri" w:cs="Times New Roman"/>
          <w:sz w:val="16"/>
        </w:rPr>
        <w:t xml:space="preserve"> took their toll on the pharmaceutical companies. </w:t>
      </w:r>
      <w:r w:rsidRPr="004A0CBB">
        <w:rPr>
          <w:rFonts w:eastAsia="Calibri" w:cs="Times New Roman"/>
          <w:b/>
          <w:u w:val="single"/>
        </w:rPr>
        <w:t>Most companies reported over 25% growth in their US business</w:t>
      </w:r>
      <w:r w:rsidRPr="004A0CBB">
        <w:rPr>
          <w:rFonts w:eastAsia="Calibri" w:cs="Times New Roman"/>
          <w:sz w:val="16"/>
        </w:rPr>
        <w:t xml:space="preserve"> compared with the year-ago period. </w:t>
      </w:r>
      <w:r w:rsidRPr="004A0CBB">
        <w:rPr>
          <w:rFonts w:eastAsia="Calibri" w:cs="Times New Roman"/>
          <w:b/>
          <w:u w:val="single"/>
        </w:rPr>
        <w:t>Increased sales from exclusive product launches</w:t>
      </w:r>
      <w:r w:rsidRPr="004A0CBB">
        <w:rPr>
          <w:rFonts w:eastAsia="Calibri" w:cs="Times New Roman"/>
          <w:sz w:val="16"/>
        </w:rPr>
        <w:t xml:space="preserve">, besides the favourable currency movement, </w:t>
      </w:r>
      <w:r w:rsidRPr="004A0CBB">
        <w:rPr>
          <w:rFonts w:eastAsia="Calibri" w:cs="Times New Roman"/>
          <w:b/>
          <w:u w:val="single"/>
        </w:rPr>
        <w:t>boosted</w:t>
      </w:r>
      <w:r w:rsidRPr="004A0CBB">
        <w:rPr>
          <w:rFonts w:eastAsia="Calibri" w:cs="Times New Roman"/>
          <w:sz w:val="16"/>
        </w:rPr>
        <w:t xml:space="preserve"> the performance of </w:t>
      </w:r>
      <w:r w:rsidRPr="004A0CBB">
        <w:rPr>
          <w:rFonts w:eastAsia="Calibri" w:cs="Times New Roman"/>
          <w:b/>
          <w:u w:val="single"/>
        </w:rPr>
        <w:t>several firms</w:t>
      </w:r>
      <w:r w:rsidRPr="004A0CBB">
        <w:rPr>
          <w:rFonts w:eastAsia="Calibri" w:cs="Times New Roman"/>
          <w:sz w:val="16"/>
        </w:rPr>
        <w:t xml:space="preserve">. Sun Pharma, Lupin, Dr Reddy's Labs, Cadila Healthcare and Aurobindo Pharma posted gains in their US business during the three-month period. In the domestic market, however, most companies remained confined to single-digit growth. Multinational companies such as GSK Pharma, Pfizer and </w:t>
      </w:r>
      <w:hyperlink r:id="rId172" w:history="1">
        <w:r w:rsidRPr="004A0CBB">
          <w:rPr>
            <w:rFonts w:eastAsia="Calibri" w:cs="Times New Roman"/>
            <w:sz w:val="16"/>
          </w:rPr>
          <w:t>Novartis</w:t>
        </w:r>
      </w:hyperlink>
      <w:r w:rsidRPr="004A0CBB">
        <w:rPr>
          <w:rFonts w:eastAsia="Calibri" w:cs="Times New Roman"/>
          <w:sz w:val="16"/>
        </w:rPr>
        <w:t xml:space="preserve">, which earn a dominant share of their revenues from the </w:t>
      </w:r>
      <w:hyperlink r:id="rId173" w:history="1">
        <w:r w:rsidRPr="004A0CBB">
          <w:rPr>
            <w:rFonts w:eastAsia="Calibri" w:cs="Times New Roman"/>
            <w:sz w:val="16"/>
          </w:rPr>
          <w:t>Indian market</w:t>
        </w:r>
      </w:hyperlink>
      <w:r w:rsidRPr="004A0CBB">
        <w:rPr>
          <w:rFonts w:eastAsia="Calibri" w:cs="Times New Roman"/>
          <w:sz w:val="16"/>
        </w:rPr>
        <w:t xml:space="preserve">, were the biggest losers on this count while Indian companies such as Sun Pharma and Glenmark stood out as outperformers with strong double-digit growth. Companies in contract research and manufacturing services have been facing challenges, including pricing pressure, increased raw material prices and slowdown in business. Even so, Divi's Labs and </w:t>
      </w:r>
      <w:hyperlink r:id="rId174" w:history="1">
        <w:r w:rsidRPr="004A0CBB">
          <w:rPr>
            <w:rFonts w:eastAsia="Calibri" w:cs="Times New Roman"/>
            <w:sz w:val="16"/>
          </w:rPr>
          <w:t>Dishman Pharma</w:t>
        </w:r>
      </w:hyperlink>
      <w:r w:rsidRPr="004A0CBB">
        <w:rPr>
          <w:rFonts w:eastAsia="Calibri" w:cs="Times New Roman"/>
          <w:sz w:val="16"/>
        </w:rPr>
        <w:t xml:space="preserve"> managed to post betterthan-expected results. </w:t>
      </w:r>
      <w:r w:rsidRPr="004A0CBB">
        <w:rPr>
          <w:rFonts w:eastAsia="Calibri" w:cs="Times New Roman"/>
          <w:b/>
          <w:iCs/>
          <w:u w:val="single"/>
          <w:bdr w:val="single" w:sz="18" w:space="0" w:color="auto"/>
        </w:rPr>
        <w:t>The outlook for the sector continues to be positive.</w:t>
      </w:r>
      <w:r w:rsidRPr="004A0CBB">
        <w:rPr>
          <w:rFonts w:eastAsia="Calibri" w:cs="Times New Roman"/>
          <w:sz w:val="16"/>
        </w:rPr>
        <w:t xml:space="preserve"> Export realisations are expected to improve as the rupee is hovering around the same level. In the domestic market, the worst seems to be over with the settlement of margin-related issues between companies and the drug distributors. </w:t>
      </w:r>
      <w:r w:rsidRPr="004A0CBB">
        <w:rPr>
          <w:rFonts w:eastAsia="Calibri" w:cs="Times New Roman"/>
          <w:b/>
          <w:u w:val="single"/>
        </w:rPr>
        <w:t>Growth in the domestic market is also expected to bounce back to double-digit levels</w:t>
      </w:r>
      <w:r w:rsidRPr="004A0CBB">
        <w:rPr>
          <w:rFonts w:eastAsia="Calibri" w:cs="Times New Roman"/>
          <w:sz w:val="16"/>
        </w:rPr>
        <w:t xml:space="preserve">. Sun Pharma is expected to continue to be the industry outperformer, followed by companies such as Lupin and Dr Reddy's Labs. </w:t>
      </w:r>
      <w:r w:rsidRPr="004A0CBB">
        <w:rPr>
          <w:rFonts w:eastAsia="Calibri" w:cs="Times New Roman"/>
          <w:b/>
          <w:u w:val="single"/>
        </w:rPr>
        <w:t>These companies have strong product pipelines and sound base business in their key markets.</w:t>
      </w:r>
      <w:r w:rsidRPr="004A0CBB">
        <w:rPr>
          <w:rFonts w:eastAsia="Calibri" w:cs="Times New Roman"/>
          <w:sz w:val="16"/>
        </w:rPr>
        <w:t xml:space="preserve"> Despite the positive outlook, stretching stock valuations have led to correction in </w:t>
      </w:r>
      <w:hyperlink r:id="rId175" w:history="1">
        <w:r w:rsidRPr="004A0CBB">
          <w:rPr>
            <w:rFonts w:eastAsia="Calibri" w:cs="Times New Roman"/>
            <w:sz w:val="16"/>
          </w:rPr>
          <w:t>stocks</w:t>
        </w:r>
      </w:hyperlink>
      <w:r w:rsidRPr="004A0CBB">
        <w:rPr>
          <w:rFonts w:eastAsia="Calibri" w:cs="Times New Roman"/>
          <w:sz w:val="16"/>
        </w:rPr>
        <w:t xml:space="preserve"> of leading pharma companies such as Sun Pharma, Cipla and Lupin over the past month. </w:t>
      </w:r>
      <w:r w:rsidRPr="004A0CBB">
        <w:rPr>
          <w:rFonts w:eastAsia="Calibri" w:cs="Times New Roman"/>
          <w:b/>
          <w:u w:val="single"/>
        </w:rPr>
        <w:t>Investors</w:t>
      </w:r>
      <w:r w:rsidRPr="004A0CBB">
        <w:rPr>
          <w:rFonts w:eastAsia="Calibri" w:cs="Times New Roman"/>
          <w:sz w:val="16"/>
        </w:rPr>
        <w:t xml:space="preserve"> seem to be booking short-term profits in these defensive stocks even as pharma companies are </w:t>
      </w:r>
      <w:r w:rsidRPr="004A0CBB">
        <w:rPr>
          <w:rFonts w:eastAsia="Calibri" w:cs="Times New Roman"/>
          <w:b/>
          <w:u w:val="single"/>
        </w:rPr>
        <w:t>expect</w:t>
      </w:r>
      <w:r w:rsidRPr="004A0CBB">
        <w:rPr>
          <w:rFonts w:eastAsia="Calibri" w:cs="Times New Roman"/>
          <w:sz w:val="16"/>
        </w:rPr>
        <w:t xml:space="preserve">ed to </w:t>
      </w:r>
      <w:r w:rsidRPr="004A0CBB">
        <w:rPr>
          <w:rFonts w:eastAsia="Calibri" w:cs="Times New Roman"/>
          <w:b/>
          <w:u w:val="single"/>
        </w:rPr>
        <w:t>continue on the growth trajectory</w:t>
      </w:r>
    </w:p>
    <w:p w:rsidR="00984FEB" w:rsidRDefault="00DA51D8" w:rsidP="00984FEB">
      <w:pPr>
        <w:rPr>
          <w:sz w:val="16"/>
          <w:szCs w:val="16"/>
        </w:rPr>
      </w:pPr>
      <w:hyperlink r:id="rId176" w:history="1">
        <w:r w:rsidR="00984FEB" w:rsidRPr="004A0CBB">
          <w:rPr>
            <w:rFonts w:ascii="Arial" w:eastAsia="Times New Roman" w:hAnsi="Arial" w:cs="Arial"/>
            <w:color w:val="3B4D7B"/>
            <w:sz w:val="16"/>
            <w:szCs w:val="16"/>
            <w:bdr w:val="single" w:sz="6" w:space="2" w:color="CDD5E5" w:frame="1"/>
            <w:shd w:val="clear" w:color="auto" w:fill="EDEEF4"/>
          </w:rPr>
          <w:br/>
        </w:r>
      </w:hyperlink>
    </w:p>
    <w:p w:rsidR="00984FEB" w:rsidRDefault="00984FEB" w:rsidP="00984FEB">
      <w:pPr>
        <w:pStyle w:val="Heading3"/>
      </w:pPr>
      <w:r>
        <w:t>econ turn</w:t>
      </w:r>
    </w:p>
    <w:p w:rsidR="00984FEB" w:rsidRPr="000C1037" w:rsidRDefault="00984FEB" w:rsidP="00984FEB">
      <w:pPr>
        <w:pStyle w:val="Heading4"/>
      </w:pPr>
      <w:r>
        <w:t>Pharmaceutical industry worse for the economy – massive health care costs</w:t>
      </w:r>
    </w:p>
    <w:p w:rsidR="00984FEB" w:rsidRPr="000C1037" w:rsidRDefault="00984FEB" w:rsidP="00984FEB">
      <w:pPr>
        <w:rPr>
          <w:sz w:val="16"/>
          <w:szCs w:val="16"/>
        </w:rPr>
      </w:pPr>
      <w:r w:rsidRPr="000C1037">
        <w:rPr>
          <w:rStyle w:val="StyleStyleBold12pt"/>
        </w:rPr>
        <w:t>ProQuest 14</w:t>
      </w:r>
      <w:r w:rsidRPr="000C1037">
        <w:rPr>
          <w:sz w:val="16"/>
          <w:szCs w:val="16"/>
        </w:rPr>
        <w:t xml:space="preserve"> (Proquest LLC, “Rein In Big Pharma ; Unreasonably High Prescription Drug Prices Are Costing The Country Billions”, Insurance News Net, 7/14/14, http://insurancenewsnet.com/oarticle/2014/07/14/rein-in-big-pharma-unreasonably-high-prescription-drug-prices-are-costing-the--a-529769.html#.U8QCTvldWSo)</w:t>
      </w:r>
    </w:p>
    <w:p w:rsidR="00984FEB" w:rsidRPr="000C1037" w:rsidRDefault="00984FEB" w:rsidP="00984FEB">
      <w:pPr>
        <w:rPr>
          <w:sz w:val="16"/>
          <w:szCs w:val="16"/>
        </w:rPr>
      </w:pPr>
      <w:r w:rsidRPr="000C1037">
        <w:rPr>
          <w:sz w:val="16"/>
          <w:szCs w:val="16"/>
        </w:rPr>
        <w:t>In its landmark report last year on the cost of health care, "Bitter Pill," Time magazine argued that the most effective insurance system in the nation is Medicare. That's because rather than negotiate prices down from hospitals' wildly inflated "chargemasters," as private insurers do, Medicare determines the actual cost of procedures and pays providers based on the averages. But e</w:t>
      </w:r>
      <w:r w:rsidRPr="000C1037">
        <w:rPr>
          <w:rStyle w:val="StyleBoldUnderline"/>
        </w:rPr>
        <w:t>ven Medicare can't control the runaway pricing of prescription drugs</w:t>
      </w:r>
      <w:r w:rsidRPr="000C1037">
        <w:rPr>
          <w:sz w:val="16"/>
          <w:szCs w:val="16"/>
        </w:rPr>
        <w:t xml:space="preserve">. That's evident in a Sunday News story in May that </w:t>
      </w:r>
      <w:r w:rsidRPr="000C1037">
        <w:rPr>
          <w:rStyle w:val="StyleBoldUnderline"/>
        </w:rPr>
        <w:t>found Medicare reimbursed 1,493 doctors and other providers in Lancaster County a total of $96.4 million</w:t>
      </w:r>
      <w:r w:rsidRPr="000C1037">
        <w:rPr>
          <w:sz w:val="16"/>
          <w:szCs w:val="16"/>
        </w:rPr>
        <w:t xml:space="preserve">in 2012 for "Part B" claims -doctor visits, tests and other treatments. At the top of the list of Medicare reimbursements is an ophthalmologist, Dr. Roy D. Brod, who was paid more than $3.3 million in 2012. </w:t>
      </w:r>
      <w:r w:rsidRPr="000C1037">
        <w:rPr>
          <w:rStyle w:val="StyleBoldUnderline"/>
        </w:rPr>
        <w:t>Why does a retina specialist get more Medicare money than any other doctor in the county? Dr. Brod says it's largely because he treats age-related "wet" macular degeneration, or AMD, by injecting a drug called Lucentis</w:t>
      </w:r>
      <w:r w:rsidRPr="000C1037">
        <w:rPr>
          <w:sz w:val="16"/>
          <w:szCs w:val="16"/>
        </w:rPr>
        <w:t xml:space="preserve"> into patients' eyes</w:t>
      </w:r>
      <w:r w:rsidRPr="000C1037">
        <w:rPr>
          <w:rStyle w:val="StyleBoldUnderline"/>
        </w:rPr>
        <w:t>. Lucentis costs $2,000 per dose</w:t>
      </w:r>
      <w:r w:rsidRPr="000C1037">
        <w:rPr>
          <w:sz w:val="16"/>
          <w:szCs w:val="16"/>
        </w:rPr>
        <w:t>. Dr. Brod, like other providers, is reimbursed byMedicare for the cost of the medication, plus 6 percent. That's the hole in the Medicare safety net. As Time pointed out in "Bitter Pill</w:t>
      </w:r>
      <w:r w:rsidRPr="000C1037">
        <w:rPr>
          <w:rStyle w:val="StyleBoldUnderline"/>
        </w:rPr>
        <w:t>," Medicare is blocked by federal law from negotiating prices for prescription drugs. Instead, Medicare must pay the pharmaceutical companies' "average sales price" plus 6 percent</w:t>
      </w:r>
      <w:r w:rsidRPr="000C1037">
        <w:rPr>
          <w:sz w:val="16"/>
          <w:szCs w:val="16"/>
        </w:rPr>
        <w:t xml:space="preserve">. The average price is set by the company not by Medicare. In other words, </w:t>
      </w:r>
      <w:r w:rsidRPr="000C1037">
        <w:rPr>
          <w:rStyle w:val="StyleBoldUnderline"/>
        </w:rPr>
        <w:t>drug companies charge what the market will bear. Increasingly, Americans can't bear the cost. Drug costs in the United States are 50 percent higher for comparable medications than they are in other developed countries</w:t>
      </w:r>
      <w:r w:rsidRPr="000C1037">
        <w:rPr>
          <w:sz w:val="16"/>
          <w:szCs w:val="16"/>
        </w:rPr>
        <w:t xml:space="preserve">, according to a research firm, because unlike other nations, </w:t>
      </w:r>
      <w:r w:rsidRPr="000C1037">
        <w:rPr>
          <w:rStyle w:val="StyleBoldUnderline"/>
        </w:rPr>
        <w:t>the United States does not cap profit margins for Big Pharma</w:t>
      </w:r>
      <w:r w:rsidRPr="000C1037">
        <w:rPr>
          <w:sz w:val="16"/>
          <w:szCs w:val="16"/>
        </w:rPr>
        <w:t xml:space="preserve">. The Time report contends </w:t>
      </w:r>
      <w:r w:rsidRPr="000C1037">
        <w:rPr>
          <w:rStyle w:val="StyleBoldUnderline"/>
        </w:rPr>
        <w:t>the health care system could have saved $94 billion in 2013</w:t>
      </w:r>
      <w:r w:rsidRPr="000C1037">
        <w:rPr>
          <w:sz w:val="16"/>
          <w:szCs w:val="16"/>
        </w:rPr>
        <w:t xml:space="preserve"> off total prescription drug spending of more than $280 billion </w:t>
      </w:r>
      <w:r w:rsidRPr="000C1037">
        <w:rPr>
          <w:rStyle w:val="StyleBoldUnderline"/>
        </w:rPr>
        <w:t>if we paid what other countries do for medicine</w:t>
      </w:r>
      <w:r w:rsidRPr="000C1037">
        <w:rPr>
          <w:sz w:val="16"/>
          <w:szCs w:val="16"/>
        </w:rPr>
        <w:t xml:space="preserve">. That's not the only hole in the Medicare safety net. The federal insurance program for older Americans also can't decide whether one drug is more cost-effective than another. So Medicare has to pay for Lucentis, the $2,000-a-dose drug that prevents AMD, even though Avastin, a cancer medication that is proving to be just about as effective as Lucentis for AMD, costs $50 a dose. Dr. Brod, the ophthalmologist, told the Sunday News that he is starting new patients on Avastin and continuing to administer that drug if it does the job. How many other doctors across the country are similarly concerned about treatment costs? And how much are taxpayers shelling out unnecessarily for overpriced prescription drugs? </w:t>
      </w:r>
      <w:r w:rsidRPr="000C1037">
        <w:rPr>
          <w:rStyle w:val="StyleBoldUnderline"/>
        </w:rPr>
        <w:t>If Congress amended the law to allow Medicare to pay drug manufacturers the same way it reimburses doctors and hospitals, we could save billions in health care costs</w:t>
      </w:r>
      <w:r w:rsidRPr="000C1037">
        <w:rPr>
          <w:sz w:val="16"/>
          <w:szCs w:val="16"/>
        </w:rPr>
        <w:t xml:space="preserve"> for older people. For that matter, </w:t>
      </w:r>
      <w:r w:rsidRPr="000C1037">
        <w:rPr>
          <w:rStyle w:val="StyleBoldUnderline"/>
        </w:rPr>
        <w:t>if Congress had enough backbone to limit profit margins for Big Pharma not to mention for hospitals the whole country's medical bill would be more manageable</w:t>
      </w:r>
      <w:r w:rsidRPr="000C1037">
        <w:rPr>
          <w:sz w:val="16"/>
          <w:szCs w:val="16"/>
        </w:rPr>
        <w:t>. If "Bitter Pill" is right, Medicare does a far better job at holding down health care costs than any private insurer. But Medicare could be even more effective if it had authority to hold down prescription drug costs. Diagnosis: The cost of medicine is making all of us sick.</w:t>
      </w:r>
    </w:p>
    <w:p w:rsidR="00984FEB" w:rsidRDefault="00984FEB" w:rsidP="00984FEB">
      <w:pPr>
        <w:pStyle w:val="Heading3"/>
      </w:pPr>
      <w:r>
        <w:t>environment/bioD turn</w:t>
      </w:r>
    </w:p>
    <w:p w:rsidR="00984FEB" w:rsidRPr="00CD31A1" w:rsidRDefault="00984FEB" w:rsidP="00984FEB">
      <w:pPr>
        <w:pStyle w:val="Heading4"/>
      </w:pPr>
      <w:r w:rsidRPr="00CD31A1">
        <w:t>Disease research leads to overexploitation of species – turns the environment and biodiversity</w:t>
      </w:r>
    </w:p>
    <w:p w:rsidR="00984FEB" w:rsidRPr="003A5A83" w:rsidRDefault="00984FEB" w:rsidP="00984FEB">
      <w:pPr>
        <w:rPr>
          <w:sz w:val="16"/>
          <w:szCs w:val="16"/>
        </w:rPr>
      </w:pPr>
      <w:r w:rsidRPr="003A5A83">
        <w:rPr>
          <w:rStyle w:val="StyleStyleBold12pt"/>
        </w:rPr>
        <w:t>NRC 02</w:t>
      </w:r>
      <w:r w:rsidRPr="003A5A83">
        <w:rPr>
          <w:sz w:val="16"/>
          <w:szCs w:val="16"/>
        </w:rPr>
        <w:t xml:space="preserve"> (National Research Council, “MARINE BIOTECHNOLOGY IN THE TWENTY-FIRST CENTURY”, Committee on Marine Biotechnology: Biomedical Applications of Marine Natural Products Ocean Studies Board Board on Life Sciences Division on Earth and Life Studies National Research Council, 2002, http://worldtracker.org/media/library/Science/Biotechnology/Marine%20Biotechnology%20in%20the%2021st%20Century%20-%20Nrc.pdf)</w:t>
      </w:r>
    </w:p>
    <w:p w:rsidR="00984FEB" w:rsidRPr="00CD31A1" w:rsidRDefault="00984FEB" w:rsidP="00984FEB">
      <w:pPr>
        <w:rPr>
          <w:sz w:val="16"/>
          <w:szCs w:val="16"/>
        </w:rPr>
      </w:pPr>
      <w:r w:rsidRPr="00CD31A1">
        <w:rPr>
          <w:sz w:val="16"/>
          <w:szCs w:val="16"/>
        </w:rPr>
        <w:t xml:space="preserve">Despite a significant human dependence on and concerns for coral reef ecosystems, </w:t>
      </w:r>
      <w:r w:rsidRPr="00CD31A1">
        <w:rPr>
          <w:rStyle w:val="StyleBoldUnderline"/>
        </w:rPr>
        <w:t>compelling scientific evidence indicates that current human use and allocation of reef resources are threatening both the ecological and the social sustainability of these ecosystems</w:t>
      </w:r>
      <w:r w:rsidRPr="00CD31A1">
        <w:rPr>
          <w:sz w:val="16"/>
          <w:szCs w:val="16"/>
        </w:rPr>
        <w:t xml:space="preserve">. Increased harvest pressure is being placed on reef resources to supply subsistence fisheries as well as a growing international demand for reef species for food, traditional medicines, and ornaments. Unfortunately </w:t>
      </w:r>
      <w:r w:rsidRPr="00CD31A1">
        <w:rPr>
          <w:rStyle w:val="StyleBoldUnderline"/>
        </w:rPr>
        <w:t>few countries have sufficient knowledge, financial resources, or technical expertise to develop management plans for the sustainable harvest of reef species, and organisms are often extracted unsustainably for short-term economic gains. Although several coral reef species have yielded potential therapeutic agents, concern about adequate supply for preclinical and clinical studies is a critical issue in the development of new biomedical products</w:t>
      </w:r>
      <w:r w:rsidRPr="00CD31A1">
        <w:rPr>
          <w:sz w:val="16"/>
          <w:szCs w:val="16"/>
        </w:rPr>
        <w:t xml:space="preserve">. </w:t>
      </w:r>
      <w:r w:rsidRPr="00CD31A1">
        <w:rPr>
          <w:rStyle w:val="StyleBoldUnderline"/>
        </w:rPr>
        <w:t>Many of the suitable</w:t>
      </w:r>
      <w:r w:rsidRPr="00CD31A1">
        <w:rPr>
          <w:sz w:val="16"/>
          <w:szCs w:val="16"/>
        </w:rPr>
        <w:t xml:space="preserve"> reef </w:t>
      </w:r>
      <w:r w:rsidRPr="00CD31A1">
        <w:rPr>
          <w:rStyle w:val="StyleBoldUnderline"/>
        </w:rPr>
        <w:t>species have a limited distribution or occur at a low biomass</w:t>
      </w:r>
      <w:r w:rsidRPr="00CD31A1">
        <w:rPr>
          <w:sz w:val="16"/>
          <w:szCs w:val="16"/>
        </w:rPr>
        <w:t xml:space="preserve">. Also, </w:t>
      </w:r>
      <w:r w:rsidRPr="00CD31A1">
        <w:rPr>
          <w:rStyle w:val="StyleBoldUnderline"/>
        </w:rPr>
        <w:t>individuals often contain only trace amounts of the desired compounds; the low yield requires the harvest of substantial biomass, which may lead to depletion of natural populations</w:t>
      </w:r>
      <w:r w:rsidRPr="00CD31A1">
        <w:rPr>
          <w:sz w:val="16"/>
          <w:szCs w:val="16"/>
        </w:rPr>
        <w:t xml:space="preserve"> (Creswell, 1995). Many species extinctions are predicted in the coming decades in response to increasing pressure from human activities and natural disturbances, and the pharmacological potential of coral reefs may be lost. </w:t>
      </w:r>
      <w:r w:rsidRPr="00CD31A1">
        <w:rPr>
          <w:rStyle w:val="StyleBoldUnderline"/>
        </w:rPr>
        <w:t>The continued, largely unregulated, and unsustainable extraction of reef species may have consequences that extend far beyond the overexploitation of these organisms, as their removal may also affect associated species and communities, ecological processes, and even entire ecosystems that are critical to the overall health of the oceans</w:t>
      </w:r>
      <w:r w:rsidRPr="00CD31A1">
        <w:rPr>
          <w:sz w:val="16"/>
          <w:szCs w:val="16"/>
        </w:rPr>
        <w:t>.</w:t>
      </w:r>
    </w:p>
    <w:p w:rsidR="00984FEB" w:rsidRDefault="00984FEB" w:rsidP="00984FEB">
      <w:pPr>
        <w:pStyle w:val="Heading4"/>
      </w:pPr>
      <w:r>
        <w:t>Biomedical research leads to overexploitation absent increased regulations – profit motive kills biodiversity</w:t>
      </w:r>
    </w:p>
    <w:p w:rsidR="00984FEB" w:rsidRPr="003A5A83" w:rsidRDefault="00984FEB" w:rsidP="00984FEB">
      <w:pPr>
        <w:rPr>
          <w:sz w:val="16"/>
          <w:szCs w:val="16"/>
        </w:rPr>
      </w:pPr>
      <w:r w:rsidRPr="003A5A83">
        <w:rPr>
          <w:rStyle w:val="StyleStyleBold12pt"/>
        </w:rPr>
        <w:t>NRC 02</w:t>
      </w:r>
      <w:r w:rsidRPr="003A5A83">
        <w:rPr>
          <w:sz w:val="16"/>
          <w:szCs w:val="16"/>
        </w:rPr>
        <w:t xml:space="preserve"> (National Research Council, “MARINE BIOTECHNOLOGY IN THE TWENTY-FIRST CENTURY”, Committee on Marine Biotechnology: Biomedical Applications of Marine Natural Products Ocean Studies Board Board on Life Sciences Division on Earth and Life Studies National Research Council, 2002, http://worldtracker.org/media/library/Science/Biotechnology/Marine%20Biotechnology%20in%20the%2021st%20Century%20-%20Nrc.pdf)</w:t>
      </w:r>
    </w:p>
    <w:p w:rsidR="00984FEB" w:rsidRPr="00307530" w:rsidRDefault="00984FEB" w:rsidP="00984FEB">
      <w:pPr>
        <w:rPr>
          <w:rStyle w:val="StyleBoldUnderline"/>
        </w:rPr>
      </w:pPr>
      <w:r w:rsidRPr="00307530">
        <w:rPr>
          <w:rStyle w:val="StyleBoldUnderline"/>
        </w:rPr>
        <w:t>An ecosystem approach to manage the collection of</w:t>
      </w:r>
      <w:r w:rsidRPr="00307530">
        <w:rPr>
          <w:sz w:val="16"/>
          <w:szCs w:val="16"/>
        </w:rPr>
        <w:t xml:space="preserve"> benthic reef </w:t>
      </w:r>
      <w:r w:rsidRPr="00307530">
        <w:rPr>
          <w:rStyle w:val="StyleBoldUnderline"/>
        </w:rPr>
        <w:t>species for biomedical research presents numerous challenges, as available information is inadequate on the biology, ecology, and population dynamics of most reef invertebrates</w:t>
      </w:r>
      <w:r w:rsidRPr="00307530">
        <w:rPr>
          <w:sz w:val="16"/>
          <w:szCs w:val="16"/>
        </w:rPr>
        <w:t xml:space="preserve">. Through the development of partnerships among government agencies, commercial pharmaceutical companies, academia, and local communities, research in identification and screening of bioactive compounds can expand, with concurrent efforts directed toward sustainable management approaches. Benefit sharing with source countries can create economic incentives for reef conservation, provided that mechanisms are in place to direct revenues from bioprospecting toward the development of national and regional conservation programs (Verhoosel, 1998). Possible conservation strategies include the development of a system of marine protected areas and studies to catalogue the diversity and status of the resources contained within these areas. Basic research is also needed on the biology of the target species, linkages among coral reef organisms, and ecosystem processes controlling the distribution and abundance of target species. </w:t>
      </w:r>
      <w:r w:rsidRPr="00307530">
        <w:rPr>
          <w:rStyle w:val="StyleBoldUnderline"/>
        </w:rPr>
        <w:t>Finally, a greater emphasis must be placed on coral reef monitoring programs to evaluate harvest impacts and other threats, to provide information needed to establish a sustainable quota, and to adjust management measures in response to new information or subsequent disturbances</w:t>
      </w:r>
      <w:r w:rsidRPr="00307530">
        <w:rPr>
          <w:sz w:val="16"/>
          <w:szCs w:val="16"/>
        </w:rPr>
        <w:t>. Bioprospecting in coral reef environments offers developing countries an opportunity to derive income from the process of natural product research and development and can create economic incentives for biodiversity conservation</w:t>
      </w:r>
      <w:r w:rsidRPr="00307530">
        <w:rPr>
          <w:rStyle w:val="StyleBoldUnderline"/>
        </w:rPr>
        <w:t>. An ecosystem management approach will help prevent overexploitation of reef species, thereby offering a continual source of new products. However, additional strategies may be needed to reduce demand when a species is shown to contain valuable bioactive metabolites</w:t>
      </w:r>
      <w:r w:rsidRPr="00307530">
        <w:rPr>
          <w:sz w:val="16"/>
          <w:szCs w:val="16"/>
        </w:rPr>
        <w:t xml:space="preserve">. In previous instances, </w:t>
      </w:r>
      <w:r w:rsidRPr="00307530">
        <w:rPr>
          <w:rStyle w:val="StyleBoldUnderline"/>
        </w:rPr>
        <w:t>up to 1 kilogram of</w:t>
      </w:r>
      <w:r>
        <w:rPr>
          <w:rStyle w:val="StyleBoldUnderline"/>
        </w:rPr>
        <w:t xml:space="preserve"> </w:t>
      </w:r>
      <w:r w:rsidRPr="00307530">
        <w:rPr>
          <w:rStyle w:val="StyleBoldUnderline"/>
        </w:rPr>
        <w:t>a bioactive metabolite was necessary for clinical evaluation, and a more intensive, longer-term harvest may be required to support commercial production</w:t>
      </w:r>
      <w:r w:rsidRPr="00307530">
        <w:rPr>
          <w:sz w:val="16"/>
          <w:szCs w:val="16"/>
        </w:rPr>
        <w:t xml:space="preserve"> (Duckworth, 2001). Mass pro duction of the target organism through captive-breeding or mariculture may provide a consistent alternative supply without requiring sophistimted equipment for harvest or harvest techniques that are suitable for environmentally sensitive reef environments. Species in demand for the aquarium trade, live reef food-fish markets, and other seafood, and a variety of invertebrates as sources of bioactive compounds, are promising new species for intensive farming. Technology is also being applied to replenish and enhance wild stocks (Bell and Gervis, 1999). There is a growing awareness of the risks associated with mariculture (e.g., introduction of diseases or invasive species, dilution of gene pools and increased biological interactions with other species), but sustainable mariculture can be achieved with responsible application of technology and the use of indigenous species. Selective husbandry and other well-defined mariculture protocols may prcr vide a new tool to improve the yield and quality of bioactive compounds, further reducing the number of individuals needed to provide large quantities of metabolites. Benefit sharing with source countries is a critical step that can provide the financial incentive for field research and monitoring, development of appropriate management strategies that promote sustainable use, and expanded mariculture efforts. </w:t>
      </w:r>
      <w:r w:rsidRPr="00307530">
        <w:rPr>
          <w:rStyle w:val="StyleBoldUnderline"/>
        </w:rPr>
        <w:t>Coral reef resources with important biomedical applications have the critical character of being renewable, at least when they are properly managed. Coral reef organisms that are abused can also become extinct, and potential medical benefits from these species will be lost forever.</w:t>
      </w:r>
    </w:p>
    <w:p w:rsidR="00984FEB" w:rsidRDefault="00984FEB" w:rsidP="00984FEB">
      <w:pPr>
        <w:pStyle w:val="Heading3"/>
      </w:pPr>
      <w:r>
        <w:t>no impact – disease</w:t>
      </w: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No extinction – diseases favor limited lethality and medicine will check</w:t>
      </w:r>
    </w:p>
    <w:p w:rsidR="00984FEB" w:rsidRPr="004A0CBB" w:rsidRDefault="00984FEB" w:rsidP="00984FEB">
      <w:pPr>
        <w:contextualSpacing/>
        <w:rPr>
          <w:rFonts w:eastAsia="Calibri" w:cs="Times New Roman"/>
        </w:rPr>
      </w:pPr>
      <w:r w:rsidRPr="004A0CBB">
        <w:rPr>
          <w:rFonts w:eastAsia="Calibri" w:cs="Times New Roman"/>
          <w:b/>
          <w:bCs/>
        </w:rPr>
        <w:t>Posner 2004</w:t>
      </w:r>
      <w:r w:rsidRPr="004A0CBB">
        <w:rPr>
          <w:rFonts w:eastAsia="Calibri" w:cs="Times New Roman"/>
          <w:sz w:val="18"/>
        </w:rPr>
        <w:t xml:space="preserve"> </w:t>
      </w:r>
      <w:r w:rsidRPr="004A0CBB">
        <w:rPr>
          <w:rFonts w:eastAsia="Calibri" w:cs="Times New Roman"/>
          <w:sz w:val="16"/>
        </w:rPr>
        <w:t>(Richard Posner, Judge at the US Court of Appeals, Catastrophe: Risk and Response, p. 22-24)//NR</w:t>
      </w:r>
    </w:p>
    <w:p w:rsidR="00984FEB" w:rsidRPr="004A0CBB" w:rsidRDefault="00984FEB" w:rsidP="00984FEB">
      <w:pPr>
        <w:contextualSpacing/>
        <w:rPr>
          <w:rFonts w:eastAsia="Calibri" w:cs="Times New Roman"/>
          <w:sz w:val="16"/>
        </w:rPr>
      </w:pPr>
      <w:r w:rsidRPr="004A0CBB">
        <w:rPr>
          <w:rFonts w:eastAsia="Calibri" w:cs="Times New Roman"/>
          <w:sz w:val="16"/>
        </w:rPr>
        <w:t xml:space="preserve">Yet the fact that </w:t>
      </w:r>
      <w:r w:rsidRPr="00557640">
        <w:rPr>
          <w:rFonts w:eastAsia="Calibri" w:cs="Times New Roman"/>
          <w:bCs/>
          <w:szCs w:val="26"/>
          <w:highlight w:val="green"/>
          <w:u w:val="single"/>
        </w:rPr>
        <w:t>Homo sapiens has managed to survive</w:t>
      </w:r>
      <w:r w:rsidRPr="00557640">
        <w:rPr>
          <w:rFonts w:eastAsia="Calibri" w:cs="Times New Roman"/>
          <w:sz w:val="16"/>
          <w:highlight w:val="green"/>
        </w:rPr>
        <w:t xml:space="preserve"> </w:t>
      </w:r>
      <w:r w:rsidRPr="00557640">
        <w:rPr>
          <w:rFonts w:eastAsia="Calibri" w:cs="Times New Roman"/>
          <w:b/>
          <w:bCs/>
          <w:szCs w:val="26"/>
          <w:highlight w:val="green"/>
          <w:u w:val="single"/>
        </w:rPr>
        <w:t>every disease</w:t>
      </w:r>
      <w:r w:rsidRPr="004A0CBB">
        <w:rPr>
          <w:rFonts w:eastAsia="Calibri" w:cs="Times New Roman"/>
          <w:sz w:val="16"/>
        </w:rPr>
        <w:t xml:space="preserve"> to assail it </w:t>
      </w:r>
      <w:r w:rsidRPr="004A0CBB">
        <w:rPr>
          <w:rFonts w:eastAsia="Calibri" w:cs="Times New Roman"/>
          <w:bCs/>
          <w:szCs w:val="26"/>
          <w:u w:val="single"/>
        </w:rPr>
        <w:t>in the 200,000 years</w:t>
      </w:r>
      <w:r w:rsidRPr="004A0CBB">
        <w:rPr>
          <w:rFonts w:eastAsia="Calibri" w:cs="Times New Roman"/>
          <w:sz w:val="16"/>
        </w:rPr>
        <w:t xml:space="preserve"> or so </w:t>
      </w:r>
      <w:r w:rsidRPr="004A0CBB">
        <w:rPr>
          <w:rFonts w:eastAsia="Calibri" w:cs="Times New Roman"/>
          <w:bCs/>
          <w:szCs w:val="26"/>
          <w:u w:val="single"/>
        </w:rPr>
        <w:t>of its existence</w:t>
      </w:r>
      <w:r w:rsidRPr="004A0CBB">
        <w:rPr>
          <w:rFonts w:eastAsia="Calibri" w:cs="Times New Roman"/>
          <w:sz w:val="16"/>
        </w:rPr>
        <w:t xml:space="preserve"> is a source of genuine comfort, at least if the focus is on extinction events. </w:t>
      </w:r>
      <w:r w:rsidRPr="004A0CBB">
        <w:rPr>
          <w:rFonts w:eastAsia="Calibri" w:cs="Times New Roman"/>
          <w:bCs/>
          <w:szCs w:val="26"/>
          <w:u w:val="single"/>
        </w:rPr>
        <w:t>There have been</w:t>
      </w:r>
      <w:r w:rsidRPr="004A0CBB">
        <w:rPr>
          <w:rFonts w:eastAsia="Calibri" w:cs="Times New Roman"/>
          <w:sz w:val="16"/>
        </w:rPr>
        <w:t xml:space="preserve"> enormously destructive plagues, such as the </w:t>
      </w:r>
      <w:r w:rsidRPr="00557640">
        <w:rPr>
          <w:rFonts w:eastAsia="Calibri" w:cs="Times New Roman"/>
          <w:bCs/>
          <w:szCs w:val="26"/>
          <w:highlight w:val="green"/>
          <w:u w:val="single"/>
        </w:rPr>
        <w:t>Black Death, smallpox, and</w:t>
      </w:r>
      <w:r w:rsidRPr="004A0CBB">
        <w:rPr>
          <w:rFonts w:eastAsia="Calibri" w:cs="Times New Roman"/>
          <w:sz w:val="16"/>
        </w:rPr>
        <w:t xml:space="preserve"> now </w:t>
      </w:r>
      <w:r w:rsidRPr="00557640">
        <w:rPr>
          <w:rFonts w:eastAsia="Calibri" w:cs="Times New Roman"/>
          <w:bCs/>
          <w:szCs w:val="26"/>
          <w:highlight w:val="green"/>
          <w:u w:val="single"/>
        </w:rPr>
        <w:t>AIDS</w:t>
      </w:r>
      <w:r w:rsidRPr="004A0CBB">
        <w:rPr>
          <w:rFonts w:eastAsia="Calibri" w:cs="Times New Roman"/>
          <w:sz w:val="16"/>
        </w:rPr>
        <w:t xml:space="preserve">, but </w:t>
      </w:r>
      <w:r w:rsidRPr="00557640">
        <w:rPr>
          <w:rFonts w:eastAsia="Calibri" w:cs="Times New Roman"/>
          <w:b/>
          <w:bCs/>
          <w:szCs w:val="26"/>
          <w:highlight w:val="green"/>
          <w:u w:val="single"/>
        </w:rPr>
        <w:t>none has come close</w:t>
      </w:r>
      <w:r w:rsidRPr="00557640">
        <w:rPr>
          <w:rFonts w:eastAsia="Calibri" w:cs="Times New Roman"/>
          <w:sz w:val="16"/>
          <w:highlight w:val="green"/>
        </w:rPr>
        <w:t xml:space="preserve"> </w:t>
      </w:r>
      <w:r w:rsidRPr="00557640">
        <w:rPr>
          <w:rFonts w:eastAsia="Calibri" w:cs="Times New Roman"/>
          <w:bCs/>
          <w:szCs w:val="26"/>
          <w:highlight w:val="green"/>
          <w:u w:val="single"/>
        </w:rPr>
        <w:t>to destroying the entire</w:t>
      </w:r>
      <w:r w:rsidRPr="004A0CBB">
        <w:rPr>
          <w:rFonts w:eastAsia="Calibri" w:cs="Times New Roman"/>
          <w:bCs/>
          <w:szCs w:val="26"/>
          <w:u w:val="single"/>
        </w:rPr>
        <w:t xml:space="preserve"> human </w:t>
      </w:r>
      <w:r w:rsidRPr="00557640">
        <w:rPr>
          <w:rFonts w:eastAsia="Calibri" w:cs="Times New Roman"/>
          <w:bCs/>
          <w:szCs w:val="26"/>
          <w:highlight w:val="green"/>
          <w:u w:val="single"/>
        </w:rPr>
        <w:t>race</w:t>
      </w:r>
      <w:r w:rsidRPr="00557640">
        <w:rPr>
          <w:rFonts w:eastAsia="Calibri" w:cs="Times New Roman"/>
          <w:sz w:val="16"/>
          <w:highlight w:val="green"/>
        </w:rPr>
        <w:t>.</w:t>
      </w:r>
      <w:r w:rsidRPr="004A0CBB">
        <w:rPr>
          <w:rFonts w:eastAsia="Calibri" w:cs="Times New Roman"/>
          <w:sz w:val="16"/>
        </w:rPr>
        <w:t xml:space="preserve"> </w:t>
      </w:r>
      <w:r w:rsidRPr="004A0CBB">
        <w:rPr>
          <w:rFonts w:eastAsia="Calibri" w:cs="Times New Roman"/>
          <w:bCs/>
          <w:szCs w:val="26"/>
          <w:u w:val="single"/>
        </w:rPr>
        <w:t>There is a biological reason</w:t>
      </w:r>
      <w:r w:rsidRPr="004A0CBB">
        <w:rPr>
          <w:rFonts w:eastAsia="Calibri" w:cs="Times New Roman"/>
          <w:sz w:val="16"/>
        </w:rPr>
        <w:t xml:space="preserve">. </w:t>
      </w:r>
      <w:r w:rsidRPr="00557640">
        <w:rPr>
          <w:rFonts w:eastAsia="Calibri" w:cs="Times New Roman"/>
          <w:bCs/>
          <w:szCs w:val="26"/>
          <w:highlight w:val="green"/>
          <w:u w:val="single"/>
        </w:rPr>
        <w:t>Natural selection favors germs of</w:t>
      </w:r>
      <w:r w:rsidRPr="00557640">
        <w:rPr>
          <w:rFonts w:eastAsia="Calibri" w:cs="Times New Roman"/>
          <w:sz w:val="16"/>
          <w:highlight w:val="green"/>
        </w:rPr>
        <w:t xml:space="preserve"> </w:t>
      </w:r>
      <w:r w:rsidRPr="00557640">
        <w:rPr>
          <w:rFonts w:eastAsia="Calibri" w:cs="Times New Roman"/>
          <w:b/>
          <w:bCs/>
          <w:szCs w:val="26"/>
          <w:highlight w:val="green"/>
          <w:u w:val="single"/>
        </w:rPr>
        <w:t>limited lethality</w:t>
      </w:r>
      <w:r w:rsidRPr="004A0CBB">
        <w:rPr>
          <w:rFonts w:eastAsia="Calibri" w:cs="Times New Roman"/>
          <w:sz w:val="16"/>
        </w:rPr>
        <w:t xml:space="preserve">;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w:t>
      </w:r>
      <w:r w:rsidRPr="004A0CBB">
        <w:rPr>
          <w:rFonts w:eastAsia="Calibri" w:cs="Times New Roman"/>
          <w:bCs/>
          <w:szCs w:val="26"/>
          <w:u w:val="single"/>
        </w:rPr>
        <w:t xml:space="preserve">The </w:t>
      </w:r>
      <w:r w:rsidRPr="00557640">
        <w:rPr>
          <w:rFonts w:eastAsia="Calibri" w:cs="Times New Roman"/>
          <w:bCs/>
          <w:szCs w:val="26"/>
          <w:highlight w:val="green"/>
          <w:u w:val="single"/>
        </w:rPr>
        <w:t>likelihood of a</w:t>
      </w:r>
      <w:r w:rsidRPr="004A0CBB">
        <w:rPr>
          <w:rFonts w:eastAsia="Calibri" w:cs="Times New Roman"/>
          <w:sz w:val="16"/>
        </w:rPr>
        <w:t xml:space="preserve"> natural </w:t>
      </w:r>
      <w:r w:rsidRPr="00557640">
        <w:rPr>
          <w:rFonts w:eastAsia="Calibri" w:cs="Times New Roman"/>
          <w:bCs/>
          <w:szCs w:val="26"/>
          <w:highlight w:val="green"/>
          <w:u w:val="single"/>
        </w:rPr>
        <w:t>pandemic that would cause</w:t>
      </w:r>
      <w:r w:rsidRPr="004A0CBB">
        <w:rPr>
          <w:rFonts w:eastAsia="Calibri" w:cs="Times New Roman"/>
          <w:sz w:val="16"/>
        </w:rPr>
        <w:t xml:space="preserve"> the </w:t>
      </w:r>
      <w:r w:rsidRPr="00557640">
        <w:rPr>
          <w:rFonts w:eastAsia="Calibri" w:cs="Times New Roman"/>
          <w:bCs/>
          <w:szCs w:val="26"/>
          <w:highlight w:val="green"/>
          <w:u w:val="single"/>
        </w:rPr>
        <w:t>extinction</w:t>
      </w:r>
      <w:r w:rsidRPr="00557640">
        <w:rPr>
          <w:rFonts w:eastAsia="Calibri" w:cs="Times New Roman"/>
          <w:sz w:val="16"/>
        </w:rPr>
        <w:t xml:space="preserve"> of</w:t>
      </w:r>
      <w:r w:rsidRPr="004A0CBB">
        <w:rPr>
          <w:rFonts w:eastAsia="Calibri" w:cs="Times New Roman"/>
          <w:sz w:val="16"/>
        </w:rPr>
        <w:t xml:space="preserve"> the human race </w:t>
      </w:r>
      <w:r w:rsidRPr="00557640">
        <w:rPr>
          <w:rFonts w:eastAsia="Calibri" w:cs="Times New Roman"/>
          <w:bCs/>
          <w:szCs w:val="26"/>
          <w:highlight w:val="green"/>
          <w:u w:val="single"/>
        </w:rPr>
        <w:t>is</w:t>
      </w:r>
      <w:r w:rsidRPr="004A0CBB">
        <w:rPr>
          <w:rFonts w:eastAsia="Calibri" w:cs="Times New Roman"/>
          <w:sz w:val="16"/>
        </w:rPr>
        <w:t xml:space="preserve"> probably </w:t>
      </w:r>
      <w:r w:rsidRPr="00557640">
        <w:rPr>
          <w:rFonts w:eastAsia="Calibri" w:cs="Times New Roman"/>
          <w:b/>
          <w:bCs/>
          <w:szCs w:val="26"/>
          <w:highlight w:val="green"/>
          <w:u w:val="single"/>
        </w:rPr>
        <w:t>even less today</w:t>
      </w:r>
      <w:r w:rsidRPr="00557640">
        <w:rPr>
          <w:rFonts w:eastAsia="Calibri" w:cs="Times New Roman"/>
          <w:sz w:val="16"/>
          <w:highlight w:val="green"/>
        </w:rPr>
        <w:t xml:space="preserve"> </w:t>
      </w:r>
      <w:r w:rsidRPr="00557640">
        <w:rPr>
          <w:rFonts w:eastAsia="Calibri" w:cs="Times New Roman"/>
          <w:bCs/>
          <w:szCs w:val="26"/>
          <w:highlight w:val="green"/>
          <w:u w:val="single"/>
        </w:rPr>
        <w:t>than</w:t>
      </w:r>
      <w:r w:rsidRPr="00557640">
        <w:rPr>
          <w:rFonts w:eastAsia="Calibri" w:cs="Times New Roman"/>
          <w:sz w:val="16"/>
          <w:highlight w:val="green"/>
        </w:rPr>
        <w:t xml:space="preserve"> </w:t>
      </w:r>
      <w:r w:rsidRPr="00557640">
        <w:rPr>
          <w:rFonts w:eastAsia="Calibri" w:cs="Times New Roman"/>
          <w:bCs/>
          <w:szCs w:val="26"/>
          <w:highlight w:val="green"/>
          <w:u w:val="single"/>
        </w:rPr>
        <w:t>in the past</w:t>
      </w:r>
      <w:r w:rsidRPr="004A0CBB">
        <w:rPr>
          <w:rFonts w:eastAsia="Calibri" w:cs="Times New Roman"/>
          <w:sz w:val="16"/>
        </w:rPr>
        <w:t xml:space="preserve"> (except in prehistoric times, when people lived in small, scattered bands, which would have limited the spread of disease), </w:t>
      </w:r>
      <w:r w:rsidRPr="004A0CBB">
        <w:rPr>
          <w:rFonts w:eastAsia="Calibri" w:cs="Times New Roman"/>
          <w:bCs/>
          <w:szCs w:val="26"/>
          <w:u w:val="single"/>
        </w:rPr>
        <w:t>despite wider</w:t>
      </w:r>
      <w:r w:rsidRPr="004A0CBB">
        <w:rPr>
          <w:rFonts w:eastAsia="Calibri" w:cs="Times New Roman"/>
          <w:sz w:val="16"/>
        </w:rPr>
        <w:t xml:space="preserve"> human </w:t>
      </w:r>
      <w:r w:rsidRPr="004A0CBB">
        <w:rPr>
          <w:rFonts w:eastAsia="Calibri" w:cs="Times New Roman"/>
          <w:bCs/>
          <w:szCs w:val="26"/>
          <w:u w:val="single"/>
        </w:rPr>
        <w:t>contacts</w:t>
      </w:r>
      <w:r w:rsidRPr="004A0CBB">
        <w:rPr>
          <w:rFonts w:eastAsia="Calibri" w:cs="Times New Roman"/>
          <w:sz w:val="16"/>
        </w:rPr>
        <w:t xml:space="preserve"> that make it more difficult to localize an infectious disease. </w:t>
      </w:r>
      <w:r w:rsidRPr="004A0CBB">
        <w:rPr>
          <w:rFonts w:eastAsia="Calibri" w:cs="Times New Roman"/>
          <w:bCs/>
          <w:szCs w:val="26"/>
          <w:u w:val="single"/>
        </w:rPr>
        <w:t>The</w:t>
      </w:r>
      <w:r w:rsidRPr="004A0CBB">
        <w:rPr>
          <w:rFonts w:eastAsia="Calibri" w:cs="Times New Roman"/>
          <w:sz w:val="16"/>
        </w:rPr>
        <w:t xml:space="preserve"> </w:t>
      </w:r>
      <w:r w:rsidRPr="004A0CBB">
        <w:rPr>
          <w:rFonts w:eastAsia="Calibri" w:cs="Times New Roman"/>
          <w:bCs/>
          <w:szCs w:val="26"/>
          <w:u w:val="single"/>
        </w:rPr>
        <w:t>reason is improvements in medical science</w:t>
      </w:r>
      <w:r w:rsidRPr="004A0CBB">
        <w:rPr>
          <w:rFonts w:eastAsia="Calibri" w:cs="Times New Roman"/>
          <w:sz w:val="16"/>
        </w:rPr>
        <w:t>. But the comfort is a small one. Pandemics can still impose enormous losses and resist prevention and cure: the lesson of the AIDS pandemic. And there is always a lust time.</w:t>
      </w:r>
    </w:p>
    <w:p w:rsidR="00984FEB" w:rsidRPr="004A0CBB" w:rsidRDefault="00984FEB" w:rsidP="00984FEB">
      <w:pPr>
        <w:contextualSpacing/>
        <w:rPr>
          <w:rFonts w:eastAsia="Calibri" w:cs="Times New Roman"/>
          <w:sz w:val="16"/>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Burn out stops disease</w:t>
      </w:r>
    </w:p>
    <w:p w:rsidR="00984FEB" w:rsidRPr="004A0CBB" w:rsidRDefault="00984FEB" w:rsidP="00984FEB">
      <w:pPr>
        <w:contextualSpacing/>
        <w:rPr>
          <w:rFonts w:eastAsia="Calibri" w:cs="Times New Roman"/>
        </w:rPr>
      </w:pPr>
      <w:r w:rsidRPr="004A0CBB">
        <w:rPr>
          <w:rFonts w:eastAsia="Calibri" w:cs="Times New Roman"/>
          <w:b/>
          <w:bCs/>
        </w:rPr>
        <w:t>Lederberg 1999</w:t>
      </w:r>
      <w:r w:rsidRPr="004A0CBB">
        <w:rPr>
          <w:rFonts w:eastAsia="Calibri" w:cs="Times New Roman"/>
          <w:sz w:val="18"/>
        </w:rPr>
        <w:t xml:space="preserve"> </w:t>
      </w:r>
      <w:r w:rsidRPr="004A0CBB">
        <w:rPr>
          <w:rFonts w:eastAsia="Calibri" w:cs="Times New Roman"/>
          <w:sz w:val="16"/>
        </w:rPr>
        <w:t>(Joshua Lederberg, Professor of Genetics at Stanford University School of Medicine, Epidemic The World of Infectious Disease, p. 13)//NR</w:t>
      </w:r>
    </w:p>
    <w:p w:rsidR="00984FEB" w:rsidRPr="004A0CBB" w:rsidRDefault="00984FEB" w:rsidP="00984FEB">
      <w:pPr>
        <w:contextualSpacing/>
        <w:rPr>
          <w:rFonts w:eastAsia="Calibri" w:cs="Times New Roman"/>
          <w:sz w:val="16"/>
        </w:rPr>
      </w:pPr>
      <w:r w:rsidRPr="004A0CBB">
        <w:rPr>
          <w:rFonts w:eastAsia="Calibri" w:cs="Times New Roman"/>
          <w:sz w:val="16"/>
        </w:rPr>
        <w:t xml:space="preserve">The toll of the fourteenth-century plague, the "Black Death," was closer to one third. If the bugs' potential to develop adaptations that could kill us off were the whole story, we would not be here. However, with very rare exceptions, our </w:t>
      </w:r>
      <w:r w:rsidRPr="004A0CBB">
        <w:rPr>
          <w:rFonts w:eastAsia="Calibri" w:cs="Times New Roman"/>
          <w:bCs/>
          <w:sz w:val="20"/>
          <w:u w:val="single"/>
        </w:rPr>
        <w:t xml:space="preserve">microbial adversaries have a </w:t>
      </w:r>
      <w:r w:rsidRPr="004A0CBB">
        <w:rPr>
          <w:rFonts w:eastAsia="Calibri" w:cs="Times New Roman"/>
          <w:b/>
          <w:bCs/>
          <w:sz w:val="20"/>
          <w:u w:val="single"/>
        </w:rPr>
        <w:t>shared interest</w:t>
      </w:r>
      <w:r w:rsidRPr="004A0CBB">
        <w:rPr>
          <w:rFonts w:eastAsia="Calibri" w:cs="Times New Roman"/>
          <w:bCs/>
          <w:sz w:val="20"/>
          <w:u w:val="single"/>
        </w:rPr>
        <w:t xml:space="preserve"> in our survival</w:t>
      </w:r>
      <w:r w:rsidRPr="004A0CBB">
        <w:rPr>
          <w:rFonts w:eastAsia="Calibri" w:cs="Times New Roman"/>
          <w:sz w:val="16"/>
        </w:rPr>
        <w:t xml:space="preserve">. Almost </w:t>
      </w:r>
      <w:r w:rsidRPr="00557640">
        <w:rPr>
          <w:rFonts w:eastAsia="Calibri" w:cs="Times New Roman"/>
          <w:bCs/>
          <w:sz w:val="20"/>
          <w:highlight w:val="green"/>
          <w:u w:val="single"/>
        </w:rPr>
        <w:t xml:space="preserve">any pathogen comes to a </w:t>
      </w:r>
      <w:r w:rsidRPr="00557640">
        <w:rPr>
          <w:rFonts w:eastAsia="Calibri" w:cs="Times New Roman"/>
          <w:b/>
          <w:bCs/>
          <w:sz w:val="20"/>
          <w:highlight w:val="green"/>
          <w:u w:val="single"/>
        </w:rPr>
        <w:t>dead end</w:t>
      </w:r>
      <w:r w:rsidRPr="00557640">
        <w:rPr>
          <w:rFonts w:eastAsia="Calibri" w:cs="Times New Roman"/>
          <w:bCs/>
          <w:sz w:val="20"/>
          <w:highlight w:val="green"/>
          <w:u w:val="single"/>
        </w:rPr>
        <w:t xml:space="preserve"> when we</w:t>
      </w:r>
      <w:r w:rsidRPr="004A0CBB">
        <w:rPr>
          <w:rFonts w:eastAsia="Calibri" w:cs="Times New Roman"/>
          <w:bCs/>
          <w:sz w:val="20"/>
          <w:u w:val="single"/>
        </w:rPr>
        <w:t xml:space="preserve"> die; it first has to communicate itself to another host in order to survive. So historically, </w:t>
      </w:r>
      <w:r w:rsidRPr="00557640">
        <w:rPr>
          <w:rFonts w:eastAsia="Calibri" w:cs="Times New Roman"/>
          <w:bCs/>
          <w:sz w:val="20"/>
          <w:highlight w:val="green"/>
          <w:u w:val="single"/>
        </w:rPr>
        <w:t xml:space="preserve">the really severe host- pathogen interactions have resulted in a </w:t>
      </w:r>
      <w:r w:rsidRPr="00557640">
        <w:rPr>
          <w:rFonts w:eastAsia="Calibri" w:cs="Times New Roman"/>
          <w:b/>
          <w:bCs/>
          <w:sz w:val="20"/>
          <w:highlight w:val="green"/>
          <w:u w:val="single"/>
        </w:rPr>
        <w:t>wipeout</w:t>
      </w:r>
      <w:r w:rsidRPr="00557640">
        <w:rPr>
          <w:rFonts w:eastAsia="Calibri" w:cs="Times New Roman"/>
          <w:bCs/>
          <w:sz w:val="20"/>
          <w:highlight w:val="green"/>
          <w:u w:val="single"/>
        </w:rPr>
        <w:t xml:space="preserve"> of </w:t>
      </w:r>
      <w:r w:rsidRPr="00557640">
        <w:rPr>
          <w:rFonts w:eastAsia="Calibri" w:cs="Times New Roman"/>
          <w:b/>
          <w:bCs/>
          <w:sz w:val="20"/>
          <w:highlight w:val="green"/>
          <w:u w:val="single"/>
        </w:rPr>
        <w:t>both</w:t>
      </w:r>
      <w:r w:rsidRPr="00557640">
        <w:rPr>
          <w:rFonts w:eastAsia="Calibri" w:cs="Times New Roman"/>
          <w:bCs/>
          <w:sz w:val="20"/>
          <w:highlight w:val="green"/>
          <w:u w:val="single"/>
        </w:rPr>
        <w:t xml:space="preserve"> host and pathogen</w:t>
      </w:r>
      <w:r w:rsidRPr="004A0CBB">
        <w:rPr>
          <w:rFonts w:eastAsia="Calibri" w:cs="Times New Roman"/>
          <w:sz w:val="16"/>
        </w:rPr>
        <w:t xml:space="preserve">. We humans are still here because, so far, the </w:t>
      </w:r>
      <w:r w:rsidRPr="004A0CBB">
        <w:rPr>
          <w:rFonts w:eastAsia="Calibri" w:cs="Times New Roman"/>
          <w:bCs/>
          <w:sz w:val="20"/>
          <w:u w:val="single"/>
        </w:rPr>
        <w:t>pathogens</w:t>
      </w:r>
      <w:r w:rsidRPr="004A0CBB">
        <w:rPr>
          <w:rFonts w:eastAsia="Calibri" w:cs="Times New Roman"/>
          <w:sz w:val="16"/>
        </w:rPr>
        <w:t xml:space="preserve"> that have attacked us have willy-nilly </w:t>
      </w:r>
      <w:r w:rsidRPr="004A0CBB">
        <w:rPr>
          <w:rFonts w:eastAsia="Calibri" w:cs="Times New Roman"/>
          <w:bCs/>
          <w:sz w:val="20"/>
          <w:u w:val="single"/>
        </w:rPr>
        <w:t>had an interest in our survival</w:t>
      </w:r>
      <w:r w:rsidRPr="004A0CBB">
        <w:rPr>
          <w:rFonts w:eastAsia="Calibri" w:cs="Times New Roman"/>
          <w:sz w:val="20"/>
          <w:u w:val="single"/>
        </w:rPr>
        <w:t xml:space="preserve">. </w:t>
      </w:r>
      <w:r w:rsidRPr="004A0CBB">
        <w:rPr>
          <w:rFonts w:eastAsia="Calibri" w:cs="Times New Roman"/>
          <w:sz w:val="16"/>
        </w:rPr>
        <w:t>This is a very delicate balance, and it is easily disturbed, often in the wake of large-scale ecological upsets.</w:t>
      </w:r>
    </w:p>
    <w:p w:rsidR="00984FEB" w:rsidRDefault="00984FEB" w:rsidP="00984FEB"/>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No impact to disease</w:t>
      </w:r>
    </w:p>
    <w:p w:rsidR="00984FEB" w:rsidRPr="004A0CBB" w:rsidRDefault="00984FEB" w:rsidP="00984FEB">
      <w:pPr>
        <w:rPr>
          <w:rFonts w:eastAsia="Calibri" w:cs="Times New Roman"/>
        </w:rPr>
      </w:pPr>
      <w:r w:rsidRPr="004A0CBB">
        <w:rPr>
          <w:rFonts w:eastAsia="Calibri" w:cs="Times New Roman"/>
          <w:b/>
          <w:bCs/>
        </w:rPr>
        <w:t>Brooks 2012</w:t>
      </w:r>
      <w:r w:rsidRPr="004A0CBB">
        <w:rPr>
          <w:rFonts w:eastAsia="Calibri" w:cs="Times New Roman"/>
          <w:sz w:val="18"/>
        </w:rPr>
        <w:t xml:space="preserve"> </w:t>
      </w:r>
      <w:r w:rsidRPr="004A0CBB">
        <w:rPr>
          <w:rFonts w:eastAsia="Calibri" w:cs="Times New Roman"/>
          <w:sz w:val="16"/>
        </w:rPr>
        <w:t>(Michael Brooks, Consultant for New Scientist, “Deep future: Why we'll still be here,” New Scientist, Volume 213, Issue 2854, March, p. 36–37, Science Direct)//NR</w:t>
      </w:r>
    </w:p>
    <w:p w:rsidR="00984FEB" w:rsidRPr="004A0CBB" w:rsidRDefault="00984FEB" w:rsidP="00984FEB">
      <w:pPr>
        <w:rPr>
          <w:rFonts w:eastAsia="Calibri" w:cs="Times New Roman"/>
        </w:rPr>
      </w:pPr>
      <w:r w:rsidRPr="004A0CBB">
        <w:rPr>
          <w:rFonts w:eastAsia="Calibri" w:cs="Times New Roman"/>
          <w:b/>
          <w:u w:val="single"/>
        </w:rPr>
        <w:t>We are also unlikely to be extinguished by a killer virus pandemic</w:t>
      </w:r>
      <w:r w:rsidRPr="004A0CBB">
        <w:rPr>
          <w:rFonts w:eastAsia="Calibri" w:cs="Times New Roman"/>
        </w:rPr>
        <w:t xml:space="preserve">. </w:t>
      </w:r>
      <w:r w:rsidRPr="004A0CBB">
        <w:rPr>
          <w:rFonts w:eastAsia="Calibri" w:cs="Times New Roman"/>
          <w:b/>
          <w:u w:val="single"/>
        </w:rPr>
        <w:t>The worst pandemics occur when a new strain of flu</w:t>
      </w:r>
      <w:r w:rsidRPr="004A0CBB">
        <w:rPr>
          <w:rFonts w:eastAsia="Calibri" w:cs="Times New Roman"/>
        </w:rPr>
        <w:t xml:space="preserve"> virus </w:t>
      </w:r>
      <w:r w:rsidRPr="004A0CBB">
        <w:rPr>
          <w:rFonts w:eastAsia="Calibri" w:cs="Times New Roman"/>
          <w:b/>
          <w:u w:val="single"/>
        </w:rPr>
        <w:t>spreads</w:t>
      </w:r>
      <w:r w:rsidRPr="004A0CBB">
        <w:rPr>
          <w:rFonts w:eastAsia="Calibri" w:cs="Times New Roman"/>
        </w:rPr>
        <w:t xml:space="preserve"> across the globe. </w:t>
      </w:r>
      <w:r w:rsidRPr="004A0CBB">
        <w:rPr>
          <w:rFonts w:eastAsia="Calibri" w:cs="Times New Roman"/>
          <w:b/>
          <w:u w:val="single"/>
        </w:rPr>
        <w:t>In this scenario people have no immunity</w:t>
      </w:r>
      <w:r w:rsidRPr="004A0CBB">
        <w:rPr>
          <w:rFonts w:eastAsia="Calibri" w:cs="Times New Roman"/>
        </w:rPr>
        <w:t xml:space="preserve">, </w:t>
      </w:r>
      <w:r w:rsidRPr="004A0CBB">
        <w:rPr>
          <w:rFonts w:eastAsia="Calibri" w:cs="Times New Roman"/>
          <w:b/>
          <w:u w:val="single"/>
        </w:rPr>
        <w:t>leaving</w:t>
      </w:r>
      <w:r w:rsidRPr="004A0CBB">
        <w:rPr>
          <w:rFonts w:eastAsia="Calibri" w:cs="Times New Roman"/>
        </w:rPr>
        <w:t xml:space="preserve"> large </w:t>
      </w:r>
      <w:r w:rsidRPr="004A0CBB">
        <w:rPr>
          <w:rFonts w:eastAsia="Calibri" w:cs="Times New Roman"/>
          <w:b/>
          <w:u w:val="single"/>
        </w:rPr>
        <w:t>populations exposed</w:t>
      </w:r>
      <w:r w:rsidRPr="004A0CBB">
        <w:rPr>
          <w:rFonts w:eastAsia="Calibri" w:cs="Times New Roman"/>
        </w:rPr>
        <w:t xml:space="preserve">. </w:t>
      </w:r>
      <w:r w:rsidRPr="004A0CBB">
        <w:rPr>
          <w:rFonts w:eastAsia="Calibri" w:cs="Times New Roman"/>
          <w:b/>
          <w:u w:val="single"/>
        </w:rPr>
        <w:t>Four such events have occurred</w:t>
      </w:r>
      <w:r w:rsidRPr="004A0CBB">
        <w:rPr>
          <w:rFonts w:eastAsia="Calibri" w:cs="Times New Roman"/>
        </w:rPr>
        <w:t xml:space="preserve"> in the last 100 years – </w:t>
      </w:r>
      <w:r w:rsidRPr="004A0CBB">
        <w:rPr>
          <w:rFonts w:eastAsia="Calibri" w:cs="Times New Roman"/>
          <w:b/>
          <w:u w:val="single"/>
        </w:rPr>
        <w:t>the worst</w:t>
      </w:r>
      <w:r w:rsidRPr="004A0CBB">
        <w:rPr>
          <w:rFonts w:eastAsia="Calibri" w:cs="Times New Roman"/>
        </w:rPr>
        <w:t xml:space="preserve">, the 1918 flu pandemic, </w:t>
      </w:r>
      <w:r w:rsidRPr="004A0CBB">
        <w:rPr>
          <w:rFonts w:eastAsia="Calibri" w:cs="Times New Roman"/>
          <w:b/>
          <w:u w:val="single"/>
        </w:rPr>
        <w:t xml:space="preserve">killed </w:t>
      </w:r>
      <w:r w:rsidRPr="004A0CBB">
        <w:rPr>
          <w:rFonts w:eastAsia="Calibri" w:cs="Times New Roman"/>
          <w:b/>
          <w:iCs/>
          <w:u w:val="single"/>
          <w:bdr w:val="single" w:sz="18" w:space="0" w:color="auto"/>
        </w:rPr>
        <w:t>less than 6 per cent of the world's population</w:t>
      </w:r>
      <w:r w:rsidRPr="004A0CBB">
        <w:rPr>
          <w:rFonts w:eastAsia="Calibri" w:cs="Times New Roman"/>
        </w:rPr>
        <w:t xml:space="preserve">. </w:t>
      </w:r>
      <w:r w:rsidRPr="004A0CBB">
        <w:rPr>
          <w:rFonts w:eastAsia="Calibri" w:cs="Times New Roman"/>
          <w:b/>
          <w:u w:val="single"/>
        </w:rPr>
        <w:t>More will come</w:t>
      </w:r>
      <w:r w:rsidRPr="004A0CBB">
        <w:rPr>
          <w:rFonts w:eastAsia="Calibri" w:cs="Times New Roman"/>
        </w:rPr>
        <w:t xml:space="preserve">, </w:t>
      </w:r>
      <w:r w:rsidRPr="004A0CBB">
        <w:rPr>
          <w:rFonts w:eastAsia="Calibri" w:cs="Times New Roman"/>
          <w:b/>
          <w:u w:val="single"/>
        </w:rPr>
        <w:t>but disease-led extinctions of an entire species only occur when the population is confined to a small area, such as an island</w:t>
      </w:r>
      <w:r w:rsidRPr="004A0CBB">
        <w:rPr>
          <w:rFonts w:eastAsia="Calibri" w:cs="Times New Roman"/>
        </w:rPr>
        <w:t xml:space="preserve">. A severe outbreak will kill many millions but </w:t>
      </w:r>
      <w:r w:rsidRPr="004A0CBB">
        <w:rPr>
          <w:rFonts w:eastAsia="Calibri" w:cs="Times New Roman"/>
          <w:b/>
          <w:iCs/>
          <w:u w:val="single"/>
          <w:bdr w:val="single" w:sz="18" w:space="0" w:color="auto"/>
        </w:rPr>
        <w:t>there is no compelling reason to think any future virus mutations will trigger our total demise</w:t>
      </w:r>
      <w:r w:rsidRPr="004A0CBB">
        <w:rPr>
          <w:rFonts w:eastAsia="Calibri" w:cs="Times New Roman"/>
        </w:rPr>
        <w:t>.</w:t>
      </w:r>
    </w:p>
    <w:p w:rsidR="00984FEB" w:rsidRPr="004A0CBB" w:rsidRDefault="00984FEB" w:rsidP="00984FEB">
      <w:pPr>
        <w:rPr>
          <w:rFonts w:eastAsia="Calibri" w:cs="Times New Roman"/>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No extinction- disease would have to be extremely durable, stealthy, and contagious- that doesn’t happen</w:t>
      </w:r>
    </w:p>
    <w:p w:rsidR="00984FEB" w:rsidRPr="004A0CBB" w:rsidRDefault="00984FEB" w:rsidP="00984FEB">
      <w:pPr>
        <w:rPr>
          <w:rFonts w:eastAsia="Calibri" w:cs="Times New Roman"/>
        </w:rPr>
      </w:pPr>
      <w:r w:rsidRPr="004A0CBB">
        <w:rPr>
          <w:rFonts w:eastAsia="Calibri" w:cs="Times New Roman"/>
          <w:b/>
          <w:bCs/>
        </w:rPr>
        <w:t>Gladwell 1999</w:t>
      </w:r>
      <w:r w:rsidRPr="004A0CBB">
        <w:rPr>
          <w:rFonts w:eastAsia="Calibri" w:cs="Times New Roman"/>
          <w:sz w:val="18"/>
        </w:rPr>
        <w:t xml:space="preserve"> </w:t>
      </w:r>
      <w:r w:rsidRPr="004A0CBB">
        <w:rPr>
          <w:rFonts w:eastAsia="Calibri" w:cs="Times New Roman"/>
          <w:sz w:val="16"/>
        </w:rPr>
        <w:t>(Malcolm Gladwell, The New Republic, July 17 and 24, 1995, excerpted in “Epidemics: Opposing Viewpoints”, p. 31-32)//NR</w:t>
      </w:r>
    </w:p>
    <w:p w:rsidR="00984FEB" w:rsidRPr="004A0CBB" w:rsidRDefault="00984FEB" w:rsidP="00984FEB">
      <w:pPr>
        <w:rPr>
          <w:rFonts w:eastAsia="Calibri" w:cs="Times New Roman"/>
          <w:sz w:val="20"/>
          <w:u w:val="single"/>
        </w:rPr>
      </w:pPr>
      <w:r w:rsidRPr="004A0CBB">
        <w:rPr>
          <w:rFonts w:eastAsia="Calibri" w:cs="Times New Roman"/>
          <w:sz w:val="16"/>
        </w:rPr>
        <w:t xml:space="preserve">Every infectious agent that has ever plagued humanity has had to adapt a specific strategy but </w:t>
      </w:r>
      <w:r w:rsidRPr="004A0CBB">
        <w:rPr>
          <w:rFonts w:eastAsia="Calibri" w:cs="Times New Roman"/>
          <w:sz w:val="20"/>
          <w:u w:val="single"/>
        </w:rPr>
        <w:t>every strategy carries a corresponding cost</w:t>
      </w:r>
      <w:r w:rsidRPr="004A0CBB">
        <w:rPr>
          <w:rFonts w:eastAsia="Calibri" w:cs="Times New Roman"/>
          <w:sz w:val="16"/>
        </w:rPr>
        <w:t xml:space="preserve"> and </w:t>
      </w:r>
      <w:r w:rsidRPr="004A0CBB">
        <w:rPr>
          <w:rFonts w:eastAsia="Calibri" w:cs="Times New Roman"/>
          <w:sz w:val="20"/>
          <w:u w:val="single"/>
        </w:rPr>
        <w:t>this makes human counterattack possible</w:t>
      </w:r>
      <w:r w:rsidRPr="004A0CBB">
        <w:rPr>
          <w:rFonts w:eastAsia="Calibri" w:cs="Times New Roman"/>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4A0CBB">
        <w:rPr>
          <w:rFonts w:eastAsia="Calibri" w:cs="Times New Roman"/>
          <w:bCs/>
          <w:sz w:val="20"/>
          <w:u w:val="single"/>
        </w:rPr>
        <w:t>Any microbe capable of wiping us all out would have to be everything at once</w:t>
      </w:r>
      <w:r w:rsidRPr="004A0CBB">
        <w:rPr>
          <w:rFonts w:eastAsia="Calibri" w:cs="Times New Roman"/>
          <w:sz w:val="20"/>
          <w:u w:val="single"/>
        </w:rPr>
        <w:t xml:space="preserve">: as contagious as flue, as durable as the cold, as lethal as Ebola, as stealthy as HIV and so doggedly resistant to mutation that it would stay deadly over the course of a long epidemic. </w:t>
      </w:r>
      <w:r w:rsidRPr="004A0CBB">
        <w:rPr>
          <w:rFonts w:eastAsia="Calibri" w:cs="Times New Roman"/>
          <w:bCs/>
          <w:sz w:val="20"/>
          <w:u w:val="single"/>
        </w:rPr>
        <w:t>But viruses are not</w:t>
      </w:r>
      <w:r w:rsidRPr="004A0CBB">
        <w:rPr>
          <w:rFonts w:eastAsia="Calibri" w:cs="Times New Roman"/>
          <w:sz w:val="16"/>
        </w:rPr>
        <w:t xml:space="preserve">, well, </w:t>
      </w:r>
      <w:r w:rsidRPr="004A0CBB">
        <w:rPr>
          <w:rFonts w:eastAsia="Calibri" w:cs="Times New Roman"/>
          <w:bCs/>
          <w:sz w:val="20"/>
          <w:u w:val="single"/>
        </w:rPr>
        <w:t>superhuman. They cannot do</w:t>
      </w:r>
      <w:r w:rsidRPr="004A0CBB">
        <w:rPr>
          <w:rFonts w:eastAsia="Calibri" w:cs="Times New Roman"/>
          <w:sz w:val="20"/>
          <w:u w:val="single"/>
        </w:rPr>
        <w:t xml:space="preserve"> </w:t>
      </w:r>
      <w:r w:rsidRPr="004A0CBB">
        <w:rPr>
          <w:rFonts w:eastAsia="Calibri" w:cs="Times New Roman"/>
          <w:bCs/>
          <w:sz w:val="20"/>
          <w:u w:val="single"/>
        </w:rPr>
        <w:t>everything at once</w:t>
      </w:r>
      <w:r w:rsidRPr="004A0CBB">
        <w:rPr>
          <w:rFonts w:eastAsia="Calibri" w:cs="Times New Roman"/>
          <w:sz w:val="16"/>
        </w:rPr>
        <w:t xml:space="preserve">. It is one of the ironies of the analysis of </w:t>
      </w:r>
      <w:r w:rsidRPr="004A0CBB">
        <w:rPr>
          <w:rFonts w:eastAsia="Calibri" w:cs="Times New Roman"/>
          <w:bCs/>
          <w:sz w:val="20"/>
          <w:u w:val="single"/>
        </w:rPr>
        <w:t>alarmists</w:t>
      </w:r>
      <w:r w:rsidRPr="004A0CBB">
        <w:rPr>
          <w:rFonts w:eastAsia="Calibri" w:cs="Times New Roman"/>
          <w:sz w:val="16"/>
        </w:rPr>
        <w:t xml:space="preserve"> such as Preston that they are all too willing to point out the limitations of human beings, but they </w:t>
      </w:r>
      <w:r w:rsidRPr="004A0CBB">
        <w:rPr>
          <w:rFonts w:eastAsia="Calibri" w:cs="Times New Roman"/>
          <w:bCs/>
          <w:sz w:val="20"/>
          <w:u w:val="single"/>
        </w:rPr>
        <w:t>neglect</w:t>
      </w:r>
      <w:r w:rsidRPr="004A0CBB">
        <w:rPr>
          <w:rFonts w:eastAsia="Calibri" w:cs="Times New Roman"/>
          <w:sz w:val="20"/>
          <w:u w:val="single"/>
        </w:rPr>
        <w:t xml:space="preserve"> to point out </w:t>
      </w:r>
      <w:r w:rsidRPr="004A0CBB">
        <w:rPr>
          <w:rFonts w:eastAsia="Calibri" w:cs="Times New Roman"/>
          <w:bCs/>
          <w:sz w:val="20"/>
          <w:u w:val="single"/>
        </w:rPr>
        <w:t xml:space="preserve">the </w:t>
      </w:r>
      <w:r w:rsidRPr="004A0CBB">
        <w:rPr>
          <w:rFonts w:eastAsia="Calibri" w:cs="Times New Roman"/>
          <w:b/>
          <w:bCs/>
          <w:sz w:val="20"/>
          <w:u w:val="single"/>
        </w:rPr>
        <w:t>limitations</w:t>
      </w:r>
      <w:r w:rsidRPr="004A0CBB">
        <w:rPr>
          <w:rFonts w:eastAsia="Calibri" w:cs="Times New Roman"/>
          <w:bCs/>
          <w:sz w:val="20"/>
          <w:u w:val="single"/>
        </w:rPr>
        <w:t xml:space="preserve"> of microscopic life forms</w:t>
      </w:r>
      <w:r w:rsidRPr="004A0CBB">
        <w:rPr>
          <w:rFonts w:eastAsia="Calibri" w:cs="Times New Roman"/>
          <w:sz w:val="20"/>
          <w:u w:val="single"/>
        </w:rPr>
        <w:t>.</w:t>
      </w: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No specie has ever died from disease</w:t>
      </w:r>
    </w:p>
    <w:p w:rsidR="00984FEB" w:rsidRPr="004A0CBB" w:rsidRDefault="00984FEB" w:rsidP="00984FEB">
      <w:pPr>
        <w:rPr>
          <w:rFonts w:eastAsia="Calibri" w:cs="Times New Roman"/>
        </w:rPr>
      </w:pPr>
      <w:r w:rsidRPr="004A0CBB">
        <w:rPr>
          <w:rFonts w:eastAsia="Calibri" w:cs="Times New Roman"/>
          <w:b/>
          <w:bCs/>
        </w:rPr>
        <w:t>Regis 1997</w:t>
      </w:r>
      <w:r w:rsidRPr="004A0CBB">
        <w:rPr>
          <w:rFonts w:eastAsia="Calibri" w:cs="Times New Roman"/>
          <w:sz w:val="18"/>
        </w:rPr>
        <w:t xml:space="preserve"> </w:t>
      </w:r>
      <w:r w:rsidRPr="004A0CBB">
        <w:rPr>
          <w:rFonts w:eastAsia="Calibri" w:cs="Times New Roman"/>
        </w:rPr>
        <w:t>(Ed Regis, author, 1997. “Pathogens of Glory”, New York Times, 5-18, Lexis)//NR</w:t>
      </w:r>
    </w:p>
    <w:p w:rsidR="00984FEB" w:rsidRPr="004A0CBB" w:rsidRDefault="00984FEB" w:rsidP="00984FEB">
      <w:pPr>
        <w:rPr>
          <w:rFonts w:eastAsia="Calibri" w:cs="Times New Roman"/>
          <w:sz w:val="16"/>
        </w:rPr>
      </w:pPr>
      <w:r w:rsidRPr="004A0CBB">
        <w:rPr>
          <w:rFonts w:eastAsia="Calibri" w:cs="Times New Roman"/>
          <w:sz w:val="16"/>
        </w:rPr>
        <w:t xml:space="preserve">Despite such horrific effects, Dr. </w:t>
      </w:r>
      <w:r w:rsidRPr="004A0CBB">
        <w:rPr>
          <w:rFonts w:eastAsia="Calibri" w:cs="Times New Roman"/>
          <w:szCs w:val="24"/>
          <w:u w:val="single"/>
        </w:rPr>
        <w:t xml:space="preserve">Peters </w:t>
      </w:r>
      <w:r w:rsidRPr="004A0CBB">
        <w:rPr>
          <w:rFonts w:eastAsia="Calibri" w:cs="Times New Roman"/>
          <w:sz w:val="16"/>
        </w:rPr>
        <w:t xml:space="preserve">is fairly anti-apocalyptic when it comes to the ultimate import of viruses. </w:t>
      </w:r>
      <w:r w:rsidRPr="004A0CBB">
        <w:rPr>
          <w:rFonts w:eastAsia="Calibri" w:cs="Times New Roman"/>
          <w:szCs w:val="24"/>
          <w:u w:val="single"/>
        </w:rPr>
        <w:t>Challenging the widespread perception that exotic viruses are doomsday agents bent on wiping out the human species</w:t>
      </w:r>
      <w:r w:rsidRPr="004A0CBB">
        <w:rPr>
          <w:rFonts w:eastAsia="Calibri" w:cs="Times New Roman"/>
          <w:sz w:val="16"/>
        </w:rPr>
        <w:t xml:space="preserve">, he </w:t>
      </w:r>
      <w:r w:rsidRPr="004A0CBB">
        <w:rPr>
          <w:rFonts w:eastAsia="Calibri" w:cs="Times New Roman"/>
          <w:szCs w:val="24"/>
          <w:u w:val="single"/>
        </w:rPr>
        <w:t xml:space="preserve">notes that "we have not documented that viruses have wiped out </w:t>
      </w:r>
      <w:r w:rsidRPr="004A0CBB">
        <w:rPr>
          <w:rFonts w:eastAsia="Calibri" w:cs="Times New Roman"/>
          <w:b/>
          <w:szCs w:val="24"/>
          <w:u w:val="single"/>
          <w:bdr w:val="single" w:sz="4" w:space="0" w:color="auto"/>
        </w:rPr>
        <w:t>any</w:t>
      </w:r>
      <w:r w:rsidRPr="004A0CBB">
        <w:rPr>
          <w:rFonts w:eastAsia="Calibri" w:cs="Times New Roman"/>
          <w:szCs w:val="24"/>
          <w:u w:val="single"/>
        </w:rPr>
        <w:t xml:space="preserve"> species." As for the notion that we're surrounded by "new" diseases that never before existed, he claims that "most new diseases turn out to be old diseases</w:t>
      </w:r>
      <w:r w:rsidRPr="004A0CBB">
        <w:rPr>
          <w:rFonts w:eastAsia="Calibri" w:cs="Times New Roman"/>
          <w:sz w:val="16"/>
        </w:rPr>
        <w:t xml:space="preserve">"; one type of hantavirus infection, he suggests, goes back to A.D. 960. And in contrast to the popular belief that viral epidemics result from mankind's destruction of the environment, Dr. Peters shows how the elimination of a viral host's habitat can eradicate a killer virus and prevent future epidemics. This is what happened when the Aswan Dam, completed in 1971, destroyed the floodwater habitat of the Aedes aegypti mosquitoes, carriers of Rift Valley fever virus: "After the Aswan Dam was constructed, there was no more alluvial flooding. . . . Without a floodwater mosquito, the virus can't maintain itself over the long haul. . . . By 1980, Rift Valley fever had essentially disappeared in Egypt." Still, Dr. Peters isn't totally averse to doomsday thinking, and in his final chapter he lays out his own fictional disease scenario, in which a mystery virus from Australia suddenly breaks out in a Bangkok slum. Throw in Malthus, chaos theory and the high mutation rates of RNA viruses, and soon he's got the world teetering on the brink of viral holocaust in the finest Hollywood tradition. But he doesn't know quite what to make of his own scenario. He offers "one valid, simplified equation to describe what we can expect from viruses in the future": mutating viruses plus a changing ecology plus increasing human mobility add up to more and worse infectious diseases. Two pages later, though, he says that "it is impossible to gauge how the actions of man will impact on emerging infectious diseases." If that is true, it discredits the very equation he's given us. In the end, he presents no clear or consistent picture of the overall threat posed by the viruses he discusses. </w:t>
      </w:r>
      <w:r w:rsidRPr="004A0CBB">
        <w:rPr>
          <w:rFonts w:eastAsia="Calibri" w:cs="Times New Roman"/>
          <w:szCs w:val="24"/>
          <w:u w:val="single"/>
        </w:rPr>
        <w:t xml:space="preserve">The empirical fact of the matter is that today's most glamorous viruses -- Marburg and Ebola -- have killed </w:t>
      </w:r>
      <w:r w:rsidRPr="004A0CBB">
        <w:rPr>
          <w:rFonts w:eastAsia="Calibri" w:cs="Times New Roman"/>
          <w:b/>
          <w:szCs w:val="24"/>
          <w:u w:val="single"/>
        </w:rPr>
        <w:t>minuscule numbers</w:t>
      </w:r>
      <w:r w:rsidRPr="004A0CBB">
        <w:rPr>
          <w:rFonts w:eastAsia="Calibri" w:cs="Times New Roman"/>
          <w:szCs w:val="24"/>
          <w:u w:val="single"/>
        </w:rPr>
        <w:t xml:space="preserve"> of people compared with the staggering death rates of pathogens that go back to disease antiquity</w:t>
      </w:r>
      <w:r w:rsidRPr="004A0CBB">
        <w:rPr>
          <w:rFonts w:eastAsia="Calibri" w:cs="Times New Roman"/>
          <w:sz w:val="16"/>
        </w:rPr>
        <w:t xml:space="preserve">. Marburg virus, discovered in 1967, has been known to kill just 10 people in its 30-year history; Ebola has killed approximately 800 in the 20 years since it appeared in 1976. By contrast, malaria, an ancient illness, still kills a worldwide average of one million people annually -- more than 2,700 per day. </w:t>
      </w:r>
      <w:r w:rsidRPr="004A0CBB">
        <w:rPr>
          <w:rFonts w:eastAsia="Calibri" w:cs="Times New Roman"/>
          <w:szCs w:val="24"/>
          <w:u w:val="single"/>
        </w:rPr>
        <w:t>More than three times as many people die of malaria every day than have been killed by Ebola virus in all of history. Yet it's Ebola that people find "scary</w:t>
      </w:r>
      <w:r w:rsidRPr="004A0CBB">
        <w:rPr>
          <w:rFonts w:eastAsia="Calibri" w:cs="Times New Roman"/>
          <w:sz w:val="16"/>
        </w:rPr>
        <w:t>"!</w:t>
      </w:r>
    </w:p>
    <w:p w:rsidR="00984FEB" w:rsidRPr="004A0CBB" w:rsidRDefault="00984FEB" w:rsidP="00984FEB">
      <w:pPr>
        <w:rPr>
          <w:rFonts w:eastAsia="Calibri" w:cs="Times New Roman"/>
        </w:rPr>
      </w:pP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Humans will adapt</w:t>
      </w:r>
    </w:p>
    <w:p w:rsidR="00984FEB" w:rsidRPr="004A0CBB" w:rsidRDefault="00984FEB" w:rsidP="00984FEB">
      <w:pPr>
        <w:rPr>
          <w:rFonts w:eastAsia="Calibri" w:cs="Times New Roman"/>
          <w:sz w:val="16"/>
        </w:rPr>
      </w:pPr>
      <w:r w:rsidRPr="004A0CBB">
        <w:rPr>
          <w:rFonts w:eastAsia="Calibri" w:cs="Times New Roman"/>
          <w:b/>
          <w:bCs/>
        </w:rPr>
        <w:t>Gladwell 1995</w:t>
      </w:r>
      <w:r w:rsidRPr="004A0CBB">
        <w:rPr>
          <w:rFonts w:eastAsia="Calibri" w:cs="Times New Roman"/>
          <w:sz w:val="18"/>
        </w:rPr>
        <w:t xml:space="preserve"> </w:t>
      </w:r>
      <w:r w:rsidRPr="004A0CBB">
        <w:rPr>
          <w:rFonts w:eastAsia="Calibri" w:cs="Times New Roman"/>
          <w:sz w:val="16"/>
        </w:rPr>
        <w:t>(Malcolm Gladwell, The New Republic, July 17. “Excerpted in Epidemics: Opposing Viewpoints”, p. 29)//NR</w:t>
      </w:r>
    </w:p>
    <w:p w:rsidR="00984FEB" w:rsidRPr="004A0CBB" w:rsidRDefault="00984FEB" w:rsidP="00984FEB">
      <w:pPr>
        <w:rPr>
          <w:rFonts w:eastAsia="Calibri" w:cs="Times New Roman"/>
          <w:u w:val="single"/>
        </w:rPr>
      </w:pPr>
      <w:r w:rsidRPr="004A0CBB">
        <w:rPr>
          <w:rFonts w:eastAsia="Calibri" w:cs="Times New Roman"/>
        </w:rPr>
        <w:t xml:space="preserve">In Plagues and Peoples, which appeared in 1977. William MeNeill pointed out that…while man’s efforts to “remodel” his environment are sometimes a source of new disease. They are seldom a source of serious epidemic disease. Quite the opposite. </w:t>
      </w:r>
      <w:r w:rsidRPr="004A0CBB">
        <w:rPr>
          <w:rFonts w:eastAsia="Calibri" w:cs="Times New Roman"/>
          <w:u w:val="single"/>
        </w:rPr>
        <w:t>As humans and new microorganisms interact, they</w:t>
      </w:r>
      <w:r w:rsidRPr="004A0CBB">
        <w:rPr>
          <w:rFonts w:eastAsia="Calibri" w:cs="Times New Roman"/>
        </w:rPr>
        <w:t xml:space="preserve"> begin to </w:t>
      </w:r>
      <w:r w:rsidRPr="004A0CBB">
        <w:rPr>
          <w:rFonts w:eastAsia="Calibri" w:cs="Times New Roman"/>
          <w:u w:val="single"/>
        </w:rPr>
        <w:t>accommodate each other.</w:t>
      </w:r>
      <w:r w:rsidRPr="004A0CBB">
        <w:rPr>
          <w:rFonts w:eastAsia="Calibri" w:cs="Times New Roman"/>
        </w:rPr>
        <w:t xml:space="preserve"> </w:t>
      </w:r>
      <w:r w:rsidRPr="004A0CBB">
        <w:rPr>
          <w:rFonts w:eastAsia="Calibri" w:cs="Times New Roman"/>
          <w:bCs/>
          <w:szCs w:val="26"/>
          <w:u w:val="single"/>
        </w:rPr>
        <w:t>Human populations</w:t>
      </w:r>
      <w:r w:rsidRPr="004A0CBB">
        <w:rPr>
          <w:rFonts w:eastAsia="Calibri" w:cs="Times New Roman"/>
        </w:rPr>
        <w:t xml:space="preserve"> slowly </w:t>
      </w:r>
      <w:r w:rsidRPr="004A0CBB">
        <w:rPr>
          <w:rFonts w:eastAsia="Calibri" w:cs="Times New Roman"/>
          <w:u w:val="single"/>
        </w:rPr>
        <w:t>build</w:t>
      </w:r>
      <w:r w:rsidRPr="004A0CBB">
        <w:rPr>
          <w:rFonts w:eastAsia="Calibri" w:cs="Times New Roman"/>
        </w:rPr>
        <w:t xml:space="preserve"> up </w:t>
      </w:r>
      <w:r w:rsidRPr="004A0CBB">
        <w:rPr>
          <w:rFonts w:eastAsia="Calibri" w:cs="Times New Roman"/>
          <w:u w:val="single"/>
        </w:rPr>
        <w:t>resistance to</w:t>
      </w:r>
      <w:r w:rsidRPr="004A0CBB">
        <w:rPr>
          <w:rFonts w:eastAsia="Calibri" w:cs="Times New Roman"/>
        </w:rPr>
        <w:t xml:space="preserve"> circulating </w:t>
      </w:r>
      <w:r w:rsidRPr="004A0CBB">
        <w:rPr>
          <w:rFonts w:eastAsia="Calibri" w:cs="Times New Roman"/>
          <w:u w:val="single"/>
        </w:rPr>
        <w:t>infections. What were once virulent infections</w:t>
      </w:r>
      <w:r w:rsidRPr="004A0CBB">
        <w:rPr>
          <w:rFonts w:eastAsia="Calibri" w:cs="Times New Roman"/>
        </w:rPr>
        <w:t xml:space="preserve">, such as syphilis </w:t>
      </w:r>
      <w:r w:rsidRPr="004A0CBB">
        <w:rPr>
          <w:rFonts w:eastAsia="Calibri" w:cs="Times New Roman"/>
          <w:u w:val="single"/>
        </w:rPr>
        <w:t xml:space="preserve">become attenuated. Over time, diseases of adults, </w:t>
      </w:r>
      <w:r w:rsidRPr="004A0CBB">
        <w:rPr>
          <w:rFonts w:eastAsia="Calibri" w:cs="Times New Roman"/>
        </w:rPr>
        <w:t xml:space="preserve">such as measles and chicken pox, </w:t>
      </w:r>
      <w:r w:rsidRPr="004A0CBB">
        <w:rPr>
          <w:rFonts w:eastAsia="Calibri" w:cs="Times New Roman"/>
          <w:u w:val="single"/>
        </w:rPr>
        <w:t>become limited to children, whose immune systems are still naïve.</w:t>
      </w:r>
    </w:p>
    <w:p w:rsidR="00984FEB" w:rsidRPr="004A0CBB" w:rsidRDefault="00984FEB" w:rsidP="00984FEB">
      <w:pPr>
        <w:rPr>
          <w:rFonts w:eastAsia="Calibri" w:cs="Times New Roman"/>
        </w:rPr>
      </w:pPr>
    </w:p>
    <w:p w:rsidR="00984FEB" w:rsidRPr="004A0CBB" w:rsidRDefault="00984FEB" w:rsidP="00984FEB">
      <w:pPr>
        <w:keepNext/>
        <w:keepLines/>
        <w:spacing w:before="40"/>
        <w:outlineLvl w:val="3"/>
        <w:rPr>
          <w:rFonts w:eastAsia="Times New Roman" w:cs="Times New Roman"/>
          <w:b/>
          <w:iCs/>
          <w:sz w:val="26"/>
          <w:lang w:eastAsia="ko-KR"/>
        </w:rPr>
      </w:pPr>
      <w:r w:rsidRPr="004A0CBB">
        <w:rPr>
          <w:rFonts w:eastAsia="Times New Roman" w:cs="Times New Roman"/>
          <w:b/>
          <w:iCs/>
          <w:sz w:val="26"/>
          <w:lang w:eastAsia="ko-KR"/>
        </w:rPr>
        <w:t>Quarantines check extinction</w:t>
      </w:r>
    </w:p>
    <w:p w:rsidR="00984FEB" w:rsidRPr="004A0CBB" w:rsidRDefault="00984FEB" w:rsidP="00984FEB">
      <w:pPr>
        <w:rPr>
          <w:rFonts w:eastAsia="Calibri" w:cs="Times New Roman"/>
          <w:b/>
        </w:rPr>
      </w:pPr>
      <w:r w:rsidRPr="004A0CBB">
        <w:rPr>
          <w:rFonts w:eastAsia="Calibri" w:cs="Times New Roman"/>
          <w:b/>
          <w:bCs/>
        </w:rPr>
        <w:t>Pharma Investments</w:t>
      </w:r>
      <w:r w:rsidRPr="004A0CBB">
        <w:rPr>
          <w:rFonts w:eastAsia="Calibri" w:cs="Times New Roman"/>
          <w:sz w:val="12"/>
          <w:szCs w:val="16"/>
        </w:rPr>
        <w:t xml:space="preserve"> </w:t>
      </w:r>
      <w:r w:rsidRPr="004A0CBB">
        <w:rPr>
          <w:rFonts w:eastAsia="Calibri" w:cs="Times New Roman"/>
          <w:b/>
          <w:bCs/>
        </w:rPr>
        <w:t>2005</w:t>
      </w:r>
      <w:r w:rsidRPr="004A0CBB">
        <w:rPr>
          <w:rFonts w:eastAsia="Calibri" w:cs="Times New Roman"/>
          <w:sz w:val="12"/>
          <w:szCs w:val="16"/>
        </w:rPr>
        <w:t xml:space="preserve"> </w:t>
      </w:r>
      <w:r w:rsidRPr="004A0CBB">
        <w:rPr>
          <w:rFonts w:eastAsia="Calibri" w:cs="Times New Roman"/>
          <w:sz w:val="16"/>
          <w:szCs w:val="16"/>
        </w:rPr>
        <w:t xml:space="preserve">(Pharma Investments, analyst group on pharmaceutical industry, 2005. “SARS; </w:t>
      </w:r>
      <w:bookmarkStart w:id="3" w:name="HIT_1"/>
      <w:bookmarkStart w:id="4" w:name="ORIGHIT_1"/>
      <w:bookmarkEnd w:id="3"/>
      <w:bookmarkEnd w:id="4"/>
      <w:r w:rsidRPr="004A0CBB">
        <w:rPr>
          <w:rFonts w:eastAsia="Calibri" w:cs="Times New Roman"/>
          <w:sz w:val="16"/>
          <w:szCs w:val="16"/>
        </w:rPr>
        <w:t>Quarantine is cost saving and effective in containing emerging infections” Lexis)//NR</w:t>
      </w:r>
    </w:p>
    <w:p w:rsidR="00984FEB" w:rsidRPr="004A0CBB" w:rsidRDefault="00984FEB" w:rsidP="00984FEB">
      <w:pPr>
        <w:rPr>
          <w:rFonts w:eastAsia="Calibri" w:cs="Times New Roman"/>
          <w:sz w:val="16"/>
          <w:szCs w:val="16"/>
        </w:rPr>
      </w:pPr>
      <w:r w:rsidRPr="004A0CBB">
        <w:rPr>
          <w:rFonts w:eastAsia="Calibri" w:cs="Times New Roman"/>
          <w:u w:val="single"/>
          <w:lang w:eastAsia="ko-KR"/>
        </w:rPr>
        <w:t>Quarantine is cost saving and effective in containing emerging infections</w:t>
      </w:r>
      <w:r w:rsidRPr="004A0CBB">
        <w:rPr>
          <w:rFonts w:eastAsia="Calibri" w:cs="Times New Roman"/>
          <w:sz w:val="16"/>
          <w:szCs w:val="16"/>
        </w:rPr>
        <w:t xml:space="preserve">. "Over time, </w:t>
      </w:r>
      <w:r w:rsidRPr="004A0CBB">
        <w:rPr>
          <w:rFonts w:eastAsia="Calibri" w:cs="Times New Roman"/>
          <w:u w:val="single"/>
          <w:lang w:eastAsia="ko-KR"/>
        </w:rPr>
        <w:t>quarantine has become a classic public health intervention and has been used repeatedly when newly emerging infectious diseases have threatened to spread throughout a population. "Here, we weigh the economic costs and benefits associated with implementing widespread quarantine in Toronto during the SARS outbreaks of 2003</w:t>
      </w:r>
      <w:r w:rsidRPr="004A0CBB">
        <w:rPr>
          <w:rFonts w:eastAsia="Calibri" w:cs="Times New Roman"/>
          <w:sz w:val="16"/>
          <w:szCs w:val="16"/>
        </w:rPr>
        <w:t>," scientists writing in the Journal of Infection report. "</w:t>
      </w:r>
      <w:r w:rsidRPr="004A0CBB">
        <w:rPr>
          <w:rFonts w:eastAsia="Calibri" w:cs="Times New Roman"/>
          <w:u w:val="single"/>
          <w:lang w:eastAsia="ko-KR"/>
        </w:rPr>
        <w:t>We compared the costs of two outbreak scenarios: in Scenario A, SARS is able to transmit itself throughout a population without any significant public health interventions. In Scenario B, quarantine is implemented early on in an attempt to contain the virus. "By evaluating these situations, we can investigate whether or not the use of quarantine is justified by being</w:t>
      </w:r>
      <w:r w:rsidRPr="004A0CBB">
        <w:rPr>
          <w:rFonts w:eastAsia="Calibri" w:cs="Times New Roman"/>
          <w:sz w:val="16"/>
          <w:szCs w:val="16"/>
        </w:rPr>
        <w:t xml:space="preserve"> either cost-saving, </w:t>
      </w:r>
      <w:r w:rsidRPr="004A0CBB">
        <w:rPr>
          <w:rFonts w:eastAsia="Calibri" w:cs="Times New Roman"/>
          <w:u w:val="single"/>
          <w:lang w:eastAsia="ko-KR"/>
        </w:rPr>
        <w:t>life saving</w:t>
      </w:r>
      <w:r w:rsidRPr="004A0CBB">
        <w:rPr>
          <w:rFonts w:eastAsia="Calibri" w:cs="Times New Roman"/>
          <w:sz w:val="16"/>
          <w:szCs w:val="16"/>
        </w:rPr>
        <w:t>, or both," wrote A.G. Gupta and colleagues at the University of Michigan in Ann Arbor. "</w:t>
      </w:r>
      <w:r w:rsidRPr="004A0CBB">
        <w:rPr>
          <w:rFonts w:eastAsia="Calibri" w:cs="Times New Roman"/>
          <w:u w:val="single"/>
          <w:lang w:eastAsia="ko-KR"/>
        </w:rPr>
        <w:t>Our results indicate that quarantine is effective in containing newly emerging infectious diseases</w:t>
      </w:r>
      <w:r w:rsidRPr="004A0CBB">
        <w:rPr>
          <w:rFonts w:eastAsia="Calibri" w:cs="Times New Roman"/>
          <w:sz w:val="16"/>
          <w:szCs w:val="16"/>
        </w:rPr>
        <w:t>, and also cost saving when compared to not implementing a widespread containment mechanism," the authors said. Gupta concluded, "This paper illustrates that it is not only in our humanitarian interest for public health and healthcare officials to remain aggressive in their response to newly emerging infections, but also in our collective economic interest. Despite somewhat daunting initial costs, quarantine saves both lives and money." Gupta and colleagues published their study in the Journal of Infection (The economic impact of quarantine: SARS in Toronto as a case study. J Infect, 2005;50(5):386-393).</w:t>
      </w:r>
    </w:p>
    <w:p w:rsidR="00984FEB" w:rsidRPr="004105A9" w:rsidRDefault="00984FEB" w:rsidP="00984FEB"/>
    <w:p w:rsidR="00984FEB" w:rsidRDefault="00984FEB" w:rsidP="00984FEB">
      <w:pPr>
        <w:pStyle w:val="Heading3"/>
      </w:pPr>
      <w:r>
        <w:t>no solvency - disease</w:t>
      </w:r>
    </w:p>
    <w:p w:rsidR="00984FEB" w:rsidRDefault="00984FEB" w:rsidP="00984FEB">
      <w:pPr>
        <w:pStyle w:val="Heading4"/>
      </w:pPr>
      <w:r>
        <w:t>Research can’t solve disease – companies lie about the science for profit</w:t>
      </w:r>
    </w:p>
    <w:p w:rsidR="00984FEB" w:rsidRPr="005B64E2" w:rsidRDefault="00984FEB" w:rsidP="00984FEB">
      <w:pPr>
        <w:rPr>
          <w:sz w:val="16"/>
          <w:szCs w:val="16"/>
        </w:rPr>
      </w:pPr>
      <w:r w:rsidRPr="005B64E2">
        <w:rPr>
          <w:rStyle w:val="StyleStyleBold12pt"/>
        </w:rPr>
        <w:t>Goldacre 14</w:t>
      </w:r>
      <w:r w:rsidRPr="005B64E2">
        <w:rPr>
          <w:sz w:val="16"/>
          <w:szCs w:val="16"/>
        </w:rPr>
        <w:t xml:space="preserve"> (Ben, “What the Tamiflu saga tells us about drug trials and big pharma”, The Guardian, 4/9/14, http://www.theguardian.com/business/2014/apr/10/tamiflu-saga-drug-trials-big-pharma)</w:t>
      </w:r>
    </w:p>
    <w:p w:rsidR="00984FEB" w:rsidRPr="005B64E2" w:rsidRDefault="00984FEB" w:rsidP="00984FEB">
      <w:pPr>
        <w:rPr>
          <w:sz w:val="16"/>
          <w:szCs w:val="16"/>
        </w:rPr>
      </w:pPr>
      <w:r w:rsidRPr="00AD6711">
        <w:rPr>
          <w:rStyle w:val="StyleBoldUnderline"/>
        </w:rPr>
        <w:t>Today we found out that Tamiflu doesn't work so well after all. Roche, the drug company behind it, withheld vital information on its clinical trials for half a decade</w:t>
      </w:r>
      <w:r w:rsidRPr="005B64E2">
        <w:rPr>
          <w:sz w:val="16"/>
          <w:szCs w:val="16"/>
        </w:rPr>
        <w:t xml:space="preserve">, but the </w:t>
      </w:r>
      <w:hyperlink r:id="rId177" w:history="1">
        <w:r w:rsidRPr="005B64E2">
          <w:rPr>
            <w:rStyle w:val="Hyperlink"/>
            <w:sz w:val="16"/>
            <w:szCs w:val="16"/>
          </w:rPr>
          <w:t>Cochrane Collaboration</w:t>
        </w:r>
      </w:hyperlink>
      <w:r w:rsidRPr="005B64E2">
        <w:rPr>
          <w:sz w:val="16"/>
          <w:szCs w:val="16"/>
        </w:rPr>
        <w:t xml:space="preserve">, a global not-for-profit organisation of 14,000 academics, finally obtained all the information. Putting the evidence together, it has found that </w:t>
      </w:r>
      <w:r w:rsidRPr="00AD6711">
        <w:rPr>
          <w:rStyle w:val="StyleBoldUnderline"/>
        </w:rPr>
        <w:t xml:space="preserve">Tamiflu has little or no impact on complications of </w:t>
      </w:r>
      <w:hyperlink r:id="rId178" w:tooltip="More from the Guardian on Flu" w:history="1">
        <w:r w:rsidRPr="00AD6711">
          <w:rPr>
            <w:rStyle w:val="StyleBoldUnderline"/>
          </w:rPr>
          <w:t>flu</w:t>
        </w:r>
      </w:hyperlink>
      <w:r w:rsidRPr="00AD6711">
        <w:rPr>
          <w:rStyle w:val="StyleBoldUnderline"/>
        </w:rPr>
        <w:t xml:space="preserve"> infection, such as pneumonia. That is a scandal because the UK government spent £0.5bn stockpiling this drug in the hope that it would help prevent serious side-effects from flu infection</w:t>
      </w:r>
      <w:r w:rsidRPr="005B64E2">
        <w:rPr>
          <w:sz w:val="16"/>
          <w:szCs w:val="16"/>
        </w:rPr>
        <w:t xml:space="preserve">. But the bigger scandal is that </w:t>
      </w:r>
      <w:r w:rsidRPr="00AD6711">
        <w:rPr>
          <w:rStyle w:val="StyleBoldUnderline"/>
        </w:rPr>
        <w:t>Roche broke no law by withholding vital information on how well its drug works. In fact, the methods and results of clinical trials on the drugs we use today are still</w:t>
      </w:r>
      <w:hyperlink r:id="rId179" w:history="1">
        <w:r w:rsidRPr="00AD6711">
          <w:rPr>
            <w:rStyle w:val="StyleBoldUnderline"/>
          </w:rPr>
          <w:t>routinely and legally being withheld</w:t>
        </w:r>
      </w:hyperlink>
      <w:r w:rsidRPr="00AD6711">
        <w:rPr>
          <w:rStyle w:val="StyleBoldUnderline"/>
        </w:rPr>
        <w:t xml:space="preserve"> from doctors</w:t>
      </w:r>
      <w:r w:rsidRPr="005B64E2">
        <w:rPr>
          <w:sz w:val="16"/>
          <w:szCs w:val="16"/>
        </w:rPr>
        <w:t xml:space="preserve">, researchers and patients. It is simple bad luck for Roche that Tamiflu became, arbitrarily, the poster child for the missing-data story. And it is a great poster child. </w:t>
      </w:r>
      <w:hyperlink r:id="rId180" w:history="1">
        <w:r w:rsidRPr="00AD6711">
          <w:rPr>
            <w:rStyle w:val="StyleBoldUnderline"/>
          </w:rPr>
          <w:t>The battle over Tamiflu</w:t>
        </w:r>
      </w:hyperlink>
      <w:r w:rsidRPr="00AD6711">
        <w:rPr>
          <w:rStyle w:val="StyleBoldUnderline"/>
        </w:rPr>
        <w:t xml:space="preserve"> perfectly illustrates the need for full transparency around clinical trials, the importance of access to obscure documentation, and the failure of the regulatory system.</w:t>
      </w:r>
      <w:r w:rsidRPr="005B64E2">
        <w:rPr>
          <w:sz w:val="16"/>
          <w:szCs w:val="16"/>
        </w:rPr>
        <w:t xml:space="preserve"> Crucially, it is also an illustration of how science, at its best, is built on transparency and openness to criticism, because the saga of the Cochrane Tamiflu review began with a simple online comment. In 2009, there was widespread concern about a new flu pandemic, and billions were being spent stockpiling Tamiflu around the world. Because of this, the UK and Australian governments specifically asked the Cochrane Collaboration to update its earlier reviews on the drug. Cochrane reviews are the gold-standard in medicine: they summarise all the data on a given treatment, and they are in a constant review cycle, because evidence changes over time as new trials are published. This should have been a pretty everyday piece of work: the previous review, in 2008, had found some evidence that Tamiflu does, indeed, reduce the rate of complications such as pneumonia. But then a Japanese paediatrician called Keiji Hayashi left a comment that would trigger a revolution in our understanding of how evidence-based medicine should work. This wasn't in a publication, or even a letter: it was a simple online comment, posted informally underneath the Tamiflu review on the Cochrane website, almost like a blog comment. Cochrane had summarised the data from all the trials, explained Hayashi, but its positive conclusion was driven by data from just one of the papers it cited: an industry-funded summary of 10 previous trials, led by an author called Kaiser. From these 10 trials, only two had ever been published in the scientific literature. For the remaining eight, the only available information on the methods used came from the brief summary in this secondary source, created by industry. That's not reliable enough. This is science at its best. The Cochrane review is readily accessible online; it explains transparently the methods by which it looked for trials, and then analysed them, so any informed reader can pull the review apart, and understand where the conclusions came from. Cochrane provides an easy way for readers to raise criticisms. And, crucially, these criticisms did not fall on deaf ears. Dr Tom Jefferson is the head of the Cochrane respiratory group, and the lead author on the 2008 review. He realised immediately that he had made a mistake in blindly trusting the Kaiser data. He said so, without defensiveness, and then set about getting the information needed. First, the Cochrane researchers wrote to the authors of the Kaiser paper. By reply, they were told that this team no longer had the files: they should contact Roche. Here the </w:t>
      </w:r>
      <w:hyperlink r:id="rId181" w:history="1">
        <w:r w:rsidRPr="005B64E2">
          <w:rPr>
            <w:rStyle w:val="Hyperlink"/>
            <w:sz w:val="16"/>
            <w:szCs w:val="16"/>
          </w:rPr>
          <w:t>problems began</w:t>
        </w:r>
      </w:hyperlink>
      <w:r w:rsidRPr="005B64E2">
        <w:rPr>
          <w:sz w:val="16"/>
          <w:szCs w:val="16"/>
        </w:rPr>
        <w:t xml:space="preserve">. </w:t>
      </w:r>
      <w:r w:rsidRPr="00AD6711">
        <w:rPr>
          <w:rStyle w:val="StyleBoldUnderline"/>
        </w:rPr>
        <w:t>Roche said it would hand over some information, but the Cochrane reviewers would need to sign a confidentiality agreement.</w:t>
      </w:r>
      <w:r w:rsidRPr="005B64E2">
        <w:rPr>
          <w:sz w:val="16"/>
          <w:szCs w:val="16"/>
        </w:rPr>
        <w:t xml:space="preserve"> This was tricky: Cochrane reviews are built around showing their working, but Roche's proposed contract would require them to keep the information behind their reasoning secret from readers. More than this, the contract said they were not allowed to discuss the terms of their secrecy agreement, or publicly acknowledge that it even existed. </w:t>
      </w:r>
      <w:r w:rsidRPr="00AD6711">
        <w:rPr>
          <w:rStyle w:val="StyleBoldUnderline"/>
        </w:rPr>
        <w:t>Roche was demanding a secret contract, with secret terms, requiring secrecy about the methods and results of trials, in a discussion about the safety and efficacy of a drug that has been taken by hundreds of thousands of people around the world, and on which governments had spent billions</w:t>
      </w:r>
      <w:r w:rsidRPr="005B64E2">
        <w:rPr>
          <w:sz w:val="16"/>
          <w:szCs w:val="16"/>
        </w:rPr>
        <w:t xml:space="preserve">. </w:t>
      </w:r>
      <w:r w:rsidRPr="00AD6711">
        <w:rPr>
          <w:rStyle w:val="StyleBoldUnderline"/>
        </w:rPr>
        <w:t>Roche's demand, worryingly, is not unusual</w:t>
      </w:r>
      <w:r w:rsidRPr="005B64E2">
        <w:rPr>
          <w:sz w:val="16"/>
          <w:szCs w:val="16"/>
        </w:rPr>
        <w:t xml:space="preserve">. At this point, many in medicine would either acquiesce, or give up. Jefferson asked Roche for clarification about why the contract was necessary. He never received a reply. Then, in October 2009, the company changed tack. It would like to hand over the data, it explained, but another academic review on Tamiflu was being conducted elsewhere. Roche had given this other group the study reports, so Cochrane couldn't have them. This was a non-sequitur: there is no reason why many groups should not all work on the same question. In fact, since replication is the cornerstone of good science, this would be actively desirable. Then, one week later, unannounced, Roche sent seven documents, each around a dozen pages long. These contained excerpts of internal company documents on each of the clinical trials in the Kaiser meta-analysis. It was a start, but nothing like the information Cochrane needed to assess the benefits, or the rate of adverse events, or fully to understand the design of the trials. At the same time, it was rapidly becoming clear that there were odd inconsistencies in the information on this drug. Crucially, </w:t>
      </w:r>
      <w:r w:rsidRPr="00AD6711">
        <w:rPr>
          <w:rStyle w:val="StyleBoldUnderline"/>
        </w:rPr>
        <w:t xml:space="preserve">different organisations around the world had drawn </w:t>
      </w:r>
      <w:hyperlink r:id="rId182" w:history="1">
        <w:r w:rsidRPr="00AD6711">
          <w:rPr>
            <w:rStyle w:val="StyleBoldUnderline"/>
          </w:rPr>
          <w:t>vastly different conclusions</w:t>
        </w:r>
      </w:hyperlink>
      <w:r w:rsidRPr="00AD6711">
        <w:rPr>
          <w:rStyle w:val="StyleBoldUnderline"/>
        </w:rPr>
        <w:t>about its effectiveness. The US Food and Drug Administration (FDA) said it gave no benefits on complications such as pneumonia, while the US Centers for Disease Control and Prevention said it did. The Japanese regulator made no claim for complications, but the European Medicines Agency (EMA) said there was a benefit</w:t>
      </w:r>
      <w:r w:rsidRPr="005B64E2">
        <w:rPr>
          <w:sz w:val="16"/>
          <w:szCs w:val="16"/>
        </w:rPr>
        <w:t xml:space="preserve">. There are only two explanations for this, and both can only be resolved by full transparency. Either these organisations saw different data, in which case we need to build a collective list, add up all the trials, and work out the effects of the drug overall. Or this is a close call, and there is reasonable disagreement on how to interpret the trials, in which case we need full access to their methods and results, for an informed public debate in the medical academic community. This is particularly important, since there can often be shortcomings in the design of a clinical trial, which mean it is no longer a fair test of which treatment is best. We now know this was the case in many of the Tamiflu trials, where, for example, participants were sometimes very unrepresentative of real-world patients. Similarly, in trials described as "double blinded" – where neither doctor nor patient should be able to tell whether they're getting a placebo or the real drug – the active and placebo pills were different colours. Even more oddly, in almost all Tamiflu trials, it seems a diagnosis of pneumonia was measured by patients' self-reporting: many researchers would have expected a clear diagnostic algorithm, perhaps a chest x-ray, at least. Since the Cochrane team were still being denied the information needed to spot these flaws, they decided to exclude all this data from their analysis, leaving the review in limbo. It was published in December 2009, with a note explaining their reasoning, and a small flurry of activity followed. Roche posted their brief excerpts online, and committed to make full study reports available. For four years, they then failed to do so. During this period, </w:t>
      </w:r>
      <w:r w:rsidRPr="00AD6711">
        <w:rPr>
          <w:rStyle w:val="StyleBoldUnderline"/>
        </w:rPr>
        <w:t>the global medical academic community began to realise that the brief, published academic papers on trials – which we have relied on for many years – can be incomplete, and even misleading</w:t>
      </w:r>
      <w:r w:rsidRPr="005B64E2">
        <w:rPr>
          <w:sz w:val="16"/>
          <w:szCs w:val="16"/>
        </w:rPr>
        <w:t>. Much more detail is available in a clinical study report (CSR), the intermediate document that stands between the raw data and a journal article: the precise plan for analysing the data statistically, detailed descriptions of adverse events, and so on.</w:t>
      </w:r>
    </w:p>
    <w:p w:rsidR="00984FEB" w:rsidRPr="00AD6711" w:rsidRDefault="00984FEB" w:rsidP="00984FEB">
      <w:pPr>
        <w:pStyle w:val="Heading4"/>
      </w:pPr>
      <w:r w:rsidRPr="00AD6711">
        <w:t>Can’t solve disease – patent system disincentivizes companies from most important research</w:t>
      </w:r>
    </w:p>
    <w:p w:rsidR="00984FEB" w:rsidRPr="00AD6711" w:rsidRDefault="00984FEB" w:rsidP="00984FEB">
      <w:pPr>
        <w:rPr>
          <w:sz w:val="16"/>
          <w:szCs w:val="16"/>
        </w:rPr>
      </w:pPr>
      <w:r w:rsidRPr="00AD6711">
        <w:rPr>
          <w:rStyle w:val="StyleStyleBold12pt"/>
        </w:rPr>
        <w:t>Moreno 14</w:t>
      </w:r>
      <w:r w:rsidRPr="00AD6711">
        <w:rPr>
          <w:sz w:val="16"/>
          <w:szCs w:val="16"/>
        </w:rPr>
        <w:t xml:space="preserve"> (Carlos, “How Big Pharma is slowing cancer research”, Reuters, 3/31/14, http://blogs.reuters.com/great-debate/2014/03/31/how-big-pharma-is-slowing-cancer-research/)</w:t>
      </w:r>
    </w:p>
    <w:p w:rsidR="00984FEB" w:rsidRDefault="00984FEB" w:rsidP="00984FEB">
      <w:pPr>
        <w:rPr>
          <w:sz w:val="16"/>
          <w:szCs w:val="16"/>
        </w:rPr>
      </w:pPr>
      <w:r w:rsidRPr="00AD6711">
        <w:rPr>
          <w:rStyle w:val="StyleBoldUnderline"/>
        </w:rPr>
        <w:t xml:space="preserve">Even as scientists seek to </w:t>
      </w:r>
      <w:hyperlink r:id="rId183" w:history="1">
        <w:r w:rsidRPr="00AD6711">
          <w:rPr>
            <w:rStyle w:val="StyleBoldUnderline"/>
          </w:rPr>
          <w:t>bring new cancer treatments to market</w:t>
        </w:r>
      </w:hyperlink>
      <w:r w:rsidRPr="00AD6711">
        <w:rPr>
          <w:sz w:val="16"/>
          <w:szCs w:val="16"/>
        </w:rPr>
        <w:t>, however</w:t>
      </w:r>
      <w:r w:rsidRPr="00AD6711">
        <w:rPr>
          <w:rStyle w:val="StyleBoldUnderline"/>
        </w:rPr>
        <w:t xml:space="preserve">, drug patent issues are holding back some researchers. A major hurdle is in combination </w:t>
      </w:r>
      <w:hyperlink r:id="rId184" w:history="1">
        <w:r w:rsidRPr="00AD6711">
          <w:rPr>
            <w:rStyle w:val="StyleBoldUnderline"/>
          </w:rPr>
          <w:t>drug trials</w:t>
        </w:r>
      </w:hyperlink>
      <w:r w:rsidRPr="00AD6711">
        <w:rPr>
          <w:rStyle w:val="StyleBoldUnderline"/>
        </w:rPr>
        <w:t xml:space="preserve"> that test two or more therapies at once</w:t>
      </w:r>
      <w:r w:rsidRPr="00AD6711">
        <w:rPr>
          <w:sz w:val="16"/>
          <w:szCs w:val="16"/>
        </w:rPr>
        <w:t xml:space="preserve">. </w:t>
      </w:r>
      <w:r w:rsidRPr="00AD6711">
        <w:rPr>
          <w:rStyle w:val="StyleBoldUnderline"/>
        </w:rPr>
        <w:t>Pharmaceutical companies often shy away from trials that have great potential, because the drugs may not generate profits if they are used together</w:t>
      </w:r>
      <w:r w:rsidRPr="00AD6711">
        <w:rPr>
          <w:sz w:val="16"/>
          <w:szCs w:val="16"/>
        </w:rPr>
        <w:t xml:space="preserve"> with a generic drug or a drug patented by a different company. Recently, there have been major advances in our understanding of how cancer progresses. As scientists have sequenced thousands of cancer genomes, patterns are starting to emerge. One clear insight we have gained is the likelihood that </w:t>
      </w:r>
      <w:r w:rsidRPr="00AD6711">
        <w:rPr>
          <w:rStyle w:val="StyleBoldUnderline"/>
        </w:rPr>
        <w:t>no single drug will be able to defeat cancer</w:t>
      </w:r>
      <w:r w:rsidRPr="00AD6711">
        <w:rPr>
          <w:sz w:val="16"/>
          <w:szCs w:val="16"/>
        </w:rPr>
        <w:t xml:space="preserve">. The reason most cancers become drug resistant and come back is because their DNA mutates quickly. Cancer cells that are not killed by the drugs survive, continue to grow and replace the cells that have been wiped out. So how can we beat the evolution of cancer cells? </w:t>
      </w:r>
      <w:r w:rsidRPr="00AD6711">
        <w:rPr>
          <w:rStyle w:val="StyleBoldUnderline"/>
        </w:rPr>
        <w:t>Most cancer researchers believe that the way to do it is to use the same approach that holds HIV in check for AIDS patients: with combinations of drugs</w:t>
      </w:r>
      <w:r w:rsidRPr="00AD6711">
        <w:rPr>
          <w:sz w:val="16"/>
          <w:szCs w:val="16"/>
        </w:rPr>
        <w:t xml:space="preserve">. These drug cocktails, if used appropriately, may someday control many cancers because the cells resistant to one drug will be sensitive to another. </w:t>
      </w:r>
      <w:r w:rsidRPr="00AD6711">
        <w:rPr>
          <w:rStyle w:val="StyleBoldUnderline"/>
        </w:rPr>
        <w:t>The great challenge is figuring out which drug combinations are likely to work the best. But when it comes time for clinical trials that are necessary to bring drug combinations to market, there are two major hurdles. The first hurdle occurs when two drugs have been patented by two different pharmaceutical companies</w:t>
      </w:r>
      <w:r w:rsidRPr="00AD6711">
        <w:rPr>
          <w:sz w:val="16"/>
          <w:szCs w:val="16"/>
        </w:rPr>
        <w:t xml:space="preserve">. When this is the case, quite often </w:t>
      </w:r>
      <w:r w:rsidRPr="00AD6711">
        <w:rPr>
          <w:rStyle w:val="StyleBoldUnderline"/>
        </w:rPr>
        <w:t>neither company wants to fund the trial</w:t>
      </w:r>
      <w:r w:rsidRPr="00AD6711">
        <w:rPr>
          <w:sz w:val="16"/>
          <w:szCs w:val="16"/>
        </w:rPr>
        <w:t xml:space="preserve">. This reluctance is </w:t>
      </w:r>
      <w:r w:rsidRPr="00AD6711">
        <w:rPr>
          <w:rStyle w:val="StyleBoldUnderline"/>
        </w:rPr>
        <w:t>because only 8 percent of new drugs obtain FDA approval, clinical trials can take many years to complete, and there can be legal conflicts regarding ownership and publication of results</w:t>
      </w:r>
      <w:r w:rsidRPr="00AD6711">
        <w:rPr>
          <w:sz w:val="16"/>
          <w:szCs w:val="16"/>
        </w:rPr>
        <w:t xml:space="preserve"> — </w:t>
      </w:r>
      <w:r w:rsidRPr="00AD6711">
        <w:rPr>
          <w:rStyle w:val="StyleBoldUnderline"/>
        </w:rPr>
        <w:t>resulting in the fear of litigation from the other company</w:t>
      </w:r>
      <w:r w:rsidRPr="00AD6711">
        <w:rPr>
          <w:sz w:val="16"/>
          <w:szCs w:val="16"/>
        </w:rPr>
        <w:t xml:space="preserve">. </w:t>
      </w:r>
      <w:r w:rsidRPr="00AD6711">
        <w:rPr>
          <w:rStyle w:val="StyleBoldUnderline"/>
        </w:rPr>
        <w:t>There can also be squabbles over how to divide expenses and profits, with one or both parties looking for a bigger cut of the potential financial gains, and both putting profits before patients.</w:t>
      </w:r>
      <w:r w:rsidRPr="00AD6711">
        <w:rPr>
          <w:sz w:val="16"/>
          <w:szCs w:val="16"/>
        </w:rPr>
        <w:t xml:space="preserve"> </w:t>
      </w:r>
      <w:r w:rsidRPr="00AD6711">
        <w:rPr>
          <w:rStyle w:val="StyleBoldUnderline"/>
        </w:rPr>
        <w:t>The second obstacle can arise when there is no patent protection, and thus no financial incentive to test the cocktail and market it if it works. There is only a financial incentive to move forward if all patents are active and held by a single company, and with drug combinations, this is often not the case</w:t>
      </w:r>
      <w:r w:rsidRPr="00AD6711">
        <w:rPr>
          <w:sz w:val="16"/>
          <w:szCs w:val="16"/>
        </w:rPr>
        <w:t>.</w:t>
      </w:r>
    </w:p>
    <w:p w:rsidR="00984FEB" w:rsidRDefault="00984FEB" w:rsidP="00984FEB">
      <w:pPr>
        <w:pStyle w:val="Heading4"/>
      </w:pPr>
      <w:r>
        <w:t>Can’t solve disease – fundamental scientific barriers to wide applicability</w:t>
      </w:r>
    </w:p>
    <w:p w:rsidR="00984FEB" w:rsidRPr="003A5A83" w:rsidRDefault="00984FEB" w:rsidP="00984FEB">
      <w:pPr>
        <w:rPr>
          <w:sz w:val="16"/>
          <w:szCs w:val="16"/>
        </w:rPr>
      </w:pPr>
      <w:r w:rsidRPr="003A5A83">
        <w:rPr>
          <w:rStyle w:val="StyleStyleBold12pt"/>
        </w:rPr>
        <w:t>NRC 02</w:t>
      </w:r>
      <w:r w:rsidRPr="003A5A83">
        <w:rPr>
          <w:sz w:val="16"/>
          <w:szCs w:val="16"/>
        </w:rPr>
        <w:t xml:space="preserve"> (National Research Council, “MARINE BIOTECHNOLOGY IN THE TWENTY-FIRST CENTURY”, Committee on Marine Biotechnology: Biomedical Applications of Marine Natural Products Ocean Studies Board Board on Life Sciences Division on Earth and Life Studies National Research Council, 2002, http://worldtracker.org/media/library/Science/Biotechnology/Marine%20Biotechnology%20in%20the%2021st%20Century%20-%20Nrc.pdf)</w:t>
      </w:r>
    </w:p>
    <w:p w:rsidR="00984FEB" w:rsidRPr="00787AA9" w:rsidRDefault="00984FEB" w:rsidP="00984FEB">
      <w:pPr>
        <w:rPr>
          <w:sz w:val="16"/>
          <w:szCs w:val="16"/>
        </w:rPr>
      </w:pPr>
      <w:r w:rsidRPr="00787AA9">
        <w:rPr>
          <w:sz w:val="16"/>
          <w:szCs w:val="16"/>
        </w:rPr>
        <w:t>It has been stated that the "search and discovery of exploitable biology" is undergoing a "paradigm shift" as a "consequence of the bioinformatics revolution" (Bull et al., 2000). In the context of natural product-based drug discovery bioinformatics is producing new information that affects many of the key steps in the drug discovery process. Among the most significant developments are the revelation of vast new potential resources available from uncultured microorganisms and the discovery of a plethora of new potential therapeutic targets from various whole-genome sequences</w:t>
      </w:r>
      <w:r w:rsidRPr="00787AA9">
        <w:rPr>
          <w:rStyle w:val="StyleBoldUnderline"/>
        </w:rPr>
        <w:t>. This new knowledge presents tremendous opportunities for the discovery of therapeutic agents from natural sources.</w:t>
      </w:r>
      <w:r w:rsidRPr="00787AA9">
        <w:rPr>
          <w:sz w:val="16"/>
          <w:szCs w:val="16"/>
        </w:rPr>
        <w:t xml:space="preserve"> </w:t>
      </w:r>
      <w:r w:rsidRPr="00787AA9">
        <w:rPr>
          <w:rStyle w:val="StyleBoldUnderline"/>
        </w:rPr>
        <w:t>There remain, however, significant obstacles impeding the realization of this potential.</w:t>
      </w:r>
      <w:r w:rsidRPr="00787AA9">
        <w:rPr>
          <w:sz w:val="16"/>
          <w:szCs w:val="16"/>
        </w:rPr>
        <w:t xml:space="preserve"> </w:t>
      </w:r>
      <w:r w:rsidRPr="00787AA9">
        <w:rPr>
          <w:rStyle w:val="StyleBoldUnderline"/>
        </w:rPr>
        <w:t>Unlocking the biosynthetic capabilities of the new realm of marine microbes remains a fundamental scientific challenge</w:t>
      </w:r>
      <w:r w:rsidRPr="00787AA9">
        <w:rPr>
          <w:sz w:val="16"/>
          <w:szCs w:val="16"/>
        </w:rPr>
        <w:t xml:space="preserve">. These organisms not only hold the greatest promise for the discovery of new agents from the marine environment but also provide a feasible solution to the inherent problem of supply Studies of their physiology and means for their cultivation are vital. </w:t>
      </w:r>
      <w:r w:rsidRPr="00787AA9">
        <w:rPr>
          <w:rStyle w:val="StyleBoldUnderline"/>
        </w:rPr>
        <w:t>A major obstacle to the discovery of new marine natural products with promising biological activities is simply the difficulty of having them evaluated in a wide range of targeted assays</w:t>
      </w:r>
      <w:r w:rsidRPr="00787AA9">
        <w:rPr>
          <w:sz w:val="16"/>
          <w:szCs w:val="16"/>
        </w:rPr>
        <w:t xml:space="preserve">. Although new therapeutic targets are being developed at an astonishing rate, </w:t>
      </w:r>
      <w:r w:rsidRPr="00787AA9">
        <w:rPr>
          <w:rStyle w:val="StyleBoldUnderline"/>
        </w:rPr>
        <w:t>ability to evaluate marine chemodiversity in these assays is severely limited. Part of the limitation owes to the scarcity of the compounds, which are often isolated in minute quantities insufficient to supply a library for repeated rounds of bioassay</w:t>
      </w:r>
      <w:r w:rsidRPr="00787AA9">
        <w:rPr>
          <w:sz w:val="16"/>
          <w:szCs w:val="16"/>
        </w:rPr>
        <w:t xml:space="preserve"> </w:t>
      </w:r>
      <w:r w:rsidRPr="00787AA9">
        <w:rPr>
          <w:rStyle w:val="StyleBoldUnderline"/>
        </w:rPr>
        <w:t>Lacking a renewable source or reasonable synthetic route, many of these compounds will never have more than a few targets.</w:t>
      </w:r>
      <w:r w:rsidRPr="00787AA9">
        <w:rPr>
          <w:sz w:val="16"/>
          <w:szCs w:val="16"/>
        </w:rPr>
        <w:t xml:space="preserve"> </w:t>
      </w:r>
      <w:r w:rsidRPr="00787AA9">
        <w:rPr>
          <w:rStyle w:val="StyleBoldUnderline"/>
        </w:rPr>
        <w:t>The traditional process of naturalproduct discovery may preclude their evaluation against the widest range of biological targets, especially in ultrahigh-throughput-screening systems</w:t>
      </w:r>
      <w:r w:rsidRPr="00787AA9">
        <w:rPr>
          <w:sz w:val="16"/>
          <w:szCs w:val="16"/>
        </w:rPr>
        <w:t>. Through its component operations of Ayerst and the former Medical Research Division of American Cyanamid or Lederle Labs, V/yeth-Ayerst Research, the pharmaceutical research and development arm of American Home Products, has a rich history in the discovery and development of therapeutic agents from natural sources. At Lederle, the tetracycline family of antibiotics was the first product line derived from nature. Aureomycin (chlortetracycline) was isolated in the early 1940s from the soil organism Streptomyces aureWciens and was followed shortly thereafter by four improved versions; the final one, Minocin, was introduced in 1971 _ Research has continued on this important class of antibiotics at V/yeth and a number of agents are advancing toward the marketplace. Two more recent microbial-derived commercial products are Rapamune (rapamycin) for use in transplantation and Mylotarg, a calicheamicin immunoconjugate targeting acute myeloid leukemia.</w:t>
      </w:r>
    </w:p>
    <w:p w:rsidR="00984FEB" w:rsidRPr="005B64E2" w:rsidRDefault="00984FEB" w:rsidP="00984FEB"/>
    <w:p w:rsidR="00984FEB" w:rsidRDefault="00984FEB" w:rsidP="00984FEB">
      <w:pPr>
        <w:pStyle w:val="Heading3"/>
      </w:pPr>
      <w:r>
        <w:t>no solvency - science</w:t>
      </w:r>
    </w:p>
    <w:p w:rsidR="00984FEB" w:rsidRDefault="00984FEB" w:rsidP="00984FEB">
      <w:pPr>
        <w:pStyle w:val="Heading4"/>
      </w:pPr>
      <w:r>
        <w:t>Can’t solve new drugs or innovation – collection and maintenance of molecules is scientifically impossible</w:t>
      </w:r>
    </w:p>
    <w:p w:rsidR="00984FEB" w:rsidRPr="00AC2DC7" w:rsidRDefault="00984FEB" w:rsidP="00984FEB">
      <w:pPr>
        <w:rPr>
          <w:sz w:val="16"/>
          <w:szCs w:val="16"/>
        </w:rPr>
      </w:pPr>
      <w:r w:rsidRPr="00AC2DC7">
        <w:rPr>
          <w:rStyle w:val="StyleStyleBold12pt"/>
        </w:rPr>
        <w:t>Martins et al. 14</w:t>
      </w:r>
      <w:r w:rsidRPr="00AC2DC7">
        <w:rPr>
          <w:sz w:val="16"/>
          <w:szCs w:val="16"/>
        </w:rPr>
        <w:t xml:space="preserve"> (Ana Martins, Helena Vieira, Helena Gaspar, and Susana Santos, “Marketed Marine Natural Products in the Pharmaceutical and Cosmeceutical Industries: Tips for Success”, Marine Drugs 12, http://www.ncbi.nlm.nih.gov/pubmed/24549205)</w:t>
      </w:r>
    </w:p>
    <w:p w:rsidR="00984FEB" w:rsidRPr="00AC2DC7" w:rsidRDefault="00984FEB" w:rsidP="00984FEB">
      <w:pPr>
        <w:rPr>
          <w:sz w:val="16"/>
          <w:szCs w:val="16"/>
        </w:rPr>
      </w:pPr>
      <w:r w:rsidRPr="00AC2DC7">
        <w:rPr>
          <w:rStyle w:val="StyleBoldUnderline"/>
        </w:rPr>
        <w:t>Several different problems are associated with supply and technical issues. The first one is related to the variability of the organism itself For instance, taking the example of sponges, the high frequency of their bioactive metabolites is interpreted as chemical defense against environmental stress factors such as predation</w:t>
      </w:r>
      <w:r w:rsidRPr="00AC2DC7">
        <w:rPr>
          <w:sz w:val="16"/>
          <w:szCs w:val="16"/>
        </w:rPr>
        <w:t xml:space="preserve">, overgrowth by fouling organisms or competition for space. </w:t>
      </w:r>
      <w:r w:rsidRPr="00AC2DC7">
        <w:rPr>
          <w:rStyle w:val="StyleBoldUnderline"/>
        </w:rPr>
        <w:t>The highest incidence of toxic or deterrent sponge metabolites is found in habitats such as coral reefs that are characterized by intense competition and feeding pressure. Because these environmental conditions are not static, it is likely that a resupply of the same organism does not provide the same metabolite</w:t>
      </w:r>
      <w:r w:rsidRPr="00AC2DC7">
        <w:rPr>
          <w:sz w:val="16"/>
          <w:szCs w:val="16"/>
        </w:rPr>
        <w:t xml:space="preserve">. Also, in the case of marine invertebrates another challenge is the fact the microorganisms are sometimes the actual producers of the bioactives. </w:t>
      </w:r>
      <w:r w:rsidRPr="00AC2DC7">
        <w:rPr>
          <w:rStyle w:val="StyleBoldUnderline"/>
        </w:rPr>
        <w:t>Once a particular natural product has been isolated and identified as a lead compound, the issue of its sustainable supply is faced.</w:t>
      </w:r>
      <w:r w:rsidRPr="00AC2DC7">
        <w:rPr>
          <w:sz w:val="16"/>
          <w:szCs w:val="16"/>
        </w:rPr>
        <w:t xml:space="preserve"> Most of the times, </w:t>
      </w:r>
      <w:r w:rsidRPr="00AC2DC7">
        <w:rPr>
          <w:rStyle w:val="StyleBoldUnderline"/>
        </w:rPr>
        <w:t>the compound of interest is present only in low amounts and/or can be very difficult to isolate</w:t>
      </w:r>
      <w:r w:rsidRPr="00AC2DC7">
        <w:rPr>
          <w:sz w:val="16"/>
          <w:szCs w:val="16"/>
        </w:rPr>
        <w:t xml:space="preserve"> [17]. </w:t>
      </w:r>
      <w:r w:rsidRPr="00AC2DC7">
        <w:rPr>
          <w:rStyle w:val="StyleBoldUnderline"/>
        </w:rPr>
        <w:t>In the case of tissues of marine invertebrates</w:t>
      </w:r>
      <w:r w:rsidRPr="00AC2DC7">
        <w:rPr>
          <w:sz w:val="16"/>
          <w:szCs w:val="16"/>
        </w:rPr>
        <w:t xml:space="preserve">, which present unique extraction-related problems due to their high water and salt content, </w:t>
      </w:r>
      <w:r w:rsidRPr="00AC2DC7">
        <w:rPr>
          <w:rStyle w:val="StyleBoldUnderline"/>
        </w:rPr>
        <w:t>this problem can be even more challenging</w:t>
      </w:r>
      <w:r w:rsidRPr="00AC2DC7">
        <w:rPr>
          <w:sz w:val="16"/>
          <w:szCs w:val="16"/>
        </w:rPr>
        <w:t xml:space="preserve">. Whatever the use of the compound (drug, cosmetic, etc.), several grams to hundreds of grams are required for preclinical development, multikilogram quantities are needed for clinical phases and tons for cosmetic uses. </w:t>
      </w:r>
      <w:r w:rsidRPr="00AC2DC7">
        <w:rPr>
          <w:rStyle w:val="StyleBoldUnderline"/>
        </w:rPr>
        <w:t>Mariculture</w:t>
      </w:r>
      <w:r w:rsidRPr="00AC2DC7">
        <w:rPr>
          <w:sz w:val="16"/>
          <w:szCs w:val="16"/>
        </w:rPr>
        <w:t xml:space="preserve"> (favoring by farlning the growth of the organism in its natural milieu) </w:t>
      </w:r>
      <w:r w:rsidRPr="00AC2DC7">
        <w:rPr>
          <w:rStyle w:val="StyleBoldUnderline"/>
        </w:rPr>
        <w:t>and aquaculture</w:t>
      </w:r>
      <w:r w:rsidRPr="00AC2DC7">
        <w:rPr>
          <w:sz w:val="16"/>
          <w:szCs w:val="16"/>
        </w:rPr>
        <w:t xml:space="preserve"> (culture of the organism under artificial conditions) </w:t>
      </w:r>
      <w:r w:rsidRPr="00AC2DC7">
        <w:rPr>
          <w:rStyle w:val="StyleBoldUnderline"/>
        </w:rPr>
        <w:t>have been attempted</w:t>
      </w:r>
      <w:r w:rsidRPr="00AC2DC7">
        <w:rPr>
          <w:sz w:val="16"/>
          <w:szCs w:val="16"/>
        </w:rPr>
        <w:t xml:space="preserve"> in order to solve the problem of sustainable supply of macroorganisms. </w:t>
      </w:r>
      <w:r w:rsidRPr="00AC2DC7">
        <w:rPr>
          <w:rStyle w:val="StyleBoldUnderline"/>
        </w:rPr>
        <w:t>However, the unique and sometimes exclusive, conditions of the sea make cultivation or maintenance of the isolated samples</w:t>
      </w:r>
      <w:r w:rsidRPr="00AC2DC7">
        <w:rPr>
          <w:sz w:val="16"/>
          <w:szCs w:val="16"/>
        </w:rPr>
        <w:t xml:space="preserve"> very difficult and often </w:t>
      </w:r>
      <w:r w:rsidRPr="00AC2DC7">
        <w:rPr>
          <w:rStyle w:val="StyleBoldUnderline"/>
        </w:rPr>
        <w:t>impossible</w:t>
      </w:r>
      <w:r w:rsidRPr="00AC2DC7">
        <w:rPr>
          <w:sz w:val="16"/>
          <w:szCs w:val="16"/>
        </w:rPr>
        <w:t xml:space="preserve">. For example, </w:t>
      </w:r>
      <w:r w:rsidRPr="00AC2DC7">
        <w:rPr>
          <w:rStyle w:val="StyleBoldUnderline"/>
        </w:rPr>
        <w:t>sponges and their microbiota are generally not suitable for cultivation, hence, the compound of interest may need to be extracted and purified from the specimens collected in the wild</w:t>
      </w:r>
      <w:r w:rsidRPr="00AC2DC7">
        <w:rPr>
          <w:sz w:val="16"/>
          <w:szCs w:val="16"/>
        </w:rPr>
        <w:t xml:space="preserve"> [47]. These constraints lead to the loss of a major portion of the available marine biodiversity and represent a major bottleneck in the sustainable supply of the desired natural compound. </w:t>
      </w:r>
      <w:r w:rsidRPr="00AC2DC7">
        <w:rPr>
          <w:rStyle w:val="StyleBoldUnderline"/>
        </w:rPr>
        <w:t>This lack of sustainable supply of substances has stopped further development of several highly promising marine compounds</w:t>
      </w:r>
      <w:r w:rsidRPr="00AC2DC7">
        <w:rPr>
          <w:sz w:val="16"/>
          <w:szCs w:val="16"/>
        </w:rPr>
        <w:t xml:space="preserve">, and </w:t>
      </w:r>
      <w:r w:rsidRPr="00AC2DC7">
        <w:rPr>
          <w:rStyle w:val="StyleBoldUnderline"/>
        </w:rPr>
        <w:t>attempts have been made to overcome this barrier by developing synthetic or hemisynthesic analogues</w:t>
      </w:r>
      <w:r w:rsidRPr="00AC2DC7">
        <w:rPr>
          <w:sz w:val="16"/>
          <w:szCs w:val="16"/>
        </w:rPr>
        <w:t xml:space="preserve">, derivatives with more manageable properties, or by design of a pharmacophore of reduced complexity which can then be synthesized [30]. However, it is worth noting, that </w:t>
      </w:r>
      <w:r w:rsidRPr="00AC2DC7">
        <w:rPr>
          <w:rStyle w:val="StyleBoldUnderline"/>
        </w:rPr>
        <w:t>these approaches embrace themselves their own challenges. Total synthesis is by no means an easy undertaking task, and chemistry still has a very long way to go before it can make any molecule in a practical manner</w:t>
      </w:r>
      <w:r w:rsidRPr="00AC2DC7">
        <w:rPr>
          <w:sz w:val="16"/>
          <w:szCs w:val="16"/>
        </w:rPr>
        <w:t>. NP are complex and exquisite molecules possessing, almost always, one or several stereocenters, a fact that renders their synthesis hard to achieve, since enanteo or diastereoselective synthetic or purification processes are difficult to perform. Hemisynthesis may be, in some cases, a good solution for compound's supply. This process involves harvesting a biosynthetic intermediate from the natural source, rather than the lead itself; and converting it into the lead. This approach has two advantages. First, the intermediate may be more easily extracted in a higher yield than the final product itself. Second, it may allow the syntheses of analogues of the final product.</w:t>
      </w:r>
    </w:p>
    <w:p w:rsidR="00984FEB" w:rsidRPr="00AC2DC7" w:rsidRDefault="00984FEB" w:rsidP="00984FEB"/>
    <w:p w:rsidR="00984FEB" w:rsidRDefault="00984FEB" w:rsidP="00984FEB">
      <w:pPr>
        <w:pStyle w:val="Heading3"/>
      </w:pPr>
      <w:r>
        <w:t>alt cause</w:t>
      </w:r>
    </w:p>
    <w:p w:rsidR="00984FEB" w:rsidRPr="00307530" w:rsidRDefault="00984FEB" w:rsidP="00984FEB">
      <w:pPr>
        <w:pStyle w:val="Heading4"/>
      </w:pPr>
      <w:r>
        <w:t>Alt cause – lack of intellectual property protection makes marine drug development impossible</w:t>
      </w:r>
    </w:p>
    <w:p w:rsidR="00984FEB" w:rsidRPr="003A5A83" w:rsidRDefault="00984FEB" w:rsidP="00984FEB">
      <w:pPr>
        <w:rPr>
          <w:sz w:val="16"/>
          <w:szCs w:val="16"/>
        </w:rPr>
      </w:pPr>
      <w:r w:rsidRPr="003A5A83">
        <w:rPr>
          <w:rStyle w:val="StyleStyleBold12pt"/>
        </w:rPr>
        <w:t>NRC 02</w:t>
      </w:r>
      <w:r w:rsidRPr="003A5A83">
        <w:rPr>
          <w:sz w:val="16"/>
          <w:szCs w:val="16"/>
        </w:rPr>
        <w:t xml:space="preserve"> (National Research Council, “MARINE BIOTECHNOLOGY IN THE TWENTY-FIRST CENTURY”, Committee on Marine Biotechnology: Biomedical Applications of Marine Natural Products Ocean Studies Board Board on Life Sciences Division on Earth and Life Studies National Research Council, 2002, http://worldtracker.org/media/library/Science/Biotechnology/Marine%20Biotechnology%20in%20the%2021st%20Century%20-%20Nrc.pdf)</w:t>
      </w:r>
    </w:p>
    <w:p w:rsidR="00984FEB" w:rsidRDefault="00984FEB" w:rsidP="00984FEB">
      <w:pPr>
        <w:rPr>
          <w:rStyle w:val="StyleBoldUnderline"/>
        </w:rPr>
      </w:pPr>
      <w:r w:rsidRPr="00307530">
        <w:rPr>
          <w:rStyle w:val="StyleBoldUnderline"/>
        </w:rPr>
        <w:t>The commercial development of successful pharmaceutical products and medical devices is costly, time consuming, and complex.</w:t>
      </w:r>
      <w:r w:rsidRPr="00307530">
        <w:rPr>
          <w:sz w:val="16"/>
          <w:szCs w:val="16"/>
        </w:rPr>
        <w:t xml:space="preserve"> For example, </w:t>
      </w:r>
      <w:r w:rsidRPr="00307530">
        <w:rPr>
          <w:rStyle w:val="StyleBoldUnderline"/>
        </w:rPr>
        <w:t>commercialization of an innovative therapeutic agent from a new chemical entity (NCE) typically requires the investment of hundreds of millions of dollars. Successful commercialization further requires the sustained, coordinated efforts of thousands of people working together, worldwide, for periods of 10 years or more toward achievement of a single goal: market entry</w:t>
      </w:r>
      <w:r w:rsidRPr="00307530">
        <w:rPr>
          <w:sz w:val="16"/>
          <w:szCs w:val="16"/>
        </w:rPr>
        <w:t xml:space="preserve">. </w:t>
      </w:r>
      <w:r w:rsidRPr="00307530">
        <w:rPr>
          <w:rStyle w:val="StyleBoldUnderline"/>
        </w:rPr>
        <w:t>For biomedical technologies</w:t>
      </w:r>
      <w:r w:rsidRPr="00307530">
        <w:rPr>
          <w:sz w:val="16"/>
          <w:szCs w:val="16"/>
        </w:rPr>
        <w:t xml:space="preserve">, commercial </w:t>
      </w:r>
      <w:r w:rsidRPr="00307530">
        <w:rPr>
          <w:rStyle w:val="StyleBoldUnderline"/>
        </w:rPr>
        <w:t>development encompasses a dauntingly broad array o</w:t>
      </w:r>
      <w:r>
        <w:rPr>
          <w:rStyle w:val="StyleBoldUnderline"/>
        </w:rPr>
        <w:t>f functions, including nonclinica</w:t>
      </w:r>
      <w:r w:rsidRPr="00307530">
        <w:rPr>
          <w:rStyle w:val="StyleBoldUnderline"/>
        </w:rPr>
        <w:t>l testing</w:t>
      </w:r>
      <w:r w:rsidRPr="00307530">
        <w:rPr>
          <w:sz w:val="16"/>
          <w:szCs w:val="16"/>
        </w:rPr>
        <w:t xml:space="preserve"> (both pharmacological and toxicological), </w:t>
      </w:r>
      <w:r w:rsidRPr="00307530">
        <w:rPr>
          <w:rStyle w:val="StyleBoldUnderline"/>
        </w:rPr>
        <w:t>regulatory and legal affairs, clinical research, product formulation, manufacturing, packaging, labeling, marketing, sales, education, and post-market surveillance</w:t>
      </w:r>
      <w:r w:rsidRPr="00307530">
        <w:rPr>
          <w:sz w:val="16"/>
          <w:szCs w:val="16"/>
        </w:rPr>
        <w:t xml:space="preserve"> (Cato, 1988; Trenter, 1999). Creating a commercially successful pharmaceutical product or medical device is also risky. </w:t>
      </w:r>
      <w:r w:rsidRPr="00307530">
        <w:rPr>
          <w:rStyle w:val="StyleBoldUnderline"/>
        </w:rPr>
        <w:t>The transition</w:t>
      </w:r>
      <w:r w:rsidRPr="00307530">
        <w:rPr>
          <w:sz w:val="16"/>
          <w:szCs w:val="16"/>
        </w:rPr>
        <w:t xml:space="preserve"> from in</w:t>
      </w:r>
      <w:r>
        <w:rPr>
          <w:sz w:val="16"/>
          <w:szCs w:val="16"/>
        </w:rPr>
        <w:t>itial laboratory-based proof-of</w:t>
      </w:r>
      <w:r w:rsidRPr="00307530">
        <w:rPr>
          <w:sz w:val="16"/>
          <w:szCs w:val="16"/>
        </w:rPr>
        <w:t xml:space="preserve"> concept development to early-stage commercial development </w:t>
      </w:r>
      <w:r>
        <w:rPr>
          <w:rStyle w:val="StyleBoldUnderline"/>
        </w:rPr>
        <w:t>is so exceedingly diffi</w:t>
      </w:r>
      <w:r w:rsidRPr="00307530">
        <w:rPr>
          <w:rStyle w:val="StyleBoldUnderline"/>
        </w:rPr>
        <w:t>cult that it is known colloquially among technology developers as "The Gap" or "The Valley of Death."</w:t>
      </w:r>
      <w:r w:rsidRPr="00307530">
        <w:rPr>
          <w:sz w:val="16"/>
          <w:szCs w:val="16"/>
        </w:rPr>
        <w:t xml:space="preserve"> In pharmaceutical development, "The Gap" is perhaps more appropriately called "The Abyss," since </w:t>
      </w:r>
      <w:r w:rsidRPr="00307530">
        <w:rPr>
          <w:rStyle w:val="StyleBoldUnderline"/>
        </w:rPr>
        <w:t>the vast majority of promising research-stage therapeutic agents fail to enter clinical testing</w:t>
      </w:r>
      <w:r w:rsidRPr="00307530">
        <w:rPr>
          <w:sz w:val="16"/>
          <w:szCs w:val="16"/>
        </w:rPr>
        <w:t xml:space="preserve">. </w:t>
      </w:r>
      <w:r w:rsidRPr="00307530">
        <w:rPr>
          <w:rStyle w:val="StyleBoldUnderline"/>
        </w:rPr>
        <w:t>Of those investigational new drugs that enter clinical testing, only a small proportion reach the marketplace</w:t>
      </w:r>
      <w:r w:rsidRPr="00307530">
        <w:rPr>
          <w:sz w:val="16"/>
          <w:szCs w:val="16"/>
        </w:rPr>
        <w:t xml:space="preserve">. If a pioneering new product does manage to succeed commercially, competing generic products are guaranteed to enter the marketplace and erode profit margins and market share as soon as the pioneering product loses exclusivity </w:t>
      </w:r>
      <w:r w:rsidRPr="00307530">
        <w:rPr>
          <w:rStyle w:val="StyleBoldUnderline"/>
        </w:rPr>
        <w:t xml:space="preserve">For those reasons, corporations and their shareholders will invest the requisite capital and commit the necessary personnel to development of a biomedical product only when effective intellectual-property protection guarantees </w:t>
      </w:r>
      <w:r>
        <w:rPr>
          <w:rStyle w:val="StyleBoldUnderline"/>
        </w:rPr>
        <w:t>exclusivity for that product aft</w:t>
      </w:r>
      <w:r w:rsidRPr="00307530">
        <w:rPr>
          <w:rStyle w:val="StyleBoldUnderline"/>
        </w:rPr>
        <w:t>er market entry</w:t>
      </w:r>
      <w:r w:rsidRPr="00307530">
        <w:rPr>
          <w:sz w:val="16"/>
          <w:szCs w:val="16"/>
        </w:rPr>
        <w:t xml:space="preserve"> It is not surprising then, that intellectual-property rights form one of the cornerstones on which the modern biomedical industry is based. </w:t>
      </w:r>
      <w:r>
        <w:rPr>
          <w:rStyle w:val="StyleBoldUnderline"/>
        </w:rPr>
        <w:t>Intellectual-property pro</w:t>
      </w:r>
      <w:r w:rsidRPr="00307530">
        <w:rPr>
          <w:rStyle w:val="StyleBoldUnderline"/>
        </w:rPr>
        <w:t>tection is essential to the successful comm</w:t>
      </w:r>
      <w:r>
        <w:rPr>
          <w:rStyle w:val="StyleBoldUnderline"/>
        </w:rPr>
        <w:t>ercialization of marine biomedi</w:t>
      </w:r>
      <w:r w:rsidRPr="00307530">
        <w:rPr>
          <w:rStyle w:val="StyleBoldUnderline"/>
        </w:rPr>
        <w:t>cal technologies.</w:t>
      </w:r>
    </w:p>
    <w:p w:rsidR="00984FEB" w:rsidRPr="004105A9" w:rsidRDefault="00984FEB" w:rsidP="00984FEB">
      <w:pPr>
        <w:pStyle w:val="Heading3"/>
      </w:pPr>
      <w:r w:rsidRPr="004105A9">
        <w:t>alt cause – rainforests</w:t>
      </w:r>
    </w:p>
    <w:p w:rsidR="00984FEB" w:rsidRPr="004A0CBB" w:rsidRDefault="00984FEB" w:rsidP="00984FEB">
      <w:pPr>
        <w:keepNext/>
        <w:keepLines/>
        <w:spacing w:before="40"/>
        <w:outlineLvl w:val="3"/>
        <w:rPr>
          <w:rFonts w:eastAsia="Times New Roman" w:cs="Times New Roman"/>
          <w:b/>
          <w:iCs/>
          <w:sz w:val="26"/>
        </w:rPr>
      </w:pPr>
      <w:r w:rsidRPr="004A0CBB">
        <w:rPr>
          <w:rFonts w:eastAsia="Times New Roman" w:cs="Times New Roman"/>
          <w:b/>
          <w:iCs/>
          <w:sz w:val="26"/>
        </w:rPr>
        <w:t>Tropical rainforests solve the aff- they have massive amounts of bio-d and potential to cure a litany of diseases</w:t>
      </w:r>
    </w:p>
    <w:p w:rsidR="00984FEB" w:rsidRPr="004A0CBB" w:rsidRDefault="00984FEB" w:rsidP="00984FEB">
      <w:pPr>
        <w:rPr>
          <w:rFonts w:eastAsia="Calibri" w:cs="Times New Roman"/>
          <w:sz w:val="16"/>
        </w:rPr>
      </w:pPr>
      <w:r w:rsidRPr="004A0CBB">
        <w:rPr>
          <w:rFonts w:eastAsia="Calibri" w:cs="Times New Roman"/>
          <w:b/>
        </w:rPr>
        <w:t xml:space="preserve">Halter 2010 </w:t>
      </w:r>
      <w:r w:rsidRPr="004A0CBB">
        <w:rPr>
          <w:rFonts w:eastAsia="Calibri" w:cs="Times New Roman"/>
          <w:sz w:val="16"/>
        </w:rPr>
        <w:t>(Reese Halter, writer for the Huffington Post, September 2, 2010. “Stupendous tropical rainforests offer medicine and fight global warming”. http://www.huffingtonpost.com/dr-reese-halter/stupendous-tropical-rainf_b_700909.html)//NR</w:t>
      </w:r>
    </w:p>
    <w:p w:rsidR="00984FEB" w:rsidRPr="004A0CBB" w:rsidRDefault="00984FEB" w:rsidP="00984FEB">
      <w:pPr>
        <w:rPr>
          <w:rFonts w:eastAsia="Calibri" w:cs="Times New Roman"/>
          <w:sz w:val="16"/>
        </w:rPr>
      </w:pPr>
      <w:r w:rsidRPr="004A0CBB">
        <w:rPr>
          <w:rFonts w:eastAsia="Calibri" w:cs="Times New Roman"/>
          <w:sz w:val="16"/>
        </w:rPr>
        <w:t xml:space="preserve">The breathtaking luxuriant </w:t>
      </w:r>
      <w:r w:rsidRPr="004A0CBB">
        <w:rPr>
          <w:rFonts w:eastAsia="Calibri" w:cs="Times New Roman"/>
          <w:b/>
          <w:u w:val="single"/>
        </w:rPr>
        <w:t>tropical rainforests occupy about 13 percent of Earth's surface</w:t>
      </w:r>
      <w:r w:rsidRPr="004A0CBB">
        <w:rPr>
          <w:rFonts w:eastAsia="Calibri" w:cs="Times New Roman"/>
          <w:sz w:val="16"/>
        </w:rPr>
        <w:t xml:space="preserve">. </w:t>
      </w:r>
      <w:r w:rsidRPr="004A0CBB">
        <w:rPr>
          <w:rFonts w:eastAsia="Calibri" w:cs="Times New Roman"/>
          <w:b/>
          <w:u w:val="single"/>
        </w:rPr>
        <w:t>These incredibly complex and diverse ecosystems account for half of</w:t>
      </w:r>
      <w:r w:rsidRPr="004A0CBB">
        <w:rPr>
          <w:rFonts w:eastAsia="Calibri" w:cs="Times New Roman"/>
          <w:sz w:val="16"/>
        </w:rPr>
        <w:t xml:space="preserve"> the known </w:t>
      </w:r>
      <w:r w:rsidRPr="004A0CBB">
        <w:rPr>
          <w:rFonts w:eastAsia="Calibri" w:cs="Times New Roman"/>
          <w:b/>
          <w:u w:val="single"/>
        </w:rPr>
        <w:t>biological diversity</w:t>
      </w:r>
      <w:r w:rsidRPr="004A0CBB">
        <w:rPr>
          <w:rFonts w:eastAsia="Calibri" w:cs="Times New Roman"/>
          <w:sz w:val="16"/>
        </w:rPr>
        <w:t xml:space="preserve"> (about 800,000 different species), </w:t>
      </w:r>
      <w:r w:rsidRPr="004A0CBB">
        <w:rPr>
          <w:rFonts w:eastAsia="Calibri" w:cs="Times New Roman"/>
          <w:b/>
          <w:u w:val="single"/>
        </w:rPr>
        <w:t>and</w:t>
      </w:r>
      <w:r w:rsidRPr="004A0CBB">
        <w:rPr>
          <w:rFonts w:eastAsia="Calibri" w:cs="Times New Roman"/>
          <w:sz w:val="16"/>
        </w:rPr>
        <w:t xml:space="preserve"> conservatively </w:t>
      </w:r>
      <w:r w:rsidRPr="004A0CBB">
        <w:rPr>
          <w:rFonts w:eastAsia="Calibri" w:cs="Times New Roman"/>
          <w:b/>
          <w:u w:val="single"/>
        </w:rPr>
        <w:t>there are at least another 9.2 million species yet to be discovered</w:t>
      </w:r>
      <w:r w:rsidRPr="004A0CBB">
        <w:rPr>
          <w:rFonts w:eastAsia="Calibri" w:cs="Times New Roman"/>
          <w:sz w:val="16"/>
        </w:rPr>
        <w:t xml:space="preserve">. The world's tropical forests can be divided into four major regions. The American tropical forest region includes part of South America, Central America, the Galapagos Islands and the Caribbean. The African tropical forest region encompasses the Zaire Basin, the coastlands of West Africa, the uplands of East Africa and Madagascar. The Indo-Malaysian tropical forest region occupies parts of India, Burma, the Malay Peninsula and many of the Southeastern Asian islands. The Australasian tropical forest region spreads over Northeast Australia, New Guinea and the adjacent Pacific Islands. Some consider the Hawaiian Islands a smaller fifth region. There are five types of tropical climates: rainy tropics, monsoonal tropics, wet-and-dry tropics, tropical semi-arid and tropical arid climate. Irrespective of the hemisphere they all occur within 23 degrees of the equator. Most of these forests have rainfall that at least exceeds 79 inches. Rainforests significantly influence rainfall. About 75 percent of rainfall evaporates directly or via the trees, and provides most of the moisture for cloud formation and rain further inland. Deforestation near the coast breaks this cycle and denies rainfall to inland tropical forests. The complexity of millions of organisms interacting in tropical rainforests can perhaps only be matched by that of underwater life in some coral reefs. Tropical rainforests contain big, tall trees some in excess of 230 feet with flaring buttresses and a bizarre array of aerial roots. Canopies are rich with life: woody climbers resemble elaborate scaffolds; stranglers surround the trunks of trees; liverworts (leafy-looking moss-like plants) over-grow leaf blades; orchids grow in the crown humus; ants feed from flowers; bees and other insects including ants pollinate flowers; birds and bats disseminate seeds, rodents feed on fruits and leopards prey on small mammals. Most tropical soils are extremely low in nutrients. How are they able to support such rich plant life? Ants, in large part, greatly assist in helping to break down leaves, twigs, fallen trunks and dead animals thereby recycling nutrients which are immediately taken-up by tree roots. When tropical forests are removed the soils cannot support luxuriant growth. The natural occurrence of fire in tropical rainforests can occur from lightning and along the edges of lava flows and from hot ash from active volcanoes. The natural frequency of fires in tropical rainforests is rare. Usually rainforests are saturated and fire does not spread far. However, the fierce El Nino of 1998 brought extreme drought conditions to Southeast Asian forests which enabled massive fire to decimate 24,957,646 acres of forestland. Why are tropical rainforests so rich with so many different plant and animal species? </w:t>
      </w:r>
      <w:r w:rsidRPr="004A0CBB">
        <w:rPr>
          <w:rFonts w:eastAsia="Calibri" w:cs="Times New Roman"/>
          <w:b/>
          <w:u w:val="single"/>
        </w:rPr>
        <w:t>These forests contain an awesome potential for new forms of life to develop</w:t>
      </w:r>
      <w:r w:rsidRPr="004A0CBB">
        <w:rPr>
          <w:rFonts w:eastAsia="Calibri" w:cs="Times New Roman"/>
          <w:sz w:val="16"/>
        </w:rPr>
        <w:t xml:space="preserve"> or a process known as speciation. New species arise from isolated populations. These new species result from either a successful mutation or recombination of existing genes that have adapted to a change in the physical environment. Is there a higher rate of successful mutations in the tropics? Yes. Why? The levels of ultra-violet-B radiation (from the sun) are naturally the highest at the equator and within the range of the tropical forest regions compared to all other forest types on Earth. And ultra-violet radiation (which promotes cataracts and skin caner in humans) also promotes plant mutations and hence the rate of tropical speciation is greater than anywhere else on the globe. Speciation increases diversity and steps-up natural selection which results in the progress of evolution. </w:t>
      </w:r>
      <w:r w:rsidRPr="004A0CBB">
        <w:rPr>
          <w:rFonts w:eastAsia="Calibri" w:cs="Times New Roman"/>
          <w:b/>
          <w:iCs/>
          <w:u w:val="single"/>
          <w:bdr w:val="single" w:sz="18" w:space="0" w:color="auto"/>
        </w:rPr>
        <w:t>Tropical forests also contain a cornucopia of potent medicines to combat cardiovascular and neurological diseases and cancers</w:t>
      </w:r>
      <w:r w:rsidRPr="004A0CBB">
        <w:rPr>
          <w:rFonts w:eastAsia="Calibri" w:cs="Times New Roman"/>
          <w:sz w:val="16"/>
        </w:rPr>
        <w:t xml:space="preserve">. In addition, </w:t>
      </w:r>
      <w:r w:rsidRPr="004A0CBB">
        <w:rPr>
          <w:rFonts w:eastAsia="Calibri" w:cs="Times New Roman"/>
          <w:b/>
          <w:u w:val="single"/>
        </w:rPr>
        <w:t>drugs</w:t>
      </w:r>
      <w:r w:rsidRPr="004A0CBB">
        <w:rPr>
          <w:rFonts w:eastAsia="Calibri" w:cs="Times New Roman"/>
          <w:sz w:val="16"/>
        </w:rPr>
        <w:t xml:space="preserve"> like quinine from the South American cinchona tree </w:t>
      </w:r>
      <w:r w:rsidRPr="004A0CBB">
        <w:rPr>
          <w:rFonts w:eastAsia="Calibri" w:cs="Times New Roman"/>
          <w:b/>
          <w:u w:val="single"/>
        </w:rPr>
        <w:t>fight malaria</w:t>
      </w:r>
      <w:r w:rsidRPr="004A0CBB">
        <w:rPr>
          <w:rFonts w:eastAsia="Calibri" w:cs="Times New Roman"/>
          <w:sz w:val="16"/>
        </w:rPr>
        <w:t xml:space="preserve">; vincristine and vinblastine from the Madagascar rose periwinkle </w:t>
      </w:r>
      <w:r w:rsidRPr="004A0CBB">
        <w:rPr>
          <w:rFonts w:eastAsia="Calibri" w:cs="Times New Roman"/>
          <w:b/>
          <w:u w:val="single"/>
        </w:rPr>
        <w:t xml:space="preserve">offer hope to those afflicted with </w:t>
      </w:r>
      <w:r w:rsidRPr="004A0CBB">
        <w:rPr>
          <w:rFonts w:eastAsia="Calibri" w:cs="Times New Roman"/>
          <w:sz w:val="16"/>
        </w:rPr>
        <w:t xml:space="preserve">pediatric </w:t>
      </w:r>
      <w:r w:rsidRPr="004A0CBB">
        <w:rPr>
          <w:rFonts w:eastAsia="Calibri" w:cs="Times New Roman"/>
          <w:b/>
          <w:u w:val="single"/>
        </w:rPr>
        <w:t>leukemia and Hodgkin's</w:t>
      </w:r>
      <w:r w:rsidRPr="004A0CBB">
        <w:rPr>
          <w:rFonts w:eastAsia="Calibri" w:cs="Times New Roman"/>
          <w:sz w:val="16"/>
        </w:rPr>
        <w:t xml:space="preserve"> disease; active ingredients in Central and South American dart-poison frogs fight </w:t>
      </w:r>
      <w:r w:rsidRPr="004A0CBB">
        <w:rPr>
          <w:rFonts w:eastAsia="Calibri" w:cs="Times New Roman"/>
          <w:b/>
          <w:u w:val="single"/>
        </w:rPr>
        <w:t>cardiac arrhythmias</w:t>
      </w:r>
      <w:r w:rsidRPr="004A0CBB">
        <w:rPr>
          <w:rFonts w:eastAsia="Calibri" w:cs="Times New Roman"/>
          <w:sz w:val="16"/>
        </w:rPr>
        <w:t xml:space="preserve">, </w:t>
      </w:r>
      <w:r w:rsidRPr="004A0CBB">
        <w:rPr>
          <w:rFonts w:eastAsia="Calibri" w:cs="Times New Roman"/>
          <w:b/>
          <w:u w:val="single"/>
        </w:rPr>
        <w:t>Alzheimer's disease, myasthenia gravis and amyotrophic lateral sclerosis</w:t>
      </w:r>
      <w:r w:rsidRPr="004A0CBB">
        <w:rPr>
          <w:rFonts w:eastAsia="Calibri" w:cs="Times New Roman"/>
          <w:sz w:val="16"/>
        </w:rPr>
        <w:t xml:space="preserve">. Tropical forests are being felled at an astounding rate -- a thousand times greater than those which occur naturally -- approximately 55,000 square miles a year. This is equivalent to the area of Switzerland and the Netherlands combined or to the size of a football field that is lost senselessly every second of each day of the year. Each year we are loosing at least 27,000 unknown species with unknown medicinal potentials. Currently, </w:t>
      </w:r>
      <w:r w:rsidRPr="004A0CBB">
        <w:rPr>
          <w:rFonts w:eastAsia="Calibri" w:cs="Times New Roman"/>
          <w:b/>
          <w:iCs/>
          <w:u w:val="single"/>
          <w:bdr w:val="single" w:sz="18" w:space="0" w:color="auto"/>
        </w:rPr>
        <w:t>25 percent of all medicines are derived from tropical plants and animals</w:t>
      </w:r>
      <w:r w:rsidRPr="004A0CBB">
        <w:rPr>
          <w:rFonts w:eastAsia="Calibri" w:cs="Times New Roman"/>
          <w:sz w:val="16"/>
        </w:rPr>
        <w:t>. As climate change unfolds, scientists have predicted more, and more intense, wild weather around the globe. Recently, a half a billion trees were blown over in one horrendous Amazon storm. The incidences of diseases will skyrocket. The loss of biological diversity from tropical rainforests will impede researchers from finding cures to those diseases. Tropical rainforest ecosystems must be protected, if not for us then certainly for our children.</w:t>
      </w:r>
    </w:p>
    <w:p w:rsidR="00984FEB" w:rsidRPr="004105A9" w:rsidRDefault="00984FEB" w:rsidP="00984FEB"/>
    <w:p w:rsidR="00984FEB" w:rsidRPr="00307530" w:rsidRDefault="00984FEB" w:rsidP="00984FEB"/>
    <w:p w:rsidR="00984FEB" w:rsidRDefault="00984FEB" w:rsidP="00756B88">
      <w:pPr>
        <w:pStyle w:val="Heading2"/>
      </w:pPr>
      <w:r>
        <w:t>Science Leadership</w:t>
      </w:r>
      <w:r w:rsidR="00756B88">
        <w:t xml:space="preserve"> Advantage</w:t>
      </w:r>
    </w:p>
    <w:p w:rsidR="00984FEB" w:rsidRDefault="00984FEB" w:rsidP="00984FEB">
      <w:pPr>
        <w:pStyle w:val="Heading3"/>
      </w:pPr>
      <w:r>
        <w:t>SQ solves</w:t>
      </w:r>
    </w:p>
    <w:p w:rsidR="00984FEB" w:rsidRDefault="00984FEB" w:rsidP="00984FEB">
      <w:pPr>
        <w:pStyle w:val="Heading4"/>
      </w:pPr>
      <w:r>
        <w:t>Status quo solves science leadership – even China isn’t a credible threat – our card addresses your warrants</w:t>
      </w:r>
    </w:p>
    <w:p w:rsidR="00984FEB" w:rsidRPr="002C1C8D" w:rsidRDefault="00984FEB" w:rsidP="00984FEB">
      <w:pPr>
        <w:rPr>
          <w:sz w:val="16"/>
          <w:szCs w:val="16"/>
        </w:rPr>
      </w:pPr>
      <w:r w:rsidRPr="002C1C8D">
        <w:rPr>
          <w:rStyle w:val="StyleStyleBold12pt"/>
        </w:rPr>
        <w:t>Acemoglu and Robinson 12</w:t>
      </w:r>
      <w:r w:rsidRPr="002C1C8D">
        <w:rPr>
          <w:sz w:val="16"/>
          <w:szCs w:val="16"/>
        </w:rPr>
        <w:t xml:space="preserve"> (Daron and James A., MIT economist and Professor of Government at Harvard respectively, “World's next technology leader will be US, not China – if America can shape up”, Christian Science Monitor, 4/19/12, http://www.csmonitor.com/Commentary/Global-Viewpoint/2012/0419/World-s-next-technology-leader-will-be-US-not-China-if-America-can-shape-up)</w:t>
      </w:r>
    </w:p>
    <w:p w:rsidR="00984FEB" w:rsidRPr="002C1C8D" w:rsidRDefault="00984FEB" w:rsidP="00984FEB">
      <w:pPr>
        <w:rPr>
          <w:sz w:val="16"/>
          <w:szCs w:val="16"/>
        </w:rPr>
      </w:pPr>
      <w:r w:rsidRPr="002C1C8D">
        <w:rPr>
          <w:rStyle w:val="StyleBoldUnderline"/>
        </w:rPr>
        <w:t>The odds favor the US not only because it is technologically more advanced and innovative than China</w:t>
      </w:r>
      <w:r w:rsidRPr="002C1C8D">
        <w:rPr>
          <w:sz w:val="16"/>
          <w:szCs w:val="16"/>
        </w:rPr>
        <w:t xml:space="preserve"> at the moment, </w:t>
      </w:r>
      <w:r w:rsidRPr="002C1C8D">
        <w:rPr>
          <w:rStyle w:val="StyleBoldUnderline"/>
        </w:rPr>
        <w:t>with an income per capita more than six times that of China</w:t>
      </w:r>
      <w:r w:rsidRPr="002C1C8D">
        <w:rPr>
          <w:sz w:val="16"/>
          <w:szCs w:val="16"/>
        </w:rPr>
        <w:t xml:space="preserve">. They do so </w:t>
      </w:r>
      <w:r w:rsidRPr="002C1C8D">
        <w:rPr>
          <w:rStyle w:val="StyleBoldUnderline"/>
        </w:rPr>
        <w:t>also because innovation ultimately depends on a country’s institutions</w:t>
      </w:r>
      <w:r w:rsidRPr="002C1C8D">
        <w:rPr>
          <w:sz w:val="16"/>
          <w:szCs w:val="16"/>
        </w:rPr>
        <w:t xml:space="preserve">. </w:t>
      </w:r>
      <w:r w:rsidRPr="002C1C8D">
        <w:rPr>
          <w:rStyle w:val="StyleBoldUnderline"/>
        </w:rPr>
        <w:t>Inclusive political institutions</w:t>
      </w:r>
      <w:r w:rsidRPr="002C1C8D">
        <w:rPr>
          <w:sz w:val="16"/>
          <w:szCs w:val="16"/>
        </w:rPr>
        <w:t xml:space="preserve"> distribute political power equally in society and constrain how that power can be exercised. They tend to </w:t>
      </w:r>
      <w:r w:rsidRPr="002C1C8D">
        <w:rPr>
          <w:rStyle w:val="StyleBoldUnderline"/>
        </w:rPr>
        <w:t>underpin inclusive economic institutions, which encourage innovation and investment and provide a level playing field so that the talents of a broad cross-section of society can be best deployed</w:t>
      </w:r>
      <w:r w:rsidRPr="002C1C8D">
        <w:rPr>
          <w:sz w:val="16"/>
          <w:szCs w:val="16"/>
        </w:rPr>
        <w:t xml:space="preserve">. </w:t>
      </w:r>
      <w:r w:rsidRPr="002C1C8D">
        <w:rPr>
          <w:rStyle w:val="StyleBoldUnderline"/>
        </w:rPr>
        <w:t>Despite all of the challenges that they are facing, US institutions are broadly inclusive, and thus more conducive to innovation</w:t>
      </w:r>
      <w:r w:rsidRPr="002C1C8D">
        <w:rPr>
          <w:sz w:val="16"/>
          <w:szCs w:val="16"/>
        </w:rPr>
        <w:t xml:space="preserve">. </w:t>
      </w:r>
      <w:r w:rsidRPr="002C1C8D">
        <w:rPr>
          <w:rStyle w:val="StyleBoldUnderline"/>
        </w:rPr>
        <w:t>Despite all of the resources that China is pouring into science and technology</w:t>
      </w:r>
      <w:r w:rsidRPr="002C1C8D">
        <w:rPr>
          <w:sz w:val="16"/>
          <w:szCs w:val="16"/>
        </w:rPr>
        <w:t xml:space="preserve"> at the moment</w:t>
      </w:r>
      <w:r w:rsidRPr="002C1C8D">
        <w:rPr>
          <w:rStyle w:val="StyleBoldUnderline"/>
        </w:rPr>
        <w:t>, its political institutions are extractive, and</w:t>
      </w:r>
      <w:r w:rsidRPr="002C1C8D">
        <w:rPr>
          <w:sz w:val="16"/>
          <w:szCs w:val="16"/>
        </w:rPr>
        <w:t xml:space="preserve"> as such, unless overhauled and revolutionized soon, they </w:t>
      </w:r>
      <w:r w:rsidRPr="002C1C8D">
        <w:rPr>
          <w:rStyle w:val="StyleBoldUnderline"/>
        </w:rPr>
        <w:t>will be an impediment</w:t>
      </w:r>
      <w:r w:rsidRPr="002C1C8D">
        <w:rPr>
          <w:sz w:val="16"/>
          <w:szCs w:val="16"/>
        </w:rPr>
        <w:t xml:space="preserve"> to innovation. </w:t>
      </w:r>
      <w:r w:rsidRPr="002C1C8D">
        <w:rPr>
          <w:rStyle w:val="StyleBoldUnderline"/>
        </w:rPr>
        <w:t>China may continue to grow in the near term, but this is growth under extractive institution</w:t>
      </w:r>
      <w:r w:rsidRPr="002C1C8D">
        <w:rPr>
          <w:sz w:val="16"/>
          <w:szCs w:val="16"/>
        </w:rPr>
        <w:t xml:space="preserve">s – mostly relying on politically connected businesses and technological transfer and catch-up. </w:t>
      </w:r>
      <w:r w:rsidRPr="002C1C8D">
        <w:rPr>
          <w:rStyle w:val="StyleBoldUnderline"/>
        </w:rPr>
        <w:t xml:space="preserve">The next stage of economic growth – generating genuine innovation – will be much more difficult </w:t>
      </w:r>
      <w:r w:rsidRPr="002C1C8D">
        <w:rPr>
          <w:sz w:val="16"/>
          <w:szCs w:val="16"/>
        </w:rPr>
        <w:t xml:space="preserve">unless China's political institutions change to create an environment that rewards the challenging of established interests, technologies, firms, and authority. </w:t>
      </w:r>
      <w:r w:rsidRPr="002C1C8D">
        <w:rPr>
          <w:rStyle w:val="StyleBoldUnderline"/>
        </w:rPr>
        <w:t xml:space="preserve">We have a historical precedent for this type of growth and how it runs out of steam: the </w:t>
      </w:r>
      <w:r w:rsidR="00DA51D8">
        <w:fldChar w:fldCharType="begin"/>
      </w:r>
      <w:r w:rsidR="00DA51D8">
        <w:instrText xml:space="preserve"> HYPERLINK "http://www.csmonitor.com/tags/topic/U.S.S.R." \t "_self" </w:instrText>
      </w:r>
      <w:r w:rsidR="00DA51D8">
        <w:fldChar w:fldCharType="separate"/>
      </w:r>
      <w:r w:rsidRPr="002C1C8D">
        <w:rPr>
          <w:rStyle w:val="StyleBoldUnderline"/>
        </w:rPr>
        <w:t>Soviet Union</w:t>
      </w:r>
      <w:r w:rsidR="00DA51D8">
        <w:rPr>
          <w:rStyle w:val="StyleBoldUnderline"/>
        </w:rPr>
        <w:fldChar w:fldCharType="end"/>
      </w:r>
      <w:r w:rsidRPr="002C1C8D">
        <w:rPr>
          <w:rStyle w:val="StyleBoldUnderline"/>
        </w:rPr>
        <w:t>.</w:t>
      </w:r>
      <w:r w:rsidRPr="002C1C8D">
        <w:rPr>
          <w:sz w:val="16"/>
          <w:szCs w:val="16"/>
        </w:rPr>
        <w:t xml:space="preserve"> After the </w:t>
      </w:r>
      <w:r w:rsidR="00DA51D8">
        <w:fldChar w:fldCharType="begin"/>
      </w:r>
      <w:r w:rsidR="00DA51D8">
        <w:instrText xml:space="preserve"> H</w:instrText>
      </w:r>
      <w:r w:rsidR="00DA51D8">
        <w:instrText xml:space="preserve">YPERLINK "http://www.csmonitor.com/tags/topic/Bolshevik+Party" \t "_self" </w:instrText>
      </w:r>
      <w:r w:rsidR="00DA51D8">
        <w:fldChar w:fldCharType="separate"/>
      </w:r>
      <w:r w:rsidRPr="002C1C8D">
        <w:rPr>
          <w:rStyle w:val="Hyperlink"/>
          <w:sz w:val="16"/>
          <w:szCs w:val="16"/>
        </w:rPr>
        <w:t>Bolsheviks</w:t>
      </w:r>
      <w:r w:rsidR="00DA51D8">
        <w:rPr>
          <w:rStyle w:val="Hyperlink"/>
          <w:sz w:val="16"/>
          <w:szCs w:val="16"/>
        </w:rPr>
        <w:fldChar w:fldCharType="end"/>
      </w:r>
      <w:r w:rsidRPr="002C1C8D">
        <w:rPr>
          <w:sz w:val="16"/>
          <w:szCs w:val="16"/>
        </w:rPr>
        <w:t xml:space="preserve"> took over the highly inefficient agricultural economy from the Tsarist regime and started to use the power of the state to move people and resources into industry, the Soviet Union grew at then-unparalleled rates, achieving an average annual growth rate of over 6 percent between 1928 and 1960. Though there was much enthusiasm about Soviet growth – as there is now about China’s growth machine – it couldn’t and didn’t last. By the 1970s, the Soviets had produced almost all the growth that could be derived from moving people from agriculture into industry, and despite various incentives and bonuses, and even harsh punishments for failure, they could not generate innovation. The Soviet economy stagnated and then totally collapsed. </w:t>
      </w:r>
      <w:r w:rsidRPr="002C1C8D">
        <w:rPr>
          <w:rStyle w:val="StyleBoldUnderline"/>
        </w:rPr>
        <w:t>China has more potential than the Soviet Union</w:t>
      </w:r>
      <w:r w:rsidRPr="002C1C8D">
        <w:rPr>
          <w:sz w:val="16"/>
          <w:szCs w:val="16"/>
        </w:rPr>
        <w:t>. Its growth has not come simply by government fiat, but also because it has reformed its economic institutions, providing incentives to farmers and some firms (though having government connections still helps enormously, and challenging powerful firms can land you in jail or worse). China also had more technological catching up to do than the Soviet Union</w:t>
      </w:r>
      <w:r w:rsidRPr="002C1C8D">
        <w:rPr>
          <w:rStyle w:val="StyleBoldUnderline"/>
        </w:rPr>
        <w:t>. But this potential will come to an end as well unless China radically transforms its institutions. This requires not only obvious steps such as introducing an independent judiciary, independent media, and more secure property rights for businesses, but truly inclusive political institutions. This necessitates a fundamental political opening</w:t>
      </w:r>
      <w:r w:rsidRPr="002C1C8D">
        <w:rPr>
          <w:sz w:val="16"/>
          <w:szCs w:val="16"/>
        </w:rPr>
        <w:t xml:space="preserve"> so that political power is more equally distributed and can underpin economic institutions. This, in turn, will create a level playing field and encourage and fully reward all sorts of innovation – especially the disruptive kind.</w:t>
      </w:r>
    </w:p>
    <w:p w:rsidR="00984FEB" w:rsidRDefault="00984FEB" w:rsidP="00984FEB">
      <w:pPr>
        <w:pStyle w:val="Heading3"/>
      </w:pPr>
      <w:r>
        <w:t>n/u – already declined</w:t>
      </w:r>
    </w:p>
    <w:p w:rsidR="00984FEB" w:rsidRDefault="00984FEB" w:rsidP="00984FEB">
      <w:pPr>
        <w:pStyle w:val="Heading4"/>
      </w:pPr>
      <w:r>
        <w:t>Non-unique – China has already overtaken the US, and modern science requires partnership not leadership – funding can’t solve</w:t>
      </w:r>
    </w:p>
    <w:p w:rsidR="00984FEB" w:rsidRPr="009B332E" w:rsidRDefault="00984FEB" w:rsidP="00984FEB">
      <w:pPr>
        <w:rPr>
          <w:sz w:val="16"/>
          <w:szCs w:val="16"/>
        </w:rPr>
      </w:pPr>
      <w:r w:rsidRPr="009B332E">
        <w:rPr>
          <w:rStyle w:val="StyleStyleBold12pt"/>
        </w:rPr>
        <w:t>Penn State 11</w:t>
      </w:r>
      <w:r w:rsidRPr="009B332E">
        <w:rPr>
          <w:sz w:val="16"/>
          <w:szCs w:val="16"/>
        </w:rPr>
        <w:t xml:space="preserve"> (Penn State. "US will no longer dominate science and research, expert predicts." ScienceDaily, 2/20/11, </w:t>
      </w:r>
      <w:hyperlink r:id="rId185" w:history="1">
        <w:r w:rsidRPr="009B332E">
          <w:rPr>
            <w:rStyle w:val="Hyperlink"/>
            <w:sz w:val="16"/>
            <w:szCs w:val="16"/>
          </w:rPr>
          <w:t>http://www.sciencedaily.com/releases/2011/02/110218132310.htm</w:t>
        </w:r>
      </w:hyperlink>
      <w:r w:rsidRPr="009B332E">
        <w:rPr>
          <w:sz w:val="16"/>
          <w:szCs w:val="16"/>
        </w:rPr>
        <w:t>)</w:t>
      </w:r>
    </w:p>
    <w:p w:rsidR="00984FEB" w:rsidRPr="009B332E" w:rsidRDefault="00984FEB" w:rsidP="00984FEB">
      <w:pPr>
        <w:rPr>
          <w:sz w:val="16"/>
          <w:szCs w:val="16"/>
        </w:rPr>
      </w:pPr>
      <w:r w:rsidRPr="009B332E">
        <w:rPr>
          <w:rStyle w:val="StyleBoldUnderline"/>
        </w:rPr>
        <w:t>A shift in the global research landscape will reposition the United States as a major partner, but not the dominant leader, in science and technology</w:t>
      </w:r>
      <w:r w:rsidRPr="009B332E">
        <w:rPr>
          <w:sz w:val="16"/>
          <w:szCs w:val="16"/>
        </w:rPr>
        <w:t xml:space="preserve"> research in the coming decade, according to a Penn State researcher. </w:t>
      </w:r>
      <w:r w:rsidRPr="009B332E">
        <w:rPr>
          <w:rStyle w:val="StyleBoldUnderline"/>
        </w:rPr>
        <w:t>However, the U.S. could benefit from this research shift if it adopts a policy of knowledge sharing with the growing global community</w:t>
      </w:r>
      <w:r w:rsidRPr="009B332E">
        <w:rPr>
          <w:sz w:val="16"/>
          <w:szCs w:val="16"/>
        </w:rPr>
        <w:t xml:space="preserve"> of researchers. "What is emerging is a global science system in which the U.S. will be one player among many," said Caroline Wagner, associate professor of international affairs, who presented her findings Feb. 18 at the annual meeting of the American Association for the Advancement of Science in Washington, D.C. </w:t>
      </w:r>
      <w:r w:rsidRPr="009B332E">
        <w:rPr>
          <w:rStyle w:val="StyleBoldUnderline"/>
        </w:rPr>
        <w:t>The entrance of more nations into global science has changed the research landscape. From 1996 to 2008, the share of papers published by U.S. researchers dropped 20 percent.</w:t>
      </w:r>
      <w:r w:rsidRPr="009B332E">
        <w:rPr>
          <w:sz w:val="16"/>
          <w:szCs w:val="16"/>
        </w:rPr>
        <w:t xml:space="preserve"> </w:t>
      </w:r>
      <w:r w:rsidRPr="009B332E">
        <w:rPr>
          <w:rStyle w:val="StyleBoldUnderline"/>
        </w:rPr>
        <w:t>Wagner attributes much of this output shift not to a drop in U.S. research efforts, but to the exponentially increasing research conducted in developing countries, such as China and India. China has already surpassed the U.S. in the output of research papers</w:t>
      </w:r>
      <w:r w:rsidRPr="009B332E">
        <w:rPr>
          <w:sz w:val="16"/>
          <w:szCs w:val="16"/>
        </w:rPr>
        <w:t xml:space="preserve"> in the fields of natural science and engineering. </w:t>
      </w:r>
      <w:r w:rsidRPr="009B332E">
        <w:rPr>
          <w:rStyle w:val="StyleBoldUnderline"/>
        </w:rPr>
        <w:t>Based on current trends, China will publish more papers in all fields by 2015</w:t>
      </w:r>
      <w:r w:rsidRPr="009B332E">
        <w:rPr>
          <w:sz w:val="16"/>
          <w:szCs w:val="16"/>
        </w:rPr>
        <w:t xml:space="preserve">. Although China still lags in quality, according to Wagner, that gap is closing, too. </w:t>
      </w:r>
      <w:r w:rsidRPr="009B332E">
        <w:rPr>
          <w:rStyle w:val="StyleBoldUnderline"/>
        </w:rPr>
        <w:t>As enrollments in Chinese universities swell, there will also be more researchers in China than there are in the U.S., she noted. Typical recommendations to spur U.S. research, such as spending more money on research, may not restore American preeminence in science and technology</w:t>
      </w:r>
      <w:r w:rsidRPr="009B332E">
        <w:rPr>
          <w:sz w:val="16"/>
          <w:szCs w:val="16"/>
        </w:rPr>
        <w:t>. "Some consider America's loss in the 'numbers game' in research to be a scary scenario, but the answer may not be in spending more money," said Wagner. "</w:t>
      </w:r>
      <w:r w:rsidRPr="009B332E">
        <w:rPr>
          <w:rStyle w:val="StyleBoldUnderline"/>
        </w:rPr>
        <w:t>The system may be operating at full capacity -and the law of diminishing returns exists in science</w:t>
      </w:r>
      <w:r w:rsidRPr="009B332E">
        <w:rPr>
          <w:sz w:val="16"/>
          <w:szCs w:val="16"/>
        </w:rPr>
        <w:t xml:space="preserve">, just as it does in other sectors." </w:t>
      </w:r>
      <w:r w:rsidRPr="009B332E">
        <w:rPr>
          <w:rStyle w:val="StyleBoldUnderline"/>
        </w:rPr>
        <w:t>Instead of this low return-on-investment strategy, Wagner recommended that the U.S. rely on a more efficient knowledge-sharing strategy by tapping experts from other countries who have developed more knowledge and better skills than U.S. researchers in certain fields</w:t>
      </w:r>
      <w:r w:rsidRPr="009B332E">
        <w:rPr>
          <w:sz w:val="16"/>
          <w:szCs w:val="16"/>
        </w:rPr>
        <w:t>. Other nations would, in turn, have access to U.S. scientists to conduct research in fields where they are most proficient.</w:t>
      </w:r>
    </w:p>
    <w:p w:rsidR="00984FEB" w:rsidRPr="009B332E" w:rsidRDefault="00984FEB" w:rsidP="00984FEB"/>
    <w:p w:rsidR="00984FEB" w:rsidRDefault="00984FEB" w:rsidP="00984FEB">
      <w:pPr>
        <w:pStyle w:val="Heading3"/>
      </w:pPr>
      <w:r>
        <w:t>alt cause</w:t>
      </w:r>
    </w:p>
    <w:p w:rsidR="00984FEB" w:rsidRPr="002C1C8D" w:rsidRDefault="00984FEB" w:rsidP="00984FEB">
      <w:pPr>
        <w:pStyle w:val="Heading4"/>
      </w:pPr>
      <w:r w:rsidRPr="002C1C8D">
        <w:t>Alt cause to STEM failure – ocean enthusiasm can’t overcome Common Core failure</w:t>
      </w:r>
    </w:p>
    <w:p w:rsidR="00984FEB" w:rsidRPr="002C1C8D" w:rsidRDefault="00984FEB" w:rsidP="00984FEB">
      <w:pPr>
        <w:rPr>
          <w:sz w:val="16"/>
          <w:szCs w:val="16"/>
        </w:rPr>
      </w:pPr>
      <w:r w:rsidRPr="002C1C8D">
        <w:rPr>
          <w:rStyle w:val="StyleStyleBold12pt"/>
        </w:rPr>
        <w:t>Stotsky 13</w:t>
      </w:r>
      <w:r w:rsidRPr="002C1C8D">
        <w:rPr>
          <w:sz w:val="16"/>
          <w:szCs w:val="16"/>
        </w:rPr>
        <w:t xml:space="preserve"> (Sandra,</w:t>
      </w:r>
      <w:r>
        <w:rPr>
          <w:sz w:val="16"/>
          <w:szCs w:val="16"/>
        </w:rPr>
        <w:t xml:space="preserve">  Professor of Education Reform in the Department of Education Reform at the University of Arkansas,</w:t>
      </w:r>
      <w:r w:rsidRPr="002C1C8D">
        <w:rPr>
          <w:sz w:val="16"/>
          <w:szCs w:val="16"/>
        </w:rPr>
        <w:t xml:space="preserve"> “Common Core fails to prepare students for STEM”, The Denver Post, 12/17/13, http://www.denverpost.com/opinion/ci_24743742/common-core-fails-prepare-students-stem)</w:t>
      </w:r>
    </w:p>
    <w:p w:rsidR="00984FEB" w:rsidRDefault="00984FEB" w:rsidP="00984FEB">
      <w:pPr>
        <w:rPr>
          <w:sz w:val="16"/>
          <w:szCs w:val="16"/>
        </w:rPr>
      </w:pPr>
      <w:r w:rsidRPr="002C1C8D">
        <w:rPr>
          <w:rStyle w:val="StyleBoldUnderline"/>
        </w:rPr>
        <w:t>When states adopted Common Core's math standards, they were told</w:t>
      </w:r>
      <w:r w:rsidRPr="002C1C8D">
        <w:rPr>
          <w:sz w:val="16"/>
          <w:szCs w:val="16"/>
        </w:rPr>
        <w:t xml:space="preserve"> (among other things) that </w:t>
      </w:r>
      <w:r w:rsidRPr="002C1C8D">
        <w:rPr>
          <w:rStyle w:val="StyleBoldUnderline"/>
        </w:rPr>
        <w:t xml:space="preserve">they would </w:t>
      </w:r>
      <w:r w:rsidRPr="002C1C8D">
        <w:t>make</w:t>
      </w:r>
      <w:r w:rsidRPr="002C1C8D">
        <w:rPr>
          <w:sz w:val="16"/>
          <w:szCs w:val="16"/>
        </w:rPr>
        <w:t xml:space="preserve"> all high school students "collegeand career-ready" and </w:t>
      </w:r>
      <w:r w:rsidRPr="002C1C8D">
        <w:rPr>
          <w:rStyle w:val="StyleBoldUnderline"/>
        </w:rPr>
        <w:t>strengthen the critical pipeline for</w:t>
      </w:r>
      <w:r w:rsidRPr="002C1C8D">
        <w:rPr>
          <w:sz w:val="16"/>
          <w:szCs w:val="16"/>
        </w:rPr>
        <w:t xml:space="preserve"> science, technology, engineering and math (</w:t>
      </w:r>
      <w:r w:rsidRPr="002C1C8D">
        <w:rPr>
          <w:rStyle w:val="StyleBoldUnderline"/>
        </w:rPr>
        <w:t>STEM</w:t>
      </w:r>
      <w:r w:rsidRPr="002C1C8D">
        <w:rPr>
          <w:sz w:val="16"/>
          <w:szCs w:val="16"/>
        </w:rPr>
        <w:t xml:space="preserve">). </w:t>
      </w:r>
      <w:r w:rsidRPr="002C1C8D">
        <w:rPr>
          <w:rStyle w:val="StyleBoldUnderline"/>
        </w:rPr>
        <w:t>However</w:t>
      </w:r>
      <w:r w:rsidRPr="002C1C8D">
        <w:rPr>
          <w:sz w:val="16"/>
          <w:szCs w:val="16"/>
        </w:rPr>
        <w:t xml:space="preserve">, with the exception of a few standards in trigonometry, </w:t>
      </w:r>
      <w:r w:rsidRPr="002C1C8D">
        <w:rPr>
          <w:rStyle w:val="StyleBoldUnderline"/>
        </w:rPr>
        <w:t>the math standards end after Algebra II</w:t>
      </w:r>
      <w:r w:rsidRPr="002C1C8D">
        <w:rPr>
          <w:sz w:val="16"/>
          <w:szCs w:val="16"/>
        </w:rPr>
        <w:t xml:space="preserve">, as James Milgram, professor of mathematics emeritus at Stanford University observed in "Lowering the Bar: How Common Core Math Fails to Prepare High School Students for STEM," a report that Milgram and I co-authored for the Pioneer Institute. Who was responsible for telling the truth to the Colorado Board of Education when it adopted these standards in 2010? Who should be telling Gov. John Hickenlooper, business executives, and college presidents today that </w:t>
      </w:r>
      <w:r w:rsidRPr="002C1C8D">
        <w:rPr>
          <w:rStyle w:val="StyleBoldUnderline"/>
        </w:rPr>
        <w:t>Common Core includes no standards for pre-calculus and that high school graduates taught only to Common Core's mathematics standards won't be prepared to pursue a four-year degree in STEM</w:t>
      </w:r>
      <w:r w:rsidRPr="002C1C8D">
        <w:rPr>
          <w:sz w:val="16"/>
          <w:szCs w:val="16"/>
        </w:rPr>
        <w:t xml:space="preserve">? Superintendents, local school committees, and most parents don't seem to know that under Common Core, their students won't be able to pursue a STEM career. In fact, they think that Common Core's math standards are rigorous. </w:t>
      </w:r>
      <w:r w:rsidRPr="002C1C8D">
        <w:rPr>
          <w:rStyle w:val="StyleBoldUnderline"/>
        </w:rPr>
        <w:t>U.S. government data show that only one out of every 50 prospective STEM majors who begin their undergraduate math coursework at the pre-calculus level or lower will earn bachelor's degrees</w:t>
      </w:r>
      <w:r w:rsidRPr="002C1C8D">
        <w:rPr>
          <w:sz w:val="16"/>
          <w:szCs w:val="16"/>
        </w:rPr>
        <w:t xml:space="preserve"> in a STEM area. </w:t>
      </w:r>
      <w:r w:rsidRPr="002C1C8D">
        <w:rPr>
          <w:rStyle w:val="StyleBoldUnderline"/>
        </w:rPr>
        <w:t>Moreover, students whose last high school mathematics course was Algebra II or lower have less than a 40 percent chance of earning any kind of four-year college degree</w:t>
      </w:r>
      <w:r w:rsidRPr="002C1C8D">
        <w:rPr>
          <w:sz w:val="16"/>
          <w:szCs w:val="16"/>
        </w:rPr>
        <w:t>. It's not as if the lead mathematics standards writers themselves didn't tell the public how low Common Core's high school mathematics standards were. In 2010, Jason Zimba, a lead writer, said the standards are "not only not for STEM, they are also not for selective colleges." In January 2010, William McCallum, another lead mathematics standards writer, said, "The overall standards would not be too high, certainly not in comparison [to] other nations, including East Asia, where math education excels." There are other consequences to having a college readiness test in math with low expectations. The U.S. Department of Education's competitive grant program, Race to the Top, requires states to place students who have been admitted by their public colleges and universities into credit-bearing (non-remedial) mathematics (and English) courses if they have passed a Common Core-based "college readiness" test</w:t>
      </w:r>
      <w:r w:rsidRPr="002C1C8D">
        <w:rPr>
          <w:rStyle w:val="StyleBoldUnderline"/>
        </w:rPr>
        <w:t>. Selective public colleges, engineering schools, and universities in every state will likely have to lower the level of their introductory math courses to avoid unacceptably high failure rates</w:t>
      </w:r>
      <w:r w:rsidRPr="002C1C8D">
        <w:rPr>
          <w:sz w:val="16"/>
          <w:szCs w:val="16"/>
        </w:rPr>
        <w:t xml:space="preserve">. Milgram and I were members of Common Core's Validation Committee, which was charged with reviewing each successive draft of the standards. We both refused to sign off on the academic quality of the national standards, but made public our explanation and criticism of the final version of Common Core's standards. It is still astonishing that Colorado's state board of education adopted Common Core's standards without asking the engineering, science and math faculty at its own higher education institutions (and the math teachers in our own high schools) to do an analysis of Common Core's definition of college readiness and make public their recommendations. After all, who could be better judges of what students need for a STEM major? </w:t>
      </w:r>
      <w:r w:rsidRPr="002C1C8D">
        <w:rPr>
          <w:rStyle w:val="StyleBoldUnderline"/>
        </w:rPr>
        <w:t>We clearly need to revise Common Core's mathematics standards as soon as possible so that all American schools are able to offer the coursework beginning in grades 5 or 6, enabling mathematically able students to aim for a STEM major in college</w:t>
      </w:r>
      <w:r w:rsidRPr="002C1C8D">
        <w:rPr>
          <w:sz w:val="16"/>
          <w:szCs w:val="16"/>
        </w:rPr>
        <w:t>. Unless, of course, Colorado's towns and cities aren't interested in American-born and educated engineers, doctors or scientists.</w:t>
      </w:r>
    </w:p>
    <w:p w:rsidR="00984FEB" w:rsidRPr="000C1037" w:rsidRDefault="00984FEB" w:rsidP="00984FEB">
      <w:pPr>
        <w:pStyle w:val="Heading4"/>
      </w:pPr>
      <w:r w:rsidRPr="000C1037">
        <w:t>Alt cause to STEM decline – bureaucratic environment, losing students overseas</w:t>
      </w:r>
    </w:p>
    <w:p w:rsidR="00984FEB" w:rsidRPr="009B332E" w:rsidRDefault="00984FEB" w:rsidP="00984FEB">
      <w:pPr>
        <w:rPr>
          <w:sz w:val="16"/>
          <w:szCs w:val="16"/>
        </w:rPr>
      </w:pPr>
      <w:r w:rsidRPr="009B332E">
        <w:rPr>
          <w:rStyle w:val="StyleStyleBold12pt"/>
        </w:rPr>
        <w:t>Kluger 13</w:t>
      </w:r>
      <w:r w:rsidRPr="009B332E">
        <w:rPr>
          <w:sz w:val="16"/>
          <w:szCs w:val="16"/>
        </w:rPr>
        <w:t xml:space="preserve"> (Jeffrey, TIME Science editor at large, “What U.S. Needs to Be the Leader in STEM Again”, TIME, 9/20/13, http://nation.time.com/2013/09/20/what-u-s-needs-to-be-the-leader-in-stem-again/)</w:t>
      </w:r>
    </w:p>
    <w:p w:rsidR="00984FEB" w:rsidRPr="009B332E" w:rsidRDefault="00984FEB" w:rsidP="00984FEB">
      <w:pPr>
        <w:rPr>
          <w:rStyle w:val="StyleBoldUnderline"/>
        </w:rPr>
      </w:pPr>
      <w:r w:rsidRPr="009B332E">
        <w:rPr>
          <w:rStyle w:val="StyleBoldUnderline"/>
        </w:rPr>
        <w:t>But the U.S. is in no position to boast these days</w:t>
      </w:r>
      <w:r w:rsidRPr="009B332E">
        <w:rPr>
          <w:sz w:val="16"/>
          <w:szCs w:val="16"/>
        </w:rPr>
        <w:t xml:space="preserve">. Consider these numbers from this morning’s TIME Education Summit panel on Basic and Applied Research. </w:t>
      </w:r>
      <w:r w:rsidRPr="009B332E">
        <w:rPr>
          <w:rStyle w:val="StyleBoldUnderline"/>
        </w:rPr>
        <w:t>Last year’s entire operating budget for the National Science Foundation was $7.4 billion—or only $400 million more than Americans spent on potato chips</w:t>
      </w:r>
      <w:r w:rsidRPr="009B332E">
        <w:rPr>
          <w:sz w:val="16"/>
          <w:szCs w:val="16"/>
        </w:rPr>
        <w:t xml:space="preserve"> in the same period</w:t>
      </w:r>
      <w:r w:rsidRPr="009B332E">
        <w:rPr>
          <w:rStyle w:val="StyleBoldUnderline"/>
        </w:rPr>
        <w:t>. Last year too, 20% of undergrads in China were studying in the STEM fields. In Europe it was 11%. In the U.S. it was 4.4%</w:t>
      </w:r>
      <w:r w:rsidRPr="009B332E">
        <w:rPr>
          <w:sz w:val="16"/>
          <w:szCs w:val="16"/>
        </w:rPr>
        <w:t xml:space="preserve">. “In 2008, I was working on a paper about a newly discovered superconducting material,” said Robert Birgeneau, chancellor emeritus and professor of physics at the University of California, Berkeley, “Wen I looked at my citations I realized that 80% of the papers I mentioned were from universities in China.” </w:t>
      </w:r>
      <w:r w:rsidRPr="009B332E">
        <w:rPr>
          <w:rStyle w:val="StyleBoldUnderline"/>
        </w:rPr>
        <w:t>There are a lot of reasons the U.S. is falling behind in the fundamental disciplines in which it once led.</w:t>
      </w:r>
      <w:r w:rsidRPr="009B332E">
        <w:rPr>
          <w:sz w:val="16"/>
          <w:szCs w:val="16"/>
        </w:rPr>
        <w:t xml:space="preserve"> Money, of course, is a big part of it. “I was the head of the National Institutes of Health in the 1990s,” said Harold Varmus, currently the director of the National </w:t>
      </w:r>
      <w:hyperlink r:id="rId186" w:history="1">
        <w:r w:rsidRPr="009B332E">
          <w:rPr>
            <w:rStyle w:val="Hyperlink"/>
            <w:sz w:val="16"/>
            <w:szCs w:val="16"/>
          </w:rPr>
          <w:t>Cancer</w:t>
        </w:r>
      </w:hyperlink>
      <w:r w:rsidRPr="009B332E">
        <w:rPr>
          <w:sz w:val="16"/>
          <w:szCs w:val="16"/>
        </w:rPr>
        <w:t xml:space="preserve"> Institute. “Our funding doubled from 1998 to 2003. Now </w:t>
      </w:r>
      <w:r w:rsidRPr="009B332E">
        <w:rPr>
          <w:rStyle w:val="StyleBoldUnderline"/>
        </w:rPr>
        <w:t>we’re facing nothing but stagnation and sequestration</w:t>
      </w:r>
      <w:r w:rsidRPr="009B332E">
        <w:rPr>
          <w:sz w:val="16"/>
          <w:szCs w:val="16"/>
        </w:rPr>
        <w:t xml:space="preserve">.” </w:t>
      </w:r>
      <w:r w:rsidRPr="009B332E">
        <w:rPr>
          <w:rStyle w:val="StyleBoldUnderline"/>
        </w:rPr>
        <w:t>Then too there’s the ferociously competitive, stultifyingly bureaucratic research culture. “We have built an unsustainable environment in which large numbers of faculty members train large numbers of students, hyper-populating their fields,</w:t>
      </w:r>
      <w:r w:rsidRPr="009B332E">
        <w:rPr>
          <w:sz w:val="16"/>
          <w:szCs w:val="16"/>
        </w:rPr>
        <w:t xml:space="preserve">” says Varmus. “I can fund perhaps 10% of the studies that apply for NCI grants.” </w:t>
      </w:r>
      <w:r w:rsidRPr="009B332E">
        <w:rPr>
          <w:rStyle w:val="StyleBoldUnderline"/>
        </w:rPr>
        <w:t>The problem is not that too many people are studying in the STEM fields. It’s that there simply isn’t enough basic infrastructure</w:t>
      </w:r>
      <w:r w:rsidRPr="009B332E">
        <w:rPr>
          <w:sz w:val="16"/>
          <w:szCs w:val="16"/>
        </w:rPr>
        <w:t>—including money—</w:t>
      </w:r>
      <w:r w:rsidRPr="009B332E">
        <w:rPr>
          <w:rStyle w:val="StyleBoldUnderline"/>
        </w:rPr>
        <w:t>to let them go on to do the research they are training to do.</w:t>
      </w:r>
      <w:r w:rsidRPr="009B332E">
        <w:rPr>
          <w:sz w:val="16"/>
          <w:szCs w:val="16"/>
        </w:rPr>
        <w:t xml:space="preserve"> In the biomedical field, said Robert Dijkgraaf, director of the Institute for Advanced Study, the average age at which a researcher receives a first grant is 42. </w:t>
      </w:r>
      <w:r w:rsidRPr="009B332E">
        <w:rPr>
          <w:rStyle w:val="StyleBoldUnderline"/>
        </w:rPr>
        <w:t>“It’s difficult and sometimes painful to be a member of the scientific community in the U.S.,” says Varmus. “Other countries offer a more comfortable environment.”</w:t>
      </w:r>
      <w:r w:rsidRPr="009B332E">
        <w:rPr>
          <w:sz w:val="16"/>
          <w:szCs w:val="16"/>
        </w:rPr>
        <w:t xml:space="preserve"> The paradoxical result, he says, is that </w:t>
      </w:r>
      <w:r w:rsidRPr="009B332E">
        <w:rPr>
          <w:rStyle w:val="StyleBoldUnderline"/>
        </w:rPr>
        <w:t>we do a better job of attracting students from overseas to come here and study than we do of holding onto our own students. And once undergrads from China or Europe get their still highly coveted degree from an American university, they take their newly acquired skills back home.</w:t>
      </w:r>
    </w:p>
    <w:p w:rsidR="00984FEB" w:rsidRPr="002C1C8D" w:rsidRDefault="00984FEB" w:rsidP="00984FEB"/>
    <w:p w:rsidR="00984FEB" w:rsidRDefault="00984FEB" w:rsidP="00984FEB">
      <w:pPr>
        <w:pStyle w:val="Heading3"/>
      </w:pPr>
      <w:r>
        <w:t>decline inev</w:t>
      </w:r>
    </w:p>
    <w:p w:rsidR="00984FEB" w:rsidRPr="00EA0886" w:rsidRDefault="00984FEB" w:rsidP="00984FEB">
      <w:pPr>
        <w:pStyle w:val="Heading4"/>
      </w:pPr>
      <w:r>
        <w:t>US science leadership decline inevitable – population growth – and no impact to decline</w:t>
      </w:r>
    </w:p>
    <w:p w:rsidR="00984FEB" w:rsidRPr="00EA0886" w:rsidRDefault="00984FEB" w:rsidP="00984FEB">
      <w:pPr>
        <w:rPr>
          <w:sz w:val="16"/>
          <w:szCs w:val="16"/>
        </w:rPr>
      </w:pPr>
      <w:r w:rsidRPr="00EA0886">
        <w:rPr>
          <w:rStyle w:val="StyleStyleBold12pt"/>
        </w:rPr>
        <w:t>Lempert 08</w:t>
      </w:r>
      <w:r w:rsidRPr="00EA0886">
        <w:rPr>
          <w:sz w:val="16"/>
          <w:szCs w:val="16"/>
        </w:rPr>
        <w:t xml:space="preserve"> (Richard O.,</w:t>
      </w:r>
      <w:r>
        <w:rPr>
          <w:sz w:val="16"/>
          <w:szCs w:val="16"/>
        </w:rPr>
        <w:t xml:space="preserve"> Eric Stein Distinguished University Professor of Law and Sociology Emeritus at Michigan Law</w:t>
      </w:r>
      <w:r w:rsidRPr="00EA0886">
        <w:rPr>
          <w:sz w:val="16"/>
          <w:szCs w:val="16"/>
        </w:rPr>
        <w:t xml:space="preserve"> “English and Immigrants Are the Immediate Needs”, Science Progress, 3/3/08, http://scienceprogress.org/2008/03/maintaining-us-scientific-leadership/)</w:t>
      </w:r>
    </w:p>
    <w:p w:rsidR="00984FEB" w:rsidRPr="00EA0886" w:rsidRDefault="00984FEB" w:rsidP="00984FEB">
      <w:pPr>
        <w:rPr>
          <w:rStyle w:val="StyleBoldUnderline"/>
        </w:rPr>
      </w:pPr>
      <w:r w:rsidRPr="00EA0886">
        <w:rPr>
          <w:rStyle w:val="StyleBoldUnderline"/>
        </w:rPr>
        <w:t>Countries much larger than the United States, most notably India and China, are experiencing economic growth that outstrips ours, and as they grow in wealth they are rapidly improving their educational systems and basic science infrastructures</w:t>
      </w:r>
      <w:r w:rsidRPr="00EA0886">
        <w:rPr>
          <w:sz w:val="16"/>
          <w:szCs w:val="16"/>
        </w:rPr>
        <w:t xml:space="preserve">. Moreover, </w:t>
      </w:r>
      <w:r w:rsidRPr="00EA0886">
        <w:rPr>
          <w:rStyle w:val="StyleBoldUnderline"/>
        </w:rPr>
        <w:t>as globalization leads companies born in the United States to move research and production capacity abroad, market demand for trained scientists and engineers is increasing elsewhere while it is being dampened here</w:t>
      </w:r>
      <w:r w:rsidRPr="00EA0886">
        <w:rPr>
          <w:sz w:val="16"/>
          <w:szCs w:val="16"/>
        </w:rPr>
        <w:t xml:space="preserve">. </w:t>
      </w:r>
      <w:r w:rsidRPr="00EA0886">
        <w:rPr>
          <w:rStyle w:val="StyleBoldUnderline"/>
        </w:rPr>
        <w:t>Even if the United States retains a per capita education and investment advantage over India and China, population differences alone mean that the number of trained scientists and engineers in these countries will soon dwarf the number in America</w:t>
      </w:r>
      <w:r w:rsidRPr="00EA0886">
        <w:rPr>
          <w:sz w:val="16"/>
          <w:szCs w:val="16"/>
        </w:rPr>
        <w:t xml:space="preserve">, with differences in the quantity and quality of science innovation likely to follow. </w:t>
      </w:r>
      <w:r w:rsidRPr="00EA0886">
        <w:rPr>
          <w:rStyle w:val="StyleBoldUnderline"/>
        </w:rPr>
        <w:t>Added</w:t>
      </w:r>
      <w:r w:rsidRPr="00EA0886">
        <w:rPr>
          <w:sz w:val="16"/>
          <w:szCs w:val="16"/>
        </w:rPr>
        <w:t xml:space="preserve"> to the Asian challenge </w:t>
      </w:r>
      <w:r w:rsidRPr="00EA0886">
        <w:rPr>
          <w:rStyle w:val="StyleBoldUnderline"/>
        </w:rPr>
        <w:t>is a Europe that can no longer be seen as a set of discrete countries when it comes to science</w:t>
      </w:r>
      <w:r w:rsidRPr="00EA0886">
        <w:rPr>
          <w:sz w:val="16"/>
          <w:szCs w:val="16"/>
        </w:rPr>
        <w:t xml:space="preserve">. Rather, cross-border research teams are being encouraged, and European Union-wide funding mechanisms are being established. In short, several decades from now </w:t>
      </w:r>
      <w:r w:rsidRPr="00EA0886">
        <w:rPr>
          <w:rStyle w:val="StyleBoldUnderline"/>
        </w:rPr>
        <w:t>we may find that we are not the world’s number one country when it comes to science, however measured, but perhaps no. 4 behind China, India, and the EU. We may also find that being in fourth place is not altogether bad</w:t>
      </w:r>
      <w:r w:rsidRPr="00EA0886">
        <w:rPr>
          <w:sz w:val="16"/>
          <w:szCs w:val="16"/>
        </w:rPr>
        <w:t xml:space="preserve">. </w:t>
      </w:r>
      <w:r w:rsidRPr="00EA0886">
        <w:rPr>
          <w:rStyle w:val="StyleBoldUnderline"/>
        </w:rPr>
        <w:t>When children in China are vaccinated against polio, they are not worse off because the vaccine was invented in the United States</w:t>
      </w:r>
      <w:r w:rsidRPr="00EA0886">
        <w:rPr>
          <w:sz w:val="16"/>
          <w:szCs w:val="16"/>
        </w:rPr>
        <w:t xml:space="preserve">. </w:t>
      </w:r>
      <w:r w:rsidRPr="00EA0886">
        <w:rPr>
          <w:rStyle w:val="StyleBoldUnderline"/>
        </w:rPr>
        <w:t>When an Indian inventor draws on two decades of U.S. government-funded research to achieve a technological breakthrough, her accomplishment will not be lessened because it would not have happened had research in the United States not paved the way</w:t>
      </w:r>
      <w:r w:rsidRPr="00EA0886">
        <w:rPr>
          <w:sz w:val="16"/>
          <w:szCs w:val="16"/>
        </w:rPr>
        <w:t xml:space="preserve">. As the world no. 1 in science, U.S. science investments have had substantial spillover effects, improving the quality of life in other countries and enabling scientific, technological, and medical accomplishments that have benefited people abroad. </w:t>
      </w:r>
      <w:r w:rsidRPr="00EA0886">
        <w:rPr>
          <w:rStyle w:val="StyleBoldUnderline"/>
        </w:rPr>
        <w:t>As other countries improve their science, the progress of American science and the lives of our people will increasingly benefit from educational and infrastructure investments made elsewhere and from research supported by currencies other than the dollar.</w:t>
      </w:r>
    </w:p>
    <w:p w:rsidR="00984FEB" w:rsidRPr="00EA0886" w:rsidRDefault="00984FEB" w:rsidP="00984FEB"/>
    <w:p w:rsidR="00984FEB" w:rsidRDefault="00984FEB" w:rsidP="00984FEB">
      <w:pPr>
        <w:pStyle w:val="Heading3"/>
      </w:pPr>
      <w:r>
        <w:t>sci dip fails</w:t>
      </w:r>
    </w:p>
    <w:p w:rsidR="00984FEB" w:rsidRPr="001B17AB" w:rsidRDefault="00984FEB" w:rsidP="00984FEB">
      <w:pPr>
        <w:pStyle w:val="Heading4"/>
      </w:pPr>
      <w:r w:rsidRPr="001B17AB">
        <w:t>Science diplomacy can’t resolve political conflicts – there’s no impact</w:t>
      </w:r>
    </w:p>
    <w:p w:rsidR="00984FEB" w:rsidRPr="001B17AB" w:rsidRDefault="00984FEB" w:rsidP="00984FEB">
      <w:pPr>
        <w:rPr>
          <w:sz w:val="16"/>
          <w:szCs w:val="16"/>
        </w:rPr>
      </w:pPr>
      <w:r w:rsidRPr="001B17AB">
        <w:rPr>
          <w:rStyle w:val="StyleStyleBold12pt"/>
        </w:rPr>
        <w:t>Dickson 09</w:t>
      </w:r>
      <w:r w:rsidRPr="001B17AB">
        <w:rPr>
          <w:sz w:val="16"/>
          <w:szCs w:val="16"/>
        </w:rPr>
        <w:t xml:space="preserve"> (David, “The limits of science diplomacy”, SciDev, 4/6/09, http://www.scidev.net/global/capacity-building/editorials/the-limits-of-science-diplomacy.html)</w:t>
      </w:r>
    </w:p>
    <w:p w:rsidR="00984FEB" w:rsidRDefault="00984FEB" w:rsidP="00984FEB">
      <w:pPr>
        <w:rPr>
          <w:sz w:val="16"/>
          <w:szCs w:val="16"/>
        </w:rPr>
      </w:pPr>
      <w:r w:rsidRPr="001B17AB">
        <w:rPr>
          <w:sz w:val="16"/>
          <w:szCs w:val="16"/>
        </w:rPr>
        <w:t xml:space="preserve">Recently, the Obama administration has given this field a new push, in its desire to pursue "soft diplomacy" in regions such as the Middle East. </w:t>
      </w:r>
      <w:r w:rsidRPr="001B17AB">
        <w:rPr>
          <w:rStyle w:val="StyleBoldUnderline"/>
        </w:rPr>
        <w:t>Scientific agreements have been at the forefront of</w:t>
      </w:r>
      <w:r w:rsidRPr="001B17AB">
        <w:rPr>
          <w:sz w:val="16"/>
          <w:szCs w:val="16"/>
        </w:rPr>
        <w:t xml:space="preserve"> the administration's </w:t>
      </w:r>
      <w:r w:rsidRPr="001B17AB">
        <w:rPr>
          <w:rStyle w:val="StyleBoldUnderline"/>
        </w:rPr>
        <w:t>activities in countries such as Iraq and Pakistan. But — as emerged from a meeting entitled New Frontiers in Science Diplomacy</w:t>
      </w:r>
      <w:r w:rsidRPr="001B17AB">
        <w:rPr>
          <w:sz w:val="16"/>
          <w:szCs w:val="16"/>
        </w:rPr>
        <w:t xml:space="preserve">, held in London this week (1–2 June) — </w:t>
      </w:r>
      <w:r w:rsidRPr="001B17AB">
        <w:rPr>
          <w:rStyle w:val="StyleBoldUnderline"/>
        </w:rPr>
        <w:t>using science for diplomatic purposes is not as straightforward as it seems</w:t>
      </w:r>
      <w:r w:rsidRPr="001B17AB">
        <w:rPr>
          <w:sz w:val="16"/>
          <w:szCs w:val="16"/>
        </w:rPr>
        <w:t xml:space="preserve">. Some scientific collaboration clearly demonstrates what countries can achieve by working together. For example, a new synchrotron under construction in Jordan is rapidly becoming a symbol of the potential for teamwork in the Middle East. But </w:t>
      </w:r>
      <w:r w:rsidRPr="001B17AB">
        <w:rPr>
          <w:rStyle w:val="StyleBoldUnderline"/>
        </w:rPr>
        <w:t>whether scientific cooperation can become a precursor for political collaboration is less evident</w:t>
      </w:r>
      <w:r w:rsidRPr="001B17AB">
        <w:rPr>
          <w:sz w:val="16"/>
          <w:szCs w:val="16"/>
        </w:rPr>
        <w:t>. For example</w:t>
      </w:r>
      <w:r w:rsidRPr="001B17AB">
        <w:rPr>
          <w:rStyle w:val="StyleBoldUnderline"/>
        </w:rPr>
        <w:t>, despite hopes that the Middle East synchrotron would help bring peace to the region, several countries have been reluctant to support it until the Palestine problem is resolved</w:t>
      </w:r>
      <w:r w:rsidRPr="001B17AB">
        <w:rPr>
          <w:sz w:val="16"/>
          <w:szCs w:val="16"/>
        </w:rPr>
        <w:t xml:space="preserve">. Indeed, one speaker at the London meeting (organised by the UK's Royal Society and the American Association for the Advancement of Science) even suggested that </w:t>
      </w:r>
      <w:r w:rsidRPr="001B17AB">
        <w:rPr>
          <w:rStyle w:val="StyleBoldUnderline"/>
        </w:rPr>
        <w:t>the changes scientific innovations bring inevitably lead to turbulence and upheaval</w:t>
      </w:r>
      <w:r w:rsidRPr="001B17AB">
        <w:rPr>
          <w:sz w:val="16"/>
          <w:szCs w:val="16"/>
        </w:rPr>
        <w:t xml:space="preserve">. In such a context, </w:t>
      </w:r>
      <w:r w:rsidRPr="001B17AB">
        <w:rPr>
          <w:rStyle w:val="StyleBoldUnderline"/>
        </w:rPr>
        <w:t>viewing science as a driver for peace may be wishful thinking</w:t>
      </w:r>
      <w:r w:rsidRPr="001B17AB">
        <w:rPr>
          <w:sz w:val="16"/>
          <w:szCs w:val="16"/>
        </w:rPr>
        <w:t xml:space="preserve">. 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w:t>
      </w:r>
      <w:r w:rsidRPr="001B17AB">
        <w:rPr>
          <w:rStyle w:val="StyleBoldUnderline"/>
        </w:rPr>
        <w:t>true partnership requires transparent relations between partners who are prepared to meet as equals. And that goes against diplomats' implicit role: to promote and defend their own countries' interests</w:t>
      </w:r>
      <w:r w:rsidRPr="001B17AB">
        <w:rPr>
          <w:sz w:val="16"/>
          <w:szCs w:val="16"/>
        </w:rPr>
        <w:t xml:space="preserve">. John Beddington, the British government's chief scientific adviser, may have been a bit harsh when he told the meeting that a diplomat is someone who is "sent abroad to lie for his country". But he touched a raw nerve. Worlds apart yet co-dependent The truth is that </w:t>
      </w:r>
      <w:r w:rsidRPr="001B17AB">
        <w:rPr>
          <w:rStyle w:val="StyleBoldUnderline"/>
        </w:rPr>
        <w:t>science and politics make an uneasy alliance</w:t>
      </w:r>
      <w:r w:rsidRPr="001B17AB">
        <w:rPr>
          <w:sz w:val="16"/>
          <w:szCs w:val="16"/>
        </w:rPr>
        <w:t xml:space="preserve">. Both need the other. Politicians need science to achieve their goals, whether social, economic or — unfortunately — military; scientists need political support to fund their research. But they also occupy different universes. </w:t>
      </w:r>
      <w:r w:rsidRPr="001B17AB">
        <w:rPr>
          <w:rStyle w:val="StyleBoldUnderline"/>
        </w:rPr>
        <w:t>Politics is, at root, about exercising power by one means or another. Science is — or should be — about pursuing robust knowledge that can be put to useful purposes</w:t>
      </w:r>
      <w:r w:rsidRPr="001B17AB">
        <w:rPr>
          <w:sz w:val="16"/>
          <w:szCs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1B17AB">
        <w:rPr>
          <w:rStyle w:val="StyleBoldUnderline"/>
        </w:rPr>
        <w:t>a commitment to science diplomacy that ignores the differences — acting for example as if science can substitute politics (or perhaps more worryingly, vice versa), is dangerous</w:t>
      </w:r>
      <w:r w:rsidRPr="001B17AB">
        <w:rPr>
          <w:sz w:val="16"/>
          <w:szCs w:val="16"/>
        </w:rPr>
        <w:t>. The Obama administration's commitment to "soft power" is already faltering. It faces challenges ranging from North Korea's nuclear weapons test to domestic opposition to limits on oil consumption. A taste of reality may be no bad thing.</w:t>
      </w:r>
    </w:p>
    <w:p w:rsidR="00984FEB" w:rsidRPr="001B17AB" w:rsidRDefault="00984FEB" w:rsidP="00984FEB">
      <w:pPr>
        <w:pStyle w:val="Heading4"/>
      </w:pPr>
      <w:r w:rsidRPr="001B17AB">
        <w:t>Diplomacy is dead – modern political environment favors force even if it doesn’t work – no change coming</w:t>
      </w:r>
    </w:p>
    <w:p w:rsidR="00984FEB" w:rsidRPr="001B17AB" w:rsidRDefault="00984FEB" w:rsidP="00984FEB">
      <w:pPr>
        <w:rPr>
          <w:sz w:val="16"/>
          <w:szCs w:val="16"/>
        </w:rPr>
      </w:pPr>
      <w:r w:rsidRPr="001B17AB">
        <w:rPr>
          <w:rStyle w:val="StyleStyleBold12pt"/>
        </w:rPr>
        <w:t>Cohen 13</w:t>
      </w:r>
      <w:r w:rsidRPr="001B17AB">
        <w:rPr>
          <w:sz w:val="16"/>
          <w:szCs w:val="16"/>
        </w:rPr>
        <w:t xml:space="preserve"> (Roger, “Diplomacy Is Dead”, New York Times, 1/21/13, http://www.nytimes.com/2013/01/22/opinion/global/roger-cohen-diplomacy-is-dead.html)</w:t>
      </w:r>
    </w:p>
    <w:p w:rsidR="00984FEB" w:rsidRDefault="00984FEB" w:rsidP="00984FEB">
      <w:pPr>
        <w:rPr>
          <w:rStyle w:val="StyleBoldUnderline"/>
        </w:rPr>
      </w:pPr>
      <w:r w:rsidRPr="001B17AB">
        <w:rPr>
          <w:rStyle w:val="StyleBoldUnderline"/>
        </w:rPr>
        <w:t xml:space="preserve">Effective diplomacy — the kind that produced Nixon’s breakthrough with China, an end to the Cold War on American terms, or the </w:t>
      </w:r>
      <w:hyperlink r:id="rId187" w:history="1">
        <w:r w:rsidRPr="001B17AB">
          <w:rPr>
            <w:rStyle w:val="StyleBoldUnderline"/>
          </w:rPr>
          <w:t>Dayton peace accord</w:t>
        </w:r>
      </w:hyperlink>
      <w:r w:rsidRPr="001B17AB">
        <w:rPr>
          <w:rStyle w:val="StyleBoldUnderline"/>
        </w:rPr>
        <w:t xml:space="preserve"> in Bosnia — requires patience, persistence, empathy, discretion, boldness and a willingness to talk to the enemy. This is an age of impatience, changeableness, palaver, small-mindedness and an unwillingness to talk to bad guys</w:t>
      </w:r>
      <w:r w:rsidRPr="001B17AB">
        <w:rPr>
          <w:sz w:val="16"/>
          <w:szCs w:val="16"/>
        </w:rPr>
        <w:t xml:space="preserve">. Human rights are in fashion, a good thing of course, but the space for realist statesmanship of the kind that produced the Bosnian peace in 1995 has diminished. The late Richard Holbrooke’s realpolitik was not for the squeamish. </w:t>
      </w:r>
      <w:r w:rsidRPr="001B17AB">
        <w:rPr>
          <w:rStyle w:val="StyleBoldUnderline"/>
        </w:rPr>
        <w:t>There are other reasons for diplomacy’s demise. The U</w:t>
      </w:r>
      <w:r w:rsidRPr="001B17AB">
        <w:rPr>
          <w:sz w:val="16"/>
          <w:szCs w:val="16"/>
        </w:rPr>
        <w:t xml:space="preserve">nited </w:t>
      </w:r>
      <w:r w:rsidRPr="001B17AB">
        <w:rPr>
          <w:rStyle w:val="StyleBoldUnderline"/>
        </w:rPr>
        <w:t>S</w:t>
      </w:r>
      <w:r w:rsidRPr="001B17AB">
        <w:rPr>
          <w:sz w:val="16"/>
          <w:szCs w:val="16"/>
        </w:rPr>
        <w:t xml:space="preserve">tates </w:t>
      </w:r>
      <w:r w:rsidRPr="001B17AB">
        <w:rPr>
          <w:rStyle w:val="StyleBoldUnderline"/>
        </w:rPr>
        <w:t>has lost its dominant position without any other nation rising to take its place. The result is nobody’s world</w:t>
      </w:r>
      <w:r w:rsidRPr="001B17AB">
        <w:rPr>
          <w:sz w:val="16"/>
          <w:szCs w:val="16"/>
        </w:rPr>
        <w:t xml:space="preserve">. It is a place where America acts as a cautious boss, alternately encouraging others to take the lead and worrying about loss of authority. </w:t>
      </w:r>
      <w:r w:rsidRPr="001B17AB">
        <w:rPr>
          <w:rStyle w:val="StyleBoldUnderline"/>
        </w:rPr>
        <w:t>Syria has been an unedifying lesson in the course of crisis when diplomacy is dead. Algeria shows how the dead pile up when talking is dismissed as a waste of time. Violence, of the kind diplomacy once resolved, has shifted.</w:t>
      </w:r>
      <w:r w:rsidRPr="001B17AB">
        <w:rPr>
          <w:sz w:val="16"/>
          <w:szCs w:val="16"/>
        </w:rPr>
        <w:t xml:space="preserve"> As William Luers, a former ambassador to Venezuela and the director of The Iran Project, said in an e-mail, </w:t>
      </w:r>
      <w:r w:rsidRPr="001B17AB">
        <w:rPr>
          <w:rStyle w:val="StyleBoldUnderline"/>
        </w:rPr>
        <w:t>it occurs “less between states and more dealing with terrorists.”</w:t>
      </w:r>
      <w:r w:rsidRPr="001B17AB">
        <w:rPr>
          <w:sz w:val="16"/>
          <w:szCs w:val="16"/>
        </w:rPr>
        <w:t xml:space="preserve"> One result is that “the military and the C.I.A. have been in the driver’s seat in dealing with governments throughout the Middle East and in state to state (Pakistan, Afghanistan, Iraq) relations.” The role of professional diplomats is squeezed. </w:t>
      </w:r>
      <w:r w:rsidRPr="001B17AB">
        <w:rPr>
          <w:rStyle w:val="StyleBoldUnderline"/>
        </w:rPr>
        <w:t>Indeed the very word “diplomacy” has become unfashionable on Capitol Hill, where its wimpy associations — trade-offs, compromise, pliancy, concessions and the like — are shunned by representatives who these days prefer beating the post-9/11 drums of confrontation, toughness and inflexibility</w:t>
      </w:r>
      <w:r w:rsidRPr="001B17AB">
        <w:rPr>
          <w:sz w:val="16"/>
          <w:szCs w:val="16"/>
        </w:rPr>
        <w:t xml:space="preserve">: All of which may sound good but often get you nowhere (or into long, intractable wars) at great cost. Stephen Heintz, president of the Rockefeller Brothers Fund, wrote in an e-mail that, “When domestic politics devolve into polarization and paralysis the impact on diplomatic possibility becomes inordinately constraining.” He cited Cuba and Iran as examples of this; I would add Israel-Palestine. These </w:t>
      </w:r>
      <w:r w:rsidRPr="001B17AB">
        <w:rPr>
          <w:rStyle w:val="StyleBoldUnderline"/>
        </w:rPr>
        <w:t>critical foreign policy issues are viewed less as diplomatic challenges than potential sources of domestic political capital</w:t>
      </w:r>
      <w:r w:rsidRPr="001B17AB">
        <w:rPr>
          <w:sz w:val="16"/>
          <w:szCs w:val="16"/>
        </w:rPr>
        <w:t xml:space="preserve">. So when I asked myself what I hoped Barack Obama’s second term would inaugurate, my answer was a new era of diplomacy. It is not too late for the president to earn that Nobel Peace Prize. Of course diplomats do many worthy things around the world, and even in the first term there were a couple of significant shifts — in Burma where patient U.S. diplomacy has produced an opening, and in the yo-yoing new Egypt where U.S. engagement with the Muslim Brotherhood was important and long overdue (and raised the question of when America would do the same with the Brotherhood’s offshoot, Hamas.) But </w:t>
      </w:r>
      <w:r w:rsidRPr="001B17AB">
        <w:rPr>
          <w:rStyle w:val="StyleBoldUnderline"/>
        </w:rPr>
        <w:t>Obama has not had a big breakthrough. America’s diplomatic doldrums are approaching their 20th year.</w:t>
      </w:r>
    </w:p>
    <w:p w:rsidR="00984FEB" w:rsidRDefault="00984FEB" w:rsidP="00984FEB">
      <w:pPr>
        <w:rPr>
          <w:rStyle w:val="StyleBoldUnderline"/>
        </w:rPr>
      </w:pPr>
    </w:p>
    <w:p w:rsidR="00984FEB" w:rsidRDefault="00984FEB" w:rsidP="00984FEB">
      <w:pPr>
        <w:pStyle w:val="Heading4"/>
      </w:pPr>
      <w:r>
        <w:t>Alt causes to lack of science diplomacy – administrative challenges, no evidence it works, secrecy problems</w:t>
      </w:r>
    </w:p>
    <w:p w:rsidR="00984FEB" w:rsidRPr="002C1C8D" w:rsidRDefault="00984FEB" w:rsidP="00984FEB">
      <w:pPr>
        <w:rPr>
          <w:sz w:val="16"/>
          <w:szCs w:val="16"/>
        </w:rPr>
      </w:pPr>
      <w:r w:rsidRPr="002C1C8D">
        <w:rPr>
          <w:rStyle w:val="StyleStyleBold12pt"/>
        </w:rPr>
        <w:t>Campbell 10</w:t>
      </w:r>
      <w:r w:rsidRPr="002C1C8D">
        <w:rPr>
          <w:sz w:val="16"/>
          <w:szCs w:val="16"/>
        </w:rPr>
        <w:t xml:space="preserve"> (Cathleen, President and CEO, U.S. Civilian Research and Development Foundation (CRDF), “Encouraging Science Diplomacy and Engagement”, Proceedings of the USC Center on Public Diplomacy Conference, 2/4/10, http://uscpublicdiplomacy.org/sites/uscpublicdiplomacy.org/files/useruploads/u22281/Science%20Diplomacy%20Proceedings.pdf)</w:t>
      </w:r>
    </w:p>
    <w:p w:rsidR="00984FEB" w:rsidRDefault="00984FEB" w:rsidP="00984FEB">
      <w:pPr>
        <w:rPr>
          <w:sz w:val="16"/>
          <w:szCs w:val="16"/>
        </w:rPr>
      </w:pPr>
      <w:r w:rsidRPr="001B17AB">
        <w:rPr>
          <w:sz w:val="16"/>
          <w:szCs w:val="16"/>
        </w:rPr>
        <w:t xml:space="preserve">In closing, </w:t>
      </w:r>
      <w:r w:rsidRPr="001B17AB">
        <w:rPr>
          <w:rStyle w:val="StyleBoldUnderline"/>
        </w:rPr>
        <w:t>Campbell offered a number of parallel challenges faced by those engaging in science diplomacy efforts</w:t>
      </w:r>
      <w:r w:rsidRPr="001B17AB">
        <w:rPr>
          <w:sz w:val="16"/>
          <w:szCs w:val="16"/>
        </w:rPr>
        <w:t xml:space="preserve">. First, </w:t>
      </w:r>
      <w:r w:rsidRPr="001B17AB">
        <w:rPr>
          <w:rStyle w:val="StyleBoldUnderline"/>
        </w:rPr>
        <w:t>administrative aspects are enormously taxing. CRDF has spent a great deal of time on issues such as visas, export controls, and OFAC licenses</w:t>
      </w:r>
      <w:r w:rsidRPr="001B17AB">
        <w:rPr>
          <w:sz w:val="16"/>
          <w:szCs w:val="16"/>
        </w:rPr>
        <w:t xml:space="preserve">. These are issues about which CRDF constantly pushes for change. </w:t>
      </w:r>
      <w:r w:rsidRPr="001B17AB">
        <w:rPr>
          <w:rStyle w:val="StyleBoldUnderline"/>
        </w:rPr>
        <w:t>Second, long-term commitment is the exact opposite of what interests policy makers and funders</w:t>
      </w:r>
      <w:r w:rsidRPr="001B17AB">
        <w:rPr>
          <w:sz w:val="16"/>
          <w:szCs w:val="16"/>
        </w:rPr>
        <w:t xml:space="preserve">. Third, </w:t>
      </w:r>
      <w:r w:rsidRPr="001B17AB">
        <w:rPr>
          <w:rStyle w:val="StyleBoldUnderline"/>
        </w:rPr>
        <w:t xml:space="preserve">science diplomacy efforts will require a system to analyze their impact. A framework for systematic analysis does not yet exist, and we are thus far only able to rely on anecdotal evidence. </w:t>
      </w:r>
      <w:r w:rsidRPr="001B17AB">
        <w:rPr>
          <w:sz w:val="16"/>
          <w:szCs w:val="16"/>
        </w:rPr>
        <w:t>Fourth</w:t>
      </w:r>
      <w:r w:rsidRPr="001B17AB">
        <w:rPr>
          <w:rStyle w:val="StyleBoldUnderline"/>
        </w:rPr>
        <w:t>, communication presents an interesting challenge, as can be demonstrated by the sensitivity of certain issues in difficult environments</w:t>
      </w:r>
      <w:r w:rsidRPr="001B17AB">
        <w:rPr>
          <w:sz w:val="16"/>
          <w:szCs w:val="16"/>
        </w:rPr>
        <w:t xml:space="preserve">. </w:t>
      </w:r>
      <w:r w:rsidRPr="001B17AB">
        <w:rPr>
          <w:rStyle w:val="StyleBoldUnderline"/>
        </w:rPr>
        <w:t xml:space="preserve">In some cases, projects may need to stay under the radar in order to prevent their elimination </w:t>
      </w:r>
      <w:r w:rsidRPr="001B17AB">
        <w:rPr>
          <w:sz w:val="16"/>
          <w:szCs w:val="16"/>
        </w:rPr>
        <w:t>or to protect individuals involved in the project</w:t>
      </w:r>
      <w:r w:rsidRPr="001B17AB">
        <w:rPr>
          <w:rStyle w:val="StyleBoldUnderline"/>
        </w:rPr>
        <w:t>. On the other hand, policy makers and funders may want to hear about the projects or publicize their success, creating a difficult dichotomy of interests</w:t>
      </w:r>
      <w:r w:rsidRPr="001B17AB">
        <w:rPr>
          <w:sz w:val="16"/>
          <w:szCs w:val="16"/>
        </w:rPr>
        <w:t>. Finally, there is an ongoing need for more leadership in advocacy for science diplomacy. While CRDF continues to push Washington for more engagement, it has been an uphill struggle and few people have been able to grasp its importance. Campbell stated that CRDF has pushed for establishment of a global science fund, but in the reality of Washington politics it is simply not a priority at this time.</w:t>
      </w:r>
    </w:p>
    <w:p w:rsidR="00984FEB" w:rsidRDefault="00984FEB" w:rsidP="00984FEB">
      <w:pPr>
        <w:pStyle w:val="Heading4"/>
      </w:pPr>
      <w:r>
        <w:t>Science diplomacy fails – partisanship dooms it to look disjointed, prevents solvency</w:t>
      </w:r>
    </w:p>
    <w:p w:rsidR="00984FEB" w:rsidRPr="002C1C8D" w:rsidRDefault="00984FEB" w:rsidP="00984FEB">
      <w:pPr>
        <w:rPr>
          <w:sz w:val="16"/>
          <w:szCs w:val="16"/>
        </w:rPr>
      </w:pPr>
      <w:r w:rsidRPr="002C1C8D">
        <w:rPr>
          <w:rStyle w:val="StyleStyleBold12pt"/>
        </w:rPr>
        <w:t>Rojansky 10</w:t>
      </w:r>
      <w:r w:rsidRPr="002C1C8D">
        <w:rPr>
          <w:sz w:val="16"/>
          <w:szCs w:val="16"/>
        </w:rPr>
        <w:t xml:space="preserve"> (Matthew, , Executive Director, Partnership for a Secure America (PSA), “Building a Science Diplomacy Constituency”, Proceedings of the USC Center on Public Diplomacy Conference, 2/4/10, http://uscpublicdiplomacy.org/sites/uscpublicdiplomacy.org/files/useruploads/u22281/Science%20Diplomacy%20Proceedings.pdf)</w:t>
      </w:r>
    </w:p>
    <w:p w:rsidR="00984FEB" w:rsidRPr="002C1C8D" w:rsidRDefault="00984FEB" w:rsidP="00984FEB">
      <w:pPr>
        <w:rPr>
          <w:rStyle w:val="StyleBoldUnderline"/>
        </w:rPr>
      </w:pPr>
      <w:r w:rsidRPr="002C1C8D">
        <w:rPr>
          <w:sz w:val="16"/>
          <w:szCs w:val="16"/>
        </w:rPr>
        <w:t xml:space="preserve">Yet the </w:t>
      </w:r>
      <w:r w:rsidRPr="002C1C8D">
        <w:rPr>
          <w:rStyle w:val="StyleBoldUnderline"/>
        </w:rPr>
        <w:t>process of actually pushing through any legislation, let alone that related to science diplomacy, is extraordinarily difficult</w:t>
      </w:r>
      <w:r w:rsidRPr="002C1C8D">
        <w:rPr>
          <w:sz w:val="16"/>
          <w:szCs w:val="16"/>
        </w:rPr>
        <w:t xml:space="preserve">. Rojansky explained that </w:t>
      </w:r>
      <w:r w:rsidRPr="002C1C8D">
        <w:rPr>
          <w:rStyle w:val="StyleBoldUnderline"/>
        </w:rPr>
        <w:t>most bills in Congress die quickly</w:t>
      </w:r>
      <w:r w:rsidRPr="002C1C8D">
        <w:rPr>
          <w:sz w:val="16"/>
          <w:szCs w:val="16"/>
        </w:rPr>
        <w:t xml:space="preserve">. </w:t>
      </w:r>
      <w:r w:rsidRPr="002C1C8D">
        <w:rPr>
          <w:rStyle w:val="StyleBoldUnderline"/>
        </w:rPr>
        <w:t>Many are eliminated after massive public discourse, while others get rushed through without any real debate because they are merely compromises over completely unrelated issues</w:t>
      </w:r>
      <w:r w:rsidRPr="002C1C8D">
        <w:rPr>
          <w:sz w:val="16"/>
          <w:szCs w:val="16"/>
        </w:rPr>
        <w:t xml:space="preserve">. The hearing process in committee, during which important questions should be asked and key ideas developed, often doesn’t matter at all. Rojansky argued that </w:t>
      </w:r>
      <w:r w:rsidRPr="002C1C8D">
        <w:rPr>
          <w:rStyle w:val="StyleBoldUnderline"/>
        </w:rPr>
        <w:t>many committee hearings are mostly ceremony and tradition, during which the ranking member often vacates the room, leaving only one member of Congress present for the sake of continuing the procedure</w:t>
      </w:r>
      <w:r w:rsidRPr="002C1C8D">
        <w:rPr>
          <w:sz w:val="16"/>
          <w:szCs w:val="16"/>
        </w:rPr>
        <w:t xml:space="preserve">. Filibuster has also become a serious issue, often leading to drawn-out negotiations involving a few senators in order to gain the bare minimum necessary to reach cloture. </w:t>
      </w:r>
      <w:r w:rsidRPr="002C1C8D">
        <w:rPr>
          <w:rStyle w:val="StyleBoldUnderline"/>
        </w:rPr>
        <w:t>The reality of this political process, Rojansky posited, is that very little is likely to happen with regard to implementing effective science diplomacy legislation</w:t>
      </w:r>
    </w:p>
    <w:p w:rsidR="00984FEB" w:rsidRDefault="00984FEB" w:rsidP="00756B88">
      <w:pPr>
        <w:pStyle w:val="Heading2"/>
      </w:pPr>
      <w:r>
        <w:t>Solvency</w:t>
      </w:r>
    </w:p>
    <w:p w:rsidR="00984FEB" w:rsidRPr="004A0CBB" w:rsidRDefault="00984FEB" w:rsidP="00984FEB">
      <w:pPr>
        <w:pStyle w:val="Heading3"/>
        <w:rPr>
          <w:rFonts w:eastAsia="MS Gothic"/>
        </w:rPr>
      </w:pPr>
      <w:r>
        <w:rPr>
          <w:rFonts w:eastAsia="MS Gothic"/>
        </w:rPr>
        <w:t>1NC Solvency</w:t>
      </w:r>
    </w:p>
    <w:p w:rsidR="00984FEB" w:rsidRPr="004A0CBB" w:rsidRDefault="00984FEB" w:rsidP="00984FEB">
      <w:pPr>
        <w:keepNext/>
        <w:keepLines/>
        <w:spacing w:before="40"/>
        <w:outlineLvl w:val="3"/>
        <w:rPr>
          <w:rFonts w:ascii="Cambria" w:eastAsia="MS Gothic" w:hAnsi="Cambria" w:cs="Times New Roman"/>
          <w:b/>
          <w:iCs/>
          <w:sz w:val="26"/>
        </w:rPr>
      </w:pPr>
      <w:r w:rsidRPr="004A0CBB">
        <w:rPr>
          <w:rFonts w:ascii="Cambria" w:eastAsia="MS Gothic" w:hAnsi="Cambria" w:cs="Times New Roman"/>
          <w:b/>
          <w:iCs/>
          <w:sz w:val="26"/>
        </w:rPr>
        <w:t xml:space="preserve">Deep-Sea equipment cannot reach intended depths—too costly, difficult </w:t>
      </w:r>
    </w:p>
    <w:p w:rsidR="00984FEB" w:rsidRPr="004A0CBB" w:rsidRDefault="00984FEB" w:rsidP="00984FEB">
      <w:pPr>
        <w:rPr>
          <w:rFonts w:ascii="Cambria" w:eastAsia="Cambria" w:hAnsi="Cambria" w:cs="Times New Roman"/>
          <w:sz w:val="14"/>
        </w:rPr>
      </w:pPr>
      <w:r w:rsidRPr="004A0CBB">
        <w:rPr>
          <w:rFonts w:ascii="Cambria" w:eastAsia="Cambria" w:hAnsi="Cambria" w:cs="Times New Roman"/>
          <w:b/>
          <w:sz w:val="24"/>
        </w:rPr>
        <w:t>Bowen et. al 09</w:t>
      </w:r>
      <w:r w:rsidRPr="004A0CBB">
        <w:rPr>
          <w:rFonts w:ascii="Cambria" w:eastAsia="Cambria" w:hAnsi="Cambria" w:cs="Times New Roman"/>
          <w:sz w:val="24"/>
        </w:rPr>
        <w:t xml:space="preserve"> </w:t>
      </w:r>
      <w:r w:rsidRPr="004A0CBB">
        <w:rPr>
          <w:rFonts w:ascii="Cambria" w:eastAsia="Cambria" w:hAnsi="Cambria" w:cs="Times New Roman"/>
          <w:sz w:val="14"/>
        </w:rPr>
        <w:t>(Andrew D. Bowen—Principal Engineer</w:t>
      </w:r>
      <w:r w:rsidRPr="004A0CBB">
        <w:rPr>
          <w:rFonts w:ascii="Cambria" w:eastAsia="Cambria" w:hAnsi="Cambria" w:cs="Times New Roman"/>
          <w:sz w:val="4"/>
        </w:rPr>
        <w:t xml:space="preserve">¶ </w:t>
      </w:r>
      <w:r w:rsidRPr="004A0CBB">
        <w:rPr>
          <w:rFonts w:ascii="Cambria" w:eastAsia="Cambria" w:hAnsi="Cambria" w:cs="Times New Roman"/>
          <w:sz w:val="14"/>
        </w:rPr>
        <w:t>Applied Ocean Physics &amp; Engineering</w:t>
      </w:r>
      <w:r w:rsidRPr="004A0CBB">
        <w:rPr>
          <w:rFonts w:ascii="Cambria" w:eastAsia="Cambria" w:hAnsi="Cambria" w:cs="Times New Roman"/>
          <w:sz w:val="4"/>
        </w:rPr>
        <w:t xml:space="preserve">¶ </w:t>
      </w:r>
      <w:r w:rsidRPr="004A0CBB">
        <w:rPr>
          <w:rFonts w:ascii="Cambria" w:eastAsia="Cambria" w:hAnsi="Cambria" w:cs="Times New Roman"/>
          <w:sz w:val="14"/>
        </w:rPr>
        <w:t>Director of National Deep Submergence Facility; Dana R. Yoerger; Chris Taylor; Robert McCabe; Jonathan Howland; Daniel Gomez-Ibanez; James C. Kinsey; Matthew Heintz; Glenn McDonald; Donald B. Peters</w:t>
      </w:r>
      <w:r w:rsidRPr="004A0CBB">
        <w:rPr>
          <w:rFonts w:ascii="Cambria" w:eastAsia="Cambria" w:hAnsi="Cambria" w:cs="Times New Roman"/>
          <w:sz w:val="12"/>
        </w:rPr>
        <w:t>;</w:t>
      </w:r>
      <w:r w:rsidRPr="004A0CBB">
        <w:rPr>
          <w:rFonts w:ascii="Cambria" w:eastAsia="Cambria" w:hAnsi="Cambria" w:cs="Times New Roman"/>
          <w:sz w:val="4"/>
        </w:rPr>
        <w:t xml:space="preserve"> </w:t>
      </w:r>
      <w:r w:rsidRPr="004A0CBB">
        <w:rPr>
          <w:rFonts w:ascii="Cambria" w:eastAsia="Cambria" w:hAnsi="Cambria" w:cs="Times New Roman"/>
          <w:sz w:val="14"/>
        </w:rPr>
        <w:t>Barbara Fletcher; Chris Young; James Buescher</w:t>
      </w:r>
      <w:r w:rsidRPr="004A0CBB">
        <w:rPr>
          <w:rFonts w:ascii="Cambria" w:eastAsia="Cambria" w:hAnsi="Cambria" w:cs="Times New Roman"/>
          <w:sz w:val="10"/>
        </w:rPr>
        <w:t>;</w:t>
      </w:r>
      <w:r w:rsidRPr="004A0CBB">
        <w:rPr>
          <w:rFonts w:ascii="Cambria" w:eastAsia="Cambria" w:hAnsi="Cambria" w:cs="Times New Roman"/>
          <w:sz w:val="4"/>
        </w:rPr>
        <w:t xml:space="preserve"> </w:t>
      </w:r>
      <w:r w:rsidRPr="004A0CBB">
        <w:rPr>
          <w:rFonts w:ascii="Cambria" w:eastAsia="Cambria" w:hAnsi="Cambria" w:cs="Times New Roman"/>
          <w:sz w:val="14"/>
        </w:rPr>
        <w:t xml:space="preserve">Louis L. Whitcomb; Stephen C. Martin; Sarah E. Webster; Michael V. Jakuba; “The Nereus Hybrid Underwater Robotic Vehicle for Global Ocean Science Operations to 11,000m Depth”; Woods Hole Oceanographic Institute; pg. 2; </w:t>
      </w:r>
      <w:hyperlink r:id="rId188" w:history="1">
        <w:r w:rsidRPr="004A0CBB">
          <w:rPr>
            <w:rFonts w:ascii="Cambria" w:eastAsia="Cambria" w:hAnsi="Cambria" w:cs="Times New Roman"/>
            <w:sz w:val="14"/>
          </w:rPr>
          <w:t>http://ieeexplore.ieee.org/stamp/stamp.jsp?tp=&amp;arnumber=5422316</w:t>
        </w:r>
      </w:hyperlink>
      <w:r w:rsidRPr="004A0CBB">
        <w:rPr>
          <w:rFonts w:ascii="Cambria" w:eastAsia="Cambria" w:hAnsi="Cambria" w:cs="Times New Roman"/>
          <w:sz w:val="14"/>
        </w:rPr>
        <w:t>; October 2009) JM</w:t>
      </w:r>
    </w:p>
    <w:p w:rsidR="00984FEB" w:rsidRPr="004A0CBB" w:rsidRDefault="00984FEB" w:rsidP="00984FEB">
      <w:pPr>
        <w:rPr>
          <w:rFonts w:ascii="Cambria" w:eastAsia="Cambria" w:hAnsi="Cambria" w:cs="Times New Roman"/>
        </w:rPr>
      </w:pPr>
    </w:p>
    <w:p w:rsidR="00984FEB" w:rsidRPr="004A0CBB" w:rsidRDefault="00984FEB" w:rsidP="00984FEB">
      <w:pPr>
        <w:rPr>
          <w:rFonts w:ascii="Cambria" w:eastAsia="Cambria" w:hAnsi="Cambria" w:cs="Times New Roman"/>
          <w:sz w:val="16"/>
        </w:rPr>
      </w:pPr>
      <w:r w:rsidRPr="004A0CBB">
        <w:rPr>
          <w:rFonts w:ascii="Cambria" w:eastAsia="Cambria" w:hAnsi="Cambria" w:cs="Times New Roman"/>
          <w:b/>
          <w:u w:val="single"/>
        </w:rPr>
        <w:t>Existing deep sub</w:t>
      </w:r>
      <w:r w:rsidRPr="004A0CBB">
        <w:rPr>
          <w:rFonts w:ascii="Cambria" w:eastAsia="Cambria" w:hAnsi="Cambria" w:cs="Times New Roman"/>
          <w:sz w:val="16"/>
        </w:rPr>
        <w:t xml:space="preserve">mergence </w:t>
      </w:r>
      <w:r w:rsidRPr="004A0CBB">
        <w:rPr>
          <w:rFonts w:ascii="Cambria" w:eastAsia="Cambria" w:hAnsi="Cambria" w:cs="Times New Roman"/>
          <w:b/>
          <w:u w:val="single"/>
        </w:rPr>
        <w:t>vehicle systems</w:t>
      </w:r>
      <w:r w:rsidRPr="004A0CBB">
        <w:rPr>
          <w:rFonts w:ascii="Cambria" w:eastAsia="Cambria" w:hAnsi="Cambria" w:cs="Times New Roman"/>
          <w:sz w:val="16"/>
        </w:rPr>
        <w:t xml:space="preserve"> </w:t>
      </w:r>
      <w:r w:rsidRPr="004A0CBB">
        <w:rPr>
          <w:rFonts w:ascii="Cambria" w:eastAsia="Cambria" w:hAnsi="Cambria" w:cs="Times New Roman"/>
          <w:b/>
          <w:u w:val="single"/>
        </w:rPr>
        <w:t>have</w:t>
      </w:r>
      <w:r w:rsidRPr="004A0CBB">
        <w:rPr>
          <w:rFonts w:ascii="Cambria" w:eastAsia="Cambria" w:hAnsi="Cambria" w:cs="Times New Roman"/>
          <w:sz w:val="16"/>
        </w:rPr>
        <w:t xml:space="preserve"> </w:t>
      </w:r>
      <w:r w:rsidRPr="004A0CBB">
        <w:rPr>
          <w:rFonts w:ascii="Cambria" w:eastAsia="Cambria" w:hAnsi="Cambria" w:cs="Times New Roman"/>
          <w:b/>
          <w:u w:val="single"/>
        </w:rPr>
        <w:t>excellent</w:t>
      </w:r>
      <w:r w:rsidRPr="004A0CBB">
        <w:rPr>
          <w:rFonts w:ascii="Cambria" w:eastAsia="Cambria" w:hAnsi="Cambria" w:cs="Times New Roman"/>
          <w:sz w:val="16"/>
        </w:rPr>
        <w:t xml:space="preserve"> </w:t>
      </w:r>
      <w:r w:rsidRPr="004A0CBB">
        <w:rPr>
          <w:rFonts w:ascii="Cambria" w:eastAsia="Cambria" w:hAnsi="Cambria" w:cs="Times New Roman"/>
          <w:b/>
          <w:u w:val="single"/>
        </w:rPr>
        <w:t>capabilities</w:t>
      </w:r>
      <w:r w:rsidRPr="004A0CBB">
        <w:rPr>
          <w:rFonts w:ascii="Cambria" w:eastAsia="Cambria" w:hAnsi="Cambria" w:cs="Times New Roman"/>
          <w:sz w:val="16"/>
        </w:rPr>
        <w:t xml:space="preserve"> </w:t>
      </w:r>
      <w:r w:rsidRPr="004A0CBB">
        <w:rPr>
          <w:rFonts w:ascii="Cambria" w:eastAsia="Cambria" w:hAnsi="Cambria" w:cs="Times New Roman"/>
          <w:b/>
          <w:u w:val="single"/>
        </w:rPr>
        <w:t>and</w:t>
      </w:r>
      <w:r w:rsidRPr="004A0CBB">
        <w:rPr>
          <w:rFonts w:ascii="Cambria" w:eastAsia="Cambria" w:hAnsi="Cambria" w:cs="Times New Roman"/>
          <w:sz w:val="16"/>
        </w:rPr>
        <w:t xml:space="preserve"> </w:t>
      </w:r>
      <w:r w:rsidRPr="004A0CBB">
        <w:rPr>
          <w:rFonts w:ascii="Cambria" w:eastAsia="Cambria" w:hAnsi="Cambria" w:cs="Times New Roman"/>
          <w:b/>
          <w:u w:val="single"/>
        </w:rPr>
        <w:t>provide</w:t>
      </w:r>
      <w:r w:rsidRPr="004A0CBB">
        <w:rPr>
          <w:rFonts w:ascii="Cambria" w:eastAsia="Cambria" w:hAnsi="Cambria" w:cs="Times New Roman"/>
          <w:sz w:val="16"/>
        </w:rPr>
        <w:t xml:space="preserve"> critical, routine access to the sea floor to a </w:t>
      </w:r>
      <w:r w:rsidRPr="004A0CBB">
        <w:rPr>
          <w:rFonts w:ascii="Cambria" w:eastAsia="Cambria" w:hAnsi="Cambria" w:cs="Times New Roman"/>
          <w:b/>
          <w:u w:val="single"/>
        </w:rPr>
        <w:t>maximum depth range of 6,500 m</w:t>
      </w:r>
      <w:r w:rsidRPr="004A0CBB">
        <w:rPr>
          <w:rFonts w:ascii="Cambria" w:eastAsia="Cambria" w:hAnsi="Cambria" w:cs="Times New Roman"/>
          <w:sz w:val="16"/>
        </w:rPr>
        <w:t xml:space="preserve"> — e.g. the 4,500 m Alvin human occupied submersible [7], [19], the 4,500 m ABE AUV [35], [36], and the 4,000 m Tiburon ROV [26]. </w:t>
      </w:r>
      <w:r w:rsidRPr="004A0CBB">
        <w:rPr>
          <w:rFonts w:ascii="Cambria" w:eastAsia="Cambria" w:hAnsi="Cambria" w:cs="Times New Roman"/>
          <w:b/>
          <w:u w:val="single"/>
        </w:rPr>
        <w:t xml:space="preserve">Only a few presently operational </w:t>
      </w:r>
      <w:r w:rsidRPr="004A0CBB">
        <w:rPr>
          <w:rFonts w:ascii="Cambria" w:eastAsia="Cambria" w:hAnsi="Cambria" w:cs="Times New Roman"/>
          <w:b/>
          <w:iCs/>
          <w:u w:val="single"/>
          <w:bdr w:val="single" w:sz="18" w:space="0" w:color="auto"/>
        </w:rPr>
        <w:t>U.S. vehicles</w:t>
      </w:r>
      <w:r w:rsidRPr="004A0CBB">
        <w:rPr>
          <w:rFonts w:ascii="Cambria" w:eastAsia="Cambria" w:hAnsi="Cambria" w:cs="Times New Roman"/>
          <w:b/>
          <w:u w:val="single"/>
        </w:rPr>
        <w:t xml:space="preserve"> are capable of diving to 6,500 m and conducting high resolution mapping and sampling </w:t>
      </w:r>
      <w:r w:rsidRPr="004A0CBB">
        <w:rPr>
          <w:rFonts w:ascii="Cambria" w:eastAsia="Cambria" w:hAnsi="Cambria" w:cs="Times New Roman"/>
          <w:sz w:val="16"/>
        </w:rPr>
        <w:t xml:space="preserve">— e.g. the 6,500 m Jason II ROV [33]. These capabilities have led to significant scientific discoveries over the past 30 years including identifying and sampling mid-ocean ridge volcanic processes, hydrothermal processes, and biological ecosystems which have revolutionized the biological sciences [1]. Progress in deep sea research at ocean floor sites between 6,500 m and 11,000 m has been hindered by a lack of suitable cost- effective vehicles that can operate at these depths. Given the need for full access to the global abyss, and national and international imperatives regarding ocean exploration, </w:t>
      </w:r>
      <w:r w:rsidRPr="004A0CBB">
        <w:rPr>
          <w:rFonts w:ascii="Cambria" w:eastAsia="Cambria" w:hAnsi="Cambria" w:cs="Times New Roman"/>
          <w:b/>
          <w:u w:val="single"/>
        </w:rPr>
        <w:t xml:space="preserve">a variety of studies have identified the development of an </w:t>
      </w:r>
      <w:r w:rsidRPr="004A0CBB">
        <w:rPr>
          <w:rFonts w:ascii="Cambria" w:eastAsia="Cambria" w:hAnsi="Cambria" w:cs="Times New Roman"/>
          <w:b/>
          <w:iCs/>
          <w:u w:val="single"/>
          <w:bdr w:val="single" w:sz="18" w:space="0" w:color="auto"/>
        </w:rPr>
        <w:t>11,000 m</w:t>
      </w:r>
      <w:r w:rsidRPr="004A0CBB">
        <w:rPr>
          <w:rFonts w:ascii="Cambria" w:eastAsia="Cambria" w:hAnsi="Cambria" w:cs="Times New Roman"/>
          <w:b/>
          <w:u w:val="single"/>
        </w:rPr>
        <w:t xml:space="preserve"> deep submergence vehicle as a national priority</w:t>
      </w:r>
      <w:r w:rsidRPr="004A0CBB">
        <w:rPr>
          <w:rFonts w:ascii="Cambria" w:eastAsia="Cambria" w:hAnsi="Cambria" w:cs="Times New Roman"/>
          <w:sz w:val="16"/>
        </w:rPr>
        <w:t xml:space="preserve"> [1]–[3], [28]</w:t>
      </w:r>
      <w:r w:rsidRPr="004A0CBB">
        <w:rPr>
          <w:rFonts w:ascii="Cambria" w:eastAsia="Cambria" w:hAnsi="Cambria" w:cs="Times New Roman"/>
          <w:sz w:val="12"/>
        </w:rPr>
        <w:t>¶</w:t>
      </w:r>
      <w:r w:rsidRPr="004A0CBB">
        <w:rPr>
          <w:rFonts w:ascii="Cambria" w:eastAsia="Cambria" w:hAnsi="Cambria" w:cs="Times New Roman"/>
          <w:sz w:val="16"/>
        </w:rPr>
        <w:t xml:space="preserve"> To date, </w:t>
      </w:r>
      <w:r w:rsidRPr="004A0CBB">
        <w:rPr>
          <w:rFonts w:ascii="Cambria" w:eastAsia="Cambria" w:hAnsi="Cambria" w:cs="Times New Roman"/>
          <w:b/>
          <w:u w:val="single"/>
        </w:rPr>
        <w:t>only two vehicles have ever reached the deepest place on Earth</w:t>
      </w:r>
      <w:r w:rsidRPr="004A0CBB">
        <w:rPr>
          <w:rFonts w:ascii="Cambria" w:eastAsia="Cambria" w:hAnsi="Cambria" w:cs="Times New Roman"/>
          <w:sz w:val="16"/>
        </w:rPr>
        <w:t xml:space="preserve"> — Challenger Deep of the Marianas Trench at 11</w:t>
      </w:r>
      <w:r w:rsidRPr="004A0CBB">
        <w:rPr>
          <w:rFonts w:ascii="Times New Roman" w:eastAsia="Cambria" w:hAnsi="Times New Roman" w:cs="Times New Roman"/>
          <w:sz w:val="16"/>
        </w:rPr>
        <w:t>◦</w:t>
      </w:r>
      <w:r w:rsidRPr="004A0CBB">
        <w:rPr>
          <w:rFonts w:ascii="Cambria" w:eastAsia="Cambria" w:hAnsi="Cambria" w:cs="Times New Roman"/>
          <w:sz w:val="16"/>
        </w:rPr>
        <w:t>22</w:t>
      </w:r>
      <w:r w:rsidRPr="004A0CBB">
        <w:rPr>
          <w:rFonts w:ascii="Cambria" w:eastAsia="Cambria" w:hAnsi="Cambria" w:cs="Cambria"/>
          <w:sz w:val="16"/>
        </w:rPr>
        <w:t>’</w:t>
      </w:r>
      <w:r w:rsidRPr="004A0CBB">
        <w:rPr>
          <w:rFonts w:ascii="Cambria" w:eastAsia="Cambria" w:hAnsi="Cambria" w:cs="Times New Roman"/>
          <w:sz w:val="16"/>
        </w:rPr>
        <w:t>N, 142</w:t>
      </w:r>
      <w:r w:rsidRPr="004A0CBB">
        <w:rPr>
          <w:rFonts w:ascii="Times New Roman" w:eastAsia="Cambria" w:hAnsi="Times New Roman" w:cs="Times New Roman"/>
          <w:sz w:val="16"/>
        </w:rPr>
        <w:t>◦</w:t>
      </w:r>
      <w:r w:rsidRPr="004A0CBB">
        <w:rPr>
          <w:rFonts w:ascii="Cambria" w:eastAsia="Cambria" w:hAnsi="Cambria" w:cs="Times New Roman"/>
          <w:sz w:val="16"/>
        </w:rPr>
        <w:t>25</w:t>
      </w:r>
      <w:r w:rsidRPr="004A0CBB">
        <w:rPr>
          <w:rFonts w:ascii="Cambria" w:eastAsia="Cambria" w:hAnsi="Cambria" w:cs="Cambria"/>
          <w:sz w:val="16"/>
        </w:rPr>
        <w:t>’</w:t>
      </w:r>
      <w:r w:rsidRPr="004A0CBB">
        <w:rPr>
          <w:rFonts w:ascii="Cambria" w:eastAsia="Cambria" w:hAnsi="Cambria" w:cs="Times New Roman"/>
          <w:sz w:val="16"/>
        </w:rPr>
        <w:t xml:space="preserve">E in the Western Pacific Ocean near the island of Guam [13]. On January 23, 1960 the human- piloted Bathyscaph Trieste, developed by Auguste Piccard, made one successful dive to the Challenger Deep [27]. In 1995 the remotely controlled ROV Kaiko, built and operated by the Japan Agency for Marine-Earth Science and Technology (JAMSTEC), made the first of several successful dives to the Challenger Deep [31]. Neither Trieste nor Kaiko is presently operational. Moreover, </w:t>
      </w:r>
      <w:r w:rsidRPr="004A0CBB">
        <w:rPr>
          <w:rFonts w:ascii="Cambria" w:eastAsia="Cambria" w:hAnsi="Cambria" w:cs="Times New Roman"/>
          <w:b/>
          <w:u w:val="single"/>
        </w:rPr>
        <w:t xml:space="preserve">the design approaches employed in these two </w:t>
      </w:r>
      <w:r w:rsidRPr="004A0CBB">
        <w:rPr>
          <w:rFonts w:ascii="Cambria" w:eastAsia="Cambria" w:hAnsi="Cambria" w:cs="Times New Roman"/>
          <w:sz w:val="16"/>
        </w:rPr>
        <w:t xml:space="preserve">(very different) </w:t>
      </w:r>
      <w:r w:rsidRPr="004A0CBB">
        <w:rPr>
          <w:rFonts w:ascii="Cambria" w:eastAsia="Cambria" w:hAnsi="Cambria" w:cs="Times New Roman"/>
          <w:b/>
          <w:u w:val="single"/>
        </w:rPr>
        <w:t>vehicles necessarily result in high</w:t>
      </w:r>
      <w:r w:rsidRPr="004A0CBB">
        <w:rPr>
          <w:rFonts w:ascii="Cambria" w:eastAsia="Cambria" w:hAnsi="Cambria" w:cs="Times New Roman"/>
          <w:b/>
          <w:sz w:val="12"/>
        </w:rPr>
        <w:t>¶</w:t>
      </w:r>
      <w:r w:rsidRPr="004A0CBB">
        <w:rPr>
          <w:rFonts w:ascii="Cambria" w:eastAsia="Cambria" w:hAnsi="Cambria" w:cs="Times New Roman"/>
          <w:b/>
          <w:u w:val="single"/>
        </w:rPr>
        <w:t xml:space="preserve"> operational costs</w:t>
      </w:r>
      <w:r w:rsidRPr="004A0CBB">
        <w:rPr>
          <w:rFonts w:ascii="Cambria" w:eastAsia="Cambria" w:hAnsi="Cambria" w:cs="Times New Roman"/>
          <w:sz w:val="16"/>
        </w:rPr>
        <w:t xml:space="preserve"> — </w:t>
      </w:r>
      <w:r w:rsidRPr="004A0CBB">
        <w:rPr>
          <w:rFonts w:ascii="Cambria" w:eastAsia="Cambria" w:hAnsi="Cambria" w:cs="Times New Roman"/>
          <w:b/>
          <w:u w:val="single"/>
        </w:rPr>
        <w:t>too costly to be routinely supported by United States oceanographic science budgets</w:t>
      </w:r>
      <w:r w:rsidRPr="004A0CBB">
        <w:rPr>
          <w:rFonts w:ascii="Cambria" w:eastAsia="Cambria" w:hAnsi="Cambria" w:cs="Times New Roman"/>
          <w:sz w:val="16"/>
        </w:rPr>
        <w:t>.</w:t>
      </w:r>
      <w:r w:rsidRPr="004A0CBB">
        <w:rPr>
          <w:rFonts w:ascii="Cambria" w:eastAsia="Cambria" w:hAnsi="Cambria" w:cs="Times New Roman"/>
          <w:sz w:val="12"/>
        </w:rPr>
        <w:t>¶</w:t>
      </w:r>
      <w:r w:rsidRPr="004A0CBB">
        <w:rPr>
          <w:rFonts w:ascii="Cambria" w:eastAsia="Cambria" w:hAnsi="Cambria" w:cs="Times New Roman"/>
          <w:sz w:val="16"/>
        </w:rPr>
        <w:t xml:space="preserve"> The </w:t>
      </w:r>
      <w:r w:rsidRPr="004A0CBB">
        <w:rPr>
          <w:rFonts w:ascii="Cambria" w:eastAsia="Cambria" w:hAnsi="Cambria" w:cs="Times New Roman"/>
          <w:b/>
          <w:u w:val="single"/>
        </w:rPr>
        <w:t xml:space="preserve">depth capability of conventional tethered </w:t>
      </w:r>
      <w:r w:rsidRPr="004A0CBB">
        <w:rPr>
          <w:rFonts w:ascii="Cambria" w:eastAsia="Cambria" w:hAnsi="Cambria" w:cs="Times New Roman"/>
          <w:sz w:val="16"/>
        </w:rPr>
        <w:t xml:space="preserve">ROVs such as Jason II </w:t>
      </w:r>
      <w:r w:rsidRPr="004A0CBB">
        <w:rPr>
          <w:rFonts w:ascii="Cambria" w:eastAsia="Cambria" w:hAnsi="Cambria" w:cs="Times New Roman"/>
          <w:b/>
          <w:u w:val="single"/>
        </w:rPr>
        <w:t>cannot be directly extended to 11,000 m</w:t>
      </w:r>
      <w:r w:rsidRPr="004A0CBB">
        <w:rPr>
          <w:rFonts w:ascii="Cambria" w:eastAsia="Cambria" w:hAnsi="Cambria" w:cs="Times New Roman"/>
          <w:sz w:val="16"/>
        </w:rPr>
        <w:t xml:space="preserve"> because </w:t>
      </w:r>
      <w:r w:rsidRPr="004A0CBB">
        <w:rPr>
          <w:rFonts w:ascii="Cambria" w:eastAsia="Cambria" w:hAnsi="Cambria" w:cs="Times New Roman"/>
          <w:b/>
          <w:u w:val="single"/>
        </w:rPr>
        <w:t>conventional steel-reinforced cables are self</w:t>
      </w:r>
      <w:r w:rsidRPr="004A0CBB">
        <w:rPr>
          <w:rFonts w:ascii="Cambria" w:eastAsia="Cambria" w:hAnsi="Cambria" w:cs="Times New Roman"/>
          <w:sz w:val="16"/>
        </w:rPr>
        <w:t>-</w:t>
      </w:r>
      <w:r w:rsidRPr="004A0CBB">
        <w:rPr>
          <w:rFonts w:ascii="Cambria" w:eastAsia="Cambria" w:hAnsi="Cambria" w:cs="Times New Roman"/>
          <w:b/>
          <w:u w:val="single"/>
        </w:rPr>
        <w:t>supporting in sea water only to cable lengths up to about 7,000m</w:t>
      </w:r>
      <w:r w:rsidRPr="004A0CBB">
        <w:rPr>
          <w:rFonts w:ascii="Cambria" w:eastAsia="Cambria" w:hAnsi="Cambria" w:cs="Times New Roman"/>
          <w:sz w:val="16"/>
        </w:rPr>
        <w:t>. Alternative tension member materials for 11,000 m operations, e.g. Kevlar, result in large-diameter cables that exhibit poor hydrodynamic characteristics and that require very large cable handling systems</w:t>
      </w:r>
      <w:r w:rsidRPr="004A0CBB">
        <w:rPr>
          <w:rFonts w:ascii="Cambria" w:eastAsia="Cambria" w:hAnsi="Cambria" w:cs="Times New Roman"/>
          <w:sz w:val="12"/>
        </w:rPr>
        <w:t>¶</w:t>
      </w:r>
      <w:r w:rsidRPr="004A0CBB">
        <w:rPr>
          <w:rFonts w:ascii="Cambria" w:eastAsia="Cambria" w:hAnsi="Cambria" w:cs="Times New Roman"/>
          <w:sz w:val="16"/>
        </w:rPr>
        <w:t xml:space="preserve"> Light fiber optic tethers offer an alternative to conventional large-diameter steel and Kevlar cables. To date, light fiber tethers have principally been employed in military appli- cations; </w:t>
      </w:r>
      <w:r w:rsidRPr="004A0CBB">
        <w:rPr>
          <w:rFonts w:ascii="Cambria" w:eastAsia="Cambria" w:hAnsi="Cambria" w:cs="Times New Roman"/>
          <w:b/>
          <w:u w:val="single"/>
        </w:rPr>
        <w:t>relatively few light fiber tether systems have been employed for oceanographic research</w:t>
      </w:r>
      <w:r w:rsidRPr="004A0CBB">
        <w:rPr>
          <w:rFonts w:ascii="Cambria" w:eastAsia="Cambria" w:hAnsi="Cambria" w:cs="Times New Roman"/>
          <w:sz w:val="16"/>
        </w:rPr>
        <w:t>. In [5], [23]–[25] the authors report the development of the self-powered remotely operated vehicle UROV7K employing a fiber-optic tether. This vehicle is designed to operate exclusively as a tethered ROV, and does not have on-board computational resources necessary to operate autonomously. In [8], [10] International Submarine Engineering Limited reported the successful deployment of an autonomous underwater vehicle designed to deploy fiber optic communication cables on the arctic sea floor.</w:t>
      </w:r>
      <w:r w:rsidRPr="004A0CBB">
        <w:rPr>
          <w:rFonts w:ascii="Cambria" w:eastAsia="Cambria" w:hAnsi="Cambria" w:cs="Times New Roman"/>
          <w:sz w:val="12"/>
        </w:rPr>
        <w:t>¶</w:t>
      </w:r>
      <w:r w:rsidRPr="004A0CBB">
        <w:rPr>
          <w:rFonts w:ascii="Cambria" w:eastAsia="Cambria" w:hAnsi="Cambria" w:cs="Times New Roman"/>
          <w:sz w:val="16"/>
        </w:rPr>
        <w:t xml:space="preserve"> Our goal is to create a practical 11,000 m system using an appropriately designed self-powered vehicle that can (a) oper- ate as an untethered autonomous vehicle (AUV mode) and (b) operate under remote-control connected to the surface vessel by a lightweight fiber optic tether of up to approximately 40 km in length (ROV mode).</w:t>
      </w:r>
    </w:p>
    <w:p w:rsidR="00984FEB" w:rsidRPr="004A0CBB" w:rsidRDefault="00984FEB" w:rsidP="00984FEB">
      <w:pPr>
        <w:pStyle w:val="Heading3"/>
        <w:rPr>
          <w:rFonts w:eastAsia="MS Gothic"/>
        </w:rPr>
      </w:pPr>
      <w:r>
        <w:rPr>
          <w:rFonts w:eastAsia="MS Gothic"/>
        </w:rPr>
        <w:t>AT: NOAA</w:t>
      </w:r>
    </w:p>
    <w:p w:rsidR="00984FEB" w:rsidRPr="004A0CBB" w:rsidRDefault="00984FEB" w:rsidP="00984FEB">
      <w:pPr>
        <w:keepNext/>
        <w:keepLines/>
        <w:spacing w:before="40"/>
        <w:outlineLvl w:val="3"/>
        <w:rPr>
          <w:rFonts w:ascii="Cambria" w:eastAsia="MS Gothic" w:hAnsi="Cambria" w:cs="Times New Roman"/>
          <w:b/>
          <w:iCs/>
          <w:sz w:val="26"/>
        </w:rPr>
      </w:pPr>
      <w:r w:rsidRPr="004A0CBB">
        <w:rPr>
          <w:rFonts w:ascii="Cambria" w:eastAsia="MS Gothic" w:hAnsi="Cambria" w:cs="Times New Roman"/>
          <w:b/>
          <w:iCs/>
          <w:sz w:val="26"/>
        </w:rPr>
        <w:t>Expert consensus indicates a litany of structural deficiencies ensure NOAA programs fail – new investment doesn’t solve</w:t>
      </w:r>
    </w:p>
    <w:p w:rsidR="00984FEB" w:rsidRPr="004A0CBB" w:rsidRDefault="00984FEB" w:rsidP="00984FEB">
      <w:pPr>
        <w:rPr>
          <w:rFonts w:ascii="Cambria" w:eastAsia="Cambria" w:hAnsi="Cambria" w:cs="Times New Roman"/>
          <w:b/>
          <w:bCs/>
          <w:sz w:val="26"/>
        </w:rPr>
      </w:pPr>
      <w:r w:rsidRPr="004A0CBB">
        <w:rPr>
          <w:rFonts w:ascii="Cambria" w:eastAsia="Cambria" w:hAnsi="Cambria" w:cs="Times New Roman"/>
          <w:b/>
          <w:bCs/>
          <w:sz w:val="26"/>
        </w:rPr>
        <w:t>Orcutt et al. 3</w:t>
      </w:r>
    </w:p>
    <w:p w:rsidR="00984FEB" w:rsidRPr="004A0CBB" w:rsidRDefault="00984FEB" w:rsidP="00984FEB">
      <w:pPr>
        <w:rPr>
          <w:rFonts w:ascii="Cambria" w:eastAsia="Cambria" w:hAnsi="Cambria" w:cs="Times New Roman"/>
        </w:rPr>
      </w:pPr>
      <w:r w:rsidRPr="004A0CBB">
        <w:rPr>
          <w:rFonts w:ascii="Cambria" w:eastAsia="Cambria" w:hAnsi="Cambria" w:cs="Times New Roman"/>
        </w:rPr>
        <w:t>Dr. John Orcutt - Professor of geophysics and Deputy Director at Scripps Institution of Oceanography and Interim Dean of Marine Sciences at the University of California, San Diego, Ph. D. in geophysics from the University of California, San Diego-Scripps Institution of Oceanography, President-Elect of the American Geophysical Union, Chief of Naval Operations Oceanography chair, former member of the Ocean Studies Board; Dr. Shirley Pomponi – Vice President and Director of Research at Harbor Branch Oceanographic Institution, Ph. D. in biological oceanography from the University of Miami, former member of the President’s Panel on Ocean Exploration; John Moore – Walter L. Brown Professor of Law at the University of Virginia School of Law, Director of the University of Virginia’s Center for Oceans Law and Policy, former Chairman of the National Security Council Interagency Task Force on the Law of the Sea, former member of the National Advisory Committee on Oceans and Atmosphere, 14 other oceanographic pundits</w:t>
      </w:r>
    </w:p>
    <w:p w:rsidR="00984FEB" w:rsidRPr="004A0CBB" w:rsidRDefault="00984FEB" w:rsidP="00984FEB">
      <w:pPr>
        <w:rPr>
          <w:rFonts w:ascii="Cambria" w:eastAsia="Cambria" w:hAnsi="Cambria" w:cs="Times New Roman"/>
        </w:rPr>
      </w:pPr>
      <w:r w:rsidRPr="004A0CBB">
        <w:rPr>
          <w:rFonts w:ascii="Cambria" w:eastAsia="Cambria" w:hAnsi="Cambria" w:cs="Times New Roman"/>
        </w:rPr>
        <w:t>(“Exploration of the Seas: Voyage into the Unknow”, 2003, http://explore.noaa.gov/sites/OER/Documents/national-research-council-voyage.pdf)//EO</w:t>
      </w:r>
    </w:p>
    <w:p w:rsidR="00984FEB" w:rsidRPr="004A0CBB" w:rsidRDefault="00984FEB" w:rsidP="00984FEB">
      <w:pPr>
        <w:rPr>
          <w:rFonts w:ascii="Cambria" w:eastAsia="Cambria" w:hAnsi="Cambria" w:cs="Times New Roman"/>
        </w:rPr>
      </w:pPr>
      <w:r w:rsidRPr="004A0CBB">
        <w:rPr>
          <w:rFonts w:ascii="Cambria" w:eastAsia="Cambria" w:hAnsi="Cambria" w:cs="Times New Roman"/>
        </w:rPr>
        <w:t xml:space="preserve">DOMESTIC SUPPORT FOR OCEAN EXPLORATION </w:t>
      </w:r>
      <w:r w:rsidRPr="004A0CBB">
        <w:rPr>
          <w:rFonts w:ascii="Cambria" w:eastAsia="Cambria" w:hAnsi="Cambria" w:cs="Times New Roman"/>
          <w:b/>
          <w:u w:val="single"/>
        </w:rPr>
        <w:t>There has been continued support for and success from oceanographic research in the U</w:t>
      </w:r>
      <w:r w:rsidRPr="004A0CBB">
        <w:rPr>
          <w:rFonts w:ascii="Cambria" w:eastAsia="Cambria" w:hAnsi="Cambria" w:cs="Times New Roman"/>
        </w:rPr>
        <w:t xml:space="preserve">nited </w:t>
      </w:r>
      <w:r w:rsidRPr="004A0CBB">
        <w:rPr>
          <w:rFonts w:ascii="Cambria" w:eastAsia="Cambria" w:hAnsi="Cambria" w:cs="Times New Roman"/>
          <w:b/>
          <w:u w:val="single"/>
        </w:rPr>
        <w:t>S</w:t>
      </w:r>
      <w:r w:rsidRPr="004A0CBB">
        <w:rPr>
          <w:rFonts w:ascii="Cambria" w:eastAsia="Cambria" w:hAnsi="Cambria" w:cs="Times New Roman"/>
        </w:rPr>
        <w:t xml:space="preserve">tates, and a large-scale international exploration program could rapidly accelerate our acquisition of knowledge of the world's oceans. </w:t>
      </w:r>
      <w:r w:rsidRPr="004A0CBB">
        <w:rPr>
          <w:rFonts w:ascii="Cambria" w:eastAsia="Cambria" w:hAnsi="Cambria" w:cs="Times New Roman"/>
          <w:b/>
          <w:u w:val="single"/>
        </w:rPr>
        <w:t xml:space="preserve">The current ocean-research-funding framework does not favor such exploratory proposals. Additional funding for exploration with-out a new framework for management and investment is unlikely to result in establishment of a successful exploration program. </w:t>
      </w:r>
      <w:r w:rsidRPr="004A0CBB">
        <w:rPr>
          <w:rFonts w:ascii="Cambria" w:eastAsia="Cambria" w:hAnsi="Cambria" w:cs="Times New Roman"/>
        </w:rPr>
        <w:t xml:space="preserve">A new program, how-ever, could provide the resources and establish the selection processes needed to develop ocean exploration theme areas and pursue new research in biodiversity, processes, and resources within the world's oceans. The current effort of the Office of Ocean Exploration at NOM should not be expected to fill this role. After weighing the issues involved in oversight and funding, perhaps the most appropriate placement for an ocean exploration program is under the auspices of the interagency NOPP, provided that the problems with routing funds to NOPP-sponsored projects is solved. This solution has the best chance of leading to major involvement by NOM, NSF, and other appro-priate organizations such as the Office of Naval Research. </w:t>
      </w:r>
      <w:r w:rsidRPr="004A0CBB">
        <w:rPr>
          <w:rFonts w:ascii="Cambria" w:eastAsia="Cambria" w:hAnsi="Cambria" w:cs="Times New Roman"/>
          <w:b/>
          <w:u w:val="single"/>
        </w:rPr>
        <w:t>The committee is not prepared to support an ocean exploration program within NOM unless major shortcomings of NOAA as a lead agency can be effectively and demonstrably overcome.</w:t>
      </w:r>
      <w:r w:rsidRPr="004A0CBB">
        <w:rPr>
          <w:rFonts w:ascii="Cambria" w:eastAsia="Cambria" w:hAnsi="Cambria" w:cs="Times New Roman"/>
        </w:rPr>
        <w:t xml:space="preserve"> </w:t>
      </w:r>
      <w:r w:rsidRPr="004A0CBB">
        <w:rPr>
          <w:rFonts w:ascii="Cambria" w:eastAsia="Cambria" w:hAnsi="Cambria" w:cs="Times New Roman"/>
          <w:b/>
          <w:u w:val="single"/>
        </w:rPr>
        <w:t>A majority of the committee members felt that the structural problems limiting the effectiveness of NOAA</w:t>
      </w:r>
      <w:r w:rsidRPr="004A0CBB">
        <w:rPr>
          <w:rFonts w:ascii="Cambria" w:eastAsia="Cambria" w:hAnsi="Cambria" w:cs="Times New Roman"/>
        </w:rPr>
        <w:t>'s current</w:t>
      </w:r>
      <w:r w:rsidRPr="004A0CBB">
        <w:rPr>
          <w:rFonts w:ascii="Cambria" w:eastAsia="Cambria" w:hAnsi="Cambria" w:cs="Times New Roman"/>
          <w:b/>
          <w:u w:val="single"/>
        </w:rPr>
        <w:t xml:space="preserve"> ocean exploration program are insurmountable.</w:t>
      </w:r>
      <w:r w:rsidRPr="004A0CBB">
        <w:rPr>
          <w:rFonts w:ascii="Cambria" w:eastAsia="Cambria" w:hAnsi="Cambria" w:cs="Times New Roman"/>
        </w:rPr>
        <w:t xml:space="preserve"> A minority of the committee members felt that the problems could be corrected. If there is no change to the status quo for NOPP or NOM, the committee recommends that NSF be encouraged to take on an ocean exploration program. Although a program within </w:t>
      </w:r>
      <w:r w:rsidRPr="004A0CBB">
        <w:rPr>
          <w:rFonts w:ascii="Cambria" w:eastAsia="Cambria" w:hAnsi="Cambria" w:cs="Times New Roman"/>
          <w:b/>
          <w:u w:val="single"/>
        </w:rPr>
        <w:t>NSF would face the same difficulties of the existing NOAA program in attracting</w:t>
      </w:r>
      <w:r w:rsidRPr="004A0CBB">
        <w:rPr>
          <w:rFonts w:ascii="Cambria" w:eastAsia="Cambria" w:hAnsi="Cambria" w:cs="Times New Roman"/>
        </w:rPr>
        <w:t xml:space="preserve"> other federal (and nonfederal) </w:t>
      </w:r>
      <w:r w:rsidRPr="004A0CBB">
        <w:rPr>
          <w:rFonts w:ascii="Cambria" w:eastAsia="Cambria" w:hAnsi="Cambria" w:cs="Times New Roman"/>
          <w:b/>
          <w:u w:val="single"/>
        </w:rPr>
        <w:t>partners</w:t>
      </w:r>
      <w:r w:rsidRPr="004A0CBB">
        <w:rPr>
          <w:rFonts w:ascii="Cambria" w:eastAsia="Cambria" w:hAnsi="Cambria" w:cs="Times New Roman"/>
        </w:rPr>
        <w:t>, NSF has proven success-ful at managing international research programs as well as a highly-regarded ocean exploration program that remained true to its founding vision.</w:t>
      </w:r>
    </w:p>
    <w:sectPr w:rsidR="00984FEB" w:rsidRPr="004A0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8DE" w:rsidRDefault="009348DE" w:rsidP="005F5576">
      <w:r>
        <w:separator/>
      </w:r>
    </w:p>
  </w:endnote>
  <w:endnote w:type="continuationSeparator" w:id="0">
    <w:p w:rsidR="009348DE" w:rsidRDefault="009348D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Cambria Math">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8DE" w:rsidRDefault="009348DE" w:rsidP="005F5576">
      <w:r>
        <w:separator/>
      </w:r>
    </w:p>
  </w:footnote>
  <w:footnote w:type="continuationSeparator" w:id="0">
    <w:p w:rsidR="009348DE" w:rsidRDefault="009348DE"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974B21"/>
    <w:multiLevelType w:val="multilevel"/>
    <w:tmpl w:val="D5B665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E65457"/>
    <w:multiLevelType w:val="multilevel"/>
    <w:tmpl w:val="ACFA9A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5C17E1"/>
    <w:multiLevelType w:val="hybridMultilevel"/>
    <w:tmpl w:val="7A3826D8"/>
    <w:lvl w:ilvl="0" w:tplc="EA86A7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FB65B2"/>
    <w:multiLevelType w:val="multilevel"/>
    <w:tmpl w:val="4FF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443B63"/>
    <w:multiLevelType w:val="multilevel"/>
    <w:tmpl w:val="0B8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A12799"/>
    <w:multiLevelType w:val="hybridMultilevel"/>
    <w:tmpl w:val="933CE5D6"/>
    <w:lvl w:ilvl="0" w:tplc="60DC74E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0"/>
  </w:num>
  <w:num w:numId="14">
    <w:abstractNumId w:val="13"/>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FEB"/>
    <w:rsid w:val="000022F2"/>
    <w:rsid w:val="0000459F"/>
    <w:rsid w:val="00004EB4"/>
    <w:rsid w:val="0002196C"/>
    <w:rsid w:val="00021F29"/>
    <w:rsid w:val="00027EED"/>
    <w:rsid w:val="0003041D"/>
    <w:rsid w:val="00033028"/>
    <w:rsid w:val="000360A7"/>
    <w:rsid w:val="00052593"/>
    <w:rsid w:val="00052A1D"/>
    <w:rsid w:val="00055576"/>
    <w:rsid w:val="00055E12"/>
    <w:rsid w:val="00064A59"/>
    <w:rsid w:val="0007162E"/>
    <w:rsid w:val="00073B9A"/>
    <w:rsid w:val="000757CC"/>
    <w:rsid w:val="00090287"/>
    <w:rsid w:val="00090BA2"/>
    <w:rsid w:val="000978A3"/>
    <w:rsid w:val="00097D7E"/>
    <w:rsid w:val="000A1D39"/>
    <w:rsid w:val="000A4C5B"/>
    <w:rsid w:val="000A4FA5"/>
    <w:rsid w:val="000B61C8"/>
    <w:rsid w:val="000C767D"/>
    <w:rsid w:val="000D0B76"/>
    <w:rsid w:val="000D2AE5"/>
    <w:rsid w:val="000D3A26"/>
    <w:rsid w:val="000D3D8D"/>
    <w:rsid w:val="000E41A3"/>
    <w:rsid w:val="000F37E7"/>
    <w:rsid w:val="00113C68"/>
    <w:rsid w:val="00114663"/>
    <w:rsid w:val="0012057B"/>
    <w:rsid w:val="00120F78"/>
    <w:rsid w:val="00126D92"/>
    <w:rsid w:val="001301AC"/>
    <w:rsid w:val="001304DF"/>
    <w:rsid w:val="00140263"/>
    <w:rsid w:val="00140397"/>
    <w:rsid w:val="0014072D"/>
    <w:rsid w:val="00141F7D"/>
    <w:rsid w:val="00141FBF"/>
    <w:rsid w:val="00164B3D"/>
    <w:rsid w:val="0016509D"/>
    <w:rsid w:val="0016711C"/>
    <w:rsid w:val="00167A9F"/>
    <w:rsid w:val="001711E1"/>
    <w:rsid w:val="0017246A"/>
    <w:rsid w:val="00175018"/>
    <w:rsid w:val="00177828"/>
    <w:rsid w:val="00177A1E"/>
    <w:rsid w:val="00182D51"/>
    <w:rsid w:val="0018565A"/>
    <w:rsid w:val="0019587B"/>
    <w:rsid w:val="001A4F0E"/>
    <w:rsid w:val="001B0A04"/>
    <w:rsid w:val="001B0F3C"/>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2729"/>
    <w:rsid w:val="002C571D"/>
    <w:rsid w:val="002C5772"/>
    <w:rsid w:val="002D0374"/>
    <w:rsid w:val="002D2946"/>
    <w:rsid w:val="002D529E"/>
    <w:rsid w:val="002D6BD6"/>
    <w:rsid w:val="002E4DD9"/>
    <w:rsid w:val="002F0314"/>
    <w:rsid w:val="0031182D"/>
    <w:rsid w:val="00314B9D"/>
    <w:rsid w:val="00315CA2"/>
    <w:rsid w:val="00316FEB"/>
    <w:rsid w:val="00326B43"/>
    <w:rsid w:val="00326EEB"/>
    <w:rsid w:val="00327AF2"/>
    <w:rsid w:val="0033078A"/>
    <w:rsid w:val="00331559"/>
    <w:rsid w:val="00341D6C"/>
    <w:rsid w:val="00344E91"/>
    <w:rsid w:val="00347123"/>
    <w:rsid w:val="0034756E"/>
    <w:rsid w:val="00347E74"/>
    <w:rsid w:val="00351D97"/>
    <w:rsid w:val="00354B5B"/>
    <w:rsid w:val="00356F71"/>
    <w:rsid w:val="003721C0"/>
    <w:rsid w:val="003721F0"/>
    <w:rsid w:val="00376C22"/>
    <w:rsid w:val="00383E0A"/>
    <w:rsid w:val="003847C7"/>
    <w:rsid w:val="00385298"/>
    <w:rsid w:val="003852CE"/>
    <w:rsid w:val="00392E92"/>
    <w:rsid w:val="00395C83"/>
    <w:rsid w:val="003A2A3B"/>
    <w:rsid w:val="003A39B1"/>
    <w:rsid w:val="003A440C"/>
    <w:rsid w:val="003A5D52"/>
    <w:rsid w:val="003B024E"/>
    <w:rsid w:val="003B0C84"/>
    <w:rsid w:val="003B183E"/>
    <w:rsid w:val="003B2F3E"/>
    <w:rsid w:val="003B55B7"/>
    <w:rsid w:val="003C756E"/>
    <w:rsid w:val="003D245F"/>
    <w:rsid w:val="003D2C33"/>
    <w:rsid w:val="003D4285"/>
    <w:rsid w:val="003E4831"/>
    <w:rsid w:val="003E48DE"/>
    <w:rsid w:val="003E7E8B"/>
    <w:rsid w:val="003F3030"/>
    <w:rsid w:val="003F47AE"/>
    <w:rsid w:val="00403971"/>
    <w:rsid w:val="00407386"/>
    <w:rsid w:val="004138EF"/>
    <w:rsid w:val="004319DE"/>
    <w:rsid w:val="00433BBB"/>
    <w:rsid w:val="00435232"/>
    <w:rsid w:val="004400EA"/>
    <w:rsid w:val="00450882"/>
    <w:rsid w:val="00451C20"/>
    <w:rsid w:val="00452001"/>
    <w:rsid w:val="0045442E"/>
    <w:rsid w:val="004564E2"/>
    <w:rsid w:val="00456593"/>
    <w:rsid w:val="00462418"/>
    <w:rsid w:val="00471A70"/>
    <w:rsid w:val="00473A79"/>
    <w:rsid w:val="00475E03"/>
    <w:rsid w:val="00476723"/>
    <w:rsid w:val="0047798D"/>
    <w:rsid w:val="0049167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171BF"/>
    <w:rsid w:val="0062114C"/>
    <w:rsid w:val="00623B70"/>
    <w:rsid w:val="0063578B"/>
    <w:rsid w:val="00636B3D"/>
    <w:rsid w:val="00641025"/>
    <w:rsid w:val="00650E98"/>
    <w:rsid w:val="00656C61"/>
    <w:rsid w:val="006672D8"/>
    <w:rsid w:val="00670D96"/>
    <w:rsid w:val="00672877"/>
    <w:rsid w:val="00683154"/>
    <w:rsid w:val="00690115"/>
    <w:rsid w:val="00690898"/>
    <w:rsid w:val="00692022"/>
    <w:rsid w:val="00693039"/>
    <w:rsid w:val="00693A5A"/>
    <w:rsid w:val="0069407C"/>
    <w:rsid w:val="006B302F"/>
    <w:rsid w:val="006C64D4"/>
    <w:rsid w:val="006E53F0"/>
    <w:rsid w:val="006F46C3"/>
    <w:rsid w:val="006F7CDF"/>
    <w:rsid w:val="00700BDB"/>
    <w:rsid w:val="0070121B"/>
    <w:rsid w:val="00701E73"/>
    <w:rsid w:val="00711FE2"/>
    <w:rsid w:val="00712649"/>
    <w:rsid w:val="007149F2"/>
    <w:rsid w:val="00714BC9"/>
    <w:rsid w:val="00715DC0"/>
    <w:rsid w:val="00723F91"/>
    <w:rsid w:val="00725623"/>
    <w:rsid w:val="00726ED4"/>
    <w:rsid w:val="00733DB4"/>
    <w:rsid w:val="00743059"/>
    <w:rsid w:val="00744F58"/>
    <w:rsid w:val="00750CED"/>
    <w:rsid w:val="00756B88"/>
    <w:rsid w:val="00760A29"/>
    <w:rsid w:val="00771E18"/>
    <w:rsid w:val="007739F1"/>
    <w:rsid w:val="007745C6"/>
    <w:rsid w:val="007755F6"/>
    <w:rsid w:val="007761AD"/>
    <w:rsid w:val="00777387"/>
    <w:rsid w:val="007815E5"/>
    <w:rsid w:val="00787343"/>
    <w:rsid w:val="00790BFA"/>
    <w:rsid w:val="00791121"/>
    <w:rsid w:val="00791C88"/>
    <w:rsid w:val="00794C73"/>
    <w:rsid w:val="00797B76"/>
    <w:rsid w:val="007A3D06"/>
    <w:rsid w:val="007B17DA"/>
    <w:rsid w:val="007B383B"/>
    <w:rsid w:val="007C350D"/>
    <w:rsid w:val="007C3689"/>
    <w:rsid w:val="007C3C9B"/>
    <w:rsid w:val="007C6AC9"/>
    <w:rsid w:val="007D3012"/>
    <w:rsid w:val="007D65A7"/>
    <w:rsid w:val="007E3F59"/>
    <w:rsid w:val="007E5043"/>
    <w:rsid w:val="007E5183"/>
    <w:rsid w:val="008133F9"/>
    <w:rsid w:val="00823AAC"/>
    <w:rsid w:val="00847BFD"/>
    <w:rsid w:val="00854C66"/>
    <w:rsid w:val="008553E1"/>
    <w:rsid w:val="0087574C"/>
    <w:rsid w:val="0087643B"/>
    <w:rsid w:val="00877669"/>
    <w:rsid w:val="00897F92"/>
    <w:rsid w:val="008A64C9"/>
    <w:rsid w:val="008B180A"/>
    <w:rsid w:val="008B24B7"/>
    <w:rsid w:val="008C2CD8"/>
    <w:rsid w:val="008C5743"/>
    <w:rsid w:val="008C61BB"/>
    <w:rsid w:val="008C68EE"/>
    <w:rsid w:val="008C7F44"/>
    <w:rsid w:val="008D0BFA"/>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2B10"/>
    <w:rsid w:val="009348DE"/>
    <w:rsid w:val="00935127"/>
    <w:rsid w:val="00936EFC"/>
    <w:rsid w:val="0094025E"/>
    <w:rsid w:val="00941C5F"/>
    <w:rsid w:val="0094256C"/>
    <w:rsid w:val="00953F11"/>
    <w:rsid w:val="009706C1"/>
    <w:rsid w:val="00976675"/>
    <w:rsid w:val="00976FBF"/>
    <w:rsid w:val="0098369D"/>
    <w:rsid w:val="00984B38"/>
    <w:rsid w:val="00984FEB"/>
    <w:rsid w:val="009A0636"/>
    <w:rsid w:val="009A6FF5"/>
    <w:rsid w:val="009B2B47"/>
    <w:rsid w:val="009B35DB"/>
    <w:rsid w:val="009B5CA3"/>
    <w:rsid w:val="009C4298"/>
    <w:rsid w:val="009C7A5E"/>
    <w:rsid w:val="009D318C"/>
    <w:rsid w:val="009E7822"/>
    <w:rsid w:val="00A10B8B"/>
    <w:rsid w:val="00A17A7B"/>
    <w:rsid w:val="00A20D78"/>
    <w:rsid w:val="00A2174A"/>
    <w:rsid w:val="00A26733"/>
    <w:rsid w:val="00A3595E"/>
    <w:rsid w:val="00A46C7F"/>
    <w:rsid w:val="00A65E50"/>
    <w:rsid w:val="00A73245"/>
    <w:rsid w:val="00A77145"/>
    <w:rsid w:val="00A82989"/>
    <w:rsid w:val="00A904FE"/>
    <w:rsid w:val="00A9262C"/>
    <w:rsid w:val="00A96A79"/>
    <w:rsid w:val="00AB3B76"/>
    <w:rsid w:val="00AB61DD"/>
    <w:rsid w:val="00AC222F"/>
    <w:rsid w:val="00AC2CC7"/>
    <w:rsid w:val="00AC7B3B"/>
    <w:rsid w:val="00AD3CDD"/>
    <w:rsid w:val="00AD3CE6"/>
    <w:rsid w:val="00AE1307"/>
    <w:rsid w:val="00AE311A"/>
    <w:rsid w:val="00AE5322"/>
    <w:rsid w:val="00AE7586"/>
    <w:rsid w:val="00AF7A65"/>
    <w:rsid w:val="00B06710"/>
    <w:rsid w:val="00B07EBF"/>
    <w:rsid w:val="00B166CB"/>
    <w:rsid w:val="00B235E1"/>
    <w:rsid w:val="00B272CF"/>
    <w:rsid w:val="00B3145D"/>
    <w:rsid w:val="00B357BA"/>
    <w:rsid w:val="00B45786"/>
    <w:rsid w:val="00B469A9"/>
    <w:rsid w:val="00B509B5"/>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2472"/>
    <w:rsid w:val="00C05F9D"/>
    <w:rsid w:val="00C27212"/>
    <w:rsid w:val="00C34099"/>
    <w:rsid w:val="00C34185"/>
    <w:rsid w:val="00C36783"/>
    <w:rsid w:val="00C42DD6"/>
    <w:rsid w:val="00C545E7"/>
    <w:rsid w:val="00C66858"/>
    <w:rsid w:val="00C72E69"/>
    <w:rsid w:val="00C7411E"/>
    <w:rsid w:val="00C84988"/>
    <w:rsid w:val="00CA4AF6"/>
    <w:rsid w:val="00CA59CA"/>
    <w:rsid w:val="00CB2356"/>
    <w:rsid w:val="00CB4075"/>
    <w:rsid w:val="00CB4E6D"/>
    <w:rsid w:val="00CC23DE"/>
    <w:rsid w:val="00CD3E3A"/>
    <w:rsid w:val="00CD54F5"/>
    <w:rsid w:val="00CD7459"/>
    <w:rsid w:val="00CE55A6"/>
    <w:rsid w:val="00CF13FC"/>
    <w:rsid w:val="00CF42CF"/>
    <w:rsid w:val="00CF4AAF"/>
    <w:rsid w:val="00CF561A"/>
    <w:rsid w:val="00CF6C18"/>
    <w:rsid w:val="00CF7EA8"/>
    <w:rsid w:val="00D004DA"/>
    <w:rsid w:val="00D01673"/>
    <w:rsid w:val="00D0309A"/>
    <w:rsid w:val="00D07BA4"/>
    <w:rsid w:val="00D109BA"/>
    <w:rsid w:val="00D176BE"/>
    <w:rsid w:val="00D17C4E"/>
    <w:rsid w:val="00D21359"/>
    <w:rsid w:val="00D215F6"/>
    <w:rsid w:val="00D21A8C"/>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A51D8"/>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6B95"/>
    <w:rsid w:val="00ED78F1"/>
    <w:rsid w:val="00EE4DCA"/>
    <w:rsid w:val="00EE5F04"/>
    <w:rsid w:val="00EF049B"/>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5A93"/>
    <w:rsid w:val="00F76366"/>
    <w:rsid w:val="00F805C0"/>
    <w:rsid w:val="00FB227A"/>
    <w:rsid w:val="00FB4261"/>
    <w:rsid w:val="00FB43B1"/>
    <w:rsid w:val="00FC0608"/>
    <w:rsid w:val="00FC148F"/>
    <w:rsid w:val="00FC2155"/>
    <w:rsid w:val="00FC41A7"/>
    <w:rsid w:val="00FC4C5E"/>
    <w:rsid w:val="00FD5251"/>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Style Underline,Intense Emphasis1,apple-style-span + 6 pt,Bold,Kern at 16 pt,Style,Intense Emphasis11,Intense Emphasis2,Intense Emphasis111,HHeading 3 + 12 pt,Heading 3 Char1 Char Char Char,ci,Bold Cite Char,c,cite,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Georgia" w:eastAsiaTheme="majorEastAsia" w:hAnsi="Georgia" w:cstheme="majorBidi"/>
      <w:b/>
      <w:bCs/>
      <w:iCs/>
      <w:sz w:val="26"/>
    </w:rPr>
  </w:style>
  <w:style w:type="paragraph" w:styleId="NormalWeb">
    <w:name w:val="Normal (Web)"/>
    <w:basedOn w:val="Normal"/>
    <w:uiPriority w:val="99"/>
    <w:semiHidden/>
    <w:unhideWhenUsed/>
    <w:rsid w:val="00984FEB"/>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984FEB"/>
    <w:pPr>
      <w:ind w:left="720"/>
      <w:contextualSpacing/>
    </w:pPr>
  </w:style>
  <w:style w:type="character" w:styleId="Strong">
    <w:name w:val="Strong"/>
    <w:basedOn w:val="DefaultParagraphFont"/>
    <w:uiPriority w:val="22"/>
    <w:qFormat/>
    <w:rsid w:val="00984FEB"/>
    <w:rPr>
      <w:b/>
      <w:bCs/>
    </w:rPr>
  </w:style>
  <w:style w:type="character" w:customStyle="1" w:styleId="apple-converted-space">
    <w:name w:val="apple-converted-space"/>
    <w:basedOn w:val="DefaultParagraphFont"/>
    <w:rsid w:val="00984FEB"/>
  </w:style>
  <w:style w:type="paragraph" w:customStyle="1" w:styleId="promotion-tag-p">
    <w:name w:val="promotion-tag-p"/>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wrapper">
    <w:name w:val="wrapper"/>
    <w:basedOn w:val="DefaultParagraphFont"/>
    <w:rsid w:val="00984FEB"/>
  </w:style>
  <w:style w:type="character" w:customStyle="1" w:styleId="ticker">
    <w:name w:val="ticker"/>
    <w:basedOn w:val="DefaultParagraphFont"/>
    <w:rsid w:val="00984FEB"/>
  </w:style>
  <w:style w:type="character" w:customStyle="1" w:styleId="change">
    <w:name w:val="change"/>
    <w:basedOn w:val="DefaultParagraphFont"/>
    <w:rsid w:val="00984FEB"/>
  </w:style>
  <w:style w:type="paragraph" w:customStyle="1" w:styleId="xhead">
    <w:name w:val="xhead"/>
    <w:basedOn w:val="Normal"/>
    <w:rsid w:val="00984FEB"/>
    <w:pPr>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984FEB"/>
  </w:style>
  <w:style w:type="paragraph" w:customStyle="1" w:styleId="p2">
    <w:name w:val="p2"/>
    <w:basedOn w:val="Normal"/>
    <w:rsid w:val="00984FEB"/>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rsid w:val="00984FEB"/>
  </w:style>
  <w:style w:type="character" w:customStyle="1" w:styleId="l7">
    <w:name w:val="l7"/>
    <w:basedOn w:val="DefaultParagraphFont"/>
    <w:rsid w:val="00984FEB"/>
  </w:style>
  <w:style w:type="character" w:customStyle="1" w:styleId="l6">
    <w:name w:val="l6"/>
    <w:basedOn w:val="DefaultParagraphFont"/>
    <w:rsid w:val="00984FEB"/>
  </w:style>
  <w:style w:type="character" w:customStyle="1" w:styleId="l8">
    <w:name w:val="l8"/>
    <w:basedOn w:val="DefaultParagraphFont"/>
    <w:rsid w:val="00984FEB"/>
  </w:style>
  <w:style w:type="character" w:customStyle="1" w:styleId="l9">
    <w:name w:val="l9"/>
    <w:basedOn w:val="DefaultParagraphFont"/>
    <w:rsid w:val="00984FEB"/>
  </w:style>
  <w:style w:type="character" w:styleId="CommentReference">
    <w:name w:val="annotation reference"/>
    <w:basedOn w:val="DefaultParagraphFont"/>
    <w:uiPriority w:val="99"/>
    <w:semiHidden/>
    <w:unhideWhenUsed/>
    <w:rsid w:val="00984FEB"/>
    <w:rPr>
      <w:sz w:val="16"/>
      <w:szCs w:val="16"/>
    </w:rPr>
  </w:style>
  <w:style w:type="paragraph" w:styleId="CommentText">
    <w:name w:val="annotation text"/>
    <w:basedOn w:val="Normal"/>
    <w:link w:val="CommentTextChar"/>
    <w:uiPriority w:val="99"/>
    <w:semiHidden/>
    <w:unhideWhenUsed/>
    <w:rsid w:val="00984FEB"/>
    <w:rPr>
      <w:sz w:val="20"/>
      <w:szCs w:val="20"/>
    </w:rPr>
  </w:style>
  <w:style w:type="character" w:customStyle="1" w:styleId="CommentTextChar">
    <w:name w:val="Comment Text Char"/>
    <w:basedOn w:val="DefaultParagraphFont"/>
    <w:link w:val="CommentText"/>
    <w:uiPriority w:val="99"/>
    <w:semiHidden/>
    <w:rsid w:val="00984FEB"/>
    <w:rPr>
      <w:rFonts w:ascii="Georgia" w:hAnsi="Georgia" w:cs="Calibri"/>
      <w:sz w:val="20"/>
      <w:szCs w:val="20"/>
    </w:rPr>
  </w:style>
  <w:style w:type="paragraph" w:styleId="BalloonText">
    <w:name w:val="Balloon Text"/>
    <w:basedOn w:val="Normal"/>
    <w:link w:val="BalloonTextChar"/>
    <w:uiPriority w:val="99"/>
    <w:semiHidden/>
    <w:unhideWhenUsed/>
    <w:rsid w:val="00984FEB"/>
    <w:rPr>
      <w:rFonts w:ascii="Tahoma" w:hAnsi="Tahoma" w:cs="Tahoma"/>
      <w:sz w:val="16"/>
      <w:szCs w:val="16"/>
    </w:rPr>
  </w:style>
  <w:style w:type="character" w:customStyle="1" w:styleId="BalloonTextChar">
    <w:name w:val="Balloon Text Char"/>
    <w:basedOn w:val="DefaultParagraphFont"/>
    <w:link w:val="BalloonText"/>
    <w:uiPriority w:val="99"/>
    <w:semiHidden/>
    <w:rsid w:val="00984FEB"/>
    <w:rPr>
      <w:rFonts w:ascii="Tahoma" w:hAnsi="Tahoma" w:cs="Tahoma"/>
      <w:sz w:val="16"/>
      <w:szCs w:val="16"/>
    </w:rPr>
  </w:style>
  <w:style w:type="character" w:customStyle="1" w:styleId="Caption1">
    <w:name w:val="Caption1"/>
    <w:basedOn w:val="DefaultParagraphFont"/>
    <w:rsid w:val="00984FEB"/>
  </w:style>
  <w:style w:type="character" w:customStyle="1" w:styleId="source">
    <w:name w:val="source"/>
    <w:basedOn w:val="DefaultParagraphFont"/>
    <w:rsid w:val="00984FEB"/>
  </w:style>
  <w:style w:type="character" w:customStyle="1" w:styleId="resultbody">
    <w:name w:val="resultbody"/>
    <w:rsid w:val="007C6AC9"/>
  </w:style>
  <w:style w:type="character" w:customStyle="1" w:styleId="resultbodysmallitalic">
    <w:name w:val="resultbodysmallitalic"/>
    <w:rsid w:val="007C6AC9"/>
  </w:style>
  <w:style w:type="character" w:styleId="IntenseEmphasis">
    <w:name w:val="Intense Emphasis"/>
    <w:aliases w:val="Title Char,Cards + Font: 12 pt Char,Citation Char Char Char"/>
    <w:basedOn w:val="DefaultParagraphFont"/>
    <w:uiPriority w:val="6"/>
    <w:qFormat/>
    <w:rsid w:val="007C6AC9"/>
    <w:rPr>
      <w:b/>
      <w:bCs w:val="0"/>
      <w:sz w:val="24"/>
      <w:u w:val="single"/>
    </w:rPr>
  </w:style>
  <w:style w:type="paragraph" w:styleId="DocumentMap">
    <w:name w:val="Document Map"/>
    <w:basedOn w:val="Normal"/>
    <w:link w:val="DocumentMapChar"/>
    <w:uiPriority w:val="99"/>
    <w:semiHidden/>
    <w:unhideWhenUsed/>
    <w:rsid w:val="00DA51D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A51D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Style Underline,Intense Emphasis1,apple-style-span + 6 pt,Bold,Kern at 16 pt,Style,Intense Emphasis11,Intense Emphasis2,Intense Emphasis111,HHeading 3 + 12 pt,Heading 3 Char1 Char Char Char,ci,Bold Cite Char,c,cite,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Georgia" w:eastAsiaTheme="majorEastAsia" w:hAnsi="Georgia" w:cstheme="majorBidi"/>
      <w:b/>
      <w:bCs/>
      <w:iCs/>
      <w:sz w:val="26"/>
    </w:rPr>
  </w:style>
  <w:style w:type="paragraph" w:styleId="NormalWeb">
    <w:name w:val="Normal (Web)"/>
    <w:basedOn w:val="Normal"/>
    <w:uiPriority w:val="99"/>
    <w:semiHidden/>
    <w:unhideWhenUsed/>
    <w:rsid w:val="00984FEB"/>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984FEB"/>
    <w:pPr>
      <w:ind w:left="720"/>
      <w:contextualSpacing/>
    </w:pPr>
  </w:style>
  <w:style w:type="character" w:styleId="Strong">
    <w:name w:val="Strong"/>
    <w:basedOn w:val="DefaultParagraphFont"/>
    <w:uiPriority w:val="22"/>
    <w:qFormat/>
    <w:rsid w:val="00984FEB"/>
    <w:rPr>
      <w:b/>
      <w:bCs/>
    </w:rPr>
  </w:style>
  <w:style w:type="character" w:customStyle="1" w:styleId="apple-converted-space">
    <w:name w:val="apple-converted-space"/>
    <w:basedOn w:val="DefaultParagraphFont"/>
    <w:rsid w:val="00984FEB"/>
  </w:style>
  <w:style w:type="paragraph" w:customStyle="1" w:styleId="promotion-tag-p">
    <w:name w:val="promotion-tag-p"/>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wrapper">
    <w:name w:val="wrapper"/>
    <w:basedOn w:val="DefaultParagraphFont"/>
    <w:rsid w:val="00984FEB"/>
  </w:style>
  <w:style w:type="character" w:customStyle="1" w:styleId="ticker">
    <w:name w:val="ticker"/>
    <w:basedOn w:val="DefaultParagraphFont"/>
    <w:rsid w:val="00984FEB"/>
  </w:style>
  <w:style w:type="character" w:customStyle="1" w:styleId="change">
    <w:name w:val="change"/>
    <w:basedOn w:val="DefaultParagraphFont"/>
    <w:rsid w:val="00984FEB"/>
  </w:style>
  <w:style w:type="paragraph" w:customStyle="1" w:styleId="xhead">
    <w:name w:val="xhead"/>
    <w:basedOn w:val="Normal"/>
    <w:rsid w:val="00984FEB"/>
    <w:pPr>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984FEB"/>
  </w:style>
  <w:style w:type="paragraph" w:customStyle="1" w:styleId="p2">
    <w:name w:val="p2"/>
    <w:basedOn w:val="Normal"/>
    <w:rsid w:val="00984FEB"/>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984FEB"/>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rsid w:val="00984FEB"/>
  </w:style>
  <w:style w:type="character" w:customStyle="1" w:styleId="l7">
    <w:name w:val="l7"/>
    <w:basedOn w:val="DefaultParagraphFont"/>
    <w:rsid w:val="00984FEB"/>
  </w:style>
  <w:style w:type="character" w:customStyle="1" w:styleId="l6">
    <w:name w:val="l6"/>
    <w:basedOn w:val="DefaultParagraphFont"/>
    <w:rsid w:val="00984FEB"/>
  </w:style>
  <w:style w:type="character" w:customStyle="1" w:styleId="l8">
    <w:name w:val="l8"/>
    <w:basedOn w:val="DefaultParagraphFont"/>
    <w:rsid w:val="00984FEB"/>
  </w:style>
  <w:style w:type="character" w:customStyle="1" w:styleId="l9">
    <w:name w:val="l9"/>
    <w:basedOn w:val="DefaultParagraphFont"/>
    <w:rsid w:val="00984FEB"/>
  </w:style>
  <w:style w:type="character" w:styleId="CommentReference">
    <w:name w:val="annotation reference"/>
    <w:basedOn w:val="DefaultParagraphFont"/>
    <w:uiPriority w:val="99"/>
    <w:semiHidden/>
    <w:unhideWhenUsed/>
    <w:rsid w:val="00984FEB"/>
    <w:rPr>
      <w:sz w:val="16"/>
      <w:szCs w:val="16"/>
    </w:rPr>
  </w:style>
  <w:style w:type="paragraph" w:styleId="CommentText">
    <w:name w:val="annotation text"/>
    <w:basedOn w:val="Normal"/>
    <w:link w:val="CommentTextChar"/>
    <w:uiPriority w:val="99"/>
    <w:semiHidden/>
    <w:unhideWhenUsed/>
    <w:rsid w:val="00984FEB"/>
    <w:rPr>
      <w:sz w:val="20"/>
      <w:szCs w:val="20"/>
    </w:rPr>
  </w:style>
  <w:style w:type="character" w:customStyle="1" w:styleId="CommentTextChar">
    <w:name w:val="Comment Text Char"/>
    <w:basedOn w:val="DefaultParagraphFont"/>
    <w:link w:val="CommentText"/>
    <w:uiPriority w:val="99"/>
    <w:semiHidden/>
    <w:rsid w:val="00984FEB"/>
    <w:rPr>
      <w:rFonts w:ascii="Georgia" w:hAnsi="Georgia" w:cs="Calibri"/>
      <w:sz w:val="20"/>
      <w:szCs w:val="20"/>
    </w:rPr>
  </w:style>
  <w:style w:type="paragraph" w:styleId="BalloonText">
    <w:name w:val="Balloon Text"/>
    <w:basedOn w:val="Normal"/>
    <w:link w:val="BalloonTextChar"/>
    <w:uiPriority w:val="99"/>
    <w:semiHidden/>
    <w:unhideWhenUsed/>
    <w:rsid w:val="00984FEB"/>
    <w:rPr>
      <w:rFonts w:ascii="Tahoma" w:hAnsi="Tahoma" w:cs="Tahoma"/>
      <w:sz w:val="16"/>
      <w:szCs w:val="16"/>
    </w:rPr>
  </w:style>
  <w:style w:type="character" w:customStyle="1" w:styleId="BalloonTextChar">
    <w:name w:val="Balloon Text Char"/>
    <w:basedOn w:val="DefaultParagraphFont"/>
    <w:link w:val="BalloonText"/>
    <w:uiPriority w:val="99"/>
    <w:semiHidden/>
    <w:rsid w:val="00984FEB"/>
    <w:rPr>
      <w:rFonts w:ascii="Tahoma" w:hAnsi="Tahoma" w:cs="Tahoma"/>
      <w:sz w:val="16"/>
      <w:szCs w:val="16"/>
    </w:rPr>
  </w:style>
  <w:style w:type="character" w:customStyle="1" w:styleId="Caption1">
    <w:name w:val="Caption1"/>
    <w:basedOn w:val="DefaultParagraphFont"/>
    <w:rsid w:val="00984FEB"/>
  </w:style>
  <w:style w:type="character" w:customStyle="1" w:styleId="source">
    <w:name w:val="source"/>
    <w:basedOn w:val="DefaultParagraphFont"/>
    <w:rsid w:val="00984FEB"/>
  </w:style>
  <w:style w:type="character" w:customStyle="1" w:styleId="resultbody">
    <w:name w:val="resultbody"/>
    <w:rsid w:val="007C6AC9"/>
  </w:style>
  <w:style w:type="character" w:customStyle="1" w:styleId="resultbodysmallitalic">
    <w:name w:val="resultbodysmallitalic"/>
    <w:rsid w:val="007C6AC9"/>
  </w:style>
  <w:style w:type="character" w:styleId="IntenseEmphasis">
    <w:name w:val="Intense Emphasis"/>
    <w:aliases w:val="Title Char,Cards + Font: 12 pt Char,Citation Char Char Char"/>
    <w:basedOn w:val="DefaultParagraphFont"/>
    <w:uiPriority w:val="6"/>
    <w:qFormat/>
    <w:rsid w:val="007C6AC9"/>
    <w:rPr>
      <w:b/>
      <w:bCs w:val="0"/>
      <w:sz w:val="24"/>
      <w:u w:val="single"/>
    </w:rPr>
  </w:style>
  <w:style w:type="paragraph" w:styleId="DocumentMap">
    <w:name w:val="Document Map"/>
    <w:basedOn w:val="Normal"/>
    <w:link w:val="DocumentMapChar"/>
    <w:uiPriority w:val="99"/>
    <w:semiHidden/>
    <w:unhideWhenUsed/>
    <w:rsid w:val="00DA51D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A51D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zacks.com/stock/quote/act" TargetMode="External"/><Relationship Id="rId143" Type="http://schemas.openxmlformats.org/officeDocument/2006/relationships/hyperlink" Target="http://www.zacks.com/stock/quote/celg" TargetMode="External"/><Relationship Id="rId144" Type="http://schemas.openxmlformats.org/officeDocument/2006/relationships/hyperlink" Target="http://www.zacks.com/stock/quote/OMED" TargetMode="External"/><Relationship Id="rId145" Type="http://schemas.openxmlformats.org/officeDocument/2006/relationships/hyperlink" Target="http://www.zacks.com/stock/quote/PFE" TargetMode="External"/><Relationship Id="rId146" Type="http://schemas.openxmlformats.org/officeDocument/2006/relationships/hyperlink" Target="http://www.zacks.com/stock/quote/ZTS" TargetMode="External"/><Relationship Id="rId147" Type="http://schemas.openxmlformats.org/officeDocument/2006/relationships/hyperlink" Target="http://www.zacks.com/stock/quote/gsk" TargetMode="External"/><Relationship Id="rId148" Type="http://schemas.openxmlformats.org/officeDocument/2006/relationships/hyperlink" Target="http://www.zacks.com/stock/quote/XRAY" TargetMode="External"/><Relationship Id="rId149" Type="http://schemas.openxmlformats.org/officeDocument/2006/relationships/hyperlink" Target="http://www.zacks.com/stock/quote/abt" TargetMode="External"/><Relationship Id="rId180" Type="http://schemas.openxmlformats.org/officeDocument/2006/relationships/hyperlink" Target="http://www.bmj.com/content/339/bmj.b5164" TargetMode="External"/><Relationship Id="rId181" Type="http://schemas.openxmlformats.org/officeDocument/2006/relationships/hyperlink" Target="http://www.plosmedicine.org/article/info%3Adoi%2F10.1371%2Fjournal.pmed.1001201" TargetMode="External"/><Relationship Id="rId182" Type="http://schemas.openxmlformats.org/officeDocument/2006/relationships/hyperlink" Target="http://www.bmj.com/content/339/bmj.b5164" TargetMode="External"/><Relationship Id="rId40" Type="http://schemas.openxmlformats.org/officeDocument/2006/relationships/hyperlink" Target="http://actionguide.info/m/orgs/209/" TargetMode="External"/><Relationship Id="rId41" Type="http://schemas.openxmlformats.org/officeDocument/2006/relationships/hyperlink" Target="http://digitalcommons.pace.edu/cgi/viewcontent.cgi?article=1513&amp;context=lawfaculty" TargetMode="External"/><Relationship Id="rId42" Type="http://schemas.openxmlformats.org/officeDocument/2006/relationships/hyperlink" Target="http://www.env-edu.gr/Documents/The%20State%20of%20the%20Marine%20Environment%20-%20Trends%20and%20processes.pdf" TargetMode="External"/><Relationship Id="rId43" Type="http://schemas.openxmlformats.org/officeDocument/2006/relationships/hyperlink" Target="http://www.env-edu.gr/Documents/The%20State%20of%20the%20Marine%20Environment%20-%20Trends%20and%20processes.pdf" TargetMode="External"/><Relationship Id="rId44" Type="http://schemas.openxmlformats.org/officeDocument/2006/relationships/hyperlink" Target="http://www.env-edu.gr/Documents/The%20State%20of%20the%20Marine%20Environment%20-%20Trends%20and%20processes.pdf" TargetMode="External"/><Relationship Id="rId45" Type="http://schemas.openxmlformats.org/officeDocument/2006/relationships/hyperlink" Target="http://www.env-edu.gr/Documents/The%20State%20of%20the%20Marine%20Environment%20-%20Trends%20and%20processes.pdf" TargetMode="External"/><Relationship Id="rId46" Type="http://schemas.openxmlformats.org/officeDocument/2006/relationships/hyperlink" Target="http://www.env-edu.gr/Documents/The%20State%20of%20the%20Marine%20Environment%20-%20Trends%20and%20processes.pdf" TargetMode="External"/><Relationship Id="rId47" Type="http://schemas.openxmlformats.org/officeDocument/2006/relationships/hyperlink" Target="http://www.env-edu.gr/Documents/The%20State%20of%20the%20Marine%20Environment%20-%20Trends%20and%20processes.pdf" TargetMode="External"/><Relationship Id="rId48" Type="http://schemas.openxmlformats.org/officeDocument/2006/relationships/hyperlink" Target="http://search.bloomberg.com/search?q=Barack%20Obama&amp;site=wnews&amp;client=wnews&amp;proxystylesheet=en10_wnews&amp;output=xml_no_dtd&amp;ie=UTF-8&amp;oe=UTF-8&amp;filter=p&amp;getfields=wnnis&amp;sort=date:D:S:d1&amp;partialfields=-wnnis:NOAVSYND&amp;lr=-lang_ja" TargetMode="External"/><Relationship Id="rId49" Type="http://schemas.openxmlformats.org/officeDocument/2006/relationships/hyperlink" Target="http://www.startribune.com/opinion/commentaries/191747751.html" TargetMode="External"/><Relationship Id="rId183" Type="http://schemas.openxmlformats.org/officeDocument/2006/relationships/hyperlink" Target="http://www.newyorker.com/online/blogs/elements/2013/07/world-war-cancer.html" TargetMode="External"/><Relationship Id="rId184" Type="http://schemas.openxmlformats.org/officeDocument/2006/relationships/hyperlink" Target="http://www.nytimes.com/2014/01/25/business/bristol-myers-squibb-reports-stronger-than-expected-results.html?action=click&amp;module=Search&amp;region=searchResults%230&amp;version=&amp;url=http%3A%2F%2Fquery.nytimes.com%2Fsearch%2Fsitesearch%2F%3Faction%3Dclick%26region%3DMasthead%26pgtype%3DHomepage%26module%3DSearchSubmit%26contentCollection%3DHomepage%26t%3Dqry445%23%2F%2522drug%2Btrial%2522%2BAND%2B%2522cancer%2522%2Fsince1851%2Fallresults%2F1%2Fallauthors%2Fnewest%2F" TargetMode="External"/><Relationship Id="rId185" Type="http://schemas.openxmlformats.org/officeDocument/2006/relationships/hyperlink" Target="http://www.sciencedaily.com/releases/2011/02/110218132310.htm" TargetMode="External"/><Relationship Id="rId186" Type="http://schemas.openxmlformats.org/officeDocument/2006/relationships/hyperlink" Target="http://topics.time.com/cancer/" TargetMode="External"/><Relationship Id="rId187" Type="http://schemas.openxmlformats.org/officeDocument/2006/relationships/hyperlink" Target="http://www.state.gov/www/regions/eur/bosnia/bosagree.html" TargetMode="External"/><Relationship Id="rId188" Type="http://schemas.openxmlformats.org/officeDocument/2006/relationships/hyperlink" Target="http://ieeexplore.ieee.org/stamp/stamp.jsp?tp=&amp;arnumber=5422316" TargetMode="External"/><Relationship Id="rId189" Type="http://schemas.openxmlformats.org/officeDocument/2006/relationships/fontTable" Target="fontTable.xml"/><Relationship Id="rId80" Type="http://schemas.openxmlformats.org/officeDocument/2006/relationships/hyperlink" Target="http://www.synbioproject.org/" TargetMode="External"/><Relationship Id="rId81" Type="http://schemas.openxmlformats.org/officeDocument/2006/relationships/hyperlink" Target="http://www.good.is/post/tulane-scientists-turning-newspapers-into-biofuel/" TargetMode="External"/><Relationship Id="rId82" Type="http://schemas.openxmlformats.org/officeDocument/2006/relationships/hyperlink" Target="http://www.good.is/post/animal-poop-could-hold-the-key-to-better-biofuels/" TargetMode="External"/><Relationship Id="rId83" Type="http://schemas.openxmlformats.org/officeDocument/2006/relationships/hyperlink" Target="http://bioethics.gov/cms/sites/default/files/PCSBI-Synthetic-Biology-Report-12.16.10.pdf" TargetMode="External"/><Relationship Id="rId84" Type="http://schemas.openxmlformats.org/officeDocument/2006/relationships/hyperlink" Target="http://bioethics.gov/cms/node/166" TargetMode="External"/><Relationship Id="rId85" Type="http://schemas.openxmlformats.org/officeDocument/2006/relationships/hyperlink" Target="http://www.synbioproject.org/process/assets/files/6609/_draft/final_cea_and_syn_bio_workshop_notes_wilson_center.pdf" TargetMode="External"/><Relationship Id="rId86" Type="http://schemas.openxmlformats.org/officeDocument/2006/relationships/hyperlink" Target="http://www.foe.org/sites/default/files/SynBio-Biofuels%20Report_Web.pdf" TargetMode="External"/><Relationship Id="rId87" Type="http://schemas.openxmlformats.org/officeDocument/2006/relationships/hyperlink" Target="http://www.lowtechmagazine.com/2009/07/trolleytrucks-trolleybuses-cargotrams.html" TargetMode="External"/><Relationship Id="rId88" Type="http://schemas.openxmlformats.org/officeDocument/2006/relationships/hyperlink" Target="http://www.lowtechmagazine.com/2008/09/speed-energy.html" TargetMode="External"/><Relationship Id="rId89" Type="http://schemas.openxmlformats.org/officeDocument/2006/relationships/hyperlink" Target="http://www.lowtechmagazine.com/energy_consumption/" TargetMode="External"/><Relationship Id="rId110" Type="http://schemas.openxmlformats.org/officeDocument/2006/relationships/hyperlink" Target="http://www.ncbi.nlm.nih.gov/pmc/articles/PMC3152439/" TargetMode="External"/><Relationship Id="rId111" Type="http://schemas.openxmlformats.org/officeDocument/2006/relationships/hyperlink" Target="http://www.scientificamerican.com/blog/60-second-science/post.cfm?id=epa-ruling-halts-all-new-coal-fired-2008-11-14" TargetMode="External"/><Relationship Id="rId112" Type="http://schemas.openxmlformats.org/officeDocument/2006/relationships/hyperlink" Target="http://www.scientificamerican.com/article.cfm?id=cap-and-trade-obama-budget" TargetMode="External"/><Relationship Id="rId113" Type="http://schemas.openxmlformats.org/officeDocument/2006/relationships/hyperlink" Target="http://www.scientificamerican.com/report.cfm?id=carbon-capture-storage-ccs" TargetMode="External"/><Relationship Id="rId114" Type="http://schemas.openxmlformats.org/officeDocument/2006/relationships/hyperlink" Target="http://topics.nytimes.com/top/reference/timestopics/organizations/f/fish_and_wildlife_service/index.html?inline=nyt-org" TargetMode="External"/><Relationship Id="rId115" Type="http://schemas.openxmlformats.org/officeDocument/2006/relationships/hyperlink" Target="http://topics.nytimes.com/top/reference/timestopics/organizations/g/greenpeace/index.html?inline=nyt-org" TargetMode="External"/><Relationship Id="rId116" Type="http://schemas.openxmlformats.org/officeDocument/2006/relationships/hyperlink" Target="http://www.counterpunch.org/2014/02/17/the-oceans-death-march/" TargetMode="External"/><Relationship Id="rId117" Type="http://schemas.openxmlformats.org/officeDocument/2006/relationships/hyperlink" Target="http://www.wired.co.uk/news/archive/2014-07/03/whales-ecosystem-engineers" TargetMode="External"/><Relationship Id="rId118" Type="http://schemas.openxmlformats.org/officeDocument/2006/relationships/hyperlink" Target="http://puccifoods.com/pucciseafood-new/blog/ocean-temperatures-rise-smaller-fish-will-impact-fisheries-ecosystems-unless-humans-learn-adapt/" TargetMode="External"/><Relationship Id="rId119" Type="http://schemas.openxmlformats.org/officeDocument/2006/relationships/hyperlink" Target="http://puccifoods.com/pucciseafood-new/blog/ocean-temperatures-rise-smaller-fish-will-impact-fisheries-ecosystems-unless-humans-learn-adapt/" TargetMode="External"/><Relationship Id="rId150" Type="http://schemas.openxmlformats.org/officeDocument/2006/relationships/hyperlink" Target="http://www.zacks.com/stock/quote/abbv" TargetMode="External"/><Relationship Id="rId151" Type="http://schemas.openxmlformats.org/officeDocument/2006/relationships/hyperlink" Target="http://www.zacks.com/stock/quote/jnj" TargetMode="External"/><Relationship Id="rId152" Type="http://schemas.openxmlformats.org/officeDocument/2006/relationships/hyperlink" Target="http://www.zacks.com/stock/quote/VRTX" TargetMode="External"/><Relationship Id="rId10" Type="http://schemas.openxmlformats.org/officeDocument/2006/relationships/endnotes" Target="endnotes.xml"/><Relationship Id="rId11" Type="http://schemas.openxmlformats.org/officeDocument/2006/relationships/hyperlink" Target="http://venturebeat.com/2008/10/21/nasa-turns-to-the-private-sector-as-china-flexes-new-space-muscles/" TargetMode="External"/><Relationship Id="rId12" Type="http://schemas.openxmlformats.org/officeDocument/2006/relationships/hyperlink" Target="http://www.whitehouse.gov/sites/default/files/microsites/ostp/competes_prizesreport_fy13_final.pdf" TargetMode="External"/><Relationship Id="rId13" Type="http://schemas.openxmlformats.org/officeDocument/2006/relationships/hyperlink" Target="http://ir.uiowa.edu/cgi/viewcontent.cgi?article=1003&amp;context=polisci_pubs" TargetMode="External"/><Relationship Id="rId14" Type="http://schemas.openxmlformats.org/officeDocument/2006/relationships/hyperlink" Target="http://ir.uiowa.edu/cgi/viewcontent.cgi?article=1003&amp;context=polisci_pubs" TargetMode="External"/><Relationship Id="rId15" Type="http://schemas.openxmlformats.org/officeDocument/2006/relationships/hyperlink" Target="http://www.smalltownnews.com/article.php?pid=166&amp;aid=139199" TargetMode="External"/><Relationship Id="rId16" Type="http://schemas.openxmlformats.org/officeDocument/2006/relationships/hyperlink" Target="http://www.bluefinrobotics.com/news-and-downloads/press/governor-patrick-visits-bluefin-robotics-promotes-innovation-economy/" TargetMode="External"/><Relationship Id="rId17" Type="http://schemas.openxmlformats.org/officeDocument/2006/relationships/hyperlink" Target="http://bigstory.ap.org/article/house-votes-make-research-tax-credit-permanent" TargetMode="External"/><Relationship Id="rId18" Type="http://schemas.openxmlformats.org/officeDocument/2006/relationships/hyperlink" Target="http://news.sciencemag.org/policy/2014/05/u.s.-house-passes-permanent-rd-tax-credit" TargetMode="External"/><Relationship Id="rId19" Type="http://schemas.openxmlformats.org/officeDocument/2006/relationships/hyperlink" Target="http://www.nsf.gov/statistics/seind12/c4/c4s6.htm" TargetMode="External"/><Relationship Id="rId153" Type="http://schemas.openxmlformats.org/officeDocument/2006/relationships/hyperlink" Target="http://www.zacks.com/stock/quote/mrk" TargetMode="External"/><Relationship Id="rId154" Type="http://schemas.openxmlformats.org/officeDocument/2006/relationships/hyperlink" Target="http://www.zacks.com/stock/quote/NVS" TargetMode="External"/><Relationship Id="rId155" Type="http://schemas.openxmlformats.org/officeDocument/2006/relationships/hyperlink" Target="http://www.zacks.com/stock/quote/SNY" TargetMode="External"/><Relationship Id="rId156" Type="http://schemas.openxmlformats.org/officeDocument/2006/relationships/hyperlink" Target="http://www.zacks.com/stock/quote/hznp" TargetMode="External"/><Relationship Id="rId157" Type="http://schemas.openxmlformats.org/officeDocument/2006/relationships/hyperlink" Target="http://www.zacks.com/stock/quote/MYL" TargetMode="External"/><Relationship Id="rId158" Type="http://schemas.openxmlformats.org/officeDocument/2006/relationships/hyperlink" Target="http://www.zacks.com/stock/quote/biib" TargetMode="External"/><Relationship Id="rId159" Type="http://schemas.openxmlformats.org/officeDocument/2006/relationships/hyperlink" Target="http://pdf.zacks.com/pdf/ZR/H4609354.PDF" TargetMode="External"/><Relationship Id="rId190" Type="http://schemas.openxmlformats.org/officeDocument/2006/relationships/theme" Target="theme/theme1.xml"/><Relationship Id="rId50" Type="http://schemas.openxmlformats.org/officeDocument/2006/relationships/hyperlink" Target="http://www.whitehouse.gov/sites/default/files/microsites/ostp/pcast-fda-final.pdf" TargetMode="External"/><Relationship Id="rId51" Type="http://schemas.openxmlformats.org/officeDocument/2006/relationships/hyperlink" Target="http://topics.bloomberg.com/food-and-drug-administration/" TargetMode="External"/><Relationship Id="rId52" Type="http://schemas.openxmlformats.org/officeDocument/2006/relationships/hyperlink" Target="http://www.sciencedirect.com/science/article/pii/S0047272707001600" TargetMode="External"/><Relationship Id="rId53" Type="http://schemas.openxmlformats.org/officeDocument/2006/relationships/hyperlink" Target="http://moglen.law.columbia.edu/twiki/pub/LawNetSoc/BahradSokhansanjFirstPaper/22JHealthEcon151_drug_development_costs_2003.pdf" TargetMode="External"/><Relationship Id="rId54" Type="http://schemas.openxmlformats.org/officeDocument/2006/relationships/hyperlink" Target="http://moglen.law.columbia.edu/twiki/pub/LawNetSoc/BahradSokhansanjFirstPaper/22JHealthEcon151_drug_development_costs_2003.pdf" TargetMode="External"/><Relationship Id="rId55" Type="http://schemas.openxmlformats.org/officeDocument/2006/relationships/hyperlink" Target="http://ideas.repec.org/a/eee/pubeco/v92y2008i5-6p1306-1325.html" TargetMode="External"/><Relationship Id="rId56" Type="http://schemas.openxmlformats.org/officeDocument/2006/relationships/hyperlink" Target="http://www.bloomberg.com/news/2012-08-23/pfizer-asks-end-to-fen-phen-suits-linked-to-lung-ailment.html" TargetMode="External"/><Relationship Id="rId57" Type="http://schemas.openxmlformats.org/officeDocument/2006/relationships/hyperlink" Target="http://www.bloombergview.com/quote/VVUS:US" TargetMode="External"/><Relationship Id="rId58" Type="http://schemas.openxmlformats.org/officeDocument/2006/relationships/hyperlink" Target="http://csdd.tufts.edu/about/financial_disclosure" TargetMode="External"/><Relationship Id="rId59" Type="http://schemas.openxmlformats.org/officeDocument/2006/relationships/hyperlink" Target="http://economics.mit.edu/files/4464" TargetMode="External"/><Relationship Id="rId90" Type="http://schemas.openxmlformats.org/officeDocument/2006/relationships/hyperlink" Target="http://www.ncbi.nlm.nih.gov/pmc/articles/PMC3152439/" TargetMode="External"/><Relationship Id="rId91" Type="http://schemas.openxmlformats.org/officeDocument/2006/relationships/hyperlink" Target="http://www.ncbi.nlm.nih.gov/pmc/articles/PMC3152439/" TargetMode="External"/><Relationship Id="rId92" Type="http://schemas.openxmlformats.org/officeDocument/2006/relationships/hyperlink" Target="http://www.ncbi.nlm.nih.gov/pmc/articles/PMC3152439/" TargetMode="External"/><Relationship Id="rId93" Type="http://schemas.openxmlformats.org/officeDocument/2006/relationships/hyperlink" Target="http://www.ncbi.nlm.nih.gov/pmc/articles/PMC3152439/" TargetMode="External"/><Relationship Id="rId94" Type="http://schemas.openxmlformats.org/officeDocument/2006/relationships/hyperlink" Target="http://www.ncbi.nlm.nih.gov/pmc/articles/PMC3152439/" TargetMode="External"/><Relationship Id="rId95" Type="http://schemas.openxmlformats.org/officeDocument/2006/relationships/hyperlink" Target="http://www.ncbi.nlm.nih.gov/pmc/articles/PMC3152439/" TargetMode="External"/><Relationship Id="rId96" Type="http://schemas.openxmlformats.org/officeDocument/2006/relationships/hyperlink" Target="http://www.ncbi.nlm.nih.gov/pmc/articles/PMC3152439/" TargetMode="External"/><Relationship Id="rId97" Type="http://schemas.openxmlformats.org/officeDocument/2006/relationships/hyperlink" Target="http://www.ncbi.nlm.nih.gov/pmc/articles/PMC3152439/" TargetMode="External"/><Relationship Id="rId98" Type="http://schemas.openxmlformats.org/officeDocument/2006/relationships/hyperlink" Target="http://www.ncbi.nlm.nih.gov/pmc/articles/PMC3152439/" TargetMode="External"/><Relationship Id="rId99" Type="http://schemas.openxmlformats.org/officeDocument/2006/relationships/hyperlink" Target="http://www.ncbi.nlm.nih.gov/pmc/articles/PMC3152439/" TargetMode="External"/><Relationship Id="rId120" Type="http://schemas.openxmlformats.org/officeDocument/2006/relationships/hyperlink" Target="http://seattletimes.com/html/outdoors/2024012938_caribbeanreefs" TargetMode="External"/><Relationship Id="rId121" Type="http://schemas.openxmlformats.org/officeDocument/2006/relationships/hyperlink" Target="http://www.ft.com/intl/cms/s/0/d792c648-7f46-11e2-89ed-00144feabdc0.html" TargetMode="External"/><Relationship Id="rId122" Type="http://schemas.openxmlformats.org/officeDocument/2006/relationships/hyperlink" Target="http://www.globalresearch.ca/america-s-dependency-on-middle-east-oil/30177" TargetMode="External"/><Relationship Id="rId123" Type="http://schemas.openxmlformats.org/officeDocument/2006/relationships/hyperlink" Target="http://www.pnnl.gov/news/release.aspx?id=859" TargetMode="External"/><Relationship Id="rId124" Type="http://schemas.openxmlformats.org/officeDocument/2006/relationships/hyperlink" Target="http://www.forbes.com/sites/lorenthompson/2012/12/03/what-happens-when-america-no-longer-needs-middle-east-oil/" TargetMode="External"/><Relationship Id="rId125" Type="http://schemas.openxmlformats.org/officeDocument/2006/relationships/hyperlink" Target="http://www.forbes.com/sites/lorenthompson/2012/12/03/what-happens-when-america-no-longer-needs-middle-east-oil/" TargetMode="External"/><Relationship Id="rId126" Type="http://schemas.openxmlformats.org/officeDocument/2006/relationships/hyperlink" Target="http://www.forbes.com/companies/pfizer/" TargetMode="External"/><Relationship Id="rId127" Type="http://schemas.openxmlformats.org/officeDocument/2006/relationships/hyperlink" Target="http://www.forbes.com/companies/pfizer/" TargetMode="External"/><Relationship Id="rId128" Type="http://schemas.openxmlformats.org/officeDocument/2006/relationships/hyperlink" Target="http://www.forbes.com/companies/bristol-myers-squibb/" TargetMode="External"/><Relationship Id="rId129" Type="http://schemas.openxmlformats.org/officeDocument/2006/relationships/hyperlink" Target="http://www.forbes.com/companies/bristol-myers-squibb/" TargetMode="External"/><Relationship Id="rId160" Type="http://schemas.openxmlformats.org/officeDocument/2006/relationships/hyperlink" Target="http://www.zacks.com/stock/quote/chtp" TargetMode="External"/><Relationship Id="rId161" Type="http://schemas.openxmlformats.org/officeDocument/2006/relationships/hyperlink" Target="http://www.zacks.com/stock/quote/bmrn" TargetMode="External"/><Relationship Id="rId162" Type="http://schemas.openxmlformats.org/officeDocument/2006/relationships/hyperlink" Target="http://www.zacks.com/stock/quote/mnkd" TargetMode="External"/><Relationship Id="rId20" Type="http://schemas.openxmlformats.org/officeDocument/2006/relationships/hyperlink" Target="http://www.nytimes.com/2014/05/14/us/politics/senate-will-take-up-tax-breaks-for-business.html?_r=0" TargetMode="External"/><Relationship Id="rId21" Type="http://schemas.openxmlformats.org/officeDocument/2006/relationships/hyperlink" Target="http://ssrn.com/abstract=1565073"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hyperlink" Target="http://www.ballardspahr.com/alertspublications/articles/~/media/Files/Articles/2010-09_PublicPrivatePartnershipsForSolarDev.ashx" TargetMode="External"/><Relationship Id="rId25" Type="http://schemas.openxmlformats.org/officeDocument/2006/relationships/hyperlink" Target="http://www.iea.org/textbase/nppdf/free/2011/key_world_energy_stats.pdf" TargetMode="External"/><Relationship Id="rId26" Type="http://schemas.openxmlformats.org/officeDocument/2006/relationships/hyperlink" Target="http://www.sciencemag.org/content/329/5993/786.summary" TargetMode="External"/><Relationship Id="rId27" Type="http://schemas.openxmlformats.org/officeDocument/2006/relationships/hyperlink" Target="http://en.wikipedia.org/wiki/Carnot's_theorem_(thermodynamics" TargetMode="External"/><Relationship Id="rId28" Type="http://schemas.openxmlformats.org/officeDocument/2006/relationships/hyperlink" Target="http://adsabs.harvard.edu/abs/1980JAP....51.4494H" TargetMode="External"/><Relationship Id="rId29" Type="http://schemas.openxmlformats.org/officeDocument/2006/relationships/hyperlink" Target="http://adsabs.harvard.edu/abs/1961JAP....32..510S" TargetMode="External"/><Relationship Id="rId163" Type="http://schemas.openxmlformats.org/officeDocument/2006/relationships/hyperlink" Target="http://www.zacks.com/stocks/industry-rank" TargetMode="External"/><Relationship Id="rId164" Type="http://schemas.openxmlformats.org/officeDocument/2006/relationships/hyperlink" Target="http://www.zacks.com/stock/quote/amgn" TargetMode="External"/><Relationship Id="rId165" Type="http://schemas.openxmlformats.org/officeDocument/2006/relationships/hyperlink" Target="http://www.marketwatch.com/investing/stock/ATHX" TargetMode="External"/><Relationship Id="rId166" Type="http://schemas.openxmlformats.org/officeDocument/2006/relationships/hyperlink" Target="http://www.youtube.com/watch?v=LO6rd3fWgKc" TargetMode="External"/><Relationship Id="rId167" Type="http://schemas.openxmlformats.org/officeDocument/2006/relationships/hyperlink" Target="http://www.marketwatch.com/investing/stock/PFE" TargetMode="External"/><Relationship Id="rId168" Type="http://schemas.openxmlformats.org/officeDocument/2006/relationships/hyperlink" Target="http://www.marketwatch.com/investing/stock/CYTX" TargetMode="External"/><Relationship Id="rId169" Type="http://schemas.openxmlformats.org/officeDocument/2006/relationships/hyperlink" Target="http://www.marketwatch.com/investing/stock/OSIR" TargetMode="External"/><Relationship Id="rId60" Type="http://schemas.openxmlformats.org/officeDocument/2006/relationships/hyperlink" Target="http://search.bloomberg.com/search?q=Daron%20Acemoglu&amp;site=wnews&amp;client=wnews&amp;proxystylesheet=en10_wnews&amp;output=xml_no_dtd&amp;ie=UTF-8&amp;oe=UTF-8&amp;filter=p&amp;getfields=wnnis&amp;sort=date:D:S:d1&amp;partialfields=-wnnis:NOAVSYND&amp;lr=-lang_ja" TargetMode="External"/><Relationship Id="rId61" Type="http://schemas.openxmlformats.org/officeDocument/2006/relationships/hyperlink" Target="http://www.synesisjournal.com/vol3_g/Hummel_2012_G14-39.pdf" TargetMode="External"/><Relationship Id="rId62" Type="http://schemas.openxmlformats.org/officeDocument/2006/relationships/hyperlink" Target="http://www.synesisjournal.com/vol3_g/Hummel_2012_G14-39.pdf" TargetMode="External"/><Relationship Id="rId63" Type="http://schemas.openxmlformats.org/officeDocument/2006/relationships/hyperlink" Target="http://www.ncbi.nlm.nih.gov/pmc/articles/PMC1369241/" TargetMode="External"/><Relationship Id="rId64" Type="http://schemas.openxmlformats.org/officeDocument/2006/relationships/hyperlink" Target="http://www.ncbi.nlm.nih.gov/pmc/articles/PMC1369241/" TargetMode="External"/><Relationship Id="rId65" Type="http://schemas.openxmlformats.org/officeDocument/2006/relationships/hyperlink" Target="http://www.ncbi.nlm.nih.gov/pmc/articles/PMC1369241/" TargetMode="External"/><Relationship Id="rId66" Type="http://schemas.openxmlformats.org/officeDocument/2006/relationships/hyperlink" Target="http://www.ncbi.nlm.nih.gov/pmc/articles/PMC1369241/" TargetMode="External"/><Relationship Id="rId67" Type="http://schemas.openxmlformats.org/officeDocument/2006/relationships/hyperlink" Target="http://www.ncbi.nlm.nih.gov/pmc/articles/PMC1369241/" TargetMode="External"/><Relationship Id="rId68" Type="http://schemas.openxmlformats.org/officeDocument/2006/relationships/hyperlink" Target="http://www.ncbi.nlm.nih.gov/pmc/articles/PMC1369241/" TargetMode="External"/><Relationship Id="rId69" Type="http://schemas.openxmlformats.org/officeDocument/2006/relationships/hyperlink" Target="http://www.ncbi.nlm.nih.gov/pmc/articles/PMC1369241/" TargetMode="External"/><Relationship Id="rId130" Type="http://schemas.openxmlformats.org/officeDocument/2006/relationships/hyperlink" Target="http://www.forbes.com/companies/abbott-laboratories/" TargetMode="External"/><Relationship Id="rId131" Type="http://schemas.openxmlformats.org/officeDocument/2006/relationships/hyperlink" Target="http://www.forbes.com/companies/abbott-laboratories/" TargetMode="External"/><Relationship Id="rId132" Type="http://schemas.openxmlformats.org/officeDocument/2006/relationships/hyperlink" Target="http://www.forbes.com/companies/abbvie/" TargetMode="External"/><Relationship Id="rId133" Type="http://schemas.openxmlformats.org/officeDocument/2006/relationships/hyperlink" Target="http://www.forbes.com/companies/abbvie/" TargetMode="External"/><Relationship Id="rId134" Type="http://schemas.openxmlformats.org/officeDocument/2006/relationships/hyperlink" Target="http://www.forbes.com/health/" TargetMode="External"/><Relationship Id="rId135" Type="http://schemas.openxmlformats.org/officeDocument/2006/relationships/hyperlink" Target="http://www.zacks.com/stock/quote/lly" TargetMode="External"/><Relationship Id="rId136" Type="http://schemas.openxmlformats.org/officeDocument/2006/relationships/hyperlink" Target="http://www.zacks.com/stock/quote/azn" TargetMode="External"/><Relationship Id="rId137" Type="http://schemas.openxmlformats.org/officeDocument/2006/relationships/hyperlink" Target="http://www.zacks.com/stock/quote/shpg" TargetMode="External"/><Relationship Id="rId138" Type="http://schemas.openxmlformats.org/officeDocument/2006/relationships/hyperlink" Target="http://www.zacks.com/stock/quote/SLXP" TargetMode="External"/><Relationship Id="rId139" Type="http://schemas.openxmlformats.org/officeDocument/2006/relationships/hyperlink" Target="http://www.zacks.com/stock/quote/cbst" TargetMode="External"/><Relationship Id="rId170" Type="http://schemas.openxmlformats.org/officeDocument/2006/relationships/hyperlink" Target="http://economictimes.indiatimes.com/topic/rupee%20depreciation" TargetMode="External"/><Relationship Id="rId171" Type="http://schemas.openxmlformats.org/officeDocument/2006/relationships/hyperlink" Target="http://economictimes.indiatimes.com/topic/drug%20pricing%20policy" TargetMode="External"/><Relationship Id="rId172" Type="http://schemas.openxmlformats.org/officeDocument/2006/relationships/hyperlink" Target="http://economictimes.indiatimes.com/topic/Novartis" TargetMode="External"/><Relationship Id="rId30" Type="http://schemas.openxmlformats.org/officeDocument/2006/relationships/hyperlink" Target="http://en.wikipedia.org/wiki/Shockley%E2%80%93Queisser_limit" TargetMode="External"/><Relationship Id="rId31" Type="http://schemas.openxmlformats.org/officeDocument/2006/relationships/hyperlink" Target="https://theconversation.com/new-chlorophyll-could-hold-the-key-to-more-efficient-solar-panels-3795" TargetMode="External"/><Relationship Id="rId32" Type="http://schemas.openxmlformats.org/officeDocument/2006/relationships/hyperlink" Target="http://www.liv.ac.uk/~jan/teaching/References/Walker%202009.PDF" TargetMode="External"/><Relationship Id="rId33" Type="http://schemas.openxmlformats.org/officeDocument/2006/relationships/hyperlink" Target="http://www.annualreviews.org/doi/abs/10.1146/annurev-arplant-042809-112206" TargetMode="External"/><Relationship Id="rId34" Type="http://schemas.openxmlformats.org/officeDocument/2006/relationships/hyperlink" Target="http://www.ncbi.nlm.nih.gov/pubmed/20977480" TargetMode="External"/><Relationship Id="rId35" Type="http://schemas.openxmlformats.org/officeDocument/2006/relationships/hyperlink" Target="http://www.sciencedirect.com/science/article/pii/S0958166910000431" TargetMode="External"/><Relationship Id="rId36" Type="http://schemas.openxmlformats.org/officeDocument/2006/relationships/hyperlink" Target="http://www.sciencedirect.com/science/article/pii/S0958166910000431" TargetMode="External"/><Relationship Id="rId37" Type="http://schemas.openxmlformats.org/officeDocument/2006/relationships/hyperlink" Target="http://www.annualreviews.org/doi/abs/10.1146/annurev-arplant-042809-112206" TargetMode="External"/><Relationship Id="rId38" Type="http://schemas.openxmlformats.org/officeDocument/2006/relationships/hyperlink" Target="http://www.forbes.com/places/mt/billings/" TargetMode="External"/><Relationship Id="rId39" Type="http://schemas.openxmlformats.org/officeDocument/2006/relationships/hyperlink" Target="http://energyfromshale.org/" TargetMode="External"/><Relationship Id="rId173" Type="http://schemas.openxmlformats.org/officeDocument/2006/relationships/hyperlink" Target="http://economictimes.indiatimes.com/topic/Indian%20market" TargetMode="External"/><Relationship Id="rId174" Type="http://schemas.openxmlformats.org/officeDocument/2006/relationships/hyperlink" Target="http://economictimes.indiatimes.com/topic/Dishman%20Pharma" TargetMode="External"/><Relationship Id="rId175" Type="http://schemas.openxmlformats.org/officeDocument/2006/relationships/hyperlink" Target="http://economictimes.indiatimes.com/topic/stocks" TargetMode="External"/><Relationship Id="rId176" Type="http://schemas.openxmlformats.org/officeDocument/2006/relationships/hyperlink" Target="https://www.facebook.com/sharer/sharer.php?u=http://www.theguardian.com/science/2013/nov/12/biotech-boom-medicines-biofuels-gm" TargetMode="External"/><Relationship Id="rId177" Type="http://schemas.openxmlformats.org/officeDocument/2006/relationships/hyperlink" Target="http://www.cochrane.org/" TargetMode="External"/><Relationship Id="rId178" Type="http://schemas.openxmlformats.org/officeDocument/2006/relationships/hyperlink" Target="http://www.theguardian.com/society/flu" TargetMode="External"/><Relationship Id="rId179" Type="http://schemas.openxmlformats.org/officeDocument/2006/relationships/hyperlink" Target="http://www.publications.parliament.uk/pa/cm201314/cmselect/cmpubacc/295/295.pdf" TargetMode="External"/><Relationship Id="rId70" Type="http://schemas.openxmlformats.org/officeDocument/2006/relationships/hyperlink" Target="http://www.ncbi.nlm.nih.gov/pmc/articles/PMC1369241/" TargetMode="External"/><Relationship Id="rId71" Type="http://schemas.openxmlformats.org/officeDocument/2006/relationships/hyperlink" Target="http://www.ncbi.nlm.nih.gov/pmc/articles/PMC1369241/" TargetMode="External"/><Relationship Id="rId72" Type="http://schemas.openxmlformats.org/officeDocument/2006/relationships/hyperlink" Target="http://www.ncbi.nlm.nih.gov/pmc/articles/PMC1369241/" TargetMode="External"/><Relationship Id="rId73" Type="http://schemas.openxmlformats.org/officeDocument/2006/relationships/hyperlink" Target="https://www.mandiant.com/" TargetMode="External"/><Relationship Id="rId74" Type="http://schemas.openxmlformats.org/officeDocument/2006/relationships/hyperlink" Target="http://www.washingtonpost.com/world/national-security/us-to-announce-first-criminal-charges-against-foreign-country-for-cyberspying/2014/05/19/586c9992-df45-11e3-810f-764fe508b82d_story.html" TargetMode="External"/><Relationship Id="rId75" Type="http://schemas.openxmlformats.org/officeDocument/2006/relationships/hyperlink" Target="http://www.sciencedirect.com/science/article/pii/S0306261910005878" TargetMode="External"/><Relationship Id="rId76" Type="http://schemas.openxmlformats.org/officeDocument/2006/relationships/hyperlink" Target="https://www.mandiant.com/blog/mandiant-exposes-apt1-chinas-cyber-espionage-units-releases-3000-indicators/" TargetMode="External"/><Relationship Id="rId77" Type="http://schemas.openxmlformats.org/officeDocument/2006/relationships/hyperlink" Target="http://www.fireeye.com/" TargetMode="External"/><Relationship Id="rId78" Type="http://schemas.openxmlformats.org/officeDocument/2006/relationships/hyperlink" Target="http://oilandglory.foreignpolicy.com/posts/2011/10/20/trouble_in_the_algae_lab_for_craig_venter_and_exxon" TargetMode="External"/><Relationship Id="rId79" Type="http://schemas.openxmlformats.org/officeDocument/2006/relationships/hyperlink" Target="http://gigaom.com/cleantech/craig-venter-is-now-god-how-that-affects-climate-chang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www.ncbi.nlm.nih.gov/pmc/articles/PMC3152439/" TargetMode="External"/><Relationship Id="rId101" Type="http://schemas.openxmlformats.org/officeDocument/2006/relationships/hyperlink" Target="http://www.ncbi.nlm.nih.gov/pmc/articles/PMC3152439/" TargetMode="External"/><Relationship Id="rId102" Type="http://schemas.openxmlformats.org/officeDocument/2006/relationships/hyperlink" Target="http://www.ncbi.nlm.nih.gov/pmc/articles/PMC3152439/" TargetMode="External"/><Relationship Id="rId103" Type="http://schemas.openxmlformats.org/officeDocument/2006/relationships/hyperlink" Target="http://www.ncbi.nlm.nih.gov/pmc/articles/PMC3152439/" TargetMode="External"/><Relationship Id="rId104" Type="http://schemas.openxmlformats.org/officeDocument/2006/relationships/hyperlink" Target="http://www.ncbi.nlm.nih.gov/pmc/articles/PMC3152439/" TargetMode="External"/><Relationship Id="rId105" Type="http://schemas.openxmlformats.org/officeDocument/2006/relationships/hyperlink" Target="http://www.ncbi.nlm.nih.gov/pmc/articles/PMC3152439/" TargetMode="External"/><Relationship Id="rId106" Type="http://schemas.openxmlformats.org/officeDocument/2006/relationships/hyperlink" Target="http://www.ncbi.nlm.nih.gov/pmc/articles/PMC3152439/" TargetMode="External"/><Relationship Id="rId107" Type="http://schemas.openxmlformats.org/officeDocument/2006/relationships/hyperlink" Target="http://www.ncbi.nlm.nih.gov/pmc/articles/PMC3152439/" TargetMode="External"/><Relationship Id="rId108" Type="http://schemas.openxmlformats.org/officeDocument/2006/relationships/hyperlink" Target="http://www.ncbi.nlm.nih.gov/pmc/articles/PMC3152439/" TargetMode="External"/><Relationship Id="rId109" Type="http://schemas.openxmlformats.org/officeDocument/2006/relationships/hyperlink" Target="http://www.ncbi.nlm.nih.gov/pmc/articles/PMC3152439/"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www.zacks.com/stock/quote/PRGO" TargetMode="External"/><Relationship Id="rId141" Type="http://schemas.openxmlformats.org/officeDocument/2006/relationships/hyperlink" Target="http://www.zacks.com/stock/quote/fr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130</Pages>
  <Words>83565</Words>
  <Characters>476321</Characters>
  <Application>Microsoft Macintosh Word</Application>
  <DocSecurity>0</DocSecurity>
  <Lines>3969</Lines>
  <Paragraphs>1117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558769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Robel Worku</dc:creator>
  <cp:keywords>Verbatim</cp:keywords>
  <dc:description>Verbatim 4.6</dc:description>
  <cp:lastModifiedBy>Garrett Abelkop</cp:lastModifiedBy>
  <cp:revision>2</cp:revision>
  <dcterms:created xsi:type="dcterms:W3CDTF">2014-07-16T02:00:00Z</dcterms:created>
  <dcterms:modified xsi:type="dcterms:W3CDTF">2014-07-16T02:00:00Z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