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4B85" w:rsidRDefault="00A64B85" w:rsidP="00A64B85">
      <w:pPr>
        <w:pStyle w:val="Heading3"/>
      </w:pPr>
      <w:r>
        <w:t>T ocean exploration 1NC</w:t>
      </w:r>
    </w:p>
    <w:p w:rsidR="00195418" w:rsidRDefault="008F7761" w:rsidP="00195418">
      <w:pPr>
        <w:pStyle w:val="Heading4"/>
      </w:pPr>
      <w:r>
        <w:t>Ocean e</w:t>
      </w:r>
      <w:r w:rsidR="00195418">
        <w:t xml:space="preserve">xploration is discovery of the </w:t>
      </w:r>
      <w:r w:rsidR="00195418">
        <w:rPr>
          <w:u w:val="single"/>
        </w:rPr>
        <w:t>unknown</w:t>
      </w:r>
    </w:p>
    <w:p w:rsidR="008F7761" w:rsidRPr="0056422E" w:rsidRDefault="008F7761" w:rsidP="008F7761">
      <w:pPr>
        <w:rPr>
          <w:rStyle w:val="Style13ptBold"/>
        </w:rPr>
      </w:pPr>
      <w:r w:rsidRPr="0056422E">
        <w:rPr>
          <w:rStyle w:val="Style13ptBold"/>
        </w:rPr>
        <w:t>OER ‘12</w:t>
      </w:r>
    </w:p>
    <w:p w:rsidR="008F7761" w:rsidRDefault="008F7761" w:rsidP="008F7761">
      <w:r>
        <w:t>Office of Exploration and Research, OER, is a subsection of the NOAA, The National Oceanic and Atmospheric Administration. This blue-ribbon panel and report was commissioned by Raymond J. Ban – Chair, NOAA Science Advisory Board. “Ocean Exploration’s Second Decade” – December 2012. http://explore.noaa.gov/sites/OER/Documents/about-oer/program-review/2012-12-12-FINAL-OE-Review-Report.pdf.</w:t>
      </w:r>
    </w:p>
    <w:p w:rsidR="008F7761" w:rsidRDefault="008F7761" w:rsidP="008F7761">
      <w:r>
        <w:tab/>
      </w:r>
    </w:p>
    <w:p w:rsidR="008F7761" w:rsidRPr="00601D46" w:rsidRDefault="008F7761" w:rsidP="008F7761">
      <w:pPr>
        <w:rPr>
          <w:sz w:val="16"/>
        </w:rPr>
      </w:pPr>
      <w:r w:rsidRPr="002369C6">
        <w:rPr>
          <w:sz w:val="16"/>
        </w:rPr>
        <w:t xml:space="preserve">The 2000 Panel recommended the U.S. government establish the Ocean Exploration Program for an initial period of 10 years, with new funding at the level of $75 million per year, excluding capitalization costs. The 2000 Panel’s recommendations are listed to the right. </w:t>
      </w:r>
      <w:r w:rsidRPr="000A35AA">
        <w:rPr>
          <w:rStyle w:val="StyleUnderline"/>
          <w:highlight w:val="yellow"/>
        </w:rPr>
        <w:t>The</w:t>
      </w:r>
      <w:r w:rsidRPr="002369C6">
        <w:rPr>
          <w:rStyle w:val="StyleUnderline"/>
        </w:rPr>
        <w:t xml:space="preserve"> </w:t>
      </w:r>
      <w:r w:rsidRPr="002369C6">
        <w:rPr>
          <w:sz w:val="16"/>
        </w:rPr>
        <w:t xml:space="preserve">present </w:t>
      </w:r>
      <w:r w:rsidRPr="000A35AA">
        <w:rPr>
          <w:rStyle w:val="StyleUnderline"/>
          <w:highlight w:val="yellow"/>
        </w:rPr>
        <w:t>Panel affirms the</w:t>
      </w:r>
      <w:r w:rsidRPr="002369C6">
        <w:rPr>
          <w:sz w:val="16"/>
        </w:rPr>
        <w:t xml:space="preserve"> brief </w:t>
      </w:r>
      <w:r w:rsidRPr="000A35AA">
        <w:rPr>
          <w:rStyle w:val="Emphasis"/>
          <w:highlight w:val="yellow"/>
        </w:rPr>
        <w:t>definition of exploration</w:t>
      </w:r>
      <w:r w:rsidRPr="002369C6">
        <w:rPr>
          <w:sz w:val="16"/>
        </w:rPr>
        <w:t xml:space="preserve"> of the 2000 Panel: </w:t>
      </w:r>
      <w:r w:rsidRPr="000A35AA">
        <w:rPr>
          <w:rStyle w:val="StyleUnderline"/>
          <w:highlight w:val="yellow"/>
        </w:rPr>
        <w:t>Exploration is the</w:t>
      </w:r>
      <w:r w:rsidRPr="002369C6">
        <w:rPr>
          <w:sz w:val="16"/>
        </w:rPr>
        <w:t xml:space="preserve"> systematic </w:t>
      </w:r>
      <w:r w:rsidRPr="000A35AA">
        <w:rPr>
          <w:rStyle w:val="StyleUnderline"/>
          <w:highlight w:val="yellow"/>
        </w:rPr>
        <w:t>search</w:t>
      </w:r>
      <w:r w:rsidRPr="002369C6">
        <w:rPr>
          <w:sz w:val="16"/>
        </w:rPr>
        <w:t xml:space="preserve"> and investigation </w:t>
      </w:r>
      <w:r w:rsidRPr="000A35AA">
        <w:rPr>
          <w:rStyle w:val="StyleUnderline"/>
          <w:highlight w:val="yellow"/>
        </w:rPr>
        <w:t>for</w:t>
      </w:r>
      <w:r w:rsidRPr="008F7761">
        <w:rPr>
          <w:rStyle w:val="StyleUnderline"/>
        </w:rPr>
        <w:t xml:space="preserve"> </w:t>
      </w:r>
      <w:r w:rsidRPr="000A35AA">
        <w:rPr>
          <w:rStyle w:val="StyleUnderline"/>
          <w:highlight w:val="yellow"/>
        </w:rPr>
        <w:t>the initial purpose of</w:t>
      </w:r>
      <w:r w:rsidRPr="002369C6">
        <w:rPr>
          <w:sz w:val="16"/>
        </w:rPr>
        <w:t xml:space="preserve"> </w:t>
      </w:r>
      <w:r w:rsidRPr="000A35AA">
        <w:rPr>
          <w:rStyle w:val="StyleUnderline"/>
          <w:highlight w:val="yellow"/>
        </w:rPr>
        <w:t>discovery</w:t>
      </w:r>
      <w:r w:rsidRPr="002369C6">
        <w:rPr>
          <w:sz w:val="16"/>
        </w:rPr>
        <w:t xml:space="preserve"> and the more elaborated definition of the US Navy: Systematic examination for the purposes of discovery; cataloging/documenting what one finds; </w:t>
      </w:r>
      <w:r w:rsidRPr="000A35AA">
        <w:rPr>
          <w:rStyle w:val="Emphasis"/>
          <w:highlight w:val="yellow"/>
        </w:rPr>
        <w:t>boldly going where no one has gone before</w:t>
      </w:r>
      <w:r w:rsidRPr="002369C6">
        <w:rPr>
          <w:sz w:val="16"/>
        </w:rPr>
        <w:t xml:space="preserve">; providing an initial knowledge base for hypothesis-based science and for exploitation. The Panel affirms that </w:t>
      </w:r>
      <w:r w:rsidRPr="000A35AA">
        <w:rPr>
          <w:rStyle w:val="StyleUnderline"/>
          <w:highlight w:val="yellow"/>
        </w:rPr>
        <w:t>Ocean Exploration is distinct from</w:t>
      </w:r>
      <w:r w:rsidRPr="002369C6">
        <w:rPr>
          <w:sz w:val="16"/>
        </w:rPr>
        <w:t xml:space="preserve"> comprehensive </w:t>
      </w:r>
      <w:r w:rsidRPr="000A35AA">
        <w:rPr>
          <w:rStyle w:val="StyleUnderline"/>
          <w:highlight w:val="yellow"/>
        </w:rPr>
        <w:t>surveys</w:t>
      </w:r>
      <w:r w:rsidRPr="002369C6">
        <w:rPr>
          <w:sz w:val="16"/>
        </w:rPr>
        <w:t xml:space="preserve"> (such as those carried out by NAVOCEANO and NOAA Corps) </w:t>
      </w:r>
      <w:r w:rsidRPr="000A35AA">
        <w:rPr>
          <w:rStyle w:val="Emphasis"/>
          <w:highlight w:val="yellow"/>
        </w:rPr>
        <w:t>and at-sea research</w:t>
      </w:r>
      <w:r w:rsidRPr="002369C6">
        <w:rPr>
          <w:sz w:val="16"/>
        </w:rPr>
        <w:t xml:space="preserve"> (sponsored by National Science Foundation, Office of Naval Research, and other agencies), </w:t>
      </w:r>
      <w:r w:rsidRPr="000A35AA">
        <w:rPr>
          <w:rStyle w:val="StyleUnderline"/>
          <w:highlight w:val="yellow"/>
        </w:rPr>
        <w:t>including</w:t>
      </w:r>
      <w:r w:rsidRPr="002369C6">
        <w:rPr>
          <w:sz w:val="16"/>
        </w:rPr>
        <w:t xml:space="preserve"> hypothesis-driven </w:t>
      </w:r>
      <w:r w:rsidRPr="000A35AA">
        <w:rPr>
          <w:rStyle w:val="StyleUnderline"/>
          <w:highlight w:val="yellow"/>
        </w:rPr>
        <w:t>investigations aimed at the ocean bottom,</w:t>
      </w:r>
      <w:r>
        <w:rPr>
          <w:rStyle w:val="StyleUnderline"/>
        </w:rPr>
        <w:t xml:space="preserve"> </w:t>
      </w:r>
      <w:r w:rsidRPr="002369C6">
        <w:rPr>
          <w:sz w:val="16"/>
        </w:rPr>
        <w:t xml:space="preserve">artifacts, water column, </w:t>
      </w:r>
      <w:r w:rsidRPr="000A35AA">
        <w:rPr>
          <w:rStyle w:val="StyleUnderline"/>
          <w:highlight w:val="yellow"/>
        </w:rPr>
        <w:t>and marine life.</w:t>
      </w:r>
      <w:r w:rsidRPr="002369C6">
        <w:rPr>
          <w:sz w:val="16"/>
        </w:rPr>
        <w:t xml:space="preserve"> </w:t>
      </w:r>
      <w:r w:rsidRPr="002369C6">
        <w:rPr>
          <w:rStyle w:val="StyleUnderline"/>
        </w:rPr>
        <w:t>The present Panel finds undiminished motivations for</w:t>
      </w:r>
      <w:r w:rsidRPr="002369C6">
        <w:rPr>
          <w:sz w:val="16"/>
        </w:rPr>
        <w:t xml:space="preserve"> the U.S. National Program in </w:t>
      </w:r>
      <w:r w:rsidRPr="002369C6">
        <w:rPr>
          <w:rStyle w:val="StyleUnderline"/>
        </w:rPr>
        <w:t>ocean exploration</w:t>
      </w:r>
      <w:r w:rsidRPr="002369C6">
        <w:rPr>
          <w:sz w:val="16"/>
        </w:rPr>
        <w:t>. In fact, spurred in part by the Ocean Exploration Program, a renaissance of ocean exploration has occurred during the past decade, both nationally and globally. Most famously, in March 2012 “</w:t>
      </w:r>
      <w:r w:rsidRPr="002369C6">
        <w:rPr>
          <w:rStyle w:val="StyleUnderline"/>
        </w:rPr>
        <w:t>Titanic” film director James Cameron’s vertical torpedo visited the</w:t>
      </w:r>
      <w:r>
        <w:rPr>
          <w:rStyle w:val="StyleUnderline"/>
        </w:rPr>
        <w:t xml:space="preserve"> </w:t>
      </w:r>
      <w:r w:rsidRPr="002369C6">
        <w:rPr>
          <w:sz w:val="16"/>
        </w:rPr>
        <w:t xml:space="preserve">Mariana Trench’s Challenger Deep, </w:t>
      </w:r>
      <w:r w:rsidRPr="002369C6">
        <w:rPr>
          <w:rStyle w:val="StyleUnderline"/>
        </w:rPr>
        <w:t>Earth’s deepest valley</w:t>
      </w:r>
      <w:r w:rsidRPr="002369C6">
        <w:rPr>
          <w:sz w:val="16"/>
        </w:rPr>
        <w:t>. The first human to visit the Challenger Deep since 1960, Cameron descended in 2 hours and 36 minutes and ascended in a remarkable 70 minutes. The project involved many partners, including the National Geographic Society, Rolex Corporation, Alfred P. Sloan Foundation, and Cameron’s own enterprises. It attracted billions of web hits, more than any prior event. Among other highly visible ventures in ocean exploration during the past decade were the cooperative international Census of Marine Life, the Russian flag-laying at the North Pole seafloor, and the renewed visits to the RMS Titanic.</w:t>
      </w:r>
    </w:p>
    <w:p w:rsidR="00A95652" w:rsidRDefault="00A95652" w:rsidP="008C1B2E"/>
    <w:p w:rsidR="008F7761" w:rsidRDefault="008F7761" w:rsidP="008F7761">
      <w:pPr>
        <w:pStyle w:val="Heading4"/>
      </w:pPr>
      <w:r>
        <w:t xml:space="preserve">Violation – they aren’t trying to discover an unknown. </w:t>
      </w:r>
    </w:p>
    <w:p w:rsidR="008F7761" w:rsidRDefault="008F7761" w:rsidP="008C1B2E">
      <w:r>
        <w:t>Even if the arguments they make aren’t well known they are known – otherwise they wouldn’</w:t>
      </w:r>
      <w:r w:rsidR="006F2AAF">
        <w:t>t have</w:t>
      </w:r>
      <w:r>
        <w:t xml:space="preserve"> any cards to read about them.</w:t>
      </w:r>
      <w:r w:rsidR="006F2AAF">
        <w:t xml:space="preserve"> The exploration was done by their 1ac author not by the </w:t>
      </w:r>
      <w:proofErr w:type="spellStart"/>
      <w:r w:rsidR="006F2AAF">
        <w:t>aff</w:t>
      </w:r>
      <w:proofErr w:type="spellEnd"/>
      <w:r w:rsidR="006F2AAF">
        <w:t>.</w:t>
      </w:r>
    </w:p>
    <w:p w:rsidR="008F7761" w:rsidRDefault="008F7761" w:rsidP="008C1B2E"/>
    <w:p w:rsidR="008F7761" w:rsidRDefault="008F7761" w:rsidP="008F7761">
      <w:pPr>
        <w:pStyle w:val="Heading4"/>
      </w:pPr>
      <w:r>
        <w:t xml:space="preserve">Vote </w:t>
      </w:r>
      <w:proofErr w:type="spellStart"/>
      <w:r>
        <w:t>neg</w:t>
      </w:r>
      <w:proofErr w:type="spellEnd"/>
    </w:p>
    <w:p w:rsidR="008F7761" w:rsidRDefault="008F7761" w:rsidP="008C1B2E"/>
    <w:p w:rsidR="000A35AA" w:rsidRDefault="006F2AAF" w:rsidP="000A35AA">
      <w:pPr>
        <w:pStyle w:val="Heading4"/>
        <w:rPr>
          <w:rFonts w:eastAsia="Calibri"/>
        </w:rPr>
      </w:pPr>
      <w:r>
        <w:t>Predictability</w:t>
      </w:r>
      <w:r w:rsidR="000A35AA">
        <w:rPr>
          <w:rFonts w:eastAsia="Calibri"/>
          <w:b w:val="0"/>
          <w:u w:val="single"/>
        </w:rPr>
        <w:t xml:space="preserve"> </w:t>
      </w:r>
      <w:r w:rsidR="000A35AA" w:rsidRPr="00FC391B">
        <w:t xml:space="preserve">- The resolution proposes the question the negative is prepared to answer and creates a bounded list of potential </w:t>
      </w:r>
      <w:proofErr w:type="spellStart"/>
      <w:r w:rsidR="000A35AA" w:rsidRPr="00FC391B">
        <w:t>affs</w:t>
      </w:r>
      <w:proofErr w:type="spellEnd"/>
      <w:r w:rsidR="000A35AA" w:rsidRPr="00FC391B">
        <w:t xml:space="preserve"> for us to think about.  Debate has unique potential to change attitudes and grow critical thinking skills </w:t>
      </w:r>
      <w:r w:rsidR="000A35AA" w:rsidRPr="006F2AAF">
        <w:t xml:space="preserve">because </w:t>
      </w:r>
      <w:r w:rsidR="000A35AA" w:rsidRPr="00FC391B">
        <w:t>it forces pre-round internal deliberation on a of a focused, common ground of debate</w:t>
      </w:r>
    </w:p>
    <w:p w:rsidR="000A35AA" w:rsidRDefault="000A35AA" w:rsidP="000A35AA">
      <w:r>
        <w:t xml:space="preserve">Robert E. </w:t>
      </w:r>
      <w:proofErr w:type="spellStart"/>
      <w:r>
        <w:rPr>
          <w:rStyle w:val="Style13ptBold"/>
        </w:rPr>
        <w:t>Goodin</w:t>
      </w:r>
      <w:proofErr w:type="spellEnd"/>
      <w:r>
        <w:rPr>
          <w:rStyle w:val="Style13ptBold"/>
        </w:rPr>
        <w:t xml:space="preserve"> and</w:t>
      </w:r>
      <w:r>
        <w:t xml:space="preserve"> Simon J. </w:t>
      </w:r>
      <w:r>
        <w:rPr>
          <w:rStyle w:val="Style13ptBold"/>
        </w:rPr>
        <w:t>Niemeyer</w:t>
      </w:r>
      <w:r>
        <w:t xml:space="preserve">- Australian National University- </w:t>
      </w:r>
      <w:r>
        <w:rPr>
          <w:rStyle w:val="Style13ptBold"/>
        </w:rPr>
        <w:t>2003</w:t>
      </w:r>
      <w:r>
        <w:t xml:space="preserve">, </w:t>
      </w:r>
    </w:p>
    <w:p w:rsidR="000A35AA" w:rsidRDefault="006F2AAF" w:rsidP="000A35AA">
      <w:r>
        <w:t>(</w:t>
      </w:r>
      <w:r w:rsidR="000A35AA">
        <w:t xml:space="preserve">When Does Deliberation Begin? Internal Reflection versus Public Discussion in Deliberative Democracy, POLITICAL STUDIES: 2003 VOL 51, 627–649, </w:t>
      </w:r>
      <w:hyperlink r:id="rId5" w:history="1">
        <w:r w:rsidRPr="00CF38CE">
          <w:rPr>
            <w:rStyle w:val="Hyperlink"/>
          </w:rPr>
          <w:t>http://onlinelibrary.wiley.com/doi/10.1111/j.0032-3217.2003.00450.x/pdf</w:t>
        </w:r>
      </w:hyperlink>
      <w:r>
        <w:t>)</w:t>
      </w:r>
    </w:p>
    <w:p w:rsidR="006F2AAF" w:rsidRDefault="006F2AAF" w:rsidP="000A35AA"/>
    <w:p w:rsidR="000A35AA" w:rsidRDefault="000A35AA" w:rsidP="000A35AA">
      <w:pPr>
        <w:rPr>
          <w:rFonts w:ascii="Times New Roman" w:eastAsia="Calibri" w:hAnsi="Times New Roman"/>
        </w:rPr>
      </w:pPr>
      <w:r>
        <w:t xml:space="preserve">What happened in this particular case, as in any particular case, was in some respects peculiar unto itself. The problem of the Bloomfield Track had been well known and much discussed in the local community for a long </w:t>
      </w:r>
      <w:r>
        <w:rPr>
          <w:rStyle w:val="StyleUnderline"/>
        </w:rPr>
        <w:t>time. Exaggerated claims and counter-claims had become entrenched, and unreflective public opinion polarized around them</w:t>
      </w:r>
      <w:r>
        <w:t xml:space="preserve">. In this circumstance, </w:t>
      </w:r>
      <w:r w:rsidRPr="000A35AA">
        <w:rPr>
          <w:rStyle w:val="StyleUnderline"/>
          <w:highlight w:val="yellow"/>
        </w:rPr>
        <w:t>the effect of the information phase of deliberative processes was to brush away those highly polarized attitudes, dispel</w:t>
      </w:r>
      <w:r>
        <w:rPr>
          <w:rStyle w:val="StyleUnderline"/>
        </w:rPr>
        <w:t xml:space="preserve"> the </w:t>
      </w:r>
      <w:r w:rsidRPr="000A35AA">
        <w:rPr>
          <w:rStyle w:val="StyleUnderline"/>
          <w:highlight w:val="yellow"/>
        </w:rPr>
        <w:t>myths and symbolic posturing</w:t>
      </w:r>
      <w:r>
        <w:rPr>
          <w:rStyle w:val="StyleUnderline"/>
        </w:rPr>
        <w:t xml:space="preserve"> on both sides that had come to dominate the debate, </w:t>
      </w:r>
      <w:r w:rsidRPr="000A35AA">
        <w:rPr>
          <w:rStyle w:val="StyleUnderline"/>
          <w:highlight w:val="yellow"/>
        </w:rPr>
        <w:t>and liberate people to act upon their attitudes</w:t>
      </w:r>
      <w:r>
        <w:t xml:space="preserve"> toward the protection of rainforest itself. </w:t>
      </w:r>
      <w:r>
        <w:rPr>
          <w:rStyle w:val="StyleUnderline"/>
        </w:rPr>
        <w:t>The key</w:t>
      </w:r>
      <w:r>
        <w:t xml:space="preserve"> point, from the perspective of ‘democratic deliberation within’, </w:t>
      </w:r>
      <w:r>
        <w:rPr>
          <w:rStyle w:val="StyleUnderline"/>
        </w:rPr>
        <w:t xml:space="preserve">is that </w:t>
      </w:r>
      <w:r w:rsidRPr="000A35AA">
        <w:rPr>
          <w:rStyle w:val="StyleUnderline"/>
          <w:highlight w:val="yellow"/>
        </w:rPr>
        <w:t>that happened in the earlier stages</w:t>
      </w:r>
      <w:r>
        <w:rPr>
          <w:rStyle w:val="StyleUnderline"/>
        </w:rPr>
        <w:t xml:space="preserve"> of deliberation – </w:t>
      </w:r>
      <w:r w:rsidRPr="000A35AA">
        <w:rPr>
          <w:rStyle w:val="StyleUnderline"/>
          <w:highlight w:val="yellow"/>
        </w:rPr>
        <w:t>before the formal discussions</w:t>
      </w:r>
      <w:r>
        <w:rPr>
          <w:rStyle w:val="StyleUnderline"/>
        </w:rPr>
        <w:t xml:space="preserve"> </w:t>
      </w:r>
      <w:r>
        <w:rPr>
          <w:rFonts w:ascii="Times New Roman" w:eastAsia="Calibri" w:hAnsi="Times New Roman"/>
          <w:sz w:val="14"/>
        </w:rPr>
        <w:t>(‘deliberations’, in the discursive sense) of the jury process ever began. The simple process of jurors seeing the site for themselves, focusing their minds on the issues and listening to what experts had to say did virtually all the work in changing jurors’ attitudes. Talking among themselves, as a jury, did very little of it. However, the same might happen in cases very different from this one. Suppose that instead of highly polarized symbolic attitudes, what we have at the outset is mass ignorance or mass apathy or non-attitudes. There again, people’s engaging with the issue – focusing on it, acquiring information about it, thinking hard about it – would be something that is likely to occur earlier rather than later in the deliberative process. And more to our point, it is something that is most likely to occur within individuals themselves or in informal interactions, well in advance of any formal, organized group discussion. There is much in the large literature on attitudes and the mechanisms by which they change to support that speculation.31 Consider, for example, the literature on ‘central’ versus ‘peripheral’ routes to the formation of attitudes. Before deliberation, individuals may not have given the issue much thought or bothered to engage in an extensive process of reflection.32 In such cases, positions may be arrived at via peripheral routes, taking cognitive shortcuts or arriving at ‘top of the head’ conclusions or even simply following the lead of others believed to hold similar attitudes or values (</w:t>
      </w:r>
      <w:proofErr w:type="spellStart"/>
      <w:r>
        <w:rPr>
          <w:rFonts w:ascii="Times New Roman" w:eastAsia="Calibri" w:hAnsi="Times New Roman"/>
          <w:sz w:val="14"/>
        </w:rPr>
        <w:t>Lupia</w:t>
      </w:r>
      <w:proofErr w:type="spellEnd"/>
      <w:r>
        <w:rPr>
          <w:rFonts w:ascii="Times New Roman" w:eastAsia="Calibri" w:hAnsi="Times New Roman"/>
          <w:sz w:val="14"/>
        </w:rPr>
        <w:t xml:space="preserve">, 1994). These shorthand approaches involve the use of available cues such as ‘expertness’ or ‘attractiveness’ (Petty and </w:t>
      </w:r>
      <w:proofErr w:type="spellStart"/>
      <w:r>
        <w:rPr>
          <w:rFonts w:ascii="Times New Roman" w:eastAsia="Calibri" w:hAnsi="Times New Roman"/>
          <w:sz w:val="14"/>
        </w:rPr>
        <w:t>Cacioppo</w:t>
      </w:r>
      <w:proofErr w:type="spellEnd"/>
      <w:r>
        <w:rPr>
          <w:rFonts w:ascii="Times New Roman" w:eastAsia="Calibri" w:hAnsi="Times New Roman"/>
          <w:sz w:val="14"/>
        </w:rPr>
        <w:t xml:space="preserve">, 1986) – not deliberation in the internal-reflective sense we have described. Where peripheral shortcuts are employed, there may be inconsistencies in logic and the formation of positions, based on partial information or incomplete information processing. In contrast, ‘central’ routes to the development of attitudes involve the application of more deliberate effort to the matter at hand, in a way that is more akin to the internal-reflective deliberative ideal. Importantly for our thesis, there is nothing intrinsic to the ‘central’ route that requires group deliberation. Research in this area stresses instead the importance simply of ‘sufficient impetus’ for engaging in deliberation, such as when an individual is stimulated by personal involvement in the issue.33 The same is true of ‘on-line’ versus ‘memory-based’ processes of attitude change.34 </w:t>
      </w:r>
      <w:r>
        <w:t xml:space="preserve">The suggestion here is that </w:t>
      </w:r>
      <w:r w:rsidRPr="000A35AA">
        <w:rPr>
          <w:rStyle w:val="StyleUnderline"/>
          <w:highlight w:val="yellow"/>
        </w:rPr>
        <w:t>we lead our ordinary lives largely on autopilot</w:t>
      </w:r>
      <w:r>
        <w:rPr>
          <w:rStyle w:val="StyleUnderline"/>
        </w:rPr>
        <w:t xml:space="preserve">, doing routine things in routine ways without much thought or reflection. </w:t>
      </w:r>
      <w:r w:rsidRPr="000A35AA">
        <w:rPr>
          <w:rStyle w:val="StyleUnderline"/>
          <w:highlight w:val="yellow"/>
        </w:rPr>
        <w:t>When we come across something ‘new’, we update our</w:t>
      </w:r>
      <w:r>
        <w:rPr>
          <w:rStyle w:val="StyleUnderline"/>
        </w:rPr>
        <w:t xml:space="preserve"> routines – our ‘</w:t>
      </w:r>
      <w:r w:rsidRPr="000A35AA">
        <w:rPr>
          <w:rStyle w:val="StyleUnderline"/>
          <w:highlight w:val="yellow"/>
        </w:rPr>
        <w:t>running’ beliefs</w:t>
      </w:r>
      <w:r>
        <w:rPr>
          <w:rStyle w:val="StyleUnderline"/>
        </w:rPr>
        <w:t xml:space="preserve"> and pro </w:t>
      </w:r>
      <w:proofErr w:type="spellStart"/>
      <w:r>
        <w:rPr>
          <w:rStyle w:val="StyleUnderline"/>
        </w:rPr>
        <w:t>cedures</w:t>
      </w:r>
      <w:proofErr w:type="spellEnd"/>
      <w:r>
        <w:rPr>
          <w:rStyle w:val="StyleUnderline"/>
        </w:rPr>
        <w:t xml:space="preserve">, attitudes and evaluations – </w:t>
      </w:r>
      <w:r w:rsidRPr="000A35AA">
        <w:rPr>
          <w:rStyle w:val="StyleUnderline"/>
          <w:highlight w:val="yellow"/>
        </w:rPr>
        <w:t>accordingly</w:t>
      </w:r>
      <w:r>
        <w:rPr>
          <w:rStyle w:val="StyleUnderline"/>
        </w:rPr>
        <w:t xml:space="preserve">. </w:t>
      </w:r>
      <w:r w:rsidRPr="000A35AA">
        <w:rPr>
          <w:rStyle w:val="StyleUnderline"/>
          <w:highlight w:val="yellow"/>
        </w:rPr>
        <w:t>But having updated, we</w:t>
      </w:r>
      <w:r>
        <w:rPr>
          <w:rStyle w:val="StyleUnderline"/>
        </w:rPr>
        <w:t xml:space="preserve"> then </w:t>
      </w:r>
      <w:r w:rsidRPr="000A35AA">
        <w:rPr>
          <w:rStyle w:val="StyleUnderline"/>
          <w:highlight w:val="yellow"/>
        </w:rPr>
        <w:t>drop the impetus for the update into deep-stored ‘memory’</w:t>
      </w:r>
      <w:r>
        <w:t xml:space="preserve">. A consequence of this procedure is that, </w:t>
      </w:r>
      <w:r>
        <w:rPr>
          <w:rStyle w:val="StyleUnderline"/>
        </w:rPr>
        <w:t xml:space="preserve">when asked in the ordinary course of events ‘what we believe’ </w:t>
      </w:r>
      <w:r>
        <w:t>or</w:t>
      </w:r>
      <w:r>
        <w:rPr>
          <w:rStyle w:val="StyleUnderline"/>
        </w:rPr>
        <w:t xml:space="preserve"> </w:t>
      </w:r>
      <w:r>
        <w:t xml:space="preserve">‘what attitude we take’ toward something, </w:t>
      </w:r>
      <w:r w:rsidRPr="000A35AA">
        <w:rPr>
          <w:rStyle w:val="StyleUnderline"/>
          <w:highlight w:val="yellow"/>
        </w:rPr>
        <w:t>we easily retrieve what we think but we cannot so easily retrieve the reasons why</w:t>
      </w:r>
      <w:r w:rsidRPr="000A35AA">
        <w:rPr>
          <w:highlight w:val="yellow"/>
        </w:rPr>
        <w:t>.</w:t>
      </w:r>
      <w:r>
        <w:t xml:space="preserve"> </w:t>
      </w:r>
      <w:r w:rsidRPr="000A35AA">
        <w:rPr>
          <w:rStyle w:val="StyleUnderline"/>
          <w:highlight w:val="yellow"/>
        </w:rPr>
        <w:t>That</w:t>
      </w:r>
      <w:r>
        <w:rPr>
          <w:rStyle w:val="StyleUnderline"/>
        </w:rPr>
        <w:t xml:space="preserve"> more </w:t>
      </w:r>
      <w:r w:rsidRPr="000A35AA">
        <w:rPr>
          <w:rStyle w:val="StyleUnderline"/>
          <w:highlight w:val="yellow"/>
        </w:rPr>
        <w:t>fully reasoned assessment</w:t>
      </w:r>
      <w:r>
        <w:rPr>
          <w:rStyle w:val="StyleUnderline"/>
        </w:rPr>
        <w:t xml:space="preserve"> – the sort of thing we have been calling </w:t>
      </w:r>
      <w:r w:rsidRPr="000A35AA">
        <w:rPr>
          <w:rStyle w:val="StyleUnderline"/>
          <w:highlight w:val="yellow"/>
        </w:rPr>
        <w:t>internal-reflective deliberation</w:t>
      </w:r>
      <w:r>
        <w:rPr>
          <w:rStyle w:val="StyleUnderline"/>
        </w:rPr>
        <w:t xml:space="preserve"> – </w:t>
      </w:r>
      <w:r w:rsidRPr="000A35AA">
        <w:rPr>
          <w:rStyle w:val="StyleUnderline"/>
          <w:highlight w:val="yellow"/>
        </w:rPr>
        <w:t>requires us to call up reasons</w:t>
      </w:r>
      <w:r>
        <w:rPr>
          <w:rStyle w:val="StyleUnderline"/>
        </w:rPr>
        <w:t xml:space="preserve"> from stored memory </w:t>
      </w:r>
      <w:r w:rsidRPr="000A35AA">
        <w:rPr>
          <w:rStyle w:val="StyleUnderline"/>
          <w:highlight w:val="yellow"/>
        </w:rPr>
        <w:t>rather than</w:t>
      </w:r>
      <w:r>
        <w:rPr>
          <w:rStyle w:val="StyleUnderline"/>
        </w:rPr>
        <w:t xml:space="preserve"> just </w:t>
      </w:r>
      <w:r w:rsidRPr="000A35AA">
        <w:rPr>
          <w:rStyle w:val="StyleUnderline"/>
          <w:highlight w:val="yellow"/>
        </w:rPr>
        <w:t>consulting our</w:t>
      </w:r>
      <w:r>
        <w:rPr>
          <w:rStyle w:val="StyleUnderline"/>
        </w:rPr>
        <w:t xml:space="preserve"> running on-line ‘</w:t>
      </w:r>
      <w:r w:rsidRPr="000A35AA">
        <w:rPr>
          <w:rStyle w:val="StyleUnderline"/>
          <w:highlight w:val="yellow"/>
        </w:rPr>
        <w:t>summary judgments’</w:t>
      </w:r>
      <w:r>
        <w:rPr>
          <w:rStyle w:val="StyleUnderline"/>
        </w:rPr>
        <w:t xml:space="preserve">. </w:t>
      </w:r>
      <w:r>
        <w:rPr>
          <w:rFonts w:ascii="Times New Roman" w:eastAsia="Calibri" w:hAnsi="Times New Roman"/>
          <w:sz w:val="14"/>
        </w:rPr>
        <w:t>Crucially for our present discussion, once again, what prompts that shift from online to more deeply reflective deliberation is not necessarily interpersonal discussion. The impetus for fixing one’s attention on a topic, and retrieving reasons from stored memory, might come from any of a number sources: group discussion is only one. And again, even in the context of a group discussion, this shift from ‘online’ to ‘memory-based’ processing is likely to occur earlier rather than later in the process, often before the formal discussion ever begins. All this is simply to say that, on a great many models and in a great many different sorts of settings, it seems likely that</w:t>
      </w:r>
      <w:r>
        <w:t xml:space="preserve"> </w:t>
      </w:r>
      <w:r w:rsidRPr="000A35AA">
        <w:rPr>
          <w:rStyle w:val="StyleUnderline"/>
          <w:highlight w:val="yellow"/>
        </w:rPr>
        <w:t>elements of the pre-discursive process are likely to prove crucial to the shaping and reshaping of people’s attitudes</w:t>
      </w:r>
      <w:r>
        <w:t xml:space="preserve"> in a citizens’ jury-style process. </w:t>
      </w:r>
      <w:r>
        <w:rPr>
          <w:rStyle w:val="StyleUnderline"/>
        </w:rPr>
        <w:t xml:space="preserve">The initial processes of </w:t>
      </w:r>
      <w:r w:rsidRPr="000A35AA">
        <w:rPr>
          <w:rStyle w:val="StyleUnderline"/>
          <w:highlight w:val="yellow"/>
        </w:rPr>
        <w:t>focusing attention on a topic</w:t>
      </w:r>
      <w:r>
        <w:rPr>
          <w:rStyle w:val="StyleUnderline"/>
        </w:rPr>
        <w:t xml:space="preserve">, </w:t>
      </w:r>
      <w:r w:rsidRPr="000A35AA">
        <w:rPr>
          <w:rStyle w:val="StyleUnderline"/>
          <w:highlight w:val="yellow"/>
        </w:rPr>
        <w:t>providing information</w:t>
      </w:r>
      <w:r>
        <w:rPr>
          <w:rStyle w:val="StyleUnderline"/>
        </w:rPr>
        <w:t xml:space="preserve"> about it </w:t>
      </w:r>
      <w:r w:rsidRPr="000A35AA">
        <w:rPr>
          <w:rStyle w:val="StyleUnderline"/>
          <w:highlight w:val="yellow"/>
        </w:rPr>
        <w:t>and inviting people to think hard</w:t>
      </w:r>
      <w:r>
        <w:rPr>
          <w:rStyle w:val="StyleUnderline"/>
        </w:rPr>
        <w:t xml:space="preserve"> about it </w:t>
      </w:r>
      <w:r w:rsidRPr="000A35AA">
        <w:rPr>
          <w:rStyle w:val="StyleUnderline"/>
          <w:highlight w:val="yellow"/>
        </w:rPr>
        <w:t xml:space="preserve">is </w:t>
      </w:r>
      <w:r w:rsidRPr="000A35AA">
        <w:rPr>
          <w:rStyle w:val="Emphasis"/>
          <w:highlight w:val="yellow"/>
        </w:rPr>
        <w:t>likely to provide a strong impetus to internal-reflective deliberation</w:t>
      </w:r>
      <w:r>
        <w:rPr>
          <w:rStyle w:val="Emphasis"/>
        </w:rPr>
        <w:t xml:space="preserve">, </w:t>
      </w:r>
      <w:r w:rsidRPr="000A35AA">
        <w:rPr>
          <w:rStyle w:val="Emphasis"/>
          <w:highlight w:val="yellow"/>
        </w:rPr>
        <w:t>altering</w:t>
      </w:r>
      <w:r>
        <w:rPr>
          <w:rStyle w:val="Emphasis"/>
        </w:rPr>
        <w:t xml:space="preserve"> not just the information people have about the issue but also </w:t>
      </w:r>
      <w:r w:rsidRPr="000A35AA">
        <w:rPr>
          <w:rStyle w:val="Emphasis"/>
          <w:highlight w:val="yellow"/>
        </w:rPr>
        <w:t>the way people process that information and</w:t>
      </w:r>
      <w:r>
        <w:rPr>
          <w:rStyle w:val="Emphasis"/>
        </w:rPr>
        <w:t xml:space="preserve"> hence (perhaps) </w:t>
      </w:r>
      <w:r w:rsidRPr="000A35AA">
        <w:rPr>
          <w:rStyle w:val="Emphasis"/>
          <w:highlight w:val="yellow"/>
        </w:rPr>
        <w:t>what they think</w:t>
      </w:r>
      <w:r>
        <w:rPr>
          <w:rStyle w:val="StyleUnderline"/>
        </w:rPr>
        <w:t xml:space="preserve"> about the issue.</w:t>
      </w:r>
      <w:r>
        <w:t xml:space="preserve"> </w:t>
      </w:r>
      <w:r>
        <w:rPr>
          <w:rFonts w:ascii="Times New Roman" w:eastAsia="Calibri" w:hAnsi="Times New Roman"/>
        </w:rPr>
        <w:t xml:space="preserve">What happens once people have shifted into this more internal-reflective mode is, obviously, an open question. Maybe people would then come to an easy consensus, as they did in their attitudes toward the </w:t>
      </w:r>
      <w:proofErr w:type="spellStart"/>
      <w:r>
        <w:rPr>
          <w:rFonts w:ascii="Times New Roman" w:eastAsia="Calibri" w:hAnsi="Times New Roman"/>
        </w:rPr>
        <w:t>Daintree</w:t>
      </w:r>
      <w:proofErr w:type="spellEnd"/>
      <w:r>
        <w:rPr>
          <w:rFonts w:ascii="Times New Roman" w:eastAsia="Calibri" w:hAnsi="Times New Roman"/>
        </w:rPr>
        <w:t xml:space="preserve"> rainforest.35 Or maybe people would come to divergent conclusions; and they then may (or may not) be open to argument and counter-argument, with talk actually changing minds. Our claim is not that group discussion will always matter as little as it did in our citizens’ jury.36 Our claim is instead merely that the earliest steps in the jury process – the sheer focusing of attention on the issue at hand and acquiring more information about it, and the internal-reflective deliberation that that prompts – will invariably matter more than deliberative democrats of a more discursive stripe would have us believe. However much or little difference formal group discussions might make, on any given occasion, the pre-discursive phases of the jury process will invariably have a considerable impact on changing the way jurors approach an issue. From Citizens’ Juries to Ordinary Mass Politics? In a citizens’ jury sort of setting, then, it seems that informal, pre-group deliberation – ‘deliberation within’ – will inevitably do much of the work that deliberative democrats ordinarily want to attribute to the more formal discursive processes. What are the preconditions for that happening? To what extent, in that sense, can findings about citizens’ juries be extended to other larger or less well-</w:t>
      </w:r>
      <w:r>
        <w:t xml:space="preserve">ordered deliberative settings? Even in citizens’ juries, deliberation will work only if people are attentive, open and willing to change their minds as appropriate. So, too, in mass politics. In citizens’ juries the need to participate (or </w:t>
      </w:r>
      <w:r w:rsidRPr="006F2AAF">
        <w:rPr>
          <w:b/>
          <w:sz w:val="24"/>
          <w:highlight w:val="yellow"/>
          <w:u w:val="single"/>
          <w:shd w:val="clear" w:color="auto" w:fill="00FFFF"/>
        </w:rPr>
        <w:t>the anticipation of participating) in formally organized group discussions might be the ‘prompt’ that evokes those attributes</w:t>
      </w:r>
      <w:r w:rsidRPr="006F2AAF">
        <w:rPr>
          <w:highlight w:val="yellow"/>
        </w:rPr>
        <w:t>.</w:t>
      </w:r>
      <w:r>
        <w:t xml:space="preserve"> But there might be many other possible ‘prompts’ that can be found in less formally structured mass-political settings. </w:t>
      </w:r>
      <w:r>
        <w:rPr>
          <w:sz w:val="24"/>
          <w:u w:val="single"/>
        </w:rPr>
        <w:t>Here are a few ways</w:t>
      </w:r>
      <w:r>
        <w:t xml:space="preserve"> citizens’ juries (and all </w:t>
      </w:r>
      <w:r w:rsidRPr="006F2AAF">
        <w:t>cognate micro-deliberative processes)</w:t>
      </w:r>
      <w:r>
        <w:t xml:space="preserve">37 </w:t>
      </w:r>
      <w:r w:rsidRPr="006F2AAF">
        <w:t>might be different from mass politics,</w:t>
      </w:r>
      <w:r>
        <w:t xml:space="preserve"> and in which </w:t>
      </w:r>
      <w:r>
        <w:rPr>
          <w:sz w:val="24"/>
          <w:u w:val="single"/>
        </w:rPr>
        <w:t>lessons drawn from that experience might not therefore carry over to ordinary politics</w:t>
      </w:r>
      <w:r>
        <w:t xml:space="preserve">: • </w:t>
      </w:r>
      <w:r w:rsidRPr="000A35AA">
        <w:rPr>
          <w:sz w:val="24"/>
          <w:highlight w:val="yellow"/>
          <w:u w:val="single"/>
          <w:shd w:val="clear" w:color="auto" w:fill="00FFFF"/>
        </w:rPr>
        <w:t>A citizens’ jury concentrates people’s minds on a single issue</w:t>
      </w:r>
      <w:r>
        <w:rPr>
          <w:sz w:val="24"/>
          <w:u w:val="single"/>
        </w:rPr>
        <w:t xml:space="preserve">. Ordinary politics involve many issues at once. </w:t>
      </w:r>
      <w:r>
        <w:t xml:space="preserve">• </w:t>
      </w:r>
      <w:r w:rsidRPr="006F2AAF">
        <w:rPr>
          <w:sz w:val="24"/>
          <w:highlight w:val="yellow"/>
          <w:u w:val="single"/>
          <w:shd w:val="clear" w:color="auto" w:fill="00FFFF"/>
        </w:rPr>
        <w:t>A citizens’ jury is</w:t>
      </w:r>
      <w:r>
        <w:rPr>
          <w:sz w:val="24"/>
          <w:u w:val="single"/>
        </w:rPr>
        <w:t xml:space="preserve"> often </w:t>
      </w:r>
      <w:r w:rsidRPr="006F2AAF">
        <w:rPr>
          <w:sz w:val="24"/>
          <w:highlight w:val="yellow"/>
          <w:u w:val="single"/>
          <w:shd w:val="clear" w:color="auto" w:fill="00FFFF"/>
        </w:rPr>
        <w:t>supplied</w:t>
      </w:r>
      <w:r>
        <w:rPr>
          <w:sz w:val="24"/>
          <w:u w:val="single"/>
        </w:rPr>
        <w:t xml:space="preserve"> a </w:t>
      </w:r>
      <w:r w:rsidRPr="006F2AAF">
        <w:rPr>
          <w:sz w:val="24"/>
          <w:highlight w:val="yellow"/>
          <w:u w:val="single"/>
          <w:shd w:val="clear" w:color="auto" w:fill="00FFFF"/>
        </w:rPr>
        <w:t>background</w:t>
      </w:r>
      <w:r>
        <w:t xml:space="preserve"> briefing </w:t>
      </w:r>
      <w:r w:rsidRPr="000A35AA">
        <w:rPr>
          <w:sz w:val="24"/>
          <w:highlight w:val="yellow"/>
          <w:u w:val="single"/>
          <w:shd w:val="clear" w:color="auto" w:fill="00FFFF"/>
        </w:rPr>
        <w:t>that has been</w:t>
      </w:r>
      <w:r w:rsidRPr="006F2AAF">
        <w:t xml:space="preserve"> </w:t>
      </w:r>
      <w:r w:rsidRPr="000A35AA">
        <w:rPr>
          <w:sz w:val="24"/>
          <w:highlight w:val="yellow"/>
          <w:u w:val="single"/>
          <w:shd w:val="clear" w:color="auto" w:fill="00FFFF"/>
        </w:rPr>
        <w:t>agreed by all stakeholders</w:t>
      </w:r>
      <w:r>
        <w:t xml:space="preserve"> (Smith and Wales, 2000, p. 58). </w:t>
      </w:r>
      <w:r w:rsidRPr="006F2AAF">
        <w:t xml:space="preserve">In ordinary mass politics, there is rarely any equivalent common ground on which debates are conducted. </w:t>
      </w:r>
      <w:r>
        <w:t xml:space="preserve">• </w:t>
      </w:r>
      <w:r>
        <w:rPr>
          <w:sz w:val="14"/>
        </w:rPr>
        <w:t xml:space="preserve">A citizens’ jury separates the process of acquiring information from that of discussing the issues. In ordinary mass politics, those processes are invariably intertwined. • A citizens’ jury is provided with a set of experts. They can be questioned, debated or discounted. But there is a strictly limited set of ‘competing experts’ on the same subject. In ordinary mass politics, claims and sources of expertise often seem virtually limitless, allowing for much greater ‘selective perception’. • Participating in something called a ‘citizens’ jury’ evokes certain very particular norms: norms concerning the ‘impartiality’ appropriate to jurors; norms concerning the ‘common good’ orientation appropriate to people in their capacity as citizens.38 There is a very different ethos at work in ordinary mass politics, which are typically driven by flagrantly partisan appeals to sectional interest (or utter disinterest and voter apathy). </w:t>
      </w:r>
      <w:r>
        <w:t xml:space="preserve">• In </w:t>
      </w:r>
      <w:r>
        <w:rPr>
          <w:sz w:val="24"/>
          <w:u w:val="single"/>
        </w:rPr>
        <w:t xml:space="preserve">a citizens’ jury, </w:t>
      </w:r>
      <w:r w:rsidRPr="000A35AA">
        <w:rPr>
          <w:b/>
          <w:sz w:val="24"/>
          <w:highlight w:val="yellow"/>
          <w:u w:val="single"/>
          <w:shd w:val="clear" w:color="auto" w:fill="00FFFF"/>
        </w:rPr>
        <w:t>we think and listen in anticipation of the discussion phase, knowing that we soon will have to defend our views in a discursive setting where they will be probed intensively</w:t>
      </w:r>
      <w:r w:rsidRPr="000A35AA">
        <w:rPr>
          <w:sz w:val="24"/>
          <w:highlight w:val="yellow"/>
          <w:u w:val="single"/>
        </w:rPr>
        <w:t>.</w:t>
      </w:r>
      <w:r>
        <w:t xml:space="preserve">39 </w:t>
      </w:r>
      <w:proofErr w:type="gramStart"/>
      <w:r>
        <w:t>In</w:t>
      </w:r>
      <w:proofErr w:type="gramEnd"/>
      <w:r>
        <w:t xml:space="preserve"> ordinary mass-political settings, there is no such incentive for paying attention. It is perfectly true that citizens’ juries are ‘special’ in all those ways. But </w:t>
      </w:r>
      <w:r w:rsidRPr="000A35AA">
        <w:rPr>
          <w:sz w:val="24"/>
          <w:highlight w:val="yellow"/>
          <w:u w:val="single"/>
          <w:shd w:val="clear" w:color="auto" w:fill="00FFFF"/>
        </w:rPr>
        <w:t xml:space="preserve">if being special in all those ways makes for a better </w:t>
      </w:r>
      <w:r w:rsidRPr="000A35AA">
        <w:rPr>
          <w:sz w:val="24"/>
          <w:highlight w:val="yellow"/>
          <w:u w:val="single"/>
        </w:rPr>
        <w:t xml:space="preserve">– more ‘reflective’, more ‘deliberative’ – </w:t>
      </w:r>
      <w:r w:rsidRPr="000A35AA">
        <w:rPr>
          <w:sz w:val="24"/>
          <w:highlight w:val="yellow"/>
          <w:u w:val="single"/>
          <w:shd w:val="clear" w:color="auto" w:fill="00FFFF"/>
        </w:rPr>
        <w:t xml:space="preserve">political process, then those are design features that we </w:t>
      </w:r>
      <w:proofErr w:type="gramStart"/>
      <w:r w:rsidRPr="000A35AA">
        <w:rPr>
          <w:sz w:val="24"/>
          <w:highlight w:val="yellow"/>
          <w:u w:val="single"/>
          <w:shd w:val="clear" w:color="auto" w:fill="00FFFF"/>
        </w:rPr>
        <w:t>ought</w:t>
      </w:r>
      <w:proofErr w:type="gramEnd"/>
      <w:r w:rsidRPr="000A35AA">
        <w:rPr>
          <w:sz w:val="24"/>
          <w:highlight w:val="yellow"/>
          <w:u w:val="single"/>
          <w:shd w:val="clear" w:color="auto" w:fill="00FFFF"/>
        </w:rPr>
        <w:t xml:space="preserve"> try to mimic</w:t>
      </w:r>
      <w:r w:rsidRPr="000A35AA">
        <w:rPr>
          <w:sz w:val="24"/>
          <w:highlight w:val="yellow"/>
          <w:u w:val="single"/>
        </w:rPr>
        <w:t xml:space="preserve"> as best we can in ordinary mass politics as well.</w:t>
      </w:r>
      <w:r>
        <w:rPr>
          <w:sz w:val="24"/>
          <w:u w:val="single"/>
        </w:rPr>
        <w:t xml:space="preserve"> </w:t>
      </w:r>
      <w:r>
        <w:rPr>
          <w:sz w:val="14"/>
        </w:rPr>
        <w:t xml:space="preserve">There are various ways that that might be done. Briefing books might be prepared by sponsors of American presidential debates (the League of Women Voters, and such like) in consultation with the stakeholders involved. Agreed panels of experts might be questioned on prime-time television. Issues might be sequenced for debate and resolution, to avoid too much competition for people’s time and attention. Variations on the Ackerman and </w:t>
      </w:r>
      <w:proofErr w:type="spellStart"/>
      <w:r>
        <w:rPr>
          <w:sz w:val="14"/>
        </w:rPr>
        <w:t>Fishkin</w:t>
      </w:r>
      <w:proofErr w:type="spellEnd"/>
      <w:r>
        <w:rPr>
          <w:sz w:val="14"/>
        </w:rPr>
        <w:t xml:space="preserve"> (2002) proposal for a ‘deliberation day’ before every election might be generalized, with a day every few months being given over to small meetings in local schools to discuss public issues. All that is pretty visionary, perhaps. And (although it is clearly beyond the scope of the present paper to explore them in depth) there are doubtless many other more-or-less visionary ways of introducing into real-world politics analogues of the elements that induce citizens’ jurors to practice ‘democratic deliberation within’, even before the jury discussion gets underway. Here, we have to content ourselves with identifying those features that need to be replicated in real-world politics in order to achieve that goal – and with the ‘possibility theorem’ that is established by the fact that (as sketched immediately above) there is at least one possible way of doing that for each of those key features.</w:t>
      </w:r>
    </w:p>
    <w:p w:rsidR="008F7761" w:rsidRDefault="008F7761" w:rsidP="008C1B2E"/>
    <w:p w:rsidR="00A53642" w:rsidRDefault="00990D8E" w:rsidP="00A53642">
      <w:pPr>
        <w:rPr>
          <w:b/>
        </w:rPr>
      </w:pPr>
      <w:r>
        <w:rPr>
          <w:b/>
        </w:rPr>
        <w:t>Decide the debate</w:t>
      </w:r>
      <w:r w:rsidR="00A53642">
        <w:rPr>
          <w:b/>
        </w:rPr>
        <w:t xml:space="preserve"> using competing interpretations – you should vote for the team that has the best vision for debate. Even if they have an educational approach their interpretation allows hundreds of </w:t>
      </w:r>
      <w:proofErr w:type="spellStart"/>
      <w:r w:rsidR="00A53642">
        <w:rPr>
          <w:b/>
        </w:rPr>
        <w:t>non educational</w:t>
      </w:r>
      <w:proofErr w:type="spellEnd"/>
      <w:r w:rsidR="00A53642">
        <w:rPr>
          <w:b/>
        </w:rPr>
        <w:t xml:space="preserve"> approaches.</w:t>
      </w:r>
    </w:p>
    <w:p w:rsidR="00A53642" w:rsidRDefault="00A53642" w:rsidP="008C1B2E"/>
    <w:p w:rsidR="00A53642" w:rsidRPr="008C1B2E" w:rsidRDefault="00A53642" w:rsidP="008C1B2E">
      <w:r w:rsidRPr="00A53642">
        <w:rPr>
          <w:rFonts w:eastAsiaTheme="majorEastAsia" w:cstheme="majorBidi"/>
          <w:b/>
          <w:iCs/>
          <w:sz w:val="26"/>
        </w:rPr>
        <w:t xml:space="preserve">Topical version of the </w:t>
      </w:r>
      <w:proofErr w:type="spellStart"/>
      <w:r w:rsidRPr="00A53642">
        <w:rPr>
          <w:rFonts w:eastAsiaTheme="majorEastAsia" w:cstheme="majorBidi"/>
          <w:b/>
          <w:iCs/>
          <w:sz w:val="26"/>
        </w:rPr>
        <w:t>aff</w:t>
      </w:r>
      <w:proofErr w:type="spellEnd"/>
      <w:r>
        <w:t xml:space="preserve"> – provide substantial funding to search for shipwrecks </w:t>
      </w:r>
      <w:bookmarkStart w:id="0" w:name="_GoBack"/>
      <w:bookmarkEnd w:id="0"/>
      <w:r>
        <w:t xml:space="preserve">to uncover narratives that </w:t>
      </w:r>
      <w:r w:rsidRPr="00B9420F">
        <w:rPr>
          <w:rFonts w:asciiTheme="minorHAnsi" w:hAnsiTheme="minorHAnsi" w:cs="Times New Roman"/>
        </w:rPr>
        <w:t>mourn the loss endured during the Middle Passage</w:t>
      </w:r>
      <w:r>
        <w:rPr>
          <w:rFonts w:asciiTheme="minorHAnsi" w:hAnsiTheme="minorHAnsi" w:cs="Times New Roman"/>
        </w:rPr>
        <w:t>.</w:t>
      </w:r>
    </w:p>
    <w:sectPr w:rsidR="00A5364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195418"/>
    <w:rsid w:val="000139A3"/>
    <w:rsid w:val="000A35AA"/>
    <w:rsid w:val="00100833"/>
    <w:rsid w:val="00104529"/>
    <w:rsid w:val="00177B7D"/>
    <w:rsid w:val="0018322D"/>
    <w:rsid w:val="00195418"/>
    <w:rsid w:val="001B5776"/>
    <w:rsid w:val="00251FC7"/>
    <w:rsid w:val="002855A7"/>
    <w:rsid w:val="00315690"/>
    <w:rsid w:val="00325646"/>
    <w:rsid w:val="003902BA"/>
    <w:rsid w:val="00392BE4"/>
    <w:rsid w:val="003A09E2"/>
    <w:rsid w:val="00407037"/>
    <w:rsid w:val="004605D6"/>
    <w:rsid w:val="004C60E8"/>
    <w:rsid w:val="004E3579"/>
    <w:rsid w:val="004F39E0"/>
    <w:rsid w:val="00537BD5"/>
    <w:rsid w:val="005B610D"/>
    <w:rsid w:val="006065BD"/>
    <w:rsid w:val="00665003"/>
    <w:rsid w:val="00666A8D"/>
    <w:rsid w:val="006F2AAF"/>
    <w:rsid w:val="007F5B66"/>
    <w:rsid w:val="00823A1C"/>
    <w:rsid w:val="00845B9D"/>
    <w:rsid w:val="00860984"/>
    <w:rsid w:val="008B3ECB"/>
    <w:rsid w:val="008C1B2E"/>
    <w:rsid w:val="008F7761"/>
    <w:rsid w:val="0091627E"/>
    <w:rsid w:val="00990D8E"/>
    <w:rsid w:val="009E1922"/>
    <w:rsid w:val="00A53642"/>
    <w:rsid w:val="00A64B85"/>
    <w:rsid w:val="00A93661"/>
    <w:rsid w:val="00A95652"/>
    <w:rsid w:val="00B33C6D"/>
    <w:rsid w:val="00B4508F"/>
    <w:rsid w:val="00B8057C"/>
    <w:rsid w:val="00BF593B"/>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421743-A0C6-46C9-AB9C-AF99A61D5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90D8E"/>
    <w:rPr>
      <w:rFonts w:ascii="Calibri" w:hAnsi="Calibri"/>
    </w:rPr>
  </w:style>
  <w:style w:type="paragraph" w:styleId="Heading1">
    <w:name w:val="heading 1"/>
    <w:aliases w:val="Pocket"/>
    <w:basedOn w:val="Normal"/>
    <w:next w:val="Normal"/>
    <w:link w:val="Heading1Char"/>
    <w:autoRedefine/>
    <w:qFormat/>
    <w:rsid w:val="00990D8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90D8E"/>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90D8E"/>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90D8E"/>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990D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0D8E"/>
  </w:style>
  <w:style w:type="character" w:customStyle="1" w:styleId="Heading1Char">
    <w:name w:val="Heading 1 Char"/>
    <w:aliases w:val="Pocket Char"/>
    <w:basedOn w:val="DefaultParagraphFont"/>
    <w:link w:val="Heading1"/>
    <w:rsid w:val="00990D8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90D8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90D8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90D8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Char Char Char,cite"/>
    <w:basedOn w:val="DefaultParagraphFont"/>
    <w:uiPriority w:val="7"/>
    <w:qFormat/>
    <w:rsid w:val="00990D8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90D8E"/>
    <w:rPr>
      <w:b/>
      <w:bCs/>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
    <w:basedOn w:val="DefaultParagraphFont"/>
    <w:uiPriority w:val="6"/>
    <w:qFormat/>
    <w:rsid w:val="00990D8E"/>
    <w:rPr>
      <w:b w:val="0"/>
      <w:sz w:val="22"/>
      <w:u w:val="single"/>
    </w:rPr>
  </w:style>
  <w:style w:type="character" w:styleId="Hyperlink">
    <w:name w:val="Hyperlink"/>
    <w:basedOn w:val="DefaultParagraphFont"/>
    <w:uiPriority w:val="99"/>
    <w:unhideWhenUsed/>
    <w:rsid w:val="00990D8E"/>
    <w:rPr>
      <w:color w:val="auto"/>
      <w:u w:val="none"/>
    </w:rPr>
  </w:style>
  <w:style w:type="character" w:styleId="FollowedHyperlink">
    <w:name w:val="FollowedHyperlink"/>
    <w:basedOn w:val="DefaultParagraphFont"/>
    <w:uiPriority w:val="99"/>
    <w:semiHidden/>
    <w:unhideWhenUsed/>
    <w:rsid w:val="00990D8E"/>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0474344">
      <w:bodyDiv w:val="1"/>
      <w:marLeft w:val="0"/>
      <w:marRight w:val="0"/>
      <w:marTop w:val="0"/>
      <w:marBottom w:val="0"/>
      <w:divBdr>
        <w:top w:val="none" w:sz="0" w:space="0" w:color="auto"/>
        <w:left w:val="none" w:sz="0" w:space="0" w:color="auto"/>
        <w:bottom w:val="none" w:sz="0" w:space="0" w:color="auto"/>
        <w:right w:val="none" w:sz="0" w:space="0" w:color="auto"/>
      </w:divBdr>
      <w:divsChild>
        <w:div w:id="1839613894">
          <w:marLeft w:val="0"/>
          <w:marRight w:val="0"/>
          <w:marTop w:val="0"/>
          <w:marBottom w:val="0"/>
          <w:divBdr>
            <w:top w:val="none" w:sz="0" w:space="0" w:color="auto"/>
            <w:left w:val="none" w:sz="0" w:space="0" w:color="auto"/>
            <w:bottom w:val="none" w:sz="0" w:space="0" w:color="auto"/>
            <w:right w:val="none" w:sz="0" w:space="0" w:color="auto"/>
          </w:divBdr>
        </w:div>
        <w:div w:id="2792659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onlinelibrary.wiley.com/doi/10.1111/j.0032-3217.2003.00450.x/pdf"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36EB10-78D4-4F2C-9129-66758C8F5575}"/>
</file>

<file path=customXml/itemProps2.xml><?xml version="1.0" encoding="utf-8"?>
<ds:datastoreItem xmlns:ds="http://schemas.openxmlformats.org/officeDocument/2006/customXml" ds:itemID="{024D7A83-B628-459E-97FF-C85431B0AB70}"/>
</file>

<file path=customXml/itemProps3.xml><?xml version="1.0" encoding="utf-8"?>
<ds:datastoreItem xmlns:ds="http://schemas.openxmlformats.org/officeDocument/2006/customXml" ds:itemID="{80D2EDE3-98DE-4693-AE35-B53D21906903}"/>
</file>

<file path=docProps/app.xml><?xml version="1.0" encoding="utf-8"?>
<Properties xmlns="http://schemas.openxmlformats.org/officeDocument/2006/extended-properties" xmlns:vt="http://schemas.openxmlformats.org/officeDocument/2006/docPropsVTypes">
  <Template>Debate</Template>
  <TotalTime>171</TotalTime>
  <Pages>1</Pages>
  <Words>2203</Words>
  <Characters>12559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debateadmin</dc:creator>
  <cp:keywords>5.0</cp:keywords>
  <dc:description/>
  <cp:lastModifiedBy>debateadmin</cp:lastModifiedBy>
  <cp:revision>5</cp:revision>
  <dcterms:created xsi:type="dcterms:W3CDTF">2014-07-30T23:09:00Z</dcterms:created>
  <dcterms:modified xsi:type="dcterms:W3CDTF">2014-07-31T03:29:00Z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