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B85" w:rsidRDefault="00A64B85" w:rsidP="00A64B85">
      <w:pPr>
        <w:pStyle w:val="Heading3"/>
      </w:pPr>
      <w:r>
        <w:t>T ocean exploration 1NC</w:t>
      </w:r>
    </w:p>
    <w:p w:rsidR="00195418" w:rsidRDefault="008F7761" w:rsidP="00195418">
      <w:pPr>
        <w:pStyle w:val="Heading4"/>
      </w:pPr>
      <w:r>
        <w:t>Ocean e</w:t>
      </w:r>
      <w:r w:rsidR="00195418">
        <w:t xml:space="preserve">xploration is discovery of the </w:t>
      </w:r>
      <w:r w:rsidR="00195418">
        <w:rPr>
          <w:u w:val="single"/>
        </w:rPr>
        <w:t>unknown</w:t>
      </w:r>
    </w:p>
    <w:p w:rsidR="008F7761" w:rsidRPr="0056422E" w:rsidRDefault="008F7761" w:rsidP="008F7761">
      <w:pPr>
        <w:rPr>
          <w:rStyle w:val="Style13ptBold"/>
        </w:rPr>
      </w:pPr>
      <w:r w:rsidRPr="0056422E">
        <w:rPr>
          <w:rStyle w:val="Style13ptBold"/>
        </w:rPr>
        <w:t>OER ‘12</w:t>
      </w:r>
    </w:p>
    <w:p w:rsidR="008F7761" w:rsidRDefault="008F7761" w:rsidP="008F7761">
      <w:r>
        <w:t>Office of Exploration and Research, OER, is a subsection of the NOAA, The National Oceanic and Atmospheric Administration. This blue-ribbon panel and report was commissioned by Raymond J. Ban – Chair, NOAA Science Advisory Board. “Ocean Exploration’s Second Decade” – December 2012. http://explore.noaa.gov/sites/OER/Documents/about-oer/program-review/2012-12-12-FINAL-OE-Review-Report.pdf.</w:t>
      </w:r>
    </w:p>
    <w:p w:rsidR="008F7761" w:rsidRDefault="008F7761" w:rsidP="008F7761">
      <w:r>
        <w:tab/>
      </w:r>
    </w:p>
    <w:p w:rsidR="008F7761" w:rsidRPr="00601D46" w:rsidRDefault="008F7761" w:rsidP="008F7761">
      <w:pPr>
        <w:rPr>
          <w:sz w:val="16"/>
        </w:rPr>
      </w:pPr>
      <w:r w:rsidRPr="002369C6">
        <w:rPr>
          <w:sz w:val="16"/>
        </w:rPr>
        <w:t xml:space="preserve">The 2000 Panel recommended the U.S. government establish the Ocean Exploration Program for an initial period of 10 years, with new funding at the level of $75 million per year, excluding capitalization costs. The 2000 Panel’s recommendations are listed to the right. </w:t>
      </w:r>
      <w:r w:rsidRPr="000A35AA">
        <w:rPr>
          <w:rStyle w:val="StyleUnderline"/>
          <w:highlight w:val="yellow"/>
        </w:rPr>
        <w:t>The</w:t>
      </w:r>
      <w:r w:rsidRPr="002369C6">
        <w:rPr>
          <w:rStyle w:val="StyleUnderline"/>
        </w:rPr>
        <w:t xml:space="preserve"> </w:t>
      </w:r>
      <w:r w:rsidRPr="002369C6">
        <w:rPr>
          <w:sz w:val="16"/>
        </w:rPr>
        <w:t xml:space="preserve">present </w:t>
      </w:r>
      <w:r w:rsidRPr="000A35AA">
        <w:rPr>
          <w:rStyle w:val="StyleUnderline"/>
          <w:highlight w:val="yellow"/>
        </w:rPr>
        <w:t>Panel affirms the</w:t>
      </w:r>
      <w:r w:rsidRPr="002369C6">
        <w:rPr>
          <w:sz w:val="16"/>
        </w:rPr>
        <w:t xml:space="preserve"> brief </w:t>
      </w:r>
      <w:r w:rsidRPr="000A35AA">
        <w:rPr>
          <w:rStyle w:val="Emphasis"/>
          <w:highlight w:val="yellow"/>
        </w:rPr>
        <w:t>definition of exploration</w:t>
      </w:r>
      <w:r w:rsidRPr="002369C6">
        <w:rPr>
          <w:sz w:val="16"/>
        </w:rPr>
        <w:t xml:space="preserve"> of the 2000 Panel: </w:t>
      </w:r>
      <w:r w:rsidRPr="000A35AA">
        <w:rPr>
          <w:rStyle w:val="StyleUnderline"/>
          <w:highlight w:val="yellow"/>
        </w:rPr>
        <w:t>Exploration is the</w:t>
      </w:r>
      <w:r w:rsidRPr="002369C6">
        <w:rPr>
          <w:sz w:val="16"/>
        </w:rPr>
        <w:t xml:space="preserve"> systematic </w:t>
      </w:r>
      <w:r w:rsidRPr="000A35AA">
        <w:rPr>
          <w:rStyle w:val="StyleUnderline"/>
          <w:highlight w:val="yellow"/>
        </w:rPr>
        <w:t>search</w:t>
      </w:r>
      <w:r w:rsidRPr="002369C6">
        <w:rPr>
          <w:sz w:val="16"/>
        </w:rPr>
        <w:t xml:space="preserve"> and investigation </w:t>
      </w:r>
      <w:r w:rsidRPr="000A35AA">
        <w:rPr>
          <w:rStyle w:val="StyleUnderline"/>
          <w:highlight w:val="yellow"/>
        </w:rPr>
        <w:t>for</w:t>
      </w:r>
      <w:r w:rsidRPr="008F7761">
        <w:rPr>
          <w:rStyle w:val="StyleUnderline"/>
        </w:rPr>
        <w:t xml:space="preserve"> </w:t>
      </w:r>
      <w:r w:rsidRPr="000A35AA">
        <w:rPr>
          <w:rStyle w:val="StyleUnderline"/>
          <w:highlight w:val="yellow"/>
        </w:rPr>
        <w:t>the initial purpose of</w:t>
      </w:r>
      <w:r w:rsidRPr="002369C6">
        <w:rPr>
          <w:sz w:val="16"/>
        </w:rPr>
        <w:t xml:space="preserve"> </w:t>
      </w:r>
      <w:r w:rsidRPr="000A35AA">
        <w:rPr>
          <w:rStyle w:val="StyleUnderline"/>
          <w:highlight w:val="yellow"/>
        </w:rPr>
        <w:t>discovery</w:t>
      </w:r>
      <w:r w:rsidRPr="002369C6">
        <w:rPr>
          <w:sz w:val="16"/>
        </w:rPr>
        <w:t xml:space="preserve"> and the more elaborated definition of the US Navy: Systematic examination for the purposes of discovery; cataloging/documenting what one finds; </w:t>
      </w:r>
      <w:r w:rsidRPr="000A35AA">
        <w:rPr>
          <w:rStyle w:val="Emphasis"/>
          <w:highlight w:val="yellow"/>
        </w:rPr>
        <w:t>boldly going where no one has gone before</w:t>
      </w:r>
      <w:r w:rsidRPr="002369C6">
        <w:rPr>
          <w:sz w:val="16"/>
        </w:rPr>
        <w:t xml:space="preserve">; providing an initial knowledge base for hypothesis-based science and for exploitation. The Panel affirms that </w:t>
      </w:r>
      <w:r w:rsidRPr="000A35AA">
        <w:rPr>
          <w:rStyle w:val="StyleUnderline"/>
          <w:highlight w:val="yellow"/>
        </w:rPr>
        <w:t>Ocean Exploration is distinct from</w:t>
      </w:r>
      <w:r w:rsidRPr="002369C6">
        <w:rPr>
          <w:sz w:val="16"/>
        </w:rPr>
        <w:t xml:space="preserve"> comprehensive </w:t>
      </w:r>
      <w:r w:rsidRPr="000A35AA">
        <w:rPr>
          <w:rStyle w:val="StyleUnderline"/>
          <w:highlight w:val="yellow"/>
        </w:rPr>
        <w:t>surveys</w:t>
      </w:r>
      <w:r w:rsidRPr="002369C6">
        <w:rPr>
          <w:sz w:val="16"/>
        </w:rPr>
        <w:t xml:space="preserve"> (such as those carried out by NAVOCEANO and NOAA Corps) </w:t>
      </w:r>
      <w:r w:rsidRPr="000A35AA">
        <w:rPr>
          <w:rStyle w:val="Emphasis"/>
          <w:highlight w:val="yellow"/>
        </w:rPr>
        <w:t>and at-sea research</w:t>
      </w:r>
      <w:r w:rsidRPr="002369C6">
        <w:rPr>
          <w:sz w:val="16"/>
        </w:rPr>
        <w:t xml:space="preserve"> (sponsored by National Science Foundation, Office of Naval Research, and other agencies), </w:t>
      </w:r>
      <w:r w:rsidRPr="000A35AA">
        <w:rPr>
          <w:rStyle w:val="StyleUnderline"/>
          <w:highlight w:val="yellow"/>
        </w:rPr>
        <w:t>including</w:t>
      </w:r>
      <w:r w:rsidRPr="002369C6">
        <w:rPr>
          <w:sz w:val="16"/>
        </w:rPr>
        <w:t xml:space="preserve"> hypothesis-driven </w:t>
      </w:r>
      <w:r w:rsidRPr="000A35AA">
        <w:rPr>
          <w:rStyle w:val="StyleUnderline"/>
          <w:highlight w:val="yellow"/>
        </w:rPr>
        <w:t>investigations aimed at the ocean bottom,</w:t>
      </w:r>
      <w:r>
        <w:rPr>
          <w:rStyle w:val="StyleUnderline"/>
        </w:rPr>
        <w:t xml:space="preserve"> </w:t>
      </w:r>
      <w:r w:rsidRPr="002369C6">
        <w:rPr>
          <w:sz w:val="16"/>
        </w:rPr>
        <w:t xml:space="preserve">artifacts, water column, </w:t>
      </w:r>
      <w:r w:rsidRPr="000A35AA">
        <w:rPr>
          <w:rStyle w:val="StyleUnderline"/>
          <w:highlight w:val="yellow"/>
        </w:rPr>
        <w:t>and marine life.</w:t>
      </w:r>
      <w:r w:rsidRPr="002369C6">
        <w:rPr>
          <w:sz w:val="16"/>
        </w:rPr>
        <w:t xml:space="preserve"> </w:t>
      </w:r>
      <w:r w:rsidRPr="002369C6">
        <w:rPr>
          <w:rStyle w:val="StyleUnderline"/>
        </w:rPr>
        <w:t>The present Panel finds undiminished motivations for</w:t>
      </w:r>
      <w:r w:rsidRPr="002369C6">
        <w:rPr>
          <w:sz w:val="16"/>
        </w:rPr>
        <w:t xml:space="preserve"> the U.S. National Program in </w:t>
      </w:r>
      <w:r w:rsidRPr="002369C6">
        <w:rPr>
          <w:rStyle w:val="StyleUnderline"/>
        </w:rPr>
        <w:t>ocean exploration</w:t>
      </w:r>
      <w:r w:rsidRPr="002369C6">
        <w:rPr>
          <w:sz w:val="16"/>
        </w:rPr>
        <w:t>. In fact, spurred in part by the Ocean Exploration Program, a renaissance of ocean exploration has occurred during the past decade, both nationally and globally. Most famously, in March 2012 “</w:t>
      </w:r>
      <w:r w:rsidRPr="002369C6">
        <w:rPr>
          <w:rStyle w:val="StyleUnderline"/>
        </w:rPr>
        <w:t>Titanic” film director James Cameron’s vertical torpedo visited the</w:t>
      </w:r>
      <w:r>
        <w:rPr>
          <w:rStyle w:val="StyleUnderline"/>
        </w:rPr>
        <w:t xml:space="preserve"> </w:t>
      </w:r>
      <w:r w:rsidRPr="002369C6">
        <w:rPr>
          <w:sz w:val="16"/>
        </w:rPr>
        <w:t xml:space="preserve">Mariana Trench’s Challenger Deep, </w:t>
      </w:r>
      <w:r w:rsidRPr="002369C6">
        <w:rPr>
          <w:rStyle w:val="StyleUnderline"/>
        </w:rPr>
        <w:t>Earth’s deepest valley</w:t>
      </w:r>
      <w:r w:rsidRPr="002369C6">
        <w:rPr>
          <w:sz w:val="16"/>
        </w:rPr>
        <w:t>.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flag-laying at the North Pole seafloor, and the renewed visits to the RMS Titanic.</w:t>
      </w:r>
    </w:p>
    <w:p w:rsidR="00A95652" w:rsidRDefault="00A95652" w:rsidP="008C1B2E"/>
    <w:p w:rsidR="008F7761" w:rsidRDefault="008F7761" w:rsidP="008F7761">
      <w:pPr>
        <w:pStyle w:val="Heading4"/>
      </w:pPr>
      <w:r>
        <w:t xml:space="preserve">Violation – they aren’t trying to discover an unknown. </w:t>
      </w:r>
    </w:p>
    <w:p w:rsidR="008F7761" w:rsidRDefault="00814FE6" w:rsidP="00814FE6">
      <w:pPr>
        <w:pStyle w:val="ListParagraph"/>
        <w:numPr>
          <w:ilvl w:val="0"/>
          <w:numId w:val="11"/>
        </w:numPr>
      </w:pPr>
      <w:r>
        <w:t xml:space="preserve">They are known - </w:t>
      </w:r>
      <w:r w:rsidR="008F7761">
        <w:t>Even if the arguments they make aren’t well known they are known – otherwise they wouldn’</w:t>
      </w:r>
      <w:r w:rsidR="006F2AAF">
        <w:t>t have</w:t>
      </w:r>
      <w:r w:rsidR="008F7761">
        <w:t xml:space="preserve"> any cards to read about them.</w:t>
      </w:r>
      <w:r w:rsidR="006F2AAF">
        <w:t xml:space="preserve"> The exploration was done by their 1ac author </w:t>
      </w:r>
      <w:r>
        <w:t xml:space="preserve">or the author of the book NOT </w:t>
      </w:r>
      <w:r w:rsidR="006F2AAF">
        <w:t xml:space="preserve">by the </w:t>
      </w:r>
      <w:proofErr w:type="spellStart"/>
      <w:r w:rsidR="006F2AAF">
        <w:t>aff</w:t>
      </w:r>
      <w:proofErr w:type="spellEnd"/>
      <w:r w:rsidR="006F2AAF">
        <w:t>.</w:t>
      </w:r>
    </w:p>
    <w:p w:rsidR="00814FE6" w:rsidRDefault="00814FE6" w:rsidP="008C1B2E"/>
    <w:p w:rsidR="008F7761" w:rsidRDefault="00814FE6" w:rsidP="00814FE6">
      <w:pPr>
        <w:pStyle w:val="ListParagraph"/>
        <w:numPr>
          <w:ilvl w:val="0"/>
          <w:numId w:val="11"/>
        </w:numPr>
      </w:pPr>
      <w:r>
        <w:t>Relationship – they advocate an exploration of their</w:t>
      </w:r>
      <w:r w:rsidRPr="003373B5">
        <w:t xml:space="preserve"> </w:t>
      </w:r>
      <w:r>
        <w:t>RELATIONSHIP</w:t>
      </w:r>
      <w:r w:rsidRPr="003373B5">
        <w:t xml:space="preserve"> to Earth’s</w:t>
      </w:r>
      <w:r>
        <w:t xml:space="preserve"> oceans not an exploration of the ocean. </w:t>
      </w:r>
    </w:p>
    <w:p w:rsidR="00814FE6" w:rsidRDefault="00814FE6" w:rsidP="008C1B2E"/>
    <w:p w:rsidR="008F7761" w:rsidRDefault="008F7761" w:rsidP="008F7761">
      <w:pPr>
        <w:pStyle w:val="Heading4"/>
      </w:pPr>
      <w:r>
        <w:t xml:space="preserve">Vote </w:t>
      </w:r>
      <w:proofErr w:type="spellStart"/>
      <w:r>
        <w:t>neg</w:t>
      </w:r>
      <w:proofErr w:type="spellEnd"/>
    </w:p>
    <w:p w:rsidR="008F7761" w:rsidRDefault="008F7761" w:rsidP="008C1B2E"/>
    <w:p w:rsidR="000A35AA" w:rsidRDefault="006F2AAF" w:rsidP="000A35AA">
      <w:pPr>
        <w:pStyle w:val="Heading4"/>
        <w:rPr>
          <w:rFonts w:eastAsia="Calibri"/>
        </w:rPr>
      </w:pPr>
      <w:r>
        <w:t>Predictability</w:t>
      </w:r>
      <w:r w:rsidR="000A35AA">
        <w:rPr>
          <w:rFonts w:eastAsia="Calibri"/>
          <w:b w:val="0"/>
          <w:u w:val="single"/>
        </w:rPr>
        <w:t xml:space="preserve"> </w:t>
      </w:r>
      <w:r w:rsidR="000A35AA" w:rsidRPr="00FC391B">
        <w:t xml:space="preserve">- The resolution proposes the question the negative is prepared to answer and creates a bounded list of potential </w:t>
      </w:r>
      <w:proofErr w:type="spellStart"/>
      <w:r w:rsidR="000A35AA" w:rsidRPr="00FC391B">
        <w:t>affs</w:t>
      </w:r>
      <w:proofErr w:type="spellEnd"/>
      <w:r w:rsidR="000A35AA" w:rsidRPr="00FC391B">
        <w:t xml:space="preserve"> for us to think about.  Debate has unique potential to change attitudes and grow critical thinking skills </w:t>
      </w:r>
      <w:r w:rsidR="000A35AA" w:rsidRPr="006F2AAF">
        <w:t xml:space="preserve">because </w:t>
      </w:r>
      <w:r w:rsidR="000A35AA" w:rsidRPr="00FC391B">
        <w:t>it forces pre-round internal deliberation on a of a focused, common ground of debate</w:t>
      </w:r>
    </w:p>
    <w:p w:rsidR="000A35AA" w:rsidRDefault="000A35AA" w:rsidP="000A35AA">
      <w:r>
        <w:t xml:space="preserve">Robert E. </w:t>
      </w:r>
      <w:proofErr w:type="spellStart"/>
      <w:r>
        <w:rPr>
          <w:rStyle w:val="Style13ptBold"/>
        </w:rPr>
        <w:t>Goodin</w:t>
      </w:r>
      <w:proofErr w:type="spellEnd"/>
      <w:r>
        <w:rPr>
          <w:rStyle w:val="Style13ptBold"/>
        </w:rPr>
        <w:t xml:space="preserve"> and</w:t>
      </w:r>
      <w:r>
        <w:t xml:space="preserve"> Simon J. </w:t>
      </w:r>
      <w:r>
        <w:rPr>
          <w:rStyle w:val="Style13ptBold"/>
        </w:rPr>
        <w:t>Niemeyer</w:t>
      </w:r>
      <w:r>
        <w:t xml:space="preserve">- Australian National University- </w:t>
      </w:r>
      <w:r>
        <w:rPr>
          <w:rStyle w:val="Style13ptBold"/>
        </w:rPr>
        <w:t>2003</w:t>
      </w:r>
      <w:r>
        <w:t xml:space="preserve">, </w:t>
      </w:r>
    </w:p>
    <w:p w:rsidR="000A35AA" w:rsidRDefault="006F2AAF" w:rsidP="000A35AA">
      <w:r>
        <w:t>(</w:t>
      </w:r>
      <w:r w:rsidR="000A35AA">
        <w:t xml:space="preserve">When Does Deliberation Begin? Internal Reflection versus Public Discussion in Deliberative Democracy, POLITICAL STUDIES: 2003 VOL 51, 627–649, </w:t>
      </w:r>
      <w:hyperlink r:id="rId5" w:history="1">
        <w:r w:rsidRPr="00CF38CE">
          <w:rPr>
            <w:rStyle w:val="Hyperlink"/>
          </w:rPr>
          <w:t>http://onlinelibrary.wiley.com/doi/10.1111/j.0032-3217.2003.00450.x/pdf</w:t>
        </w:r>
      </w:hyperlink>
      <w:r>
        <w:t>)</w:t>
      </w:r>
    </w:p>
    <w:p w:rsidR="006F2AAF" w:rsidRDefault="006F2AAF" w:rsidP="000A35AA"/>
    <w:p w:rsidR="000A35AA" w:rsidRDefault="000A35AA" w:rsidP="000A35AA">
      <w:pPr>
        <w:rPr>
          <w:rFonts w:ascii="Times New Roman" w:eastAsia="Calibri" w:hAnsi="Times New Roman"/>
        </w:rPr>
      </w:pPr>
      <w:r>
        <w:t xml:space="preserve">What happened in this particular case, as in any particular case, was in some respects peculiar unto itself. The problem of the Bloomfield Track had been well known and much discussed in the local community for a long </w:t>
      </w:r>
      <w:r>
        <w:rPr>
          <w:rStyle w:val="StyleUnderline"/>
        </w:rPr>
        <w:t>time. Exaggerated claims and counter-claims had become entrenched, and unreflective public opinion polarized around them</w:t>
      </w:r>
      <w:r>
        <w:t xml:space="preserve">. In this circumstance, </w:t>
      </w:r>
      <w:r w:rsidRPr="000A35AA">
        <w:rPr>
          <w:rStyle w:val="StyleUnderline"/>
          <w:highlight w:val="yellow"/>
        </w:rPr>
        <w:t>the effect of the information phase of deliberative processes was to brush away those highly polarized attitudes, dispel</w:t>
      </w:r>
      <w:r>
        <w:rPr>
          <w:rStyle w:val="StyleUnderline"/>
        </w:rPr>
        <w:t xml:space="preserve"> the </w:t>
      </w:r>
      <w:r w:rsidRPr="000A35AA">
        <w:rPr>
          <w:rStyle w:val="StyleUnderline"/>
          <w:highlight w:val="yellow"/>
        </w:rPr>
        <w:t>myths and symbolic posturing</w:t>
      </w:r>
      <w:r>
        <w:rPr>
          <w:rStyle w:val="StyleUnderline"/>
        </w:rPr>
        <w:t xml:space="preserve"> on both sides that had come to dominate the debate, </w:t>
      </w:r>
      <w:r w:rsidRPr="000A35AA">
        <w:rPr>
          <w:rStyle w:val="StyleUnderline"/>
          <w:highlight w:val="yellow"/>
        </w:rPr>
        <w:t>and liberate people to act upon their attitudes</w:t>
      </w:r>
      <w:r>
        <w:t xml:space="preserve"> toward the protection of rainforest itself. </w:t>
      </w:r>
      <w:r>
        <w:rPr>
          <w:rStyle w:val="StyleUnderline"/>
        </w:rPr>
        <w:t>The key</w:t>
      </w:r>
      <w:r>
        <w:t xml:space="preserve"> point, from the perspective of ‘democratic deliberation within’, </w:t>
      </w:r>
      <w:r>
        <w:rPr>
          <w:rStyle w:val="StyleUnderline"/>
        </w:rPr>
        <w:t xml:space="preserve">is that </w:t>
      </w:r>
      <w:r w:rsidRPr="000A35AA">
        <w:rPr>
          <w:rStyle w:val="StyleUnderline"/>
          <w:highlight w:val="yellow"/>
        </w:rPr>
        <w:t>that happened in the earlier stages</w:t>
      </w:r>
      <w:r>
        <w:rPr>
          <w:rStyle w:val="StyleUnderline"/>
        </w:rPr>
        <w:t xml:space="preserve"> of deliberation – </w:t>
      </w:r>
      <w:r w:rsidRPr="000A35AA">
        <w:rPr>
          <w:rStyle w:val="StyleUnderline"/>
          <w:highlight w:val="yellow"/>
        </w:rPr>
        <w:t>before the formal discussions</w:t>
      </w:r>
      <w:r>
        <w:rPr>
          <w:rStyle w:val="StyleUnderline"/>
        </w:rPr>
        <w:t xml:space="preserve"> </w:t>
      </w:r>
      <w:r>
        <w:rPr>
          <w:rFonts w:ascii="Times New Roman" w:eastAsia="Calibri" w:hAnsi="Times New Roman"/>
          <w:sz w:val="14"/>
        </w:rPr>
        <w:t>(‘deliberations’,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Pr>
          <w:rFonts w:ascii="Times New Roman" w:eastAsia="Calibri" w:hAnsi="Times New Roman"/>
          <w:sz w:val="14"/>
        </w:rPr>
        <w:t>Lupia</w:t>
      </w:r>
      <w:proofErr w:type="spellEnd"/>
      <w:r>
        <w:rPr>
          <w:rFonts w:ascii="Times New Roman" w:eastAsia="Calibri" w:hAnsi="Times New Roman"/>
          <w:sz w:val="14"/>
        </w:rPr>
        <w:t xml:space="preserve">, 1994). These shorthand approaches involve the use of available cues such as ‘expertness’ or ‘attractiveness’ (Petty and </w:t>
      </w:r>
      <w:proofErr w:type="spellStart"/>
      <w:r>
        <w:rPr>
          <w:rFonts w:ascii="Times New Roman" w:eastAsia="Calibri" w:hAnsi="Times New Roman"/>
          <w:sz w:val="14"/>
        </w:rPr>
        <w:t>Cacioppo</w:t>
      </w:r>
      <w:proofErr w:type="spellEnd"/>
      <w:r>
        <w:rPr>
          <w:rFonts w:ascii="Times New Roman" w:eastAsia="Calibri" w:hAnsi="Times New Roman"/>
          <w:sz w:val="14"/>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t xml:space="preserve">The suggestion here is that </w:t>
      </w:r>
      <w:r w:rsidRPr="000A35AA">
        <w:rPr>
          <w:rStyle w:val="StyleUnderline"/>
          <w:highlight w:val="yellow"/>
        </w:rPr>
        <w:t>we lead our ordinary lives largely on autopilot</w:t>
      </w:r>
      <w:r>
        <w:rPr>
          <w:rStyle w:val="StyleUnderline"/>
        </w:rPr>
        <w:t xml:space="preserve">, doing routine things in routine ways without much thought or reflection. </w:t>
      </w:r>
      <w:r w:rsidRPr="000A35AA">
        <w:rPr>
          <w:rStyle w:val="StyleUnderline"/>
          <w:highlight w:val="yellow"/>
        </w:rPr>
        <w:t>When we come across something ‘new’, we update our</w:t>
      </w:r>
      <w:r>
        <w:rPr>
          <w:rStyle w:val="StyleUnderline"/>
        </w:rPr>
        <w:t xml:space="preserve"> routines – our ‘</w:t>
      </w:r>
      <w:r w:rsidRPr="000A35AA">
        <w:rPr>
          <w:rStyle w:val="StyleUnderline"/>
          <w:highlight w:val="yellow"/>
        </w:rPr>
        <w:t>running’ beliefs</w:t>
      </w:r>
      <w:r>
        <w:rPr>
          <w:rStyle w:val="StyleUnderline"/>
        </w:rPr>
        <w:t xml:space="preserve"> and pro </w:t>
      </w:r>
      <w:proofErr w:type="spellStart"/>
      <w:r>
        <w:rPr>
          <w:rStyle w:val="StyleUnderline"/>
        </w:rPr>
        <w:t>cedures</w:t>
      </w:r>
      <w:proofErr w:type="spellEnd"/>
      <w:r>
        <w:rPr>
          <w:rStyle w:val="StyleUnderline"/>
        </w:rPr>
        <w:t xml:space="preserve">, attitudes and evaluations – </w:t>
      </w:r>
      <w:r w:rsidRPr="000A35AA">
        <w:rPr>
          <w:rStyle w:val="StyleUnderline"/>
          <w:highlight w:val="yellow"/>
        </w:rPr>
        <w:t>accordingly</w:t>
      </w:r>
      <w:r>
        <w:rPr>
          <w:rStyle w:val="StyleUnderline"/>
        </w:rPr>
        <w:t xml:space="preserve">. </w:t>
      </w:r>
      <w:r w:rsidRPr="000A35AA">
        <w:rPr>
          <w:rStyle w:val="StyleUnderline"/>
          <w:highlight w:val="yellow"/>
        </w:rPr>
        <w:t>But having updated, we</w:t>
      </w:r>
      <w:r>
        <w:rPr>
          <w:rStyle w:val="StyleUnderline"/>
        </w:rPr>
        <w:t xml:space="preserve"> then </w:t>
      </w:r>
      <w:r w:rsidRPr="000A35AA">
        <w:rPr>
          <w:rStyle w:val="StyleUnderline"/>
          <w:highlight w:val="yellow"/>
        </w:rPr>
        <w:t>drop the impetus for the update into deep-stored ‘memory’</w:t>
      </w:r>
      <w:r>
        <w:t xml:space="preserve">. A consequence of this procedure is that, </w:t>
      </w:r>
      <w:r>
        <w:rPr>
          <w:rStyle w:val="StyleUnderline"/>
        </w:rPr>
        <w:t xml:space="preserve">when asked in the ordinary course of events ‘what we believe’ </w:t>
      </w:r>
      <w:r>
        <w:t>or</w:t>
      </w:r>
      <w:r>
        <w:rPr>
          <w:rStyle w:val="StyleUnderline"/>
        </w:rPr>
        <w:t xml:space="preserve"> </w:t>
      </w:r>
      <w:r>
        <w:t xml:space="preserve">‘what attitude we take’ toward something, </w:t>
      </w:r>
      <w:r w:rsidRPr="000A35AA">
        <w:rPr>
          <w:rStyle w:val="StyleUnderline"/>
          <w:highlight w:val="yellow"/>
        </w:rPr>
        <w:t>we easily retrieve what we think but we cannot so easily retrieve the reasons why</w:t>
      </w:r>
      <w:r w:rsidRPr="000A35AA">
        <w:rPr>
          <w:highlight w:val="yellow"/>
        </w:rPr>
        <w:t>.</w:t>
      </w:r>
      <w:r>
        <w:t xml:space="preserve"> </w:t>
      </w:r>
      <w:r w:rsidRPr="000A35AA">
        <w:rPr>
          <w:rStyle w:val="StyleUnderline"/>
          <w:highlight w:val="yellow"/>
        </w:rPr>
        <w:t>That</w:t>
      </w:r>
      <w:r>
        <w:rPr>
          <w:rStyle w:val="StyleUnderline"/>
        </w:rPr>
        <w:t xml:space="preserve"> more </w:t>
      </w:r>
      <w:r w:rsidRPr="000A35AA">
        <w:rPr>
          <w:rStyle w:val="StyleUnderline"/>
          <w:highlight w:val="yellow"/>
        </w:rPr>
        <w:t>fully reasoned assessment</w:t>
      </w:r>
      <w:r>
        <w:rPr>
          <w:rStyle w:val="StyleUnderline"/>
        </w:rPr>
        <w:t xml:space="preserve"> – the sort of thing we have been calling </w:t>
      </w:r>
      <w:r w:rsidRPr="000A35AA">
        <w:rPr>
          <w:rStyle w:val="StyleUnderline"/>
          <w:highlight w:val="yellow"/>
        </w:rPr>
        <w:t>internal-reflective deliberation</w:t>
      </w:r>
      <w:r>
        <w:rPr>
          <w:rStyle w:val="StyleUnderline"/>
        </w:rPr>
        <w:t xml:space="preserve"> – </w:t>
      </w:r>
      <w:r w:rsidRPr="000A35AA">
        <w:rPr>
          <w:rStyle w:val="StyleUnderline"/>
          <w:highlight w:val="yellow"/>
        </w:rPr>
        <w:t>requires us to call up reasons</w:t>
      </w:r>
      <w:r>
        <w:rPr>
          <w:rStyle w:val="StyleUnderline"/>
        </w:rPr>
        <w:t xml:space="preserve"> from stored memory </w:t>
      </w:r>
      <w:r w:rsidRPr="000A35AA">
        <w:rPr>
          <w:rStyle w:val="StyleUnderline"/>
          <w:highlight w:val="yellow"/>
        </w:rPr>
        <w:t>rather than</w:t>
      </w:r>
      <w:r>
        <w:rPr>
          <w:rStyle w:val="StyleUnderline"/>
        </w:rPr>
        <w:t xml:space="preserve"> just </w:t>
      </w:r>
      <w:r w:rsidRPr="000A35AA">
        <w:rPr>
          <w:rStyle w:val="StyleUnderline"/>
          <w:highlight w:val="yellow"/>
        </w:rPr>
        <w:t>consulting our</w:t>
      </w:r>
      <w:r>
        <w:rPr>
          <w:rStyle w:val="StyleUnderline"/>
        </w:rPr>
        <w:t xml:space="preserve"> running on-line ‘</w:t>
      </w:r>
      <w:r w:rsidRPr="000A35AA">
        <w:rPr>
          <w:rStyle w:val="StyleUnderline"/>
          <w:highlight w:val="yellow"/>
        </w:rPr>
        <w:t>summary judgments’</w:t>
      </w:r>
      <w:r>
        <w:rPr>
          <w:rStyle w:val="StyleUnderline"/>
        </w:rPr>
        <w:t xml:space="preserve">. </w:t>
      </w:r>
      <w:r>
        <w:rPr>
          <w:rFonts w:ascii="Times New Roman" w:eastAsia="Calibri" w:hAnsi="Times New Roman"/>
          <w:sz w:val="14"/>
        </w:rPr>
        <w:t>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t xml:space="preserve"> </w:t>
      </w:r>
      <w:r w:rsidRPr="000A35AA">
        <w:rPr>
          <w:rStyle w:val="StyleUnderline"/>
          <w:highlight w:val="yellow"/>
        </w:rPr>
        <w:t>elements of the pre-discursive process are likely to prove crucial to the shaping and reshaping of people’s attitudes</w:t>
      </w:r>
      <w:r>
        <w:t xml:space="preserve"> in a citizens’ jury-style process. </w:t>
      </w:r>
      <w:r>
        <w:rPr>
          <w:rStyle w:val="StyleUnderline"/>
        </w:rPr>
        <w:t xml:space="preserve">The initial processes of </w:t>
      </w:r>
      <w:r w:rsidRPr="000A35AA">
        <w:rPr>
          <w:rStyle w:val="StyleUnderline"/>
          <w:highlight w:val="yellow"/>
        </w:rPr>
        <w:t>focusing attention on a topic</w:t>
      </w:r>
      <w:r>
        <w:rPr>
          <w:rStyle w:val="StyleUnderline"/>
        </w:rPr>
        <w:t xml:space="preserve">, </w:t>
      </w:r>
      <w:r w:rsidRPr="000A35AA">
        <w:rPr>
          <w:rStyle w:val="StyleUnderline"/>
          <w:highlight w:val="yellow"/>
        </w:rPr>
        <w:t>providing information</w:t>
      </w:r>
      <w:r>
        <w:rPr>
          <w:rStyle w:val="StyleUnderline"/>
        </w:rPr>
        <w:t xml:space="preserve"> about it </w:t>
      </w:r>
      <w:r w:rsidRPr="000A35AA">
        <w:rPr>
          <w:rStyle w:val="StyleUnderline"/>
          <w:highlight w:val="yellow"/>
        </w:rPr>
        <w:t>and inviting people to think hard</w:t>
      </w:r>
      <w:r>
        <w:rPr>
          <w:rStyle w:val="StyleUnderline"/>
        </w:rPr>
        <w:t xml:space="preserve"> about it </w:t>
      </w:r>
      <w:r w:rsidRPr="000A35AA">
        <w:rPr>
          <w:rStyle w:val="StyleUnderline"/>
          <w:highlight w:val="yellow"/>
        </w:rPr>
        <w:t xml:space="preserve">is </w:t>
      </w:r>
      <w:r w:rsidRPr="000A35AA">
        <w:rPr>
          <w:rStyle w:val="Emphasis"/>
          <w:highlight w:val="yellow"/>
        </w:rPr>
        <w:t>likely to provide a strong impetus to internal-reflective deliberation</w:t>
      </w:r>
      <w:r>
        <w:rPr>
          <w:rStyle w:val="Emphasis"/>
        </w:rPr>
        <w:t xml:space="preserve">, </w:t>
      </w:r>
      <w:r w:rsidRPr="000A35AA">
        <w:rPr>
          <w:rStyle w:val="Emphasis"/>
          <w:highlight w:val="yellow"/>
        </w:rPr>
        <w:t>altering</w:t>
      </w:r>
      <w:r>
        <w:rPr>
          <w:rStyle w:val="Emphasis"/>
        </w:rPr>
        <w:t xml:space="preserve"> not just the information people have about the issue but also </w:t>
      </w:r>
      <w:r w:rsidRPr="000A35AA">
        <w:rPr>
          <w:rStyle w:val="Emphasis"/>
          <w:highlight w:val="yellow"/>
        </w:rPr>
        <w:t>the way people process that information and</w:t>
      </w:r>
      <w:r>
        <w:rPr>
          <w:rStyle w:val="Emphasis"/>
        </w:rPr>
        <w:t xml:space="preserve"> hence (perhaps) </w:t>
      </w:r>
      <w:r w:rsidRPr="000A35AA">
        <w:rPr>
          <w:rStyle w:val="Emphasis"/>
          <w:highlight w:val="yellow"/>
        </w:rPr>
        <w:t>what they think</w:t>
      </w:r>
      <w:r>
        <w:rPr>
          <w:rStyle w:val="StyleUnderline"/>
        </w:rPr>
        <w:t xml:space="preserve"> about the issue.</w:t>
      </w:r>
      <w:r>
        <w:t xml:space="preserve"> </w:t>
      </w:r>
      <w:r>
        <w:rPr>
          <w:rFonts w:ascii="Times New Roman" w:eastAsia="Calibri" w:hAnsi="Times New Roman"/>
        </w:rPr>
        <w:t xml:space="preserve">What happens once people have shifted into this more internal-reflective mode is, obviously, an open question. Maybe people would then come to an easy consensus, as they did in their attitudes toward the </w:t>
      </w:r>
      <w:proofErr w:type="spellStart"/>
      <w:r>
        <w:rPr>
          <w:rFonts w:ascii="Times New Roman" w:eastAsia="Calibri" w:hAnsi="Times New Roman"/>
        </w:rPr>
        <w:t>Daintree</w:t>
      </w:r>
      <w:proofErr w:type="spellEnd"/>
      <w:r>
        <w:rPr>
          <w:rFonts w:ascii="Times New Roman" w:eastAsia="Calibri" w:hAnsi="Times New Roman"/>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t xml:space="preserve">ordered deliberative settings? Even in citizens’ juries, deliberation will work only if people are attentive, open and willing to change their minds as appropriate. So, too, in mass politics. In citizens’ juries the need to participate (or </w:t>
      </w:r>
      <w:r w:rsidRPr="006F2AAF">
        <w:rPr>
          <w:b/>
          <w:sz w:val="24"/>
          <w:highlight w:val="yellow"/>
          <w:u w:val="single"/>
          <w:shd w:val="clear" w:color="auto" w:fill="00FFFF"/>
        </w:rPr>
        <w:t>the anticipation of participating) in formally organized group discussions might be the ‘prompt’ that evokes those attributes</w:t>
      </w:r>
      <w:r w:rsidRPr="006F2AAF">
        <w:rPr>
          <w:highlight w:val="yellow"/>
        </w:rPr>
        <w:t>.</w:t>
      </w:r>
      <w:r>
        <w:t xml:space="preserve"> But there might be many other possible ‘prompts’ that can be found in less formally structured mass-political settings. </w:t>
      </w:r>
      <w:r>
        <w:rPr>
          <w:sz w:val="24"/>
          <w:u w:val="single"/>
        </w:rPr>
        <w:t>Here are a few ways</w:t>
      </w:r>
      <w:r>
        <w:t xml:space="preserve"> citizens’ juries (and all </w:t>
      </w:r>
      <w:r w:rsidRPr="006F2AAF">
        <w:t>cognate micro-deliberative processes)</w:t>
      </w:r>
      <w:r>
        <w:t xml:space="preserve">37 </w:t>
      </w:r>
      <w:r w:rsidRPr="006F2AAF">
        <w:t>might be different from mass politics,</w:t>
      </w:r>
      <w:r>
        <w:t xml:space="preserve"> and in which </w:t>
      </w:r>
      <w:r>
        <w:rPr>
          <w:sz w:val="24"/>
          <w:u w:val="single"/>
        </w:rPr>
        <w:t>lessons drawn from that experience might not therefore carry over to ordinary politics</w:t>
      </w:r>
      <w:r>
        <w:t xml:space="preserve">: • </w:t>
      </w:r>
      <w:r w:rsidRPr="000A35AA">
        <w:rPr>
          <w:sz w:val="24"/>
          <w:highlight w:val="yellow"/>
          <w:u w:val="single"/>
          <w:shd w:val="clear" w:color="auto" w:fill="00FFFF"/>
        </w:rPr>
        <w:t>A citizens’ jury concentrates people’s minds on a single issue</w:t>
      </w:r>
      <w:r>
        <w:rPr>
          <w:sz w:val="24"/>
          <w:u w:val="single"/>
        </w:rPr>
        <w:t xml:space="preserve">. Ordinary politics involve many issues at once. </w:t>
      </w:r>
      <w:r>
        <w:t xml:space="preserve">• </w:t>
      </w:r>
      <w:r w:rsidRPr="006F2AAF">
        <w:rPr>
          <w:sz w:val="24"/>
          <w:highlight w:val="yellow"/>
          <w:u w:val="single"/>
          <w:shd w:val="clear" w:color="auto" w:fill="00FFFF"/>
        </w:rPr>
        <w:t>A citizens’ jury is</w:t>
      </w:r>
      <w:r>
        <w:rPr>
          <w:sz w:val="24"/>
          <w:u w:val="single"/>
        </w:rPr>
        <w:t xml:space="preserve"> often </w:t>
      </w:r>
      <w:r w:rsidRPr="006F2AAF">
        <w:rPr>
          <w:sz w:val="24"/>
          <w:highlight w:val="yellow"/>
          <w:u w:val="single"/>
          <w:shd w:val="clear" w:color="auto" w:fill="00FFFF"/>
        </w:rPr>
        <w:t>supplied</w:t>
      </w:r>
      <w:r>
        <w:rPr>
          <w:sz w:val="24"/>
          <w:u w:val="single"/>
        </w:rPr>
        <w:t xml:space="preserve"> a </w:t>
      </w:r>
      <w:r w:rsidRPr="006F2AAF">
        <w:rPr>
          <w:sz w:val="24"/>
          <w:highlight w:val="yellow"/>
          <w:u w:val="single"/>
          <w:shd w:val="clear" w:color="auto" w:fill="00FFFF"/>
        </w:rPr>
        <w:t>background</w:t>
      </w:r>
      <w:r>
        <w:t xml:space="preserve"> briefing </w:t>
      </w:r>
      <w:r w:rsidRPr="000A35AA">
        <w:rPr>
          <w:sz w:val="24"/>
          <w:highlight w:val="yellow"/>
          <w:u w:val="single"/>
          <w:shd w:val="clear" w:color="auto" w:fill="00FFFF"/>
        </w:rPr>
        <w:t>that has been</w:t>
      </w:r>
      <w:r w:rsidRPr="006F2AAF">
        <w:t xml:space="preserve"> </w:t>
      </w:r>
      <w:r w:rsidRPr="000A35AA">
        <w:rPr>
          <w:sz w:val="24"/>
          <w:highlight w:val="yellow"/>
          <w:u w:val="single"/>
          <w:shd w:val="clear" w:color="auto" w:fill="00FFFF"/>
        </w:rPr>
        <w:t>agreed by all stakeholders</w:t>
      </w:r>
      <w:r>
        <w:t xml:space="preserve"> (Smith and Wales, 2000, p. 58). </w:t>
      </w:r>
      <w:r w:rsidRPr="006F2AAF">
        <w:t xml:space="preserve">In ordinary mass politics, there is rarely any equivalent common ground on which debates are conducted. </w:t>
      </w:r>
      <w:r>
        <w:t xml:space="preserve">• </w:t>
      </w:r>
      <w:r>
        <w:rPr>
          <w:sz w:val="14"/>
        </w:rPr>
        <w:t xml:space="preserve">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w:t>
      </w:r>
      <w:r>
        <w:t xml:space="preserve">• In </w:t>
      </w:r>
      <w:r>
        <w:rPr>
          <w:sz w:val="24"/>
          <w:u w:val="single"/>
        </w:rPr>
        <w:t xml:space="preserve">a citizens’ jury, </w:t>
      </w:r>
      <w:r w:rsidRPr="000A35AA">
        <w:rPr>
          <w:b/>
          <w:sz w:val="24"/>
          <w:highlight w:val="yellow"/>
          <w:u w:val="single"/>
          <w:shd w:val="clear" w:color="auto" w:fill="00FFFF"/>
        </w:rPr>
        <w:t>we think and listen in anticipation of the discussion phase, knowing that we soon will have to defend our views in a discursive setting where they will be probed intensively</w:t>
      </w:r>
      <w:r w:rsidRPr="000A35AA">
        <w:rPr>
          <w:sz w:val="24"/>
          <w:highlight w:val="yellow"/>
          <w:u w:val="single"/>
        </w:rPr>
        <w:t>.</w:t>
      </w:r>
      <w:r>
        <w:t xml:space="preserve">39 </w:t>
      </w:r>
      <w:proofErr w:type="gramStart"/>
      <w:r>
        <w:t>In</w:t>
      </w:r>
      <w:proofErr w:type="gramEnd"/>
      <w:r>
        <w:t xml:space="preserve"> ordinary mass-political settings, there is no such incentive for paying attention. It is perfectly true that citizens’ juries are ‘special’ in all those ways. But </w:t>
      </w:r>
      <w:r w:rsidRPr="000A35AA">
        <w:rPr>
          <w:sz w:val="24"/>
          <w:highlight w:val="yellow"/>
          <w:u w:val="single"/>
          <w:shd w:val="clear" w:color="auto" w:fill="00FFFF"/>
        </w:rPr>
        <w:t xml:space="preserve">if being special in all those ways makes for a better </w:t>
      </w:r>
      <w:r w:rsidRPr="000A35AA">
        <w:rPr>
          <w:sz w:val="24"/>
          <w:highlight w:val="yellow"/>
          <w:u w:val="single"/>
        </w:rPr>
        <w:t xml:space="preserve">– more ‘reflective’, more ‘deliberative’ – </w:t>
      </w:r>
      <w:r w:rsidRPr="000A35AA">
        <w:rPr>
          <w:sz w:val="24"/>
          <w:highlight w:val="yellow"/>
          <w:u w:val="single"/>
          <w:shd w:val="clear" w:color="auto" w:fill="00FFFF"/>
        </w:rPr>
        <w:t xml:space="preserve">political process, then those are design features that we </w:t>
      </w:r>
      <w:proofErr w:type="gramStart"/>
      <w:r w:rsidRPr="000A35AA">
        <w:rPr>
          <w:sz w:val="24"/>
          <w:highlight w:val="yellow"/>
          <w:u w:val="single"/>
          <w:shd w:val="clear" w:color="auto" w:fill="00FFFF"/>
        </w:rPr>
        <w:t>ought</w:t>
      </w:r>
      <w:proofErr w:type="gramEnd"/>
      <w:r w:rsidRPr="000A35AA">
        <w:rPr>
          <w:sz w:val="24"/>
          <w:highlight w:val="yellow"/>
          <w:u w:val="single"/>
          <w:shd w:val="clear" w:color="auto" w:fill="00FFFF"/>
        </w:rPr>
        <w:t xml:space="preserve"> try to mimic</w:t>
      </w:r>
      <w:r w:rsidRPr="000A35AA">
        <w:rPr>
          <w:sz w:val="24"/>
          <w:highlight w:val="yellow"/>
          <w:u w:val="single"/>
        </w:rPr>
        <w:t xml:space="preserve"> as best we can in ordinary mass politics as well.</w:t>
      </w:r>
      <w:r>
        <w:rPr>
          <w:sz w:val="24"/>
          <w:u w:val="single"/>
        </w:rPr>
        <w:t xml:space="preserve"> </w:t>
      </w:r>
      <w:r>
        <w:rPr>
          <w:sz w:val="14"/>
        </w:rPr>
        <w:t xml:space="preserve">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Pr>
          <w:sz w:val="14"/>
        </w:rPr>
        <w:t>Fishkin</w:t>
      </w:r>
      <w:proofErr w:type="spellEnd"/>
      <w:r>
        <w:rPr>
          <w:sz w:val="14"/>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8F7761" w:rsidRDefault="008F7761" w:rsidP="008C1B2E"/>
    <w:p w:rsidR="00A53642" w:rsidRDefault="00990D8E" w:rsidP="00A53642">
      <w:pPr>
        <w:rPr>
          <w:b/>
        </w:rPr>
      </w:pPr>
      <w:r>
        <w:rPr>
          <w:b/>
        </w:rPr>
        <w:t>Decide the debate</w:t>
      </w:r>
      <w:r w:rsidR="00A53642">
        <w:rPr>
          <w:b/>
        </w:rPr>
        <w:t xml:space="preserve"> using competing interpretations – you should vote for the team that has the best vision for debate. Even if they have an educational approach their interpretation allows hundreds of</w:t>
      </w:r>
      <w:r w:rsidR="00814FE6">
        <w:rPr>
          <w:b/>
        </w:rPr>
        <w:t xml:space="preserve"> </w:t>
      </w:r>
      <w:proofErr w:type="spellStart"/>
      <w:r w:rsidR="00814FE6">
        <w:rPr>
          <w:b/>
        </w:rPr>
        <w:t>non educational</w:t>
      </w:r>
      <w:proofErr w:type="spellEnd"/>
      <w:r w:rsidR="00814FE6">
        <w:rPr>
          <w:b/>
        </w:rPr>
        <w:t xml:space="preserve"> approaches. Their 1ac evidence proves that every individual will have a different relationship with the ocean – that means they allow literally 1000s of different </w:t>
      </w:r>
      <w:r w:rsidR="004E4D33">
        <w:rPr>
          <w:b/>
        </w:rPr>
        <w:t>approaches multiplied by all of the different books, stories and songs. Not all of those would be educational and CLEARLY it’s the opposite of proving a stasis point for researchable in depth discussion.</w:t>
      </w:r>
    </w:p>
    <w:p w:rsidR="00A53642" w:rsidRDefault="00A53642" w:rsidP="008C1B2E"/>
    <w:p w:rsidR="00A53642" w:rsidRDefault="00A53642" w:rsidP="008C1B2E">
      <w:pPr>
        <w:rPr>
          <w:rFonts w:asciiTheme="minorHAnsi" w:hAnsiTheme="minorHAnsi" w:cs="Times New Roman"/>
        </w:rPr>
      </w:pPr>
      <w:r w:rsidRPr="00A53642">
        <w:rPr>
          <w:rFonts w:eastAsiaTheme="majorEastAsia" w:cstheme="majorBidi"/>
          <w:b/>
          <w:iCs/>
          <w:sz w:val="26"/>
        </w:rPr>
        <w:t xml:space="preserve">Topical version of the </w:t>
      </w:r>
      <w:proofErr w:type="spellStart"/>
      <w:r w:rsidRPr="00A53642">
        <w:rPr>
          <w:rFonts w:eastAsiaTheme="majorEastAsia" w:cstheme="majorBidi"/>
          <w:b/>
          <w:iCs/>
          <w:sz w:val="26"/>
        </w:rPr>
        <w:t>aff</w:t>
      </w:r>
      <w:proofErr w:type="spellEnd"/>
      <w:r>
        <w:t xml:space="preserve"> – provide substantial funding to search for </w:t>
      </w:r>
      <w:r w:rsidR="004E4D33">
        <w:t xml:space="preserve">“alien </w:t>
      </w:r>
      <w:proofErr w:type="spellStart"/>
      <w:r w:rsidR="004E4D33">
        <w:t>biologies</w:t>
      </w:r>
      <w:proofErr w:type="spellEnd"/>
      <w:r w:rsidR="004E4D33">
        <w:t>” in the Earth’s oceans.</w:t>
      </w:r>
    </w:p>
    <w:p w:rsidR="004E4D33" w:rsidRDefault="004E4D33" w:rsidP="008C1B2E">
      <w:pPr>
        <w:rPr>
          <w:rFonts w:asciiTheme="minorHAnsi" w:hAnsiTheme="minorHAnsi" w:cs="Times New Roman"/>
        </w:rPr>
      </w:pPr>
    </w:p>
    <w:p w:rsidR="004E4D33" w:rsidRDefault="004E4D33" w:rsidP="00B56129">
      <w:pPr>
        <w:pStyle w:val="Heading4"/>
      </w:pPr>
      <w:bookmarkStart w:id="0" w:name="_GoBack"/>
      <w:bookmarkEnd w:id="0"/>
      <w:r w:rsidRPr="009811E3">
        <w:t xml:space="preserve">Their 1ac solvency advocate explains this version of the </w:t>
      </w:r>
      <w:proofErr w:type="spellStart"/>
      <w:r w:rsidRPr="009811E3">
        <w:t>aff</w:t>
      </w:r>
      <w:proofErr w:type="spellEnd"/>
      <w:r w:rsidRPr="009811E3">
        <w:t>.</w:t>
      </w:r>
    </w:p>
    <w:p w:rsidR="004E4D33" w:rsidRPr="003373B5" w:rsidRDefault="004E4D33" w:rsidP="004E4D33">
      <w:r w:rsidRPr="003373B5">
        <w:rPr>
          <w:rStyle w:val="Style13ptBold"/>
        </w:rPr>
        <w:t>Merrick 08</w:t>
      </w:r>
      <w:r w:rsidRPr="003373B5">
        <w:t xml:space="preserve">, </w:t>
      </w:r>
      <w:r>
        <w:t xml:space="preserve">(4) </w:t>
      </w:r>
      <w:r w:rsidRPr="003373B5">
        <w:t>PhD History (UWA), Senior lecturer at Curtin University, (Helen, “Queering nature: close encounters with the alien in feminist science fiction,” in Pearson, Wendy G. and Hollinger, V. and Gordon, J. (</w:t>
      </w:r>
      <w:proofErr w:type="spellStart"/>
      <w:proofErr w:type="gramStart"/>
      <w:r w:rsidRPr="003373B5">
        <w:t>ed</w:t>
      </w:r>
      <w:proofErr w:type="spellEnd"/>
      <w:proofErr w:type="gramEnd"/>
      <w:r w:rsidRPr="003373B5">
        <w:t xml:space="preserve">), Queer Universes: Sexualities in Science Fiction, pp 216-232. Liverpool: Liverpool University Press, </w:t>
      </w:r>
      <w:hyperlink r:id="rId6" w:history="1">
        <w:r w:rsidRPr="003373B5">
          <w:rPr>
            <w:rStyle w:val="Hyperlink"/>
          </w:rPr>
          <w:t>http://espace.library.curtin.edu.au/R?func=dbin-jump-full&amp;local_base=gen01-era02&amp;object_id=20732)//ED</w:t>
        </w:r>
      </w:hyperlink>
    </w:p>
    <w:p w:rsidR="004E4D33" w:rsidRPr="004E4D33" w:rsidRDefault="004E4D33" w:rsidP="004E4D33">
      <w:r w:rsidRPr="004E4D33">
        <w:t xml:space="preserve">Alien encounters are of course a very charged trope in SF history. As </w:t>
      </w:r>
      <w:proofErr w:type="spellStart"/>
      <w:r w:rsidRPr="004E4D33">
        <w:t>Istvan</w:t>
      </w:r>
      <w:proofErr w:type="spellEnd"/>
      <w:r w:rsidRPr="004E4D33">
        <w:t xml:space="preserve"> </w:t>
      </w:r>
      <w:proofErr w:type="spellStart"/>
      <w:r w:rsidRPr="004E4D33">
        <w:t>Csiscery</w:t>
      </w:r>
      <w:proofErr w:type="spellEnd"/>
      <w:r w:rsidRPr="004E4D33">
        <w:t xml:space="preserve">- </w:t>
      </w:r>
      <w:proofErr w:type="spellStart"/>
      <w:r w:rsidRPr="004E4D33">
        <w:t>Ronay</w:t>
      </w:r>
      <w:proofErr w:type="spellEnd"/>
      <w:r w:rsidRPr="004E4D33">
        <w:t xml:space="preserve"> observes, ‘[a]</w:t>
      </w:r>
      <w:proofErr w:type="spellStart"/>
      <w:r w:rsidRPr="004E4D33">
        <w:t>nxiety</w:t>
      </w:r>
      <w:proofErr w:type="spellEnd"/>
      <w:r w:rsidRPr="004E4D33">
        <w:t xml:space="preserve"> over sexual power and purity underlies most articulations of </w:t>
      </w:r>
      <w:proofErr w:type="spellStart"/>
      <w:r w:rsidRPr="004E4D33">
        <w:t>alienhuman</w:t>
      </w:r>
      <w:proofErr w:type="spellEnd"/>
      <w:r w:rsidRPr="004E4D33">
        <w:t xml:space="preserve"> contacts’; significantly, the alien ‘has always disturbed the deep-lying connection between biology and human culture’ (228-29). Even if it is ultimately defused or </w:t>
      </w:r>
      <w:proofErr w:type="spellStart"/>
      <w:r w:rsidRPr="004E4D33">
        <w:t>recontained</w:t>
      </w:r>
      <w:proofErr w:type="spellEnd"/>
      <w:r w:rsidRPr="004E4D33">
        <w:t xml:space="preserve">, the science fictional alien is immanently disruptive: suggestive of the multiple sexualized and racialized binaries which inflect the category ‘human’, inevitably invoking the other, even as it may be registered as undesirable. However, it is when the alien is deployed as tool for thinking through both (human) nature/s and culture/s that such binaries might be destabilized. If the alien differs from us ‘only’ in terms of its biology, it potentially does little to advance us beyond the realms of the metaphysical anti/pro-naturalist differentiation between human and non-human. That is, to recall </w:t>
      </w:r>
      <w:proofErr w:type="spellStart"/>
      <w:r w:rsidRPr="004E4D33">
        <w:t>Csiscery-Ronay</w:t>
      </w:r>
      <w:proofErr w:type="spellEnd"/>
      <w:r w:rsidRPr="004E4D33">
        <w:t xml:space="preserve"> again, if the alien figures primarily as biologically rather than ontologically Other, then (as when dealing with racial difference) it is often too easy to ‘</w:t>
      </w:r>
      <w:proofErr w:type="spellStart"/>
      <w:r w:rsidRPr="004E4D33">
        <w:t>conflat</w:t>
      </w:r>
      <w:proofErr w:type="spellEnd"/>
      <w:r w:rsidRPr="004E4D33">
        <w:t>[e] cultural difference with putative natural difference’ (</w:t>
      </w:r>
      <w:proofErr w:type="spellStart"/>
      <w:r w:rsidRPr="004E4D33">
        <w:t>Csicsery-Ronay</w:t>
      </w:r>
      <w:proofErr w:type="spellEnd"/>
      <w:r w:rsidRPr="004E4D33">
        <w:t xml:space="preserve"> 229). I want to turn now to some SF examples that are open to readings that ‘queer nature’. Of course many SF texts lend themselves to a queered understanding of nature in one aspect or another, from Mary Shelley’s Frankenstein to Ursula K. Le </w:t>
      </w:r>
      <w:proofErr w:type="spellStart"/>
      <w:r w:rsidRPr="004E4D33">
        <w:t>Guin’s</w:t>
      </w:r>
      <w:proofErr w:type="spellEnd"/>
      <w:r w:rsidRPr="004E4D33">
        <w:t xml:space="preserve"> Left Hand of Darkness (1969), Samuel R. Delany’s Stars in my Pocket like Grains of Sand (1984) and Triton (1976), John </w:t>
      </w:r>
      <w:proofErr w:type="spellStart"/>
      <w:r w:rsidRPr="004E4D33">
        <w:t>Varley’s</w:t>
      </w:r>
      <w:proofErr w:type="spellEnd"/>
      <w:r w:rsidRPr="004E4D33">
        <w:t xml:space="preserve"> GAEAN trilogy (1979-84), and more recently, </w:t>
      </w:r>
      <w:proofErr w:type="spellStart"/>
      <w:r w:rsidRPr="004E4D33">
        <w:t>Nalo</w:t>
      </w:r>
      <w:proofErr w:type="spellEnd"/>
      <w:r w:rsidRPr="004E4D33">
        <w:t xml:space="preserve"> Hopkinson’s Midnight Robber (2000) and The Salt Roads (2003). In this essay I have deliberately chosen to focus on a number of lesser known authors, for two reasons. Firstly, I believe it is important to widen the scope of our reading beyond the usual canon, to explore the different forms of ‘feminism’ that might be recognized or produced through </w:t>
      </w:r>
      <w:proofErr w:type="spellStart"/>
      <w:r w:rsidRPr="004E4D33">
        <w:t>ecofeminist</w:t>
      </w:r>
      <w:proofErr w:type="spellEnd"/>
      <w:r w:rsidRPr="004E4D33">
        <w:t xml:space="preserve"> and queered readings, and to recognize the potential for ‘queered’ readings of what might appear fairly traditional SF treatments. Secondly, I want to look specifically at female-alien encounters, which are less easily mapped as masculinized culture versus feminized nature, or as an (heterosexually) eroticized colonialist ‘tourism’. The texts discussed below share a central concern with the environment and human relations to ‘nature’ which encompass the ways we represent nature. Concomitantly, these texts are concerned with </w:t>
      </w:r>
      <w:r w:rsidRPr="004E4D33">
        <w:rPr>
          <w:rStyle w:val="StyleUnderline"/>
          <w:highlight w:val="yellow"/>
        </w:rPr>
        <w:t xml:space="preserve">alternate understandings of ‘being in’ and knowing ‘nature’, which demand the construction of different scientific discourses and often imagine new biotechnologies, usually represented through an alien culture. One way of encapsulating these themes is through the notion of ‘alien </w:t>
      </w:r>
      <w:proofErr w:type="spellStart"/>
      <w:r w:rsidRPr="004E4D33">
        <w:rPr>
          <w:rStyle w:val="StyleUnderline"/>
          <w:highlight w:val="yellow"/>
        </w:rPr>
        <w:t>biologies</w:t>
      </w:r>
      <w:proofErr w:type="spellEnd"/>
      <w:r w:rsidRPr="004E4D33">
        <w:rPr>
          <w:rStyle w:val="StyleUnderline"/>
          <w:highlight w:val="yellow"/>
        </w:rPr>
        <w:t xml:space="preserve">’, which signify not just biologically different species (and ontology), but also different practices and systems of </w:t>
      </w:r>
      <w:proofErr w:type="spellStart"/>
      <w:r w:rsidRPr="004E4D33">
        <w:rPr>
          <w:rStyle w:val="StyleUnderline"/>
          <w:highlight w:val="yellow"/>
        </w:rPr>
        <w:t>knowledges</w:t>
      </w:r>
      <w:proofErr w:type="spellEnd"/>
      <w:r w:rsidRPr="004E4D33">
        <w:rPr>
          <w:rStyle w:val="StyleUnderline"/>
          <w:highlight w:val="yellow"/>
        </w:rPr>
        <w:t xml:space="preserve"> (alien biological </w:t>
      </w:r>
      <w:proofErr w:type="spellStart"/>
      <w:r w:rsidRPr="004E4D33">
        <w:rPr>
          <w:rStyle w:val="StyleUnderline"/>
          <w:highlight w:val="yellow"/>
        </w:rPr>
        <w:t>technosciences</w:t>
      </w:r>
      <w:proofErr w:type="spellEnd"/>
      <w:r w:rsidRPr="004E4D33">
        <w:rPr>
          <w:rStyle w:val="StyleUnderline"/>
          <w:highlight w:val="yellow"/>
        </w:rPr>
        <w:t>), and finally the intersections (too easily dissolved in the ‘human-nature/human-culture split) between physical being/matter and sociocultural discourses.</w:t>
      </w:r>
      <w:r w:rsidRPr="004E4D33">
        <w:t xml:space="preserve"> Unlike more traditional SF readings which parallel the human/alien with a gendered dichotomy, in these texts the </w:t>
      </w:r>
      <w:proofErr w:type="spellStart"/>
      <w:r w:rsidRPr="004E4D33">
        <w:t>problematics</w:t>
      </w:r>
      <w:proofErr w:type="spellEnd"/>
      <w:r w:rsidRPr="004E4D33">
        <w:t xml:space="preserve"> of difference and otherness are located around the dualism of human/non-human, thus suggesting the possibility of escaping the heterosexual bind. For as Hollinger warns, ‘An emphasis on gender risks the continuous </w:t>
      </w:r>
      <w:proofErr w:type="spellStart"/>
      <w:r w:rsidRPr="004E4D33">
        <w:t>reinscription</w:t>
      </w:r>
      <w:proofErr w:type="spellEnd"/>
      <w:r w:rsidRPr="004E4D33">
        <w:t xml:space="preserve"> of sexual </w:t>
      </w:r>
      <w:proofErr w:type="spellStart"/>
      <w:r w:rsidRPr="004E4D33">
        <w:t>binarism</w:t>
      </w:r>
      <w:proofErr w:type="spellEnd"/>
      <w:r w:rsidRPr="004E4D33">
        <w:t>’, that is, the ‘</w:t>
      </w:r>
      <w:proofErr w:type="spellStart"/>
      <w:r w:rsidRPr="004E4D33">
        <w:t>reinscription</w:t>
      </w:r>
      <w:proofErr w:type="spellEnd"/>
      <w:r w:rsidRPr="004E4D33">
        <w:t xml:space="preserve"> of an institutionalized heterosexual binary’ (24). In these stories, gender is not the most significant marker of the human/alien relation. Rather, the tensions in human-alien relations reflect the ‘purifying’ practices of scientific (and colonialist) discourses which contribute to the delineation of human from other. In Marti </w:t>
      </w:r>
      <w:proofErr w:type="spellStart"/>
      <w:r w:rsidRPr="004E4D33">
        <w:t>Steussy’s</w:t>
      </w:r>
      <w:proofErr w:type="spellEnd"/>
      <w:r w:rsidRPr="004E4D33">
        <w:t xml:space="preserve"> Dreams of Dawn (1988), the survival of a sentient alien race, the </w:t>
      </w:r>
      <w:proofErr w:type="spellStart"/>
      <w:r w:rsidRPr="004E4D33">
        <w:t>Kargans</w:t>
      </w:r>
      <w:proofErr w:type="spellEnd"/>
      <w:r w:rsidRPr="004E4D33">
        <w:t xml:space="preserve">, is threatened by human colonization of their home planet. The crisis on </w:t>
      </w:r>
      <w:proofErr w:type="spellStart"/>
      <w:r w:rsidRPr="004E4D33">
        <w:t>Karg</w:t>
      </w:r>
      <w:proofErr w:type="spellEnd"/>
      <w:r w:rsidRPr="004E4D33">
        <w:t xml:space="preserve"> has been precipitated by the presence of a human colony which has co-existed with the </w:t>
      </w:r>
      <w:proofErr w:type="spellStart"/>
      <w:r w:rsidRPr="004E4D33">
        <w:t>Kargans</w:t>
      </w:r>
      <w:proofErr w:type="spellEnd"/>
      <w:r w:rsidRPr="004E4D33">
        <w:t xml:space="preserve"> for years by ignoring their existence. However the humans’ non-native husbandry, agriculture, and imported foods are poisoning the </w:t>
      </w:r>
      <w:proofErr w:type="spellStart"/>
      <w:r w:rsidRPr="004E4D33">
        <w:t>Kargan</w:t>
      </w:r>
      <w:proofErr w:type="spellEnd"/>
      <w:r w:rsidRPr="004E4D33">
        <w:t xml:space="preserve"> young. Eventual resolution is brought about, primarily through the actions of the human girl </w:t>
      </w:r>
      <w:proofErr w:type="spellStart"/>
      <w:r w:rsidRPr="004E4D33">
        <w:t>Disa</w:t>
      </w:r>
      <w:proofErr w:type="spellEnd"/>
      <w:r w:rsidRPr="004E4D33">
        <w:t xml:space="preserve">, who has grown up with </w:t>
      </w:r>
      <w:proofErr w:type="spellStart"/>
      <w:r w:rsidRPr="004E4D33">
        <w:t>Kargans</w:t>
      </w:r>
      <w:proofErr w:type="spellEnd"/>
      <w:r w:rsidRPr="004E4D33">
        <w:t xml:space="preserve"> (as part of her survey-team family) and is both fluent in their language and at home in their damp cave environs. Ultimately, the solution arrived at by </w:t>
      </w:r>
      <w:proofErr w:type="spellStart"/>
      <w:r w:rsidRPr="004E4D33">
        <w:t>Disa</w:t>
      </w:r>
      <w:proofErr w:type="spellEnd"/>
      <w:r w:rsidRPr="004E4D33">
        <w:t xml:space="preserve"> and the </w:t>
      </w:r>
      <w:proofErr w:type="spellStart"/>
      <w:r w:rsidRPr="004E4D33">
        <w:t>Kargans</w:t>
      </w:r>
      <w:proofErr w:type="spellEnd"/>
      <w:r w:rsidRPr="004E4D33">
        <w:t xml:space="preserve"> is to change human biochemistry so they can survive on native </w:t>
      </w:r>
      <w:proofErr w:type="spellStart"/>
      <w:r w:rsidRPr="004E4D33">
        <w:t>Kargan</w:t>
      </w:r>
      <w:proofErr w:type="spellEnd"/>
      <w:r w:rsidRPr="004E4D33">
        <w:t xml:space="preserve"> proteins. Overturning the xenophobic speciesism of humans thus effects a radical change in the human/nature relation, where instead of changing the world to suit humans, human biological and environmental practices are altered to suit their new environment. Such interventions into scientific and cultural discourses around nature and human are intensified in texts where the boundaries between human and alien are destabilized through a much more intimate encounter: where ‘acting like’ the alien, ‘performing’ an ‘other’ subjectivity equates—as in queer theory—with ‘being’ the alien. Intimate and eroticized encounters with alien others are a recurring motif in Naomi </w:t>
      </w:r>
      <w:proofErr w:type="spellStart"/>
      <w:r w:rsidRPr="004E4D33">
        <w:t>Mitchison’s</w:t>
      </w:r>
      <w:proofErr w:type="spellEnd"/>
      <w:r w:rsidRPr="004E4D33">
        <w:t xml:space="preserve"> classic Memoirs of a Spacewoman (1976), which tells of the space-faring communications expert and </w:t>
      </w:r>
      <w:proofErr w:type="spellStart"/>
      <w:r w:rsidRPr="004E4D33">
        <w:t>xenobiologist</w:t>
      </w:r>
      <w:proofErr w:type="spellEnd"/>
      <w:r w:rsidRPr="004E4D33">
        <w:t>, Mary. The world of Memoirs is a tolerant one, and acceptance of others encompasses race, species, fauna and animals. All life, even only potentially sentient life, is routinely treated with respect (to the extent that scientists communicate with and obtain permission from animals such as dogs who consent to cooperate in experiments) (31). Memoirs may be read very productively through a queer/</w:t>
      </w:r>
      <w:proofErr w:type="spellStart"/>
      <w:r w:rsidRPr="004E4D33">
        <w:t>ecofeminist</w:t>
      </w:r>
      <w:proofErr w:type="spellEnd"/>
      <w:r w:rsidRPr="004E4D33">
        <w:t xml:space="preserve"> lens: not only does the spacewoman Mary have a ‘sexualized’ relation with a Martian, she also twice becomes ‘pregnant’ through alien encounters. As part of an experiment with self-generating alien tissue to test for potential intelligence, Mary offers to host a graft of this particular alien. Her body responds as if she were pregnant, and she perceives the graft (which she calls Ariel) in very intimate terms, as ‘flesh of [her] flesh’; she receives sensual enjoyment from their interactions: ‘It liked to be as close as possible over the median line reaching now to my mouth and inserting a pseudopodium delicately between my lips and elsewhere’ (54). Her second alien ‘pregnancy’ is ‘activated’ by the Martian, </w:t>
      </w:r>
      <w:proofErr w:type="spellStart"/>
      <w:r w:rsidRPr="004E4D33">
        <w:t>Vly</w:t>
      </w:r>
      <w:proofErr w:type="spellEnd"/>
      <w:r w:rsidRPr="004E4D33">
        <w:t xml:space="preserve">, producing the haploid ‘not entirely human’ child Viola (67). Viola is a ‘queer’ progeny indeed; ‘fathered’ by a hermaphrodite alien (who later becomes a mother itself [143]) through a primarily communicative act—the standard sexed and gendered heteronormative system is certainly ‘skewed’ in this particularly unfaithful re-productive event. </w:t>
      </w:r>
    </w:p>
    <w:p w:rsidR="004E4D33" w:rsidRPr="008C1B2E" w:rsidRDefault="004E4D33" w:rsidP="008C1B2E"/>
    <w:sectPr w:rsidR="004E4D33"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6B03AD1"/>
    <w:multiLevelType w:val="hybridMultilevel"/>
    <w:tmpl w:val="231A0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95418"/>
    <w:rsid w:val="000139A3"/>
    <w:rsid w:val="000A35AA"/>
    <w:rsid w:val="00100833"/>
    <w:rsid w:val="00104529"/>
    <w:rsid w:val="00177B7D"/>
    <w:rsid w:val="0018322D"/>
    <w:rsid w:val="00195418"/>
    <w:rsid w:val="001B5776"/>
    <w:rsid w:val="00251FC7"/>
    <w:rsid w:val="002855A7"/>
    <w:rsid w:val="00315690"/>
    <w:rsid w:val="00325646"/>
    <w:rsid w:val="003902BA"/>
    <w:rsid w:val="00392BE4"/>
    <w:rsid w:val="003A09E2"/>
    <w:rsid w:val="003B0861"/>
    <w:rsid w:val="00407037"/>
    <w:rsid w:val="004605D6"/>
    <w:rsid w:val="004C60E8"/>
    <w:rsid w:val="004E3579"/>
    <w:rsid w:val="004E4D33"/>
    <w:rsid w:val="004F39E0"/>
    <w:rsid w:val="00537BD5"/>
    <w:rsid w:val="005B610D"/>
    <w:rsid w:val="006065BD"/>
    <w:rsid w:val="00665003"/>
    <w:rsid w:val="00666A8D"/>
    <w:rsid w:val="006F2AAF"/>
    <w:rsid w:val="007F5B66"/>
    <w:rsid w:val="00814FE6"/>
    <w:rsid w:val="00823A1C"/>
    <w:rsid w:val="00845B9D"/>
    <w:rsid w:val="00860984"/>
    <w:rsid w:val="008B3ECB"/>
    <w:rsid w:val="008C1B2E"/>
    <w:rsid w:val="008F7761"/>
    <w:rsid w:val="0091627E"/>
    <w:rsid w:val="009811E3"/>
    <w:rsid w:val="00990D8E"/>
    <w:rsid w:val="009E1922"/>
    <w:rsid w:val="00A426F6"/>
    <w:rsid w:val="00A53642"/>
    <w:rsid w:val="00A64B85"/>
    <w:rsid w:val="00A93661"/>
    <w:rsid w:val="00A95652"/>
    <w:rsid w:val="00B33C6D"/>
    <w:rsid w:val="00B4508F"/>
    <w:rsid w:val="00B56129"/>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21743-A0C6-46C9-AB9C-AF99A61D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426F6"/>
    <w:rPr>
      <w:rFonts w:ascii="Calibri" w:hAnsi="Calibri"/>
    </w:rPr>
  </w:style>
  <w:style w:type="paragraph" w:styleId="Heading1">
    <w:name w:val="heading 1"/>
    <w:aliases w:val="Pocket"/>
    <w:basedOn w:val="Normal"/>
    <w:next w:val="Normal"/>
    <w:link w:val="Heading1Char"/>
    <w:autoRedefine/>
    <w:qFormat/>
    <w:rsid w:val="00A426F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426F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426F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426F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42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6F6"/>
  </w:style>
  <w:style w:type="character" w:customStyle="1" w:styleId="Heading1Char">
    <w:name w:val="Heading 1 Char"/>
    <w:aliases w:val="Pocket Char"/>
    <w:basedOn w:val="DefaultParagraphFont"/>
    <w:link w:val="Heading1"/>
    <w:rsid w:val="00A426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26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26F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426F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Char Char Char,cite"/>
    <w:basedOn w:val="DefaultParagraphFont"/>
    <w:uiPriority w:val="7"/>
    <w:qFormat/>
    <w:rsid w:val="00A426F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426F6"/>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6"/>
    <w:qFormat/>
    <w:rsid w:val="00A426F6"/>
    <w:rPr>
      <w:b w:val="0"/>
      <w:sz w:val="22"/>
      <w:u w:val="single"/>
    </w:rPr>
  </w:style>
  <w:style w:type="character" w:styleId="Hyperlink">
    <w:name w:val="Hyperlink"/>
    <w:aliases w:val="heading 1 (block title),Important,Read,Card Text,Internet Link,Analytic Text"/>
    <w:basedOn w:val="DefaultParagraphFont"/>
    <w:uiPriority w:val="99"/>
    <w:unhideWhenUsed/>
    <w:rsid w:val="00A426F6"/>
    <w:rPr>
      <w:color w:val="auto"/>
      <w:u w:val="none"/>
    </w:rPr>
  </w:style>
  <w:style w:type="character" w:styleId="FollowedHyperlink">
    <w:name w:val="FollowedHyperlink"/>
    <w:basedOn w:val="DefaultParagraphFont"/>
    <w:uiPriority w:val="99"/>
    <w:semiHidden/>
    <w:unhideWhenUsed/>
    <w:rsid w:val="00A426F6"/>
    <w:rPr>
      <w:color w:val="auto"/>
      <w:u w:val="none"/>
    </w:rPr>
  </w:style>
  <w:style w:type="paragraph" w:styleId="ListParagraph">
    <w:name w:val="List Paragraph"/>
    <w:basedOn w:val="Normal"/>
    <w:uiPriority w:val="99"/>
    <w:unhideWhenUsed/>
    <w:qFormat/>
    <w:rsid w:val="00814F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474344">
      <w:bodyDiv w:val="1"/>
      <w:marLeft w:val="0"/>
      <w:marRight w:val="0"/>
      <w:marTop w:val="0"/>
      <w:marBottom w:val="0"/>
      <w:divBdr>
        <w:top w:val="none" w:sz="0" w:space="0" w:color="auto"/>
        <w:left w:val="none" w:sz="0" w:space="0" w:color="auto"/>
        <w:bottom w:val="none" w:sz="0" w:space="0" w:color="auto"/>
        <w:right w:val="none" w:sz="0" w:space="0" w:color="auto"/>
      </w:divBdr>
      <w:divsChild>
        <w:div w:id="1839613894">
          <w:marLeft w:val="0"/>
          <w:marRight w:val="0"/>
          <w:marTop w:val="0"/>
          <w:marBottom w:val="0"/>
          <w:divBdr>
            <w:top w:val="none" w:sz="0" w:space="0" w:color="auto"/>
            <w:left w:val="none" w:sz="0" w:space="0" w:color="auto"/>
            <w:bottom w:val="none" w:sz="0" w:space="0" w:color="auto"/>
            <w:right w:val="none" w:sz="0" w:space="0" w:color="auto"/>
          </w:divBdr>
        </w:div>
        <w:div w:id="279265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space.library.curtin.edu.au/R?func=dbin-jump-full&amp;local_base=gen01-era02&amp;object_id=20732)//ED" TargetMode="External"/><Relationship Id="rId11" Type="http://schemas.openxmlformats.org/officeDocument/2006/relationships/customXml" Target="../customXml/item3.xml"/><Relationship Id="rId5" Type="http://schemas.openxmlformats.org/officeDocument/2006/relationships/hyperlink" Target="http://onlinelibrary.wiley.com/doi/10.1111/j.0032-3217.2003.00450.x/pdf"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B1ED5A-883C-4909-A4B3-EC27D39FFC67}"/>
</file>

<file path=customXml/itemProps2.xml><?xml version="1.0" encoding="utf-8"?>
<ds:datastoreItem xmlns:ds="http://schemas.openxmlformats.org/officeDocument/2006/customXml" ds:itemID="{5FE4BDF7-CC9B-4F1F-91EB-9F5926EC6997}"/>
</file>

<file path=customXml/itemProps3.xml><?xml version="1.0" encoding="utf-8"?>
<ds:datastoreItem xmlns:ds="http://schemas.openxmlformats.org/officeDocument/2006/customXml" ds:itemID="{F11F1CF4-63CF-43DE-BB0E-29902DDC607C}"/>
</file>

<file path=docProps/app.xml><?xml version="1.0" encoding="utf-8"?>
<Properties xmlns="http://schemas.openxmlformats.org/officeDocument/2006/extended-properties" xmlns:vt="http://schemas.openxmlformats.org/officeDocument/2006/docPropsVTypes">
  <Template>Debate</Template>
  <TotalTime>20</TotalTime>
  <Pages>1</Pages>
  <Words>3395</Words>
  <Characters>19352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5.0</cp:keywords>
  <dc:description/>
  <cp:lastModifiedBy>debateadmin</cp:lastModifiedBy>
  <cp:revision>4</cp:revision>
  <dcterms:created xsi:type="dcterms:W3CDTF">2014-08-01T02:23:00Z</dcterms:created>
  <dcterms:modified xsi:type="dcterms:W3CDTF">2014-08-01T03:11:00Z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