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8E9" w:rsidRPr="00EA61F5" w:rsidRDefault="00E308E9" w:rsidP="00E308E9">
      <w:pPr>
        <w:pStyle w:val="Heading3"/>
      </w:pPr>
      <w:r w:rsidRPr="00EA61F5">
        <w:t>2AC to Lopez</w:t>
      </w:r>
    </w:p>
    <w:p w:rsidR="009A1C2D" w:rsidRPr="00EA61F5" w:rsidRDefault="009A1C2D" w:rsidP="009A1C2D">
      <w:pPr>
        <w:pStyle w:val="Heading4"/>
      </w:pPr>
      <w:r w:rsidRPr="00EA61F5">
        <w:t>Perm do the CP</w:t>
      </w:r>
    </w:p>
    <w:p w:rsidR="00550D63" w:rsidRPr="00EA61F5" w:rsidRDefault="00550D63" w:rsidP="00550D63"/>
    <w:p w:rsidR="009A1C2D" w:rsidRPr="00EA61F5" w:rsidRDefault="009A1C2D" w:rsidP="009A1C2D">
      <w:pPr>
        <w:pStyle w:val="Heading4"/>
      </w:pPr>
      <w:r w:rsidRPr="00EA61F5">
        <w:t>Perm do both</w:t>
      </w:r>
    </w:p>
    <w:p w:rsidR="00550D63" w:rsidRPr="00EA61F5" w:rsidRDefault="00550D63" w:rsidP="00550D63"/>
    <w:p w:rsidR="00550D63" w:rsidRPr="00EA61F5" w:rsidRDefault="00550D63" w:rsidP="00550D63">
      <w:pPr>
        <w:pStyle w:val="Heading4"/>
      </w:pPr>
      <w:r w:rsidRPr="00EA61F5">
        <w:t>Perm solves – cooperative federalism over environmental issues solve</w:t>
      </w:r>
    </w:p>
    <w:p w:rsidR="00550D63" w:rsidRPr="00EA61F5" w:rsidRDefault="00550D63" w:rsidP="00550D63">
      <w:pPr>
        <w:rPr>
          <w:sz w:val="14"/>
        </w:rPr>
      </w:pPr>
      <w:r w:rsidRPr="00EA61F5">
        <w:rPr>
          <w:rStyle w:val="Style13ptBold"/>
        </w:rPr>
        <w:t>Learner 8</w:t>
      </w:r>
      <w:r w:rsidRPr="00EA61F5">
        <w:rPr>
          <w:sz w:val="14"/>
        </w:rPr>
        <w:t xml:space="preserve"> [Howard A. Learner – President and Executive Director, Environmental Law and Policy Center; Adjunct Professor, Northwestern University School of Law. “Restraining Federal Preemption When There Is An ‘Emerging Consensus’ Of State Environmental Laws and Policies” 2008 Northwestern  University  Law  Review  Vol.  102, No. 2 </w:t>
      </w:r>
      <w:hyperlink r:id="rId6" w:history="1">
        <w:r w:rsidRPr="00EA61F5">
          <w:rPr>
            <w:rStyle w:val="Hyperlink"/>
            <w:sz w:val="14"/>
          </w:rPr>
          <w:t>http://www.law.northwestern.edu/lawreview/v102/n2/649/LR102n2Learner.pdf</w:t>
        </w:r>
      </w:hyperlink>
      <w:r w:rsidRPr="00EA61F5">
        <w:rPr>
          <w:sz w:val="14"/>
        </w:rPr>
        <w:t>]</w:t>
      </w:r>
    </w:p>
    <w:p w:rsidR="00550D63" w:rsidRPr="00EA61F5" w:rsidRDefault="00550D63" w:rsidP="00550D63">
      <w:pPr>
        <w:rPr>
          <w:rStyle w:val="StyleUnderline"/>
        </w:rPr>
      </w:pPr>
      <w:r w:rsidRPr="00EA61F5">
        <w:rPr>
          <w:rStyle w:val="StyleUnderline"/>
        </w:rPr>
        <w:t>The model of cooperative federalism, which engages both the federal and state governments in setting and meeting environmental goals, has dominated the environmental regulatory field since the 1970s</w:t>
      </w:r>
      <w:r w:rsidRPr="00EA61F5">
        <w:rPr>
          <w:rFonts w:ascii="Calibri" w:hAnsi="Calibri" w:cs="Calibri"/>
          <w:sz w:val="16"/>
        </w:rPr>
        <w:t xml:space="preserve">. It integrates national policies and interstate environmental pollution reduction goals with the sensibilities and flexibility of locally tailored actions. </w:t>
      </w:r>
      <w:r w:rsidRPr="00EA61F5">
        <w:rPr>
          <w:rStyle w:val="StyleUnderline"/>
        </w:rPr>
        <w:t xml:space="preserve">Recent trends in federalism jurisprudence, however, have circumscribed both federal and state power to regulate in the environmental arena. Courts’ applications of federalism principles to constrict both federal and state solutions can impede the stronger environmental protection that the public is increasingly demanding. </w:t>
      </w:r>
      <w:r w:rsidRPr="00EA61F5">
        <w:rPr>
          <w:rFonts w:ascii="Calibri" w:hAnsi="Calibri" w:cs="Calibri"/>
          <w:sz w:val="16"/>
        </w:rPr>
        <w:t xml:space="preserve">At the same </w:t>
      </w:r>
      <w:r w:rsidRPr="00EA61F5">
        <w:rPr>
          <w:rStyle w:val="StyleUnderline"/>
        </w:rPr>
        <w:t>time, Congress and the executive branch have failed to advance key public environmental goals</w:t>
      </w:r>
      <w:r w:rsidRPr="00EA61F5">
        <w:rPr>
          <w:rFonts w:ascii="Calibri" w:hAnsi="Calibri" w:cs="Calibri"/>
          <w:sz w:val="16"/>
        </w:rPr>
        <w:t xml:space="preserve">. For example, the federal government has failed both to address global climate change threats and to move aggressively forward on clean energy development solutions. Federal actions to reduce mercury pollution from coal plants and various pollutants from cars and trucks have widely been criticized as too little, too late. The political will for environmental leadership at the federal level has stagnated in the early part of the twenty-first century. </w:t>
      </w:r>
      <w:r w:rsidRPr="00EA61F5">
        <w:rPr>
          <w:rStyle w:val="StyleUnderline"/>
        </w:rPr>
        <w:t>The states are serving as Justice Brandeis’s fifty laboratories of democracy. They are stepping up to fill this environmental law and policy gap as federal actions have been viewed as insufficient or, in some cases, counterproductive. For example, more than a dozen states have enacted new statutes or regulatory standards directed at reducing more mercury pollution from coal plants and sooner than the federal standards require</w:t>
      </w:r>
      <w:r w:rsidRPr="00EA61F5">
        <w:rPr>
          <w:rFonts w:ascii="Calibri" w:hAnsi="Calibri" w:cs="Calibri"/>
          <w:sz w:val="16"/>
        </w:rPr>
        <w:t xml:space="preserve">. </w:t>
      </w:r>
      <w:r w:rsidRPr="00EA61F5">
        <w:rPr>
          <w:rStyle w:val="StyleUnderline"/>
        </w:rPr>
        <w:t>Twenty-eight states and the District of Columbia have enacted renewable energy standards requiring utilities to provide an increasing percentage of the power supplied to consumers from wind power, solar energy, and other relatively cleaner “alternative” energy sources. Sixteen states are following California in adopting “clean car” standards,</w:t>
      </w:r>
      <w:r w:rsidRPr="00EA61F5">
        <w:rPr>
          <w:rFonts w:ascii="Calibri" w:hAnsi="Calibri" w:cs="Calibri"/>
          <w:sz w:val="16"/>
        </w:rPr>
        <w:t xml:space="preserve"> designed to reduce carbon dioxide pollution from cars over the next decade, and close to </w:t>
      </w:r>
      <w:r w:rsidRPr="00EA61F5">
        <w:rPr>
          <w:rStyle w:val="StyleUnderline"/>
        </w:rPr>
        <w:t>twenty states are enacting various forms of legislation, regulations, and executive actions designed to reduce greenhouse gas pollution in order to help solve climate change problems. While state governments are exerting greater responsibility for environmental protection in these and other related ways, the federal courts have sometimes applied the Supremacy Clause, federal preemption principles, and dormant commerce clause principles to strike down state laws that are held to conflict with federal law or place an undue burden on interstate commerce. The balance of federal and state power in the environmental context is being disrupted</w:t>
      </w:r>
      <w:r w:rsidRPr="00EA61F5">
        <w:rPr>
          <w:rFonts w:ascii="Calibri" w:hAnsi="Calibri" w:cs="Calibri"/>
          <w:sz w:val="16"/>
        </w:rPr>
        <w:t>. State environmental policies can and should be more than merely stronger stop-gap measures. Often these policies are carefully designed and tailored to meet the goals, needs, values, and circumstances of each state. Furthermore, state policies can create significant environmental benefits and experience, particularly when, as now, a large number of states step up to act, producing both cumulative impacts and comparative experiences</w:t>
      </w:r>
      <w:r w:rsidRPr="00EA61F5">
        <w:rPr>
          <w:rStyle w:val="StyleUnderline"/>
        </w:rPr>
        <w:t>. A key question moving forward is how best to preserve the most significant benefits of these state policies over the long term. How and when should the courts and Congress create space for states to act more strongly in the interests of the environment and of their citize</w:t>
      </w:r>
      <w:r w:rsidRPr="00EA61F5">
        <w:rPr>
          <w:rFonts w:ascii="Calibri" w:hAnsi="Calibri" w:cs="Calibri"/>
          <w:sz w:val="16"/>
        </w:rPr>
        <w:t xml:space="preserve">ns? Moreover, </w:t>
      </w:r>
      <w:r w:rsidRPr="00EA61F5">
        <w:rPr>
          <w:rStyle w:val="StyleUnderline"/>
        </w:rPr>
        <w:t>if and when Congress does eventually act on these pressing environmental issues, such as global climate change solutions, how can new federal legislation ensure the integrity of a national regulatory scheme while retaining the strongest elements of existing state measures? Should it matter how many states have stepped up to act when the federal government has not?</w:t>
      </w:r>
      <w:r w:rsidRPr="00EA61F5">
        <w:rPr>
          <w:rFonts w:ascii="Calibri" w:hAnsi="Calibri" w:cs="Calibri"/>
          <w:sz w:val="16"/>
        </w:rPr>
        <w:t xml:space="preserve"> This Article focuses on one key point for consideration. When there is an emerging consensus of state legislative actions moving in the same general direction in a particular environmental field, should that influence a reviewing court’s application of federal preemption principles? In short, in </w:t>
      </w:r>
      <w:r w:rsidRPr="00EA61F5">
        <w:rPr>
          <w:rStyle w:val="StyleUnderline"/>
        </w:rPr>
        <w:t>the federal-state cooperative framework</w:t>
      </w:r>
      <w:r w:rsidRPr="00EA61F5">
        <w:rPr>
          <w:rFonts w:ascii="Calibri" w:hAnsi="Calibri" w:cs="Calibri"/>
          <w:sz w:val="16"/>
        </w:rPr>
        <w:t xml:space="preserve"> of the Clean Air Act, Clean Water Act, and other major environmental laws, </w:t>
      </w:r>
      <w:r w:rsidRPr="00EA61F5">
        <w:rPr>
          <w:rStyle w:val="StyleUnderline"/>
        </w:rPr>
        <w:t>should it be a relevant factor for judicial adjudication and determination that a growing number of states are stepping up to act along common lines to provide stronger environmental protections? This Article argues yes</w:t>
      </w:r>
      <w:r w:rsidRPr="00EA61F5">
        <w:rPr>
          <w:rFonts w:ascii="Calibri" w:hAnsi="Calibri" w:cs="Calibri"/>
          <w:sz w:val="16"/>
        </w:rPr>
        <w:t>: an emerging state consensus should, indeed, make a difference</w:t>
      </w:r>
    </w:p>
    <w:p w:rsidR="00550D63" w:rsidRPr="00EA61F5" w:rsidRDefault="00550D63" w:rsidP="00550D63"/>
    <w:p w:rsidR="009A1C2D" w:rsidRPr="00EA61F5" w:rsidRDefault="009A1C2D" w:rsidP="009A1C2D">
      <w:pPr>
        <w:pStyle w:val="Heading4"/>
      </w:pPr>
      <w:r w:rsidRPr="00EA61F5">
        <w:t>Perm do the plan then devolve the authority to the states</w:t>
      </w:r>
    </w:p>
    <w:p w:rsidR="00550D63" w:rsidRPr="00EA61F5" w:rsidRDefault="00550D63" w:rsidP="00550D63"/>
    <w:p w:rsidR="009A1C2D" w:rsidRPr="00EA61F5" w:rsidRDefault="009A1C2D" w:rsidP="009A1C2D">
      <w:pPr>
        <w:pStyle w:val="Heading4"/>
      </w:pPr>
      <w:r w:rsidRPr="00EA61F5">
        <w:t xml:space="preserve">Perm do the plan and have the states implement </w:t>
      </w:r>
    </w:p>
    <w:p w:rsidR="00550D63" w:rsidRPr="00EA61F5" w:rsidRDefault="00550D63" w:rsidP="00550D63"/>
    <w:p w:rsidR="009A1C2D" w:rsidRDefault="009A1C2D" w:rsidP="009A1C2D">
      <w:pPr>
        <w:pStyle w:val="Heading4"/>
      </w:pPr>
      <w:r w:rsidRPr="00EA61F5">
        <w:t xml:space="preserve">Perm do the plans and have the states fund </w:t>
      </w:r>
    </w:p>
    <w:p w:rsidR="003D6C5D" w:rsidRDefault="003D6C5D" w:rsidP="003D6C5D"/>
    <w:p w:rsidR="003D6C5D" w:rsidRPr="003D6C5D" w:rsidRDefault="003D6C5D" w:rsidP="003D6C5D">
      <w:r>
        <w:t>[Insert Fed Key warrants from States CP block]</w:t>
      </w:r>
      <w:bookmarkStart w:id="0" w:name="_GoBack"/>
      <w:bookmarkEnd w:id="0"/>
    </w:p>
    <w:p w:rsidR="009A1C2D" w:rsidRPr="00EA61F5" w:rsidRDefault="009A1C2D" w:rsidP="009A1C2D"/>
    <w:p w:rsidR="009A1C2D" w:rsidRPr="00EA61F5" w:rsidRDefault="009A1C2D" w:rsidP="009A1C2D">
      <w:pPr>
        <w:pStyle w:val="Heading4"/>
      </w:pPr>
      <w:r w:rsidRPr="00EA61F5">
        <w:t>Lopez CPs are illegit</w:t>
      </w:r>
    </w:p>
    <w:p w:rsidR="009A1C2D" w:rsidRPr="00EA61F5" w:rsidRDefault="009A1C2D" w:rsidP="00767131">
      <w:pPr>
        <w:pStyle w:val="Heading4"/>
      </w:pPr>
      <w:r w:rsidRPr="00EA61F5">
        <w:t>a) multi</w:t>
      </w:r>
      <w:r w:rsidR="0056711F" w:rsidRPr="00EA61F5">
        <w:t>-</w:t>
      </w:r>
      <w:r w:rsidRPr="00EA61F5">
        <w:t xml:space="preserve">actor fiat is bad- </w:t>
      </w:r>
      <w:r w:rsidR="0056711F" w:rsidRPr="00EA61F5">
        <w:t>allows the negative to fiat multiple</w:t>
      </w:r>
      <w:r w:rsidR="00767131" w:rsidRPr="00EA61F5">
        <w:t xml:space="preserve"> </w:t>
      </w:r>
      <w:r w:rsidR="0041292B">
        <w:t xml:space="preserve">levels of government, </w:t>
      </w:r>
      <w:r w:rsidR="00E26779">
        <w:t xml:space="preserve">spike out of all fed key warrants.  Its </w:t>
      </w:r>
      <w:r w:rsidR="0041292B">
        <w:t xml:space="preserve">not reciprocal </w:t>
      </w:r>
      <w:r w:rsidR="00E26779">
        <w:t>– at worst reject the devolution component</w:t>
      </w:r>
      <w:r w:rsidR="0041292B">
        <w:t xml:space="preserve"> </w:t>
      </w:r>
    </w:p>
    <w:p w:rsidR="00E26779" w:rsidRPr="00D9605E" w:rsidRDefault="00E26779" w:rsidP="00E26779">
      <w:pPr>
        <w:pStyle w:val="Heading4"/>
        <w:rPr>
          <w:lang w:eastAsia="ko-KR"/>
        </w:rPr>
      </w:pPr>
      <w:r>
        <w:rPr>
          <w:lang w:eastAsia="ko-KR"/>
        </w:rPr>
        <w:t>b)</w:t>
      </w:r>
      <w:r w:rsidRPr="00D9605E">
        <w:rPr>
          <w:lang w:eastAsia="ko-KR"/>
        </w:rPr>
        <w:t xml:space="preserve"> Distorts the topic—limits out affs without “fed key warrants” destroys a holistic discussion of transportation infrastructure—key to topic education</w:t>
      </w:r>
    </w:p>
    <w:p w:rsidR="00E26779" w:rsidRPr="00D9605E" w:rsidRDefault="00E26779" w:rsidP="00E26779">
      <w:pPr>
        <w:pStyle w:val="Heading4"/>
        <w:rPr>
          <w:lang w:eastAsia="ko-KR"/>
        </w:rPr>
      </w:pPr>
      <w:r>
        <w:rPr>
          <w:lang w:eastAsia="ko-KR"/>
        </w:rPr>
        <w:t>c)</w:t>
      </w:r>
      <w:r w:rsidRPr="00D9605E">
        <w:rPr>
          <w:lang w:eastAsia="ko-KR"/>
        </w:rPr>
        <w:t xml:space="preserve"> Steals the aff—prevents us from weighing case; kills fairness</w:t>
      </w:r>
    </w:p>
    <w:p w:rsidR="009A1C2D" w:rsidRPr="00E26779" w:rsidRDefault="00E26779" w:rsidP="00E26779">
      <w:pPr>
        <w:pStyle w:val="Heading4"/>
      </w:pPr>
      <w:r>
        <w:t>d)</w:t>
      </w:r>
      <w:r w:rsidRPr="00D9605E">
        <w:t xml:space="preserve"> No solvency advocate for each plank—unpredictable and kills clash</w:t>
      </w:r>
    </w:p>
    <w:p w:rsidR="00EA61F5" w:rsidRDefault="00EA61F5" w:rsidP="00EA61F5"/>
    <w:p w:rsidR="0041292B" w:rsidRDefault="0041292B" w:rsidP="0041292B">
      <w:pPr>
        <w:pStyle w:val="Heading4"/>
      </w:pPr>
      <w:r>
        <w:t>CP Will be rolled back</w:t>
      </w:r>
    </w:p>
    <w:p w:rsidR="0041292B" w:rsidRDefault="0041292B" w:rsidP="0041292B">
      <w:pPr>
        <w:pStyle w:val="tiny"/>
      </w:pPr>
      <w:r>
        <w:t xml:space="preserve">Jack </w:t>
      </w:r>
      <w:r w:rsidRPr="00E26779">
        <w:rPr>
          <w:rStyle w:val="Style13ptBold"/>
        </w:rPr>
        <w:t>Goldsmith</w:t>
      </w:r>
      <w:r>
        <w:t xml:space="preserve">, Prof @ Chicago, November </w:t>
      </w:r>
      <w:r w:rsidRPr="00E26779">
        <w:rPr>
          <w:rStyle w:val="Style13ptBold"/>
        </w:rPr>
        <w:t>1997</w:t>
      </w:r>
      <w:r>
        <w:t>, Virg. L. Rev., ln</w:t>
      </w:r>
    </w:p>
    <w:p w:rsidR="0041292B" w:rsidRDefault="0041292B" w:rsidP="0041292B">
      <w:pPr>
        <w:pStyle w:val="tiny"/>
        <w:rPr>
          <w:lang w:eastAsia="ko-KR"/>
        </w:rPr>
      </w:pPr>
      <w:r w:rsidRPr="00A11F61">
        <w:rPr>
          <w:rStyle w:val="underlinedChar"/>
        </w:rPr>
        <w:t>The executive branch has special</w:t>
      </w:r>
      <w:r>
        <w:t xml:space="preserve"> monitoring capabilities and </w:t>
      </w:r>
      <w:r w:rsidRPr="00A11F61">
        <w:rPr>
          <w:rStyle w:val="underlinedChar"/>
        </w:rPr>
        <w:t>preemptive lawmaking powers</w:t>
      </w:r>
      <w:r>
        <w:t xml:space="preserve"> when foreign relations is at issue. As for monitoring, </w:t>
      </w:r>
      <w:r w:rsidRPr="00A11F61">
        <w:rPr>
          <w:rStyle w:val="underlinedChar"/>
        </w:rPr>
        <w:t xml:space="preserve">it is inconceivable that the executive branch will be unaware of a state's action that </w:t>
      </w:r>
      <w:r>
        <w:t xml:space="preserve">adversely affects </w:t>
      </w:r>
      <w:smartTag w:uri="urn:schemas-microsoft-com:office:smarttags" w:element="place">
        <w:smartTag w:uri="urn:schemas-microsoft-com:office:smarttags" w:element="country-region">
          <w:r>
            <w:t>U.S.</w:t>
          </w:r>
        </w:smartTag>
      </w:smartTag>
      <w:r>
        <w:t xml:space="preserve"> foreign relations or </w:t>
      </w:r>
      <w:r w:rsidRPr="00A11F61">
        <w:rPr>
          <w:rStyle w:val="underlinedChar"/>
        </w:rPr>
        <w:t>unduly burdens the federal government</w:t>
      </w:r>
      <w:r>
        <w:t xml:space="preserve">'s </w:t>
      </w:r>
      <w:r w:rsidRPr="00015E95">
        <w:t xml:space="preserve">ability to conduct foreign relations. The President is the primary agent of </w:t>
      </w:r>
      <w:smartTag w:uri="urn:schemas-microsoft-com:office:smarttags" w:element="place">
        <w:smartTag w:uri="urn:schemas-microsoft-com:office:smarttags" w:element="country-region">
          <w:r w:rsidRPr="00015E95">
            <w:t>U.S.</w:t>
          </w:r>
        </w:smartTag>
      </w:smartTag>
      <w:r w:rsidRPr="00015E95">
        <w:t xml:space="preserve"> foreign relations and the primary organ of communication with foreign governments. 266 And the executive branch receives all foreign government complaints about state activity. When the executive branch identifies harmful state foreign relations activity, it is much better positioned than Congress to address it. Foreign relations is (and is perceived to be) the President's responsibility. He is thus more accountable for foreign relations problems than Congress, and has a greater interest in redressing state-created foreign relations difficulties.</w:t>
      </w:r>
      <w:r>
        <w:t xml:space="preserve"> </w:t>
      </w:r>
      <w:r w:rsidRPr="00A11F61">
        <w:rPr>
          <w:rStyle w:val="underlinedChar"/>
        </w:rPr>
        <w:t>The President also has a massive executive branch bureaucracy at his disposal to monitor and redress such difficultie</w:t>
      </w:r>
      <w:r>
        <w:t>s</w:t>
      </w:r>
      <w:r w:rsidRPr="00015E95">
        <w:t>. Importantly, the executive branch's ability to respond to these difficulties is not burdened by collective action problems to nearly the same degree as Congress. 267 In addition, the President's unique role in foreign relations enables him to redress unacceptable state foreign relations activity in a variety of ways. First, he exercises special influence on the congressional foreign relations agenda and the content of foreign relations legislation. 268 Second, he or one of his subordi-  [*1685]  nates can communicate directly with states on behalf of the federal government in order to influence or alter the offensive state activity. 269 Sometimes this communication is nothing more than an informal telephone call to the proper state or local official. Other times the State Department will send a formal letter to the state urging it to cease its offensive behavior. And sometimes the executive branch will file an amicus brief in state court. 270 These means of "informal" presidential control are often employed and often, though not always, successful in changing the offending state behavior. 271 Third,</w:t>
      </w:r>
      <w:r>
        <w:t xml:space="preserve"> </w:t>
      </w:r>
      <w:r w:rsidRPr="00A11F61">
        <w:rPr>
          <w:rStyle w:val="underlinedChar"/>
        </w:rPr>
        <w:t>the President has</w:t>
      </w:r>
      <w:r>
        <w:t xml:space="preserve"> limited but important federal </w:t>
      </w:r>
      <w:r w:rsidRPr="00A11F61">
        <w:rPr>
          <w:rStyle w:val="underlinedChar"/>
        </w:rPr>
        <w:t>lawmaking powers that enable</w:t>
      </w:r>
      <w:r>
        <w:t xml:space="preserve"> him, on his own, </w:t>
      </w:r>
      <w:r w:rsidRPr="00A11F61">
        <w:rPr>
          <w:rStyle w:val="underlinedChar"/>
        </w:rPr>
        <w:t>to preempt state law that adversely affects the</w:t>
      </w:r>
      <w:r>
        <w:t xml:space="preserve"> nation's foreign relations or the </w:t>
      </w:r>
      <w:r w:rsidRPr="00A11F61">
        <w:rPr>
          <w:rStyle w:val="underlinedChar"/>
        </w:rPr>
        <w:t>political branches'</w:t>
      </w:r>
      <w:r>
        <w:t xml:space="preserve"> </w:t>
      </w:r>
      <w:r w:rsidRPr="00015E95">
        <w:t xml:space="preserve">ability to conduct such relations. Some of these powers derive directly from the Constitution itself. For example, incident to his power to recognize foreign governments, 272 the President can enter into international agreements that preempt state law. The most famous instance is the Litvinov Agreement, which officially recognized the Soviet Union and assigned all Soviet property in the </w:t>
      </w:r>
      <w:smartTag w:uri="urn:schemas-microsoft-com:office:smarttags" w:element="place">
        <w:smartTag w:uri="urn:schemas-microsoft-com:office:smarttags" w:element="country-region">
          <w:r w:rsidRPr="00015E95">
            <w:t>United States</w:t>
          </w:r>
        </w:smartTag>
      </w:smartTag>
      <w:r w:rsidRPr="00015E95">
        <w:t xml:space="preserve"> to the federal government. This "executive agreement" preempted inconsis-  [*1686]  tent state property and creditor law. 273 It also ended state court uncertainty about the domestic effect of the </w:t>
      </w:r>
      <w:smartTag w:uri="urn:schemas-microsoft-com:office:smarttags" w:element="place">
        <w:r w:rsidRPr="00015E95">
          <w:t>Soviet Union</w:t>
        </w:r>
      </w:smartTag>
      <w:r w:rsidRPr="00015E95">
        <w:t>'s extraterritorial confiscations. 274</w:t>
      </w:r>
    </w:p>
    <w:p w:rsidR="0041292B" w:rsidRPr="00EA61F5" w:rsidRDefault="0041292B" w:rsidP="00EA61F5"/>
    <w:p w:rsidR="00EA61F5" w:rsidRPr="00EA61F5" w:rsidRDefault="0041292B" w:rsidP="00EA61F5">
      <w:pPr>
        <w:pStyle w:val="tags"/>
      </w:pPr>
      <w:r>
        <w:t>Devolving powers opens the floodgates on the commerce clause</w:t>
      </w:r>
    </w:p>
    <w:p w:rsidR="00EA61F5" w:rsidRPr="00EA61F5" w:rsidRDefault="00EA61F5" w:rsidP="00EA61F5">
      <w:pPr>
        <w:pStyle w:val="tiny"/>
      </w:pPr>
      <w:r w:rsidRPr="00EA61F5">
        <w:t xml:space="preserve">Peter </w:t>
      </w:r>
      <w:r w:rsidRPr="00EA61F5">
        <w:rPr>
          <w:rStyle w:val="Style13ptBold"/>
        </w:rPr>
        <w:t>Moyers</w:t>
      </w:r>
      <w:r w:rsidRPr="00EA61F5">
        <w:t xml:space="preserve">, </w:t>
      </w:r>
      <w:smartTag w:uri="urn:schemas-microsoft-com:office:smarttags" w:element="place">
        <w:r w:rsidRPr="00EA61F5">
          <w:t>Princeton</w:t>
        </w:r>
      </w:smartTag>
      <w:r w:rsidRPr="00EA61F5">
        <w:t xml:space="preserve">, Spring </w:t>
      </w:r>
      <w:r w:rsidRPr="00EA61F5">
        <w:rPr>
          <w:rStyle w:val="Style13ptBold"/>
        </w:rPr>
        <w:t>1998</w:t>
      </w:r>
      <w:r w:rsidRPr="00EA61F5">
        <w:t>, “Drug Legalization,” Princeton U.L.J., v. 11, iss. 2, www.princeton.edu/~lawjourn/Spring 98/</w:t>
      </w:r>
    </w:p>
    <w:p w:rsidR="00EA61F5" w:rsidRPr="00EA61F5" w:rsidRDefault="00EA61F5" w:rsidP="00EA61F5">
      <w:pPr>
        <w:pStyle w:val="tiny"/>
        <w:rPr>
          <w:b/>
          <w:u w:val="single"/>
          <w:lang w:eastAsia="ko-KR"/>
        </w:rPr>
      </w:pPr>
      <w:r w:rsidRPr="00EA61F5">
        <w:rPr>
          <w:rStyle w:val="underlinedChar"/>
        </w:rPr>
        <w:t>Wickard v Filburn</w:t>
      </w:r>
      <w:r w:rsidRPr="00EA61F5">
        <w:t xml:space="preserve"> (1942) affirmed the decision in NLRB and granted additional power. The respondent in the case was found guilty of violating a law prohibiting the production of more than 11.1 acres of wheat. Even though he did not sell his extra wheat, the Court found that the respondent along with others could possibly substantially affect the wheat market were they all to violate the quota. Although Filburn’s acts did not themselves substantially affect interstate commerce, many "Filburns" could do so. The risk of substantial effect was enough for congressional regulation. Therefore, Congress’ interest in stabilizing prices on the wheat market required farmers not to exceed the quota, even if the surplus was not used for commercial purposes. This decision </w:t>
      </w:r>
      <w:r w:rsidRPr="00EA61F5">
        <w:rPr>
          <w:rStyle w:val="underlinedChar"/>
        </w:rPr>
        <w:t>granted Congress the power to regulate</w:t>
      </w:r>
      <w:r w:rsidRPr="00EA61F5">
        <w:t xml:space="preserve"> non-commercial, local activity if it presents the risk of "</w:t>
      </w:r>
      <w:r w:rsidRPr="00EA61F5">
        <w:rPr>
          <w:rStyle w:val="underlinedChar"/>
        </w:rPr>
        <w:t xml:space="preserve">substantial economic effect </w:t>
      </w:r>
      <w:r w:rsidRPr="00EA61F5">
        <w:t xml:space="preserve">on interstate commerce." These cases bring us to the most recent decision of </w:t>
      </w:r>
      <w:smartTag w:uri="urn:schemas-microsoft-com:office:smarttags" w:element="place">
        <w:smartTag w:uri="urn:schemas-microsoft-com:office:smarttags" w:element="country-region">
          <w:r w:rsidRPr="00EA61F5">
            <w:t>U.S.</w:t>
          </w:r>
        </w:smartTag>
      </w:smartTag>
      <w:r w:rsidRPr="00EA61F5">
        <w:t xml:space="preserve"> v Lopez (1995). In the majority opinion, Chief Justice Rehnquist notes that three categories of activity may be regulated by Congress under the power of the Commerce Clause. First, the channels of interstate commerce are open to congressional regulation. Second, Congress may regulate the persons or things, the instrumentalities, of interstate commerce. Third, an activity may be regulated if it has a substantial relation to interstate commerce, or more specifically, substantially affect interstate commerce. In Lopez, the government argued under the third category, attempting to show that the presence of firearms on school grounds has substantial relation to interstate commerce. The Court found the argument to lack force, asserting that the definition of substantial relation or effect the government was putting forth would transform Commerce Clause power into "a general police power of the sort retained by the States." This decision does not categorically reject the federalization of police powers but rather affirms the doctrine of substantial relation or effect. The Court was unwilling to build "inference upon inference" to see a substantial economic effect; the presence of firearms on school grounds was found to be too far removed from interstate commerce to come under the third category. The Court would be </w:t>
      </w:r>
      <w:r w:rsidRPr="00EA61F5">
        <w:rPr>
          <w:rStyle w:val="underlinedChar"/>
        </w:rPr>
        <w:t>faced with a similar case</w:t>
      </w:r>
      <w:r w:rsidRPr="00EA61F5">
        <w:rPr>
          <w:szCs w:val="12"/>
        </w:rPr>
        <w:t xml:space="preserve"> in the congressional policy of outlawing the use, sale and possession of drugs. In order for the congressional policy to prevail, it must show that the possession and use of drugs, sanctioned by the state policy, substantially affect interstate commerce. However,</w:t>
      </w:r>
      <w:r w:rsidRPr="00EA61F5">
        <w:t xml:space="preserve"> </w:t>
      </w:r>
      <w:r w:rsidRPr="00EA61F5">
        <w:rPr>
          <w:rStyle w:val="underlinedChar"/>
        </w:rPr>
        <w:t>in order to be consistent with Lopez and Wickard, whose doctrine of substantial</w:t>
      </w:r>
      <w:r w:rsidRPr="00EA61F5">
        <w:t xml:space="preserve"> risk of </w:t>
      </w:r>
      <w:r w:rsidRPr="00EA61F5">
        <w:rPr>
          <w:rStyle w:val="underlinedChar"/>
        </w:rPr>
        <w:t>effect has never been overturned,</w:t>
      </w:r>
      <w:r w:rsidRPr="00EA61F5">
        <w:t xml:space="preserve"> and in the absence of empirical evidence, </w:t>
      </w:r>
      <w:r w:rsidRPr="00EA61F5">
        <w:rPr>
          <w:rStyle w:val="underlinedChar"/>
        </w:rPr>
        <w:t>the Court must recognize that even the risk of an activity substantially affecting interstate commerce is sufficient for legitimate congressional regulation</w:t>
      </w:r>
      <w:r w:rsidRPr="00EA61F5">
        <w:t>. I find the activities sanctioned by the state policy to be of sufficient risk of substantially affecting interstate commerce to find the congressional policy a constitutional regulation denying the practice of the activities sanctioned by the initiative.  The state policy demonstrates the risks involved in allowing states, in the case of drug policy, to pursue different policies. As I argue above, the legalization of drugs within one state almost certainly will substantially burden the effective pursuit of drug use and possession prevention in other states. A neighboring state would have to create nearly impervious borders in order to remain faithful to its anti-drug policy; one wonders if the free flow of people to and from the state, let alone commerce, would remain a possibility. By upholding the constitutionality of the congressional policy, the Court would recognize and condemn the substantial burden a state pursuing an independent drug policy places on neighboring states.</w:t>
      </w:r>
      <w:r w:rsidRPr="00EA61F5">
        <w:rPr>
          <w:rStyle w:val="underlinedChar"/>
        </w:rPr>
        <w:t xml:space="preserve"> </w:t>
      </w:r>
      <w:r w:rsidRPr="00EA61F5">
        <w:t xml:space="preserve">Admittedly, to the casual observer, the Court’s decision would appear to be a significant usurpation of states’ police powers and a step toward a unitary system. I agree that the Court ought to be wary of assaults on federalism. The decision should not be looked upon by future Courts as a precedent for allowing the nationalization of police powers, but rather as an affirmation of Congress’ power to regulate any activities, including crimes, that have a substantial effect on interstate commerce. In this case, the state policy creates a risk of substantially affecting interstate commerce. </w:t>
      </w:r>
      <w:r w:rsidRPr="00EA61F5">
        <w:rPr>
          <w:rStyle w:val="underlinedChar"/>
        </w:rPr>
        <w:t>To deny Congress’ power</w:t>
      </w:r>
      <w:r w:rsidRPr="00EA61F5">
        <w:t xml:space="preserve"> in this case </w:t>
      </w:r>
      <w:r w:rsidRPr="00EA61F5">
        <w:rPr>
          <w:rStyle w:val="underlinedChar"/>
        </w:rPr>
        <w:t>would be to overturn nearly all Commerce Clause precedents as well as</w:t>
      </w:r>
      <w:r w:rsidRPr="00EA61F5">
        <w:t xml:space="preserve"> Marigold. And to overturn Marigold would be to all but </w:t>
      </w:r>
      <w:r w:rsidRPr="00EA61F5">
        <w:rPr>
          <w:rStyle w:val="underlinedChar"/>
        </w:rPr>
        <w:t>eliminate any non-enumerated means Congress requires</w:t>
      </w:r>
      <w:r w:rsidRPr="00EA61F5">
        <w:t xml:space="preserve"> </w:t>
      </w:r>
      <w:r w:rsidRPr="00EA61F5">
        <w:rPr>
          <w:szCs w:val="12"/>
        </w:rPr>
        <w:t>to pursue its powers and duties. Although to find for the federal government might blur the line of federalism,</w:t>
      </w:r>
      <w:r w:rsidRPr="00EA61F5">
        <w:t xml:space="preserve"> </w:t>
      </w:r>
      <w:r w:rsidRPr="00EA61F5">
        <w:rPr>
          <w:rStyle w:val="underlinedChar"/>
        </w:rPr>
        <w:t>to find for the state would strip Congress of its power</w:t>
      </w:r>
      <w:r w:rsidRPr="00EA61F5">
        <w:t xml:space="preserve">, granted in Marigold, to act beyond its enumerated means to pursue its enumerated duties. </w:t>
      </w:r>
      <w:r w:rsidRPr="00EA61F5">
        <w:rPr>
          <w:rStyle w:val="underlinedChar"/>
        </w:rPr>
        <w:t xml:space="preserve">The latter I do not think our system can tolerate.  </w:t>
      </w:r>
    </w:p>
    <w:p w:rsidR="00EA61F5" w:rsidRPr="00EA61F5" w:rsidRDefault="00EA61F5" w:rsidP="00EA61F5">
      <w:pPr>
        <w:rPr>
          <w:rFonts w:eastAsia="Malgun Gothic"/>
          <w:lang w:eastAsia="ko-KR"/>
        </w:rPr>
      </w:pPr>
    </w:p>
    <w:p w:rsidR="00EA61F5" w:rsidRPr="00EA61F5" w:rsidRDefault="00EA61F5" w:rsidP="00EA61F5">
      <w:pPr>
        <w:pStyle w:val="tags"/>
      </w:pPr>
      <w:r w:rsidRPr="00EA61F5">
        <w:t>That would require striking down the ESA – it’s based on the commerce clause</w:t>
      </w:r>
    </w:p>
    <w:p w:rsidR="00EA61F5" w:rsidRPr="00EA61F5" w:rsidRDefault="00EA61F5" w:rsidP="00EA61F5">
      <w:pPr>
        <w:pStyle w:val="tiny"/>
      </w:pPr>
      <w:r w:rsidRPr="00EA61F5">
        <w:t xml:space="preserve">Mollie </w:t>
      </w:r>
      <w:r w:rsidRPr="00EA61F5">
        <w:rPr>
          <w:rStyle w:val="Style13ptBold"/>
        </w:rPr>
        <w:t>Lee</w:t>
      </w:r>
      <w:r w:rsidRPr="00EA61F5">
        <w:t>, 11-1-</w:t>
      </w:r>
      <w:r w:rsidRPr="00EA61F5">
        <w:rPr>
          <w:rStyle w:val="Style13ptBold"/>
        </w:rPr>
        <w:t>2006</w:t>
      </w:r>
      <w:r w:rsidRPr="00EA61F5">
        <w:t>, Yale L. J., “Environmental economics,” http://goliath.ecnext.com/coms2/gi_0199-6199333/Environmental-economics-a-market-failure.html</w:t>
      </w:r>
    </w:p>
    <w:p w:rsidR="00EA61F5" w:rsidRPr="00EA61F5" w:rsidRDefault="00EA61F5" w:rsidP="00EA61F5">
      <w:pPr>
        <w:pStyle w:val="tiny"/>
      </w:pPr>
      <w:r w:rsidRPr="00EA61F5">
        <w:rPr>
          <w:rStyle w:val="underlinedChar"/>
        </w:rPr>
        <w:t>When Congress enacted the ESA</w:t>
      </w:r>
      <w:r w:rsidRPr="00EA61F5">
        <w:t xml:space="preserve">, it did so with very little debate and with overwhelming public support. (11) The environmental movement was at its peak, (12) and a nation of newfound environmentalists was eager to respond to well-publicized stories about threats to the bald eagle, blue whale, polar bear, and other "charismatic fauna." (13) Endangered species already received some protection from statutes enacted in the prior decade, (14) but these statutes were limited in scope, and it soon became apparent that they were inadequate to prevent further extinctions. (15) Thus, in 1973 Congress adopted the ESA as a comprehensive approach to protecting threatened and endangered species throughout the nation. </w:t>
      </w:r>
      <w:r w:rsidRPr="00EA61F5">
        <w:rPr>
          <w:rStyle w:val="underlinedChar"/>
        </w:rPr>
        <w:t>Congress relied chiefly on its Commerce Clause powers in passing the statute</w:t>
      </w:r>
      <w:r w:rsidRPr="00EA61F5">
        <w:t xml:space="preserve">, (16) but the legislative history contains no explicit discussion of this constitutional authority. However, </w:t>
      </w:r>
      <w:r w:rsidRPr="00EA61F5">
        <w:rPr>
          <w:rStyle w:val="underlinedChar"/>
        </w:rPr>
        <w:t xml:space="preserve">congressional findings and testimony suggest that Congress understood species extinctions as a problem with both commercial causes </w:t>
      </w:r>
      <w:r w:rsidRPr="00EA61F5">
        <w:t xml:space="preserve">(17) </w:t>
      </w:r>
      <w:r w:rsidRPr="00EA61F5">
        <w:rPr>
          <w:rStyle w:val="underlinedChar"/>
        </w:rPr>
        <w:t>and commercial consequences</w:t>
      </w:r>
      <w:r w:rsidRPr="00EA61F5">
        <w:t xml:space="preserve">. (18) </w:t>
      </w:r>
      <w:r w:rsidRPr="00EA61F5">
        <w:rPr>
          <w:rStyle w:val="underlinedChar"/>
        </w:rPr>
        <w:t>The causal link between commercial activity and species extinction is particularly prominent in the legislative findings</w:t>
      </w:r>
      <w:r w:rsidRPr="00EA61F5">
        <w:t xml:space="preserve"> for the statute. There, Congress noted that "various species offish, wildlife, and plants in the </w:t>
      </w:r>
      <w:smartTag w:uri="urn:schemas-microsoft-com:office:smarttags" w:element="place">
        <w:smartTag w:uri="urn:schemas-microsoft-com:office:smarttags" w:element="country-region">
          <w:r w:rsidRPr="00EA61F5">
            <w:t>United States</w:t>
          </w:r>
        </w:smartTag>
      </w:smartTag>
      <w:r w:rsidRPr="00EA61F5">
        <w:t xml:space="preserve"> have been rendered extinct as a consequence of economic growth and development untempered by adequate concern and conservation." (19) While this finding suggests that </w:t>
      </w:r>
      <w:r w:rsidRPr="00EA61F5">
        <w:rPr>
          <w:rStyle w:val="underlinedChar"/>
        </w:rPr>
        <w:t>Congress understood economic activity to be a primary cause of species extinction</w:t>
      </w:r>
      <w:r w:rsidRPr="00EA61F5">
        <w:t>, Congress did not choose to protect endangered species by directly regulating economic activity. Instead, the ESA prohibited any activity that would jeopardize the continued survival of threatened and endangered species.</w:t>
      </w:r>
    </w:p>
    <w:p w:rsidR="00EA61F5" w:rsidRPr="00EA61F5" w:rsidRDefault="00EA61F5" w:rsidP="00EA61F5"/>
    <w:p w:rsidR="00EA61F5" w:rsidRPr="00EA61F5" w:rsidRDefault="00EA61F5" w:rsidP="00EA61F5">
      <w:pPr>
        <w:pStyle w:val="tags"/>
      </w:pPr>
      <w:r w:rsidRPr="00EA61F5">
        <w:t>The ESA is critical to prevent species extinctions</w:t>
      </w:r>
    </w:p>
    <w:p w:rsidR="00EA61F5" w:rsidRPr="00EA61F5" w:rsidRDefault="00EA61F5" w:rsidP="00EA61F5">
      <w:pPr>
        <w:pStyle w:val="tiny"/>
      </w:pPr>
      <w:r w:rsidRPr="00EA61F5">
        <w:rPr>
          <w:rStyle w:val="Style13ptBold"/>
        </w:rPr>
        <w:t>Union of Concerned Scientists 06</w:t>
      </w:r>
      <w:r w:rsidRPr="00EA61F5">
        <w:t xml:space="preserve"> http://www.ucsusa.org/scientific_integrity/restoring/science-in-the-endangered.html</w:t>
      </w:r>
    </w:p>
    <w:p w:rsidR="00EA61F5" w:rsidRPr="00EA61F5" w:rsidRDefault="00EA61F5" w:rsidP="00EA61F5">
      <w:pPr>
        <w:pStyle w:val="tiny"/>
        <w:rPr>
          <w:lang w:eastAsia="ko-KR"/>
        </w:rPr>
      </w:pPr>
      <w:r w:rsidRPr="00EA61F5">
        <w:rPr>
          <w:rStyle w:val="underlinedChar"/>
        </w:rPr>
        <w:t>Bio</w:t>
      </w:r>
      <w:r w:rsidRPr="00EA61F5">
        <w:t xml:space="preserve">logical </w:t>
      </w:r>
      <w:r w:rsidRPr="00EA61F5">
        <w:rPr>
          <w:rStyle w:val="underlinedChar"/>
        </w:rPr>
        <w:t xml:space="preserve">diversity provides food, fiber, medicines, clean water, </w:t>
      </w:r>
      <w:r w:rsidRPr="00EA61F5">
        <w:t xml:space="preserve">and many other products and services we depend upon every day. Yet nearly </w:t>
      </w:r>
      <w:r w:rsidRPr="00EA61F5">
        <w:rPr>
          <w:rStyle w:val="underlinedChar"/>
        </w:rPr>
        <w:t xml:space="preserve">one-third of native species in the </w:t>
      </w:r>
      <w:smartTag w:uri="urn:schemas-microsoft-com:office:smarttags" w:element="place">
        <w:smartTag w:uri="urn:schemas-microsoft-com:office:smarttags" w:element="country-region">
          <w:r w:rsidRPr="00EA61F5">
            <w:rPr>
              <w:rStyle w:val="underlinedChar"/>
            </w:rPr>
            <w:t>U</w:t>
          </w:r>
          <w:r w:rsidRPr="00EA61F5">
            <w:t xml:space="preserve">nited </w:t>
          </w:r>
          <w:r w:rsidRPr="00EA61F5">
            <w:rPr>
              <w:rStyle w:val="underlinedChar"/>
            </w:rPr>
            <w:t>S</w:t>
          </w:r>
          <w:r w:rsidRPr="00EA61F5">
            <w:t>tates</w:t>
          </w:r>
        </w:smartTag>
      </w:smartTag>
      <w:r w:rsidRPr="00EA61F5">
        <w:t xml:space="preserve"> </w:t>
      </w:r>
      <w:r w:rsidRPr="00EA61F5">
        <w:rPr>
          <w:rStyle w:val="underlinedChar"/>
        </w:rPr>
        <w:t>are at risk of disappearing</w:t>
      </w:r>
      <w:r w:rsidRPr="00EA61F5">
        <w:t xml:space="preserve">.   "As children, small creatures endlessly fascinate us; as adults, we can protect them so as to inspire future children." - Les E. Watling, Marine Ecologist  It is clear that </w:t>
      </w:r>
      <w:r w:rsidRPr="00EA61F5">
        <w:rPr>
          <w:rStyle w:val="underlinedChar"/>
        </w:rPr>
        <w:t xml:space="preserve">the ESA has given new hope for sustained survival to numerous species that were on the brink of extinction—less than one percent of species listed under the ESA have gone extinct </w:t>
      </w:r>
      <w:r w:rsidRPr="00EA61F5">
        <w:t xml:space="preserve">since 1973, while </w:t>
      </w:r>
      <w:r w:rsidRPr="00EA61F5">
        <w:rPr>
          <w:rStyle w:val="underlinedChar"/>
        </w:rPr>
        <w:t>10 percent of candidate species still waiting to be listed have suffered that fate</w:t>
      </w:r>
      <w:r w:rsidRPr="00EA61F5">
        <w:t xml:space="preserve">. In addition to the hundreds of species that the Act has protected from extinction, </w:t>
      </w:r>
      <w:r w:rsidRPr="00EA61F5">
        <w:rPr>
          <w:rStyle w:val="underlinedChar"/>
        </w:rPr>
        <w:t xml:space="preserve">listing has contributed to population increases or the stabilization of population declines for more than 30 percent of listed species, as well as the recovery of </w:t>
      </w:r>
      <w:r w:rsidRPr="00EA61F5">
        <w:t xml:space="preserve">such signature </w:t>
      </w:r>
      <w:r w:rsidRPr="00EA61F5">
        <w:rPr>
          <w:rStyle w:val="underlinedChar"/>
        </w:rPr>
        <w:t>species as the peregrine falcon</w:t>
      </w:r>
      <w:r w:rsidRPr="00EA61F5">
        <w:t>.</w:t>
      </w:r>
    </w:p>
    <w:p w:rsidR="00EA61F5" w:rsidRPr="00EA61F5" w:rsidRDefault="00EA61F5" w:rsidP="00EA61F5">
      <w:pPr>
        <w:rPr>
          <w:rFonts w:eastAsia="Malgun Gothic"/>
          <w:lang w:eastAsia="ko-KR"/>
        </w:rPr>
      </w:pPr>
    </w:p>
    <w:p w:rsidR="00EA61F5" w:rsidRPr="00EA61F5" w:rsidRDefault="00EA61F5" w:rsidP="00EA61F5">
      <w:pPr>
        <w:pStyle w:val="tags"/>
      </w:pPr>
      <w:r w:rsidRPr="00EA61F5">
        <w:t>Biodiversity is key to human survival</w:t>
      </w:r>
    </w:p>
    <w:p w:rsidR="00EA61F5" w:rsidRPr="00EA61F5" w:rsidRDefault="00EA61F5" w:rsidP="00EA61F5">
      <w:pPr>
        <w:pStyle w:val="cites"/>
      </w:pPr>
      <w:r w:rsidRPr="00EA61F5">
        <w:t xml:space="preserve">FAO Report, 2k8 </w:t>
      </w:r>
    </w:p>
    <w:p w:rsidR="00EA61F5" w:rsidRPr="00EA61F5" w:rsidRDefault="00EA61F5" w:rsidP="00EA61F5">
      <w:pPr>
        <w:pStyle w:val="tiny"/>
        <w:rPr>
          <w:szCs w:val="20"/>
        </w:rPr>
      </w:pPr>
      <w:r w:rsidRPr="00EA61F5">
        <w:t xml:space="preserve">(Food and Agricultural Organization of the United States.) http://www.fao.org/newsroom/en/news/2008/1000788/index.html. February 18. “Biodiversity is vital for human survival and livelihoods,” FAO Deputy Director-General says) </w:t>
      </w:r>
    </w:p>
    <w:p w:rsidR="00EA61F5" w:rsidRPr="00EA61F5" w:rsidRDefault="00EA61F5" w:rsidP="00EA61F5">
      <w:pPr>
        <w:pStyle w:val="underlined"/>
      </w:pPr>
    </w:p>
    <w:p w:rsidR="00EA61F5" w:rsidRPr="00EA61F5" w:rsidRDefault="00EA61F5" w:rsidP="00EA61F5">
      <w:pPr>
        <w:pStyle w:val="underlined"/>
      </w:pPr>
      <w:r w:rsidRPr="00EA61F5">
        <w:t>BIODIVERSITY is vital for human survival and livelihoods and we need to conserve it for future generations. At the same time, the unacceptable scale of hunger and rural poverty in our small planet calls for urgent remedial action. This was underlined by FAO deputy director general James G. Butler. He was addressing the opening session of the thirteenth meeting of the Subsidiary Body on Scientific, Technical and Technological Advice of the Convention on Biological Diversity (February 18-22. )</w:t>
      </w:r>
    </w:p>
    <w:p w:rsidR="00EA61F5" w:rsidRPr="00EA61F5" w:rsidRDefault="00EA61F5" w:rsidP="00EA61F5">
      <w:pPr>
        <w:pStyle w:val="tiny"/>
      </w:pPr>
      <w:r w:rsidRPr="00EA61F5">
        <w:t xml:space="preserve">Ultimately, </w:t>
      </w:r>
      <w:r w:rsidRPr="00EA61F5">
        <w:rPr>
          <w:rStyle w:val="underlinedChar"/>
        </w:rPr>
        <w:t>at the global level, this event</w:t>
      </w:r>
      <w:r w:rsidRPr="00EA61F5">
        <w:t xml:space="preserve"> – which involves FAO, the Convention on Biological Diversity and their partners – </w:t>
      </w:r>
      <w:r w:rsidRPr="00EA61F5">
        <w:rPr>
          <w:rStyle w:val="underlinedChar"/>
        </w:rPr>
        <w:t>is aimed at meeting the challenges of sustainable agricultural production to ensure food security</w:t>
      </w:r>
      <w:r w:rsidRPr="00EA61F5">
        <w:t xml:space="preserve"> for all peoples, “especially the rural poor – often the managers and custodians of our biodiversity,” as Mr Butler put it. The </w:t>
      </w:r>
      <w:smartTag w:uri="urn:schemas-microsoft-com:office:smarttags" w:element="place">
        <w:smartTag w:uri="urn:schemas-microsoft-com:office:smarttags" w:element="City">
          <w:r w:rsidRPr="00EA61F5">
            <w:t>Rome</w:t>
          </w:r>
        </w:smartTag>
      </w:smartTag>
      <w:r w:rsidRPr="00EA61F5">
        <w:t xml:space="preserve"> meeting focuses on the implementation of the programmes of work on agricultural biodiversity and forest biodiversity; the application of sustainable use principles and guidelines to agricultural biodiversity; the linkages between agricultural biodiversity and climate change; marine, coastal and inland water ecosystems biodiversity; invasive alien species; and other scientific and technical issues.</w:t>
      </w:r>
    </w:p>
    <w:p w:rsidR="00EA61F5" w:rsidRPr="00EA61F5" w:rsidRDefault="00EA61F5" w:rsidP="00EA61F5">
      <w:pPr>
        <w:pStyle w:val="tiny"/>
      </w:pPr>
      <w:r w:rsidRPr="00EA61F5">
        <w:rPr>
          <w:rStyle w:val="underlinedChar"/>
        </w:rPr>
        <w:t>“Mainstreaming biodiversity into the food and agriculture, livestock fisheries and forestry sectors will be critical to provide humankind with opportunities for increasing food availability and stability</w:t>
      </w:r>
      <w:r w:rsidRPr="00EA61F5">
        <w:t>, while maintaining a healthy natural capital for future generations,” Mr Butler said.</w:t>
      </w:r>
    </w:p>
    <w:p w:rsidR="00EA61F5" w:rsidRPr="00EA61F5" w:rsidRDefault="00EA61F5" w:rsidP="00EA61F5"/>
    <w:p w:rsidR="00550D63" w:rsidRPr="00EA61F5" w:rsidRDefault="00550D63">
      <w:r w:rsidRPr="00EA61F5">
        <w:br w:type="page"/>
      </w:r>
    </w:p>
    <w:p w:rsidR="00E308E9" w:rsidRPr="00EA61F5" w:rsidRDefault="00550D63" w:rsidP="00550D63">
      <w:pPr>
        <w:pStyle w:val="Heading3"/>
      </w:pPr>
      <w:r w:rsidRPr="00EA61F5">
        <w:t>Links to Spending</w:t>
      </w:r>
    </w:p>
    <w:p w:rsidR="00550D63" w:rsidRPr="00EA61F5" w:rsidRDefault="00550D63" w:rsidP="00550D63">
      <w:pPr>
        <w:pStyle w:val="Heading4"/>
      </w:pPr>
      <w:r w:rsidRPr="00EA61F5">
        <w:t xml:space="preserve">Links to Spending </w:t>
      </w:r>
    </w:p>
    <w:p w:rsidR="00550D63" w:rsidRPr="00EA61F5" w:rsidRDefault="00550D63" w:rsidP="00550D63">
      <w:pPr>
        <w:rPr>
          <w:sz w:val="14"/>
        </w:rPr>
      </w:pPr>
      <w:r w:rsidRPr="00EA61F5">
        <w:rPr>
          <w:rStyle w:val="Style13ptBold"/>
        </w:rPr>
        <w:t>Ladd 11</w:t>
      </w:r>
      <w:r w:rsidRPr="00EA61F5">
        <w:rPr>
          <w:sz w:val="14"/>
        </w:rPr>
        <w:t xml:space="preserve"> [Chris Ladd – Writer for the Chron, “The American Devolution” August 1, 2011 </w:t>
      </w:r>
      <w:hyperlink r:id="rId7" w:history="1">
        <w:r w:rsidRPr="00EA61F5">
          <w:rPr>
            <w:rStyle w:val="Hyperlink"/>
            <w:sz w:val="14"/>
          </w:rPr>
          <w:t>http://blog.chron.com/goplifer/2011/08/the-american-devolution-2/</w:t>
        </w:r>
      </w:hyperlink>
      <w:r w:rsidRPr="00EA61F5">
        <w:rPr>
          <w:sz w:val="14"/>
        </w:rPr>
        <w:t>]</w:t>
      </w:r>
    </w:p>
    <w:p w:rsidR="00550D63" w:rsidRDefault="00550D63" w:rsidP="00550D63">
      <w:pPr>
        <w:rPr>
          <w:rFonts w:ascii="Calibri" w:hAnsi="Calibri" w:cs="Calibri"/>
          <w:sz w:val="14"/>
        </w:rPr>
      </w:pPr>
      <w:r w:rsidRPr="00EA61F5">
        <w:rPr>
          <w:rStyle w:val="StyleUnderline"/>
        </w:rPr>
        <w:t>We need a bridge to a smaller, more flexible, less intrusive government and we need to cross that bridge without Washington erupting in flames. And we need to do it quickly – within a generation. What would a devolved government look like? That’s a bigger subject than this format would allow, but in short it would be pretty recognizable and could exist under our current Constitutional structure</w:t>
      </w:r>
      <w:r w:rsidRPr="00EA61F5">
        <w:rPr>
          <w:rFonts w:ascii="Calibri" w:hAnsi="Calibri" w:cs="Calibri"/>
          <w:sz w:val="14"/>
        </w:rPr>
        <w:t xml:space="preserve">. It </w:t>
      </w:r>
      <w:r w:rsidRPr="00EA61F5">
        <w:rPr>
          <w:rStyle w:val="StyleUnderline"/>
        </w:rPr>
        <w:t>would still do a lot of the same things, but it would do them differently</w:t>
      </w:r>
      <w:r w:rsidRPr="00EA61F5">
        <w:rPr>
          <w:rFonts w:ascii="Calibri" w:hAnsi="Calibri" w:cs="Calibri"/>
          <w:sz w:val="14"/>
        </w:rPr>
        <w:t xml:space="preserve">. In the regulatory sphere for example, environmental rules that now dictate practically every aspect of power plant operation would shrink to some very basic, bottom-line standards. Instead of dictating in minute detail what technology should be installed in a smokestack, it would set pollution standards and hold plants accountable for measured results. Likewise, banking regulation would not attempt to keep pace with the ever more complex financial instruments. It would include a more tightly regulated environment for depositors and basic banking (think in terms of ‘tiers’ of regulation). A less regulated environment might be open to individual investment with basic anti-fraud standards and fees and taxes to prevent institutions from acquiring the power to destroy the whole system. </w:t>
      </w:r>
      <w:r w:rsidRPr="00EA61F5">
        <w:rPr>
          <w:rStyle w:val="StyleUnderline"/>
        </w:rPr>
        <w:t>Its involvement in infrastructure would relate more to finance and coordination, less to execution. There would be more privatization, fewer grand projects, greater power to local governments and less top-down planning.</w:t>
      </w:r>
      <w:r w:rsidRPr="00EA61F5">
        <w:rPr>
          <w:rFonts w:ascii="Calibri" w:hAnsi="Calibri" w:cs="Calibri"/>
          <w:sz w:val="14"/>
        </w:rPr>
        <w:t xml:space="preserve"> Think of a world with fewer space missions and more schools. Expect smaller armies, fewer aircraft carriers and more police.</w:t>
      </w:r>
    </w:p>
    <w:p w:rsidR="00E26779" w:rsidRDefault="00E26779">
      <w:pPr>
        <w:rPr>
          <w:rFonts w:ascii="Calibri" w:hAnsi="Calibri" w:cs="Calibri"/>
          <w:sz w:val="14"/>
        </w:rPr>
      </w:pPr>
      <w:r>
        <w:rPr>
          <w:rFonts w:ascii="Calibri" w:hAnsi="Calibri" w:cs="Calibri"/>
          <w:sz w:val="14"/>
        </w:rPr>
        <w:br w:type="page"/>
      </w:r>
    </w:p>
    <w:p w:rsidR="00E26779" w:rsidRDefault="00E26779" w:rsidP="00E26779">
      <w:pPr>
        <w:pStyle w:val="Heading3"/>
      </w:pPr>
      <w:r w:rsidRPr="00E26779">
        <w:t>Links to Politics</w:t>
      </w:r>
    </w:p>
    <w:p w:rsidR="00E26779" w:rsidRPr="00EA61F5" w:rsidRDefault="00E26779" w:rsidP="00E26779">
      <w:pPr>
        <w:pStyle w:val="tags"/>
      </w:pPr>
      <w:r w:rsidRPr="00EA61F5">
        <w:t>Links to politics- recent Doma and health care decisions prove.</w:t>
      </w:r>
    </w:p>
    <w:p w:rsidR="00E26779" w:rsidRPr="00EA61F5" w:rsidRDefault="00E26779" w:rsidP="00E26779">
      <w:pPr>
        <w:pStyle w:val="tiny"/>
      </w:pPr>
      <w:r w:rsidRPr="00EA61F5">
        <w:rPr>
          <w:rStyle w:val="Style13ptBold"/>
        </w:rPr>
        <w:t>Washington Times 2K7</w:t>
      </w:r>
      <w:r w:rsidRPr="00EA61F5">
        <w:t xml:space="preserve"> (“Agencies directed to focus on gas cuts; Bush move called 'political'”. Patrice Hill. May 15, 2007. Lexis Academic.) </w:t>
      </w:r>
    </w:p>
    <w:p w:rsidR="00E26779" w:rsidRPr="00EA61F5" w:rsidRDefault="00E26779" w:rsidP="00E26779">
      <w:pPr>
        <w:pStyle w:val="tiny"/>
      </w:pPr>
      <w:r w:rsidRPr="00EA61F5">
        <w:t xml:space="preserve">President </w:t>
      </w:r>
      <w:r w:rsidRPr="00EA61F5">
        <w:rPr>
          <w:rStyle w:val="underlinedChar"/>
        </w:rPr>
        <w:t>Bush</w:t>
      </w:r>
      <w:r w:rsidRPr="00EA61F5">
        <w:rPr>
          <w:rFonts w:ascii="Arial" w:hAnsi="Arial" w:cs="Arial"/>
          <w:b/>
          <w:bCs/>
          <w:sz w:val="20"/>
          <w:szCs w:val="20"/>
        </w:rPr>
        <w:t xml:space="preserve"> </w:t>
      </w:r>
      <w:r w:rsidRPr="00EA61F5">
        <w:rPr>
          <w:rStyle w:val="underlinedChar"/>
        </w:rPr>
        <w:t xml:space="preserve">yesterday reacted to a landmark Supreme Court decision on greenhouse gases by directing four federal agencies to come up with regulations before he leaves office in 2009 that will cut consumption of gasoline by 20 percent. </w:t>
      </w:r>
      <w:r w:rsidRPr="00EA61F5">
        <w:t xml:space="preserve"> Mr. Bush's executive order, which he said will be the "starting point" for regulation by the Environmental Protection Agency and departments of Energy, Agriculture and Transportation, previously was offered as a legislative plan in his State of the Union address. Yesterday, for the first time, administration officials said the Supreme Court decision last month made it clear they have the authority to impose the plan through executive action without approval from Congress. Mr. Bush's move to unilaterally raise fuel-economy standards for cars and trucks and to force gas stations to offer ethanol and other renewable fuels comes on a day when gas prices hit a new national record of $3.10 a gallon. It appears designed to pre-empt legislation in Congress that would go further than Mr. Bush in increasing fuel efficiency, promoting renewable fuels and imposing curbs on greenhouse gases. "We're taking action," Mr. Bush said. "Our dependence on oil creates a risk for our economy because a supply disruption anywhere in the world could drive up American gas prices to even more painful levels. Our dependence on oil creates a threat to </w:t>
      </w:r>
      <w:smartTag w:uri="urn:schemas-microsoft-com:office:smarttags" w:element="place">
        <w:smartTag w:uri="urn:schemas-microsoft-com:office:smarttags" w:element="country-region">
          <w:r w:rsidRPr="00EA61F5">
            <w:t>America</w:t>
          </w:r>
        </w:smartTag>
      </w:smartTag>
      <w:r w:rsidRPr="00EA61F5">
        <w:t xml:space="preserve">'s national security because it leaves us more vulnerable to hostile regimes and to terrorists who could attack oil infrastructure." Mr. Bush said he is taking a "common sense" approach that will not hurt the economy through heavy-handed regulation and will promote private innovation. "We now have reached a pivotal moment where advances in technology are creating new ways to improve energy security, strengthen national security and protect the environment," he said. </w:t>
      </w:r>
      <w:r w:rsidRPr="00EA61F5">
        <w:rPr>
          <w:rStyle w:val="underlinedChar"/>
        </w:rPr>
        <w:t>Environmentalists and Democrats in Congress immediately branded the move as politically motivated and inadequate in addressing the health and environmental problems they say are caused by global warming.</w:t>
      </w:r>
      <w:r w:rsidRPr="00EA61F5">
        <w:t xml:space="preserve"> "The president asked his agency heads to share ideas and come up with a plan that is due three weeks before he leaves office," said Rep. Edward J. Markey, Massachusetts Democrat. "Our oil dependence is too high and the threat of global warming is too great to allow half measures and delay to take the place of action any longer." </w:t>
      </w:r>
      <w:r w:rsidRPr="00EA61F5">
        <w:rPr>
          <w:rStyle w:val="underlinedChar"/>
        </w:rPr>
        <w:t>Calling the timing "suspiciously political," Senate Energy and Natural Resources Committee Chairman Jeff Bingaman, New Mexico Democrat, said "the absence of any standards in today's announcement is a reason why Americans will be looking to Congress for stronger leadership on energy policy</w:t>
      </w:r>
      <w:r w:rsidRPr="00EA61F5">
        <w:t>."</w:t>
      </w:r>
    </w:p>
    <w:p w:rsidR="00E26779" w:rsidRPr="00D9605E" w:rsidRDefault="00E26779" w:rsidP="00E26779">
      <w:pPr>
        <w:pStyle w:val="Heading3"/>
      </w:pPr>
      <w:r w:rsidRPr="00D9605E">
        <w:t>AT: Federalism</w:t>
      </w:r>
    </w:p>
    <w:p w:rsidR="00E26779" w:rsidRPr="00D9605E" w:rsidRDefault="00E26779" w:rsidP="00E26779">
      <w:pPr>
        <w:pStyle w:val="Heading4"/>
      </w:pPr>
      <w:r w:rsidRPr="00D9605E">
        <w:t xml:space="preserve">Federalism inevitably low </w:t>
      </w:r>
    </w:p>
    <w:p w:rsidR="00E26779" w:rsidRPr="00D9605E" w:rsidRDefault="00E26779" w:rsidP="00E26779">
      <w:pPr>
        <w:rPr>
          <w:sz w:val="16"/>
        </w:rPr>
      </w:pPr>
      <w:r w:rsidRPr="00D9605E">
        <w:rPr>
          <w:rStyle w:val="Style13ptBold"/>
        </w:rPr>
        <w:t>Caplan 2009</w:t>
      </w:r>
      <w:r w:rsidRPr="00D9605E">
        <w:rPr>
          <w:sz w:val="16"/>
        </w:rPr>
        <w:t xml:space="preserve"> (Bryan, Professor of Economics at George Mason University and Senior Scholar at the Mercatus Center. He is the author of The Myth of the Rational Voter: Why Democracies Choose Bad Policies, named "the best political book of the year" by the New York Times, and Selfish Reasons to Have More Kids: Why Being a Great Parent Is Less Work and More Fun Than You Think, “Policy All the Way Down”, </w:t>
      </w:r>
      <w:hyperlink r:id="rId8" w:history="1">
        <w:r w:rsidRPr="00D9605E">
          <w:rPr>
            <w:rStyle w:val="Hyperlink"/>
            <w:sz w:val="16"/>
          </w:rPr>
          <w:t>http://econlog.econlib.org/archives/2009/01/policy_all_the.html</w:t>
        </w:r>
      </w:hyperlink>
      <w:r w:rsidRPr="00D9605E">
        <w:rPr>
          <w:sz w:val="16"/>
        </w:rPr>
        <w:t>, Hemanth)</w:t>
      </w:r>
    </w:p>
    <w:p w:rsidR="00E26779" w:rsidRPr="00D9605E" w:rsidRDefault="00E26779" w:rsidP="00E26779">
      <w:pPr>
        <w:spacing w:after="200" w:line="276" w:lineRule="auto"/>
        <w:rPr>
          <w:sz w:val="16"/>
        </w:rPr>
      </w:pPr>
      <w:r w:rsidRPr="00D9605E">
        <w:rPr>
          <w:sz w:val="16"/>
        </w:rPr>
        <w:t xml:space="preserve">At first glance, what Lyles calls the SLs seem a lot more realistic: </w:t>
      </w:r>
      <w:r w:rsidRPr="00D9605E">
        <w:rPr>
          <w:rStyle w:val="StyleUnderline"/>
          <w:rFonts w:asciiTheme="minorHAnsi" w:hAnsiTheme="minorHAnsi" w:cstheme="minorHAnsi"/>
        </w:rPr>
        <w:t>To change policy, you've got to change institutions</w:t>
      </w:r>
      <w:r w:rsidRPr="00D9605E">
        <w:rPr>
          <w:sz w:val="16"/>
        </w:rPr>
        <w:t xml:space="preserve">, right? </w:t>
      </w:r>
      <w:r w:rsidRPr="00D9605E">
        <w:rPr>
          <w:rStyle w:val="Emphasis"/>
        </w:rPr>
        <w:t>Unfortunately</w:t>
      </w:r>
      <w:r w:rsidRPr="00D9605E">
        <w:rPr>
          <w:sz w:val="16"/>
        </w:rPr>
        <w:t xml:space="preserve">, </w:t>
      </w:r>
      <w:r w:rsidRPr="00D9605E">
        <w:rPr>
          <w:rStyle w:val="StyleUnderline"/>
          <w:rFonts w:asciiTheme="minorHAnsi" w:hAnsiTheme="minorHAnsi" w:cstheme="minorHAnsi"/>
        </w:rPr>
        <w:t>institutions themselves are a kind of policy.</w:t>
      </w:r>
      <w:r w:rsidRPr="00D9605E">
        <w:rPr>
          <w:sz w:val="16"/>
        </w:rPr>
        <w:t xml:space="preserve"> They arise because previous institutions create incentives for change, and endure because current institutions create incentives for stability. Or as we economists like to say, "</w:t>
      </w:r>
      <w:r w:rsidRPr="00D9605E">
        <w:rPr>
          <w:rStyle w:val="StyleUnderline"/>
          <w:rFonts w:asciiTheme="minorHAnsi" w:hAnsiTheme="minorHAnsi" w:cstheme="minorHAnsi"/>
        </w:rPr>
        <w:t>Institutions are endogenous</w:t>
      </w:r>
      <w:r w:rsidRPr="00D9605E">
        <w:rPr>
          <w:sz w:val="16"/>
        </w:rPr>
        <w:t xml:space="preserve">." Suppose, for example, that the SL advocates more federalism in order to get more libertarian policies. Isn't this more "realistic" than advocating drug legalization? Hardly. </w:t>
      </w:r>
      <w:r w:rsidRPr="00D9605E">
        <w:rPr>
          <w:rStyle w:val="Emphasis"/>
        </w:rPr>
        <w:t>The level of federalism is low and stable for a reason</w:t>
      </w:r>
      <w:r w:rsidRPr="00D9605E">
        <w:rPr>
          <w:sz w:val="16"/>
        </w:rPr>
        <w:t xml:space="preserve"> - </w:t>
      </w:r>
      <w:r w:rsidRPr="00D9605E">
        <w:rPr>
          <w:rStyle w:val="StyleUnderline"/>
          <w:rFonts w:asciiTheme="minorHAnsi" w:hAnsiTheme="minorHAnsi" w:cstheme="minorHAnsi"/>
        </w:rPr>
        <w:t>when there was more federalism, political actors have incentives to reduce it;</w:t>
      </w:r>
      <w:r w:rsidRPr="00D9605E">
        <w:rPr>
          <w:sz w:val="16"/>
        </w:rPr>
        <w:t xml:space="preserve"> </w:t>
      </w:r>
      <w:r w:rsidRPr="00D9605E">
        <w:rPr>
          <w:rStyle w:val="StyleUnderline"/>
          <w:rFonts w:asciiTheme="minorHAnsi" w:hAnsiTheme="minorHAnsi" w:cstheme="minorHAnsi"/>
        </w:rPr>
        <w:t xml:space="preserve">now that's low, </w:t>
      </w:r>
      <w:r w:rsidRPr="00D9605E">
        <w:rPr>
          <w:rStyle w:val="Emphasis"/>
        </w:rPr>
        <w:t>political actors have little incentive to change</w:t>
      </w:r>
      <w:r w:rsidRPr="00D9605E">
        <w:rPr>
          <w:sz w:val="16"/>
        </w:rPr>
        <w:t xml:space="preserve"> it. Alas, it's policy all the way down.</w:t>
      </w:r>
    </w:p>
    <w:p w:rsidR="00E26779" w:rsidRPr="00D9605E" w:rsidRDefault="00E26779" w:rsidP="00E26779">
      <w:pPr>
        <w:pStyle w:val="Heading4"/>
      </w:pPr>
      <w:r w:rsidRPr="00D9605E">
        <w:t>Expansion of Federal power doesn’t cause war</w:t>
      </w:r>
    </w:p>
    <w:p w:rsidR="00E26779" w:rsidRPr="00D9605E" w:rsidRDefault="00E26779" w:rsidP="00E26779">
      <w:pPr>
        <w:pStyle w:val="tiny"/>
      </w:pPr>
      <w:r w:rsidRPr="00D9605E">
        <w:t xml:space="preserve">DENNIS M. </w:t>
      </w:r>
      <w:r w:rsidRPr="00D9605E">
        <w:rPr>
          <w:rStyle w:val="Style13ptBold"/>
        </w:rPr>
        <w:t>CARIELLO</w:t>
      </w:r>
      <w:r w:rsidRPr="00D9605E">
        <w:t xml:space="preserve">, PRESIDENTIAL FELLOW, ASSOCIATION OF THE BAR OF THE CITY OF NEW YORK, J.D., MAY, </w:t>
      </w:r>
      <w:r w:rsidRPr="00D9605E">
        <w:rPr>
          <w:rStyle w:val="Style13ptBold"/>
        </w:rPr>
        <w:t>1999</w:t>
      </w:r>
      <w:r w:rsidRPr="00D9605E">
        <w:t xml:space="preserve"> [“ FEDERALISM FOR THE NEW MILLENNIUM: ACCOUNTING FOR THE VALUES OF FEDERALISM”, 26 FORDHAM URB. L.J. 1493, p. 1540-1</w:t>
      </w:r>
    </w:p>
    <w:p w:rsidR="00E26779" w:rsidRPr="00D9605E" w:rsidRDefault="00E26779" w:rsidP="00E26779">
      <w:r w:rsidRPr="00D9605E">
        <w:rPr>
          <w:rStyle w:val="tinyChar"/>
        </w:rPr>
        <w:t xml:space="preserve">Prior to 1937, the Supreme Court used federalism as the means for invalidating a myriad of national laws.  </w:t>
      </w:r>
      <w:r w:rsidRPr="00D9605E">
        <w:rPr>
          <w:rStyle w:val="underlinedChar"/>
        </w:rPr>
        <w:t>The New Deal,</w:t>
      </w:r>
      <w:r w:rsidRPr="00D9605E">
        <w:t xml:space="preserve"> how</w:t>
      </w:r>
      <w:r w:rsidRPr="00D9605E">
        <w:rPr>
          <w:rStyle w:val="tinyChar"/>
        </w:rPr>
        <w:t>ever</w:t>
      </w:r>
      <w:r w:rsidRPr="00D9605E">
        <w:t xml:space="preserve">, </w:t>
      </w:r>
      <w:r w:rsidRPr="00D9605E">
        <w:rPr>
          <w:rStyle w:val="underlinedChar"/>
        </w:rPr>
        <w:t>changed federalism forever</w:t>
      </w:r>
      <w:r w:rsidRPr="00D9605E">
        <w:rPr>
          <w:rStyle w:val="tinyChar"/>
        </w:rPr>
        <w:t>. Cases such as NLRB v. Jones &amp; Laughlin Steel Co.,  United States v. Darby  and Wickard v. Fil burn,  refused to limit the national legislative power due to feder alism concerns. As Professor Laurence Tribe remarked, "</w:t>
      </w:r>
      <w:r w:rsidRPr="00D9605E">
        <w:rPr>
          <w:rStyle w:val="underlinedChar"/>
        </w:rPr>
        <w:t>for</w:t>
      </w:r>
      <w:r w:rsidRPr="00D9605E">
        <w:t xml:space="preserve"> </w:t>
      </w:r>
      <w:r w:rsidRPr="00D9605E">
        <w:rPr>
          <w:rStyle w:val="tinyChar"/>
        </w:rPr>
        <w:t>almost</w:t>
      </w:r>
      <w:r w:rsidRPr="00D9605E">
        <w:t xml:space="preserve"> </w:t>
      </w:r>
      <w:r w:rsidRPr="00D9605E">
        <w:rPr>
          <w:rStyle w:val="underlinedChar"/>
        </w:rPr>
        <w:t xml:space="preserve">four decades after 1937, the conventional wisdom was that federalism </w:t>
      </w:r>
      <w:r w:rsidRPr="00D9605E">
        <w:t xml:space="preserve">in </w:t>
      </w:r>
      <w:r w:rsidRPr="00D9605E">
        <w:rPr>
          <w:rStyle w:val="tinyChar"/>
        </w:rPr>
        <w:t>general</w:t>
      </w:r>
      <w:r w:rsidRPr="00D9605E">
        <w:t xml:space="preserve"> - </w:t>
      </w:r>
      <w:r w:rsidRPr="00D9605E">
        <w:rPr>
          <w:rStyle w:val="tinyChar"/>
        </w:rPr>
        <w:t>and the rights of states in particular</w:t>
      </w:r>
      <w:r w:rsidRPr="00D9605E">
        <w:t xml:space="preserve"> - </w:t>
      </w:r>
      <w:r w:rsidRPr="00D9605E">
        <w:rPr>
          <w:rStyle w:val="underlinedChar"/>
        </w:rPr>
        <w:t>provided no judicially - enforceable limits on congressional power</w:t>
      </w:r>
      <w:r w:rsidRPr="00D9605E">
        <w:rPr>
          <w:rStyle w:val="tinyChar"/>
        </w:rPr>
        <w:t>."   For the next thirty years,</w:t>
      </w:r>
      <w:r w:rsidRPr="00D9605E">
        <w:t xml:space="preserve"> </w:t>
      </w:r>
      <w:r w:rsidRPr="00D9605E">
        <w:rPr>
          <w:rStyle w:val="underlinedChar"/>
        </w:rPr>
        <w:t xml:space="preserve">Congress was permitted to regulate nearly every human industry. This became </w:t>
      </w:r>
      <w:r w:rsidRPr="00D9605E">
        <w:rPr>
          <w:rStyle w:val="tinyChar"/>
        </w:rPr>
        <w:t>strikingly</w:t>
      </w:r>
      <w:r w:rsidRPr="00D9605E">
        <w:t xml:space="preserve"> </w:t>
      </w:r>
      <w:r w:rsidRPr="00D9605E">
        <w:rPr>
          <w:rStyle w:val="underlinedChar"/>
        </w:rPr>
        <w:t>clear in Heart of Atlanta Motel, Inc. v. U</w:t>
      </w:r>
      <w:r w:rsidRPr="00D9605E">
        <w:rPr>
          <w:rStyle w:val="tinyChar"/>
        </w:rPr>
        <w:t>nited</w:t>
      </w:r>
      <w:r w:rsidRPr="00D9605E">
        <w:t xml:space="preserve"> </w:t>
      </w:r>
      <w:r w:rsidRPr="00D9605E">
        <w:rPr>
          <w:rStyle w:val="underlinedChar"/>
        </w:rPr>
        <w:t>S</w:t>
      </w:r>
      <w:r w:rsidRPr="00D9605E">
        <w:t xml:space="preserve">tates,  </w:t>
      </w:r>
      <w:r w:rsidRPr="00D9605E">
        <w:rPr>
          <w:rStyle w:val="underlinedChar"/>
        </w:rPr>
        <w:t>where the Court upheld Title II of the Civil Rights Act of 1964 through congressional authority under the Commerce Clause</w:t>
      </w:r>
      <w:r w:rsidRPr="00D9605E">
        <w:t xml:space="preserve">. </w:t>
      </w:r>
      <w:r w:rsidRPr="00D9605E">
        <w:rPr>
          <w:rStyle w:val="tinyChar"/>
        </w:rPr>
        <w:t xml:space="preserve">There, despite the original objective for the Act,  the Court found that "the applicability of Title II is carefully limited to enterprises having direct and substantial relation to the interstate flow of goods and people ...."  To wit, </w:t>
      </w:r>
      <w:r w:rsidRPr="00D9605E">
        <w:rPr>
          <w:rStyle w:val="underlinedChar"/>
        </w:rPr>
        <w:t>the Court allowed Congress to regulate race relations under the Commerce Clause, even though Congress did not consider the regulation to be commercial</w:t>
      </w:r>
      <w:r w:rsidRPr="00D9605E">
        <w:t xml:space="preserve">.  </w:t>
      </w:r>
    </w:p>
    <w:p w:rsidR="00E26779" w:rsidRPr="00D9605E" w:rsidRDefault="00E26779" w:rsidP="00E26779">
      <w:pPr>
        <w:pStyle w:val="Heading4"/>
      </w:pPr>
      <w:r w:rsidRPr="00D9605E">
        <w:t xml:space="preserve">No modeling—assumes your warrants </w:t>
      </w:r>
    </w:p>
    <w:p w:rsidR="00E26779" w:rsidRPr="00D9605E" w:rsidRDefault="00E26779" w:rsidP="00E26779">
      <w:pPr>
        <w:rPr>
          <w:sz w:val="14"/>
        </w:rPr>
      </w:pPr>
      <w:r w:rsidRPr="00D9605E">
        <w:rPr>
          <w:rStyle w:val="Style13ptBold"/>
        </w:rPr>
        <w:t>Steppan 1999</w:t>
      </w:r>
      <w:r w:rsidRPr="00D9605E">
        <w:rPr>
          <w:sz w:val="14"/>
        </w:rPr>
        <w:t xml:space="preserve"> (Alfred C. Stepan is a comparative political scientist and Wallace S. Sayre Professor of Government at Columbia University, where he is also director of the Center for the Study of Democracy, Toleration and Religion, “Federalism and Democracy: Beyond the U.S. Model”, Journal of Democracy, </w:t>
      </w:r>
      <w:hyperlink r:id="rId9" w:history="1">
        <w:r w:rsidRPr="00D9605E">
          <w:rPr>
            <w:rStyle w:val="Hyperlink"/>
            <w:sz w:val="14"/>
          </w:rPr>
          <w:t>https://netfiles.uiuc.edu/fesnic/fspub/6_7_Stepan_1999_Federalism_J_of_Dem.pdf</w:t>
        </w:r>
      </w:hyperlink>
      <w:r w:rsidRPr="00D9605E">
        <w:rPr>
          <w:sz w:val="14"/>
        </w:rPr>
        <w:t>, Hemanth)</w:t>
      </w:r>
    </w:p>
    <w:p w:rsidR="00E26779" w:rsidRPr="00034793" w:rsidRDefault="00E26779" w:rsidP="00E26779">
      <w:pPr>
        <w:rPr>
          <w:sz w:val="16"/>
        </w:rPr>
      </w:pPr>
      <w:r w:rsidRPr="00D9605E">
        <w:rPr>
          <w:rStyle w:val="StyleUnderline"/>
          <w:rFonts w:asciiTheme="minorHAnsi" w:hAnsiTheme="minorHAnsi" w:cstheme="minorHAnsi"/>
        </w:rPr>
        <w:t>The U.S. model of federalism</w:t>
      </w:r>
      <w:r w:rsidRPr="00D9605E">
        <w:rPr>
          <w:sz w:val="16"/>
        </w:rPr>
        <w:t xml:space="preserve">, in terms of the analytical categories developed in this article, </w:t>
      </w:r>
      <w:r w:rsidRPr="00D9605E">
        <w:rPr>
          <w:rStyle w:val="StyleUnderline"/>
          <w:rFonts w:asciiTheme="minorHAnsi" w:hAnsiTheme="minorHAnsi" w:cstheme="minorHAnsi"/>
        </w:rPr>
        <w:t>is "coming-together" in its origin, "constitutionally symmetrical" in its structure, and "demos-constraining" in its political consequences</w:t>
      </w:r>
      <w:r w:rsidRPr="00D9605E">
        <w:rPr>
          <w:sz w:val="16"/>
        </w:rPr>
        <w:t xml:space="preserve">. </w:t>
      </w:r>
      <w:r w:rsidRPr="00D9605E">
        <w:rPr>
          <w:rStyle w:val="Emphasis"/>
        </w:rPr>
        <w:t>Despite the prestige of this U.S. model of federalism, it would seem to hold greater historical interest than contemporary attraction for other democracies</w:t>
      </w:r>
      <w:r w:rsidRPr="00D9605E">
        <w:rPr>
          <w:sz w:val="16"/>
        </w:rPr>
        <w:t xml:space="preserve">. Since the emergence of nation-states on the world stage in the after-math of the French Revolution, </w:t>
      </w:r>
      <w:r w:rsidRPr="00D9605E">
        <w:rPr>
          <w:rStyle w:val="StyleUnderline"/>
          <w:rFonts w:asciiTheme="minorHAnsi" w:hAnsiTheme="minorHAnsi" w:cstheme="minorHAnsi"/>
        </w:rPr>
        <w:t>no sovereign democratic nation-states have ever "come together" in an enduring federation.</w:t>
      </w:r>
      <w:r w:rsidRPr="00D9605E">
        <w:rPr>
          <w:sz w:val="16"/>
        </w:rPr>
        <w:t xml:space="preserve"> Three largely unitary states, however (Belgium, Spain, and India) have constructed "holding-together" federations. In contrast to the United States, these </w:t>
      </w:r>
      <w:r w:rsidRPr="00D9605E">
        <w:rPr>
          <w:rStyle w:val="StyleUnderline"/>
          <w:rFonts w:asciiTheme="minorHAnsi" w:hAnsiTheme="minorHAnsi" w:cstheme="minorHAnsi"/>
        </w:rPr>
        <w:t>federations are constitutionally asymmetrical</w:t>
      </w:r>
      <w:r w:rsidRPr="00D9605E">
        <w:rPr>
          <w:sz w:val="16"/>
        </w:rPr>
        <w:t xml:space="preserve"> and more "demos-enabling" than "demos-constraining." Should the United Kingdom ever become a federation, it would also be "holding-together" in origin. Since 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 Finally, it would obviously defeat the purpose of such a new federation if it were constitutionally symmetrical. A U.K. federation, then, would not follow the U.S. model. The fact that since the French Revolution no fully independent nation-states have come together to pool their sovereignty in a new and more powerful polity constructed in the form of a federation would seem to have implications for the future evolution of the European Union. </w:t>
      </w:r>
      <w:r w:rsidRPr="00D9605E">
        <w:rPr>
          <w:rStyle w:val="StyleUnderline"/>
          <w:rFonts w:asciiTheme="minorHAnsi" w:hAnsiTheme="minorHAnsi" w:cstheme="minorHAnsi"/>
        </w:rPr>
        <w:t>The European Union is composed of independent states, most of which are nation-states. These states are indeed increasingly becoming "functionally federal</w:t>
      </w:r>
      <w:r w:rsidRPr="00D9605E">
        <w:rPr>
          <w:sz w:val="16"/>
        </w:rPr>
        <w:t xml:space="preserve">." Were there to be a prolonged recession (or a depression), however, and were some EU member states to experience very high unemployment rates in comparison to others, member states could vote to dismantle some of the economic federal structures of the federation that were perceived as being "politically dysfunctional." Unlike most classic federations, such as the United States, the European Union will most likely continue to be marked by the presumption of freedom of exit. Finally, </w:t>
      </w:r>
      <w:r w:rsidRPr="00D9605E">
        <w:rPr>
          <w:rStyle w:val="StyleUnderline"/>
          <w:rFonts w:asciiTheme="minorHAnsi" w:hAnsiTheme="minorHAnsi" w:cstheme="minorHAnsi"/>
        </w:rPr>
        <w:t xml:space="preserve">many of the new federations that could emerge from the currently nondemocratic parts of the world would probably be territorially based, multilingual, and multinational. </w:t>
      </w:r>
      <w:r w:rsidRPr="00D9605E">
        <w:rPr>
          <w:sz w:val="16"/>
        </w:rPr>
        <w:t xml:space="preserve">For the reasons spelled out in this article, very </w:t>
      </w:r>
      <w:r w:rsidRPr="00D9605E">
        <w:rPr>
          <w:rStyle w:val="Emphasis"/>
        </w:rPr>
        <w:t>few, if any</w:t>
      </w:r>
      <w:r w:rsidRPr="00D9605E">
        <w:rPr>
          <w:rStyle w:val="StyleUnderline"/>
          <w:rFonts w:asciiTheme="minorHAnsi" w:hAnsiTheme="minorHAnsi" w:cstheme="minorHAnsi"/>
        </w:rPr>
        <w:t>,</w:t>
      </w:r>
      <w:r w:rsidRPr="00D9605E">
        <w:rPr>
          <w:sz w:val="16"/>
        </w:rPr>
        <w:t xml:space="preserve"> such </w:t>
      </w:r>
      <w:r w:rsidRPr="00D9605E">
        <w:rPr>
          <w:rStyle w:val="Emphasis"/>
        </w:rPr>
        <w:t>polities would attempt to consolidate democracy using the U.S. model</w:t>
      </w:r>
      <w:r w:rsidRPr="00D9605E">
        <w:rPr>
          <w:sz w:val="16"/>
        </w:rPr>
        <w:t xml:space="preserve"> of "coming-together," "demos-constraining," symmetrical federalism.</w:t>
      </w:r>
    </w:p>
    <w:p w:rsidR="00E26779" w:rsidRPr="00E26779" w:rsidRDefault="00E26779" w:rsidP="00E26779"/>
    <w:p w:rsidR="00550D63" w:rsidRPr="00550D63" w:rsidRDefault="00550D63" w:rsidP="00550D63"/>
    <w:sectPr w:rsidR="00550D63" w:rsidRPr="00550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E308E9"/>
    <w:rsid w:val="000139A3"/>
    <w:rsid w:val="000C3934"/>
    <w:rsid w:val="00100833"/>
    <w:rsid w:val="00104529"/>
    <w:rsid w:val="00177B7D"/>
    <w:rsid w:val="0018322D"/>
    <w:rsid w:val="00186991"/>
    <w:rsid w:val="001B5776"/>
    <w:rsid w:val="00251FC7"/>
    <w:rsid w:val="002855A7"/>
    <w:rsid w:val="00315690"/>
    <w:rsid w:val="00325646"/>
    <w:rsid w:val="00326974"/>
    <w:rsid w:val="003902BA"/>
    <w:rsid w:val="003A09E2"/>
    <w:rsid w:val="003D6C5D"/>
    <w:rsid w:val="00407037"/>
    <w:rsid w:val="0041292B"/>
    <w:rsid w:val="00423856"/>
    <w:rsid w:val="004605D6"/>
    <w:rsid w:val="004C60E8"/>
    <w:rsid w:val="004E3579"/>
    <w:rsid w:val="004F39E0"/>
    <w:rsid w:val="00537BD5"/>
    <w:rsid w:val="00550D63"/>
    <w:rsid w:val="0056711F"/>
    <w:rsid w:val="005E2EF2"/>
    <w:rsid w:val="006065BD"/>
    <w:rsid w:val="00665003"/>
    <w:rsid w:val="006C45D7"/>
    <w:rsid w:val="00767131"/>
    <w:rsid w:val="007F5B66"/>
    <w:rsid w:val="00823A1C"/>
    <w:rsid w:val="00845B9D"/>
    <w:rsid w:val="00860984"/>
    <w:rsid w:val="008B3ECB"/>
    <w:rsid w:val="008C1B2E"/>
    <w:rsid w:val="0091627E"/>
    <w:rsid w:val="009A1C2D"/>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DD7ED7"/>
    <w:rsid w:val="00E26779"/>
    <w:rsid w:val="00E308E9"/>
    <w:rsid w:val="00E42493"/>
    <w:rsid w:val="00EA61F5"/>
    <w:rsid w:val="00ED30CF"/>
    <w:rsid w:val="00EF5D73"/>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D6C5D"/>
    <w:rPr>
      <w:rFonts w:ascii="Times New Roman" w:hAnsi="Times New Roman" w:cs="Times New Roman"/>
    </w:rPr>
  </w:style>
  <w:style w:type="paragraph" w:styleId="Heading1">
    <w:name w:val="heading 1"/>
    <w:aliases w:val="Pocket"/>
    <w:basedOn w:val="Normal"/>
    <w:next w:val="Normal"/>
    <w:link w:val="Heading1Char"/>
    <w:autoRedefine/>
    <w:qFormat/>
    <w:rsid w:val="003D6C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6C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3: Cite,Tags v 2,Heading 3 Char Char Char Char Char Char,Citation Char Char,Heading 3 Char1 Char Char,Citation Char Char Char Char,Citation Char1 Char Char,Citation Char Char1,citation Char,Block Writing"/>
    <w:basedOn w:val="Normal"/>
    <w:next w:val="Normal"/>
    <w:link w:val="Heading3Char"/>
    <w:autoRedefine/>
    <w:uiPriority w:val="2"/>
    <w:unhideWhenUsed/>
    <w:qFormat/>
    <w:rsid w:val="003D6C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small text,Heading 2 Char2 Char,Heading 2 Char1 Char Char,Ch,No Spacing12,small space,no read,No Spacing1121,Tag1,No Spacing5,ta,Heading 21,small spac"/>
    <w:basedOn w:val="Normal"/>
    <w:next w:val="Normal"/>
    <w:link w:val="Heading4Char"/>
    <w:autoRedefine/>
    <w:uiPriority w:val="3"/>
    <w:unhideWhenUsed/>
    <w:qFormat/>
    <w:rsid w:val="003D6C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6C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C5D"/>
  </w:style>
  <w:style w:type="character" w:customStyle="1" w:styleId="Heading1Char">
    <w:name w:val="Heading 1 Char"/>
    <w:aliases w:val="Pocket Char"/>
    <w:basedOn w:val="DefaultParagraphFont"/>
    <w:link w:val="Heading1"/>
    <w:rsid w:val="003D6C5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D6C5D"/>
    <w:rPr>
      <w:rFonts w:ascii="Times New Roman" w:eastAsiaTheme="majorEastAsia" w:hAnsi="Times New Roman" w:cstheme="majorBidi"/>
      <w:b/>
      <w:sz w:val="44"/>
      <w:szCs w:val="26"/>
      <w:u w:val="double"/>
    </w:rPr>
  </w:style>
  <w:style w:type="character" w:customStyle="1" w:styleId="Heading3Char">
    <w:name w:val="Heading 3 Char"/>
    <w:aliases w:val="Block Char,Citation Char,Underline Char Char Char Char,3: Cite Char,Tags v 2 Char,Heading 3 Char Char Char Char Char Char Char,Citation Char Char Char1,Heading 3 Char1 Char Char Char1,Citation Char Char Char Char Char,citation Char Char"/>
    <w:basedOn w:val="DefaultParagraphFont"/>
    <w:link w:val="Heading3"/>
    <w:uiPriority w:val="2"/>
    <w:rsid w:val="003D6C5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small text Char,Heading 2 Char2 Char Char,Heading 2 Char1 Char Char Char,Ch Char,No Spacing12 Char,small space Char,no read Char,No Spacing1121 Char,Tag1 Char,No Spacing5 Char"/>
    <w:basedOn w:val="DefaultParagraphFont"/>
    <w:link w:val="Heading4"/>
    <w:uiPriority w:val="3"/>
    <w:rsid w:val="003D6C5D"/>
    <w:rPr>
      <w:rFonts w:ascii="Times New Roman" w:eastAsiaTheme="majorEastAsia" w:hAnsi="Times New Roman" w:cstheme="majorBidi"/>
      <w:b/>
      <w:iCs/>
      <w:sz w:val="26"/>
    </w:rPr>
  </w:style>
  <w:style w:type="character" w:styleId="Emphasis">
    <w:name w:val="Emphasis"/>
    <w:aliases w:val="tag2,Size 10,emphasis in card,Evidence,Minimized,minimized,Highlighted,Underlined,CD Card,ED - Tag,emphasis,Emphasis!!,Bold Underline,small,Qualifications,normal card text,Shrunk,qualifications in card,qualifications"/>
    <w:basedOn w:val="DefaultParagraphFont"/>
    <w:uiPriority w:val="7"/>
    <w:qFormat/>
    <w:rsid w:val="003D6C5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D6C5D"/>
    <w:rPr>
      <w:b/>
      <w:bCs/>
      <w:sz w:val="26"/>
      <w:u w:val="single"/>
    </w:rPr>
  </w:style>
  <w:style w:type="character" w:customStyle="1" w:styleId="StyleUnderline">
    <w:name w:val="Style Underline"/>
    <w:aliases w:val="Underline,Style Bold Underline,apple-style-span + 6 pt,Bold,Kern at 16 pt,Style,Intense Emphasis1,Intense Emphasis2,HHeading 3 + 12 pt,Citation Char Char Char,Cards + Font: 12 pt Char,Heading 3 Char1 Char Char Char,Intense Emphasis3,ci,c"/>
    <w:basedOn w:val="DefaultParagraphFont"/>
    <w:uiPriority w:val="6"/>
    <w:qFormat/>
    <w:rsid w:val="003D6C5D"/>
    <w:rPr>
      <w:b w:val="0"/>
      <w:sz w:val="22"/>
      <w:u w:val="single"/>
    </w:rPr>
  </w:style>
  <w:style w:type="character" w:styleId="Hyperlink">
    <w:name w:val="Hyperlink"/>
    <w:aliases w:val="heading 1 (block title),Read,Important,Internet Link,Analytic Text"/>
    <w:basedOn w:val="DefaultParagraphFont"/>
    <w:uiPriority w:val="99"/>
    <w:unhideWhenUsed/>
    <w:rsid w:val="003D6C5D"/>
    <w:rPr>
      <w:color w:val="auto"/>
      <w:u w:val="none"/>
    </w:rPr>
  </w:style>
  <w:style w:type="character" w:styleId="FollowedHyperlink">
    <w:name w:val="FollowedHyperlink"/>
    <w:basedOn w:val="DefaultParagraphFont"/>
    <w:uiPriority w:val="99"/>
    <w:semiHidden/>
    <w:unhideWhenUsed/>
    <w:rsid w:val="003D6C5D"/>
    <w:rPr>
      <w:color w:val="auto"/>
      <w:u w:val="none"/>
    </w:rPr>
  </w:style>
  <w:style w:type="paragraph" w:customStyle="1" w:styleId="tags">
    <w:name w:val="tags"/>
    <w:aliases w:val="No Spacing1"/>
    <w:next w:val="Normal"/>
    <w:link w:val="tagsChar"/>
    <w:autoRedefine/>
    <w:rsid w:val="00E308E9"/>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E308E9"/>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E308E9"/>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E308E9"/>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basedOn w:val="DefaultParagraphFont"/>
    <w:link w:val="cites"/>
    <w:rsid w:val="00E308E9"/>
    <w:rPr>
      <w:rFonts w:ascii="Times New Roman" w:eastAsia="Malgun Gothic" w:hAnsi="Times New Roman" w:cs="Times New Roman"/>
      <w:b/>
      <w:szCs w:val="24"/>
      <w:u w:val="single"/>
    </w:rPr>
  </w:style>
  <w:style w:type="character" w:customStyle="1" w:styleId="underlinedChar">
    <w:name w:val="underlined Char"/>
    <w:basedOn w:val="DefaultParagraphFont"/>
    <w:link w:val="underlined"/>
    <w:rsid w:val="00E308E9"/>
    <w:rPr>
      <w:rFonts w:ascii="Times New Roman" w:eastAsia="Malgun Gothic" w:hAnsi="Times New Roman" w:cs="Times New Roman"/>
      <w:sz w:val="21"/>
      <w:szCs w:val="24"/>
      <w:u w:val="single"/>
    </w:rPr>
  </w:style>
  <w:style w:type="character" w:customStyle="1" w:styleId="tinyChar">
    <w:name w:val="tiny Char"/>
    <w:basedOn w:val="DefaultParagraphFont"/>
    <w:link w:val="tiny"/>
    <w:rsid w:val="00E308E9"/>
    <w:rPr>
      <w:rFonts w:ascii="Times New Roman" w:eastAsia="Malgun Gothic" w:hAnsi="Times New Roman" w:cs="Times New Roman"/>
      <w:sz w:val="12"/>
      <w:szCs w:val="24"/>
    </w:rPr>
  </w:style>
  <w:style w:type="character" w:customStyle="1" w:styleId="tagsChar">
    <w:name w:val="tags Char"/>
    <w:aliases w:val="No Spacing1 Char"/>
    <w:basedOn w:val="DefaultParagraphFont"/>
    <w:link w:val="tags"/>
    <w:rsid w:val="00E308E9"/>
    <w:rPr>
      <w:rFonts w:ascii="Times New Roman" w:eastAsia="Malgun Gothic" w:hAnsi="Times New Roman"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D6C5D"/>
    <w:rPr>
      <w:rFonts w:ascii="Times New Roman" w:hAnsi="Times New Roman" w:cs="Times New Roman"/>
    </w:rPr>
  </w:style>
  <w:style w:type="paragraph" w:styleId="Heading1">
    <w:name w:val="heading 1"/>
    <w:aliases w:val="Pocket"/>
    <w:basedOn w:val="Normal"/>
    <w:next w:val="Normal"/>
    <w:link w:val="Heading1Char"/>
    <w:autoRedefine/>
    <w:qFormat/>
    <w:rsid w:val="003D6C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D6C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3: Cite,Tags v 2,Heading 3 Char Char Char Char Char Char,Citation Char Char,Heading 3 Char1 Char Char,Citation Char Char Char Char,Citation Char1 Char Char,Citation Char Char1,citation Char,Block Writing"/>
    <w:basedOn w:val="Normal"/>
    <w:next w:val="Normal"/>
    <w:link w:val="Heading3Char"/>
    <w:autoRedefine/>
    <w:uiPriority w:val="2"/>
    <w:unhideWhenUsed/>
    <w:qFormat/>
    <w:rsid w:val="003D6C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small text,Heading 2 Char2 Char,Heading 2 Char1 Char Char,Ch,No Spacing12,small space,no read,No Spacing1121,Tag1,No Spacing5,ta,Heading 21,small spac"/>
    <w:basedOn w:val="Normal"/>
    <w:next w:val="Normal"/>
    <w:link w:val="Heading4Char"/>
    <w:autoRedefine/>
    <w:uiPriority w:val="3"/>
    <w:unhideWhenUsed/>
    <w:qFormat/>
    <w:rsid w:val="003D6C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6C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C5D"/>
  </w:style>
  <w:style w:type="character" w:customStyle="1" w:styleId="Heading1Char">
    <w:name w:val="Heading 1 Char"/>
    <w:aliases w:val="Pocket Char"/>
    <w:basedOn w:val="DefaultParagraphFont"/>
    <w:link w:val="Heading1"/>
    <w:rsid w:val="003D6C5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D6C5D"/>
    <w:rPr>
      <w:rFonts w:ascii="Times New Roman" w:eastAsiaTheme="majorEastAsia" w:hAnsi="Times New Roman" w:cstheme="majorBidi"/>
      <w:b/>
      <w:sz w:val="44"/>
      <w:szCs w:val="26"/>
      <w:u w:val="double"/>
    </w:rPr>
  </w:style>
  <w:style w:type="character" w:customStyle="1" w:styleId="Heading3Char">
    <w:name w:val="Heading 3 Char"/>
    <w:aliases w:val="Block Char,Citation Char,Underline Char Char Char Char,3: Cite Char,Tags v 2 Char,Heading 3 Char Char Char Char Char Char Char,Citation Char Char Char1,Heading 3 Char1 Char Char Char1,Citation Char Char Char Char Char,citation Char Char"/>
    <w:basedOn w:val="DefaultParagraphFont"/>
    <w:link w:val="Heading3"/>
    <w:uiPriority w:val="2"/>
    <w:rsid w:val="003D6C5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small text Char,Heading 2 Char2 Char Char,Heading 2 Char1 Char Char Char,Ch Char,No Spacing12 Char,small space Char,no read Char,No Spacing1121 Char,Tag1 Char,No Spacing5 Char"/>
    <w:basedOn w:val="DefaultParagraphFont"/>
    <w:link w:val="Heading4"/>
    <w:uiPriority w:val="3"/>
    <w:rsid w:val="003D6C5D"/>
    <w:rPr>
      <w:rFonts w:ascii="Times New Roman" w:eastAsiaTheme="majorEastAsia" w:hAnsi="Times New Roman" w:cstheme="majorBidi"/>
      <w:b/>
      <w:iCs/>
      <w:sz w:val="26"/>
    </w:rPr>
  </w:style>
  <w:style w:type="character" w:styleId="Emphasis">
    <w:name w:val="Emphasis"/>
    <w:aliases w:val="tag2,Size 10,emphasis in card,Evidence,Minimized,minimized,Highlighted,Underlined,CD Card,ED - Tag,emphasis,Emphasis!!,Bold Underline,small,Qualifications,normal card text,Shrunk,qualifications in card,qualifications"/>
    <w:basedOn w:val="DefaultParagraphFont"/>
    <w:uiPriority w:val="7"/>
    <w:qFormat/>
    <w:rsid w:val="003D6C5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D6C5D"/>
    <w:rPr>
      <w:b/>
      <w:bCs/>
      <w:sz w:val="26"/>
      <w:u w:val="single"/>
    </w:rPr>
  </w:style>
  <w:style w:type="character" w:customStyle="1" w:styleId="StyleUnderline">
    <w:name w:val="Style Underline"/>
    <w:aliases w:val="Underline,Style Bold Underline,apple-style-span + 6 pt,Bold,Kern at 16 pt,Style,Intense Emphasis1,Intense Emphasis2,HHeading 3 + 12 pt,Citation Char Char Char,Cards + Font: 12 pt Char,Heading 3 Char1 Char Char Char,Intense Emphasis3,ci,c"/>
    <w:basedOn w:val="DefaultParagraphFont"/>
    <w:uiPriority w:val="6"/>
    <w:qFormat/>
    <w:rsid w:val="003D6C5D"/>
    <w:rPr>
      <w:b w:val="0"/>
      <w:sz w:val="22"/>
      <w:u w:val="single"/>
    </w:rPr>
  </w:style>
  <w:style w:type="character" w:styleId="Hyperlink">
    <w:name w:val="Hyperlink"/>
    <w:aliases w:val="heading 1 (block title),Read,Important,Internet Link,Analytic Text"/>
    <w:basedOn w:val="DefaultParagraphFont"/>
    <w:uiPriority w:val="99"/>
    <w:unhideWhenUsed/>
    <w:rsid w:val="003D6C5D"/>
    <w:rPr>
      <w:color w:val="auto"/>
      <w:u w:val="none"/>
    </w:rPr>
  </w:style>
  <w:style w:type="character" w:styleId="FollowedHyperlink">
    <w:name w:val="FollowedHyperlink"/>
    <w:basedOn w:val="DefaultParagraphFont"/>
    <w:uiPriority w:val="99"/>
    <w:semiHidden/>
    <w:unhideWhenUsed/>
    <w:rsid w:val="003D6C5D"/>
    <w:rPr>
      <w:color w:val="auto"/>
      <w:u w:val="none"/>
    </w:rPr>
  </w:style>
  <w:style w:type="paragraph" w:customStyle="1" w:styleId="tags">
    <w:name w:val="tags"/>
    <w:aliases w:val="No Spacing1"/>
    <w:next w:val="Normal"/>
    <w:link w:val="tagsChar"/>
    <w:autoRedefine/>
    <w:rsid w:val="00E308E9"/>
    <w:pPr>
      <w:spacing w:after="0" w:line="240" w:lineRule="auto"/>
      <w:contextualSpacing/>
    </w:pPr>
    <w:rPr>
      <w:rFonts w:ascii="Times New Roman" w:eastAsia="Malgun Gothic" w:hAnsi="Times New Roman" w:cs="Times New Roman"/>
      <w:b/>
      <w:szCs w:val="20"/>
    </w:rPr>
  </w:style>
  <w:style w:type="paragraph" w:customStyle="1" w:styleId="cites">
    <w:name w:val="cites"/>
    <w:link w:val="citesChar"/>
    <w:autoRedefine/>
    <w:rsid w:val="00E308E9"/>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E308E9"/>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E308E9"/>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basedOn w:val="DefaultParagraphFont"/>
    <w:link w:val="cites"/>
    <w:rsid w:val="00E308E9"/>
    <w:rPr>
      <w:rFonts w:ascii="Times New Roman" w:eastAsia="Malgun Gothic" w:hAnsi="Times New Roman" w:cs="Times New Roman"/>
      <w:b/>
      <w:szCs w:val="24"/>
      <w:u w:val="single"/>
    </w:rPr>
  </w:style>
  <w:style w:type="character" w:customStyle="1" w:styleId="underlinedChar">
    <w:name w:val="underlined Char"/>
    <w:basedOn w:val="DefaultParagraphFont"/>
    <w:link w:val="underlined"/>
    <w:rsid w:val="00E308E9"/>
    <w:rPr>
      <w:rFonts w:ascii="Times New Roman" w:eastAsia="Malgun Gothic" w:hAnsi="Times New Roman" w:cs="Times New Roman"/>
      <w:sz w:val="21"/>
      <w:szCs w:val="24"/>
      <w:u w:val="single"/>
    </w:rPr>
  </w:style>
  <w:style w:type="character" w:customStyle="1" w:styleId="tinyChar">
    <w:name w:val="tiny Char"/>
    <w:basedOn w:val="DefaultParagraphFont"/>
    <w:link w:val="tiny"/>
    <w:rsid w:val="00E308E9"/>
    <w:rPr>
      <w:rFonts w:ascii="Times New Roman" w:eastAsia="Malgun Gothic" w:hAnsi="Times New Roman" w:cs="Times New Roman"/>
      <w:sz w:val="12"/>
      <w:szCs w:val="24"/>
    </w:rPr>
  </w:style>
  <w:style w:type="character" w:customStyle="1" w:styleId="tagsChar">
    <w:name w:val="tags Char"/>
    <w:aliases w:val="No Spacing1 Char"/>
    <w:basedOn w:val="DefaultParagraphFont"/>
    <w:link w:val="tags"/>
    <w:rsid w:val="00E308E9"/>
    <w:rPr>
      <w:rFonts w:ascii="Times New Roman" w:eastAsia="Malgun Gothic"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nlog.econlib.org/archives/2009/01/policy_all_the.html"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hyperlink" Target="http://blog.chron.com/goplifer/2011/08/the-american-devolution-2/"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w.northwestern.edu/lawreview/v102/n2/649/LR102n2Learner.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tfiles.uiuc.edu/fesnic/fspub/6_7_Stepan_1999_Federalism_J_of_Dem.pdf"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b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98FF7A-0670-4EAE-A987-019B4E2861AE}"/>
</file>

<file path=customXml/itemProps2.xml><?xml version="1.0" encoding="utf-8"?>
<ds:datastoreItem xmlns:ds="http://schemas.openxmlformats.org/officeDocument/2006/customXml" ds:itemID="{FE4E477F-9762-4A99-8B18-A2B1BAF62E61}"/>
</file>

<file path=customXml/itemProps3.xml><?xml version="1.0" encoding="utf-8"?>
<ds:datastoreItem xmlns:ds="http://schemas.openxmlformats.org/officeDocument/2006/customXml" ds:itemID="{E48B476B-D2F9-4721-AFD5-B2045B1B0C81}"/>
</file>

<file path=docProps/app.xml><?xml version="1.0" encoding="utf-8"?>
<Properties xmlns="http://schemas.openxmlformats.org/officeDocument/2006/extended-properties" xmlns:vt="http://schemas.openxmlformats.org/officeDocument/2006/docPropsVTypes">
  <Template>Debate</Template>
  <TotalTime>20</TotalTime>
  <Pages>4</Pages>
  <Words>4502</Words>
  <Characters>25666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keywords>5.0</cp:keywords>
  <cp:lastModifiedBy>Abby</cp:lastModifiedBy>
  <cp:revision>2</cp:revision>
  <dcterms:created xsi:type="dcterms:W3CDTF">2014-08-01T18:27:00Z</dcterms:created>
  <dcterms:modified xsi:type="dcterms:W3CDTF">2014-08-01T18:54:00Z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