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496" w:rsidRDefault="00772496" w:rsidP="00772496">
      <w:pPr>
        <w:pStyle w:val="Heading1"/>
      </w:pPr>
      <w:r>
        <w:t>Metaphors Bad</w:t>
      </w:r>
    </w:p>
    <w:p w:rsidR="00772496" w:rsidRDefault="00772496" w:rsidP="00772496"/>
    <w:p w:rsidR="00772496" w:rsidRDefault="00772496" w:rsidP="00772496">
      <w:pPr>
        <w:pStyle w:val="Heading2"/>
      </w:pPr>
      <w:r>
        <w:lastRenderedPageBreak/>
        <w:t>**Analogies Bad**</w:t>
      </w:r>
    </w:p>
    <w:p w:rsidR="00772496" w:rsidRDefault="00772496" w:rsidP="00772496"/>
    <w:p w:rsidR="00772496" w:rsidRPr="008F06C1" w:rsidRDefault="00772496" w:rsidP="00772496">
      <w:pPr>
        <w:pStyle w:val="Heading3"/>
      </w:pPr>
      <w:r w:rsidRPr="008F06C1">
        <w:lastRenderedPageBreak/>
        <w:t>Analogies Bad</w:t>
      </w:r>
    </w:p>
    <w:p w:rsidR="00772496" w:rsidRPr="00615DEE" w:rsidRDefault="00772496" w:rsidP="00772496"/>
    <w:p w:rsidR="00772496" w:rsidRDefault="00772496" w:rsidP="00772496">
      <w:pPr>
        <w:pStyle w:val="Heading4"/>
      </w:pPr>
      <w:r>
        <w:t>Argumentative analogy can only be successful through “intention theory” – this inherently flawed due to mistranslation in intention</w:t>
      </w:r>
    </w:p>
    <w:p w:rsidR="00772496" w:rsidRDefault="00772496" w:rsidP="00772496">
      <w:r>
        <w:rPr>
          <w:rStyle w:val="Style13ptBold"/>
        </w:rPr>
        <w:t>Barry 65</w:t>
      </w:r>
      <w:r>
        <w:t xml:space="preserve"> [Brian Barry, moral and political philosopher, educated at the Queen's College, Oxford, obtaining the degrees of B.A. and D.Phil under the direction of H. L. A. Hart, “Political Argument”, Published in 1965 by Humanities Press Inc., pg 18-19] // t-haas</w:t>
      </w:r>
    </w:p>
    <w:p w:rsidR="00772496" w:rsidRDefault="00772496" w:rsidP="00772496">
      <w:pPr>
        <w:rPr>
          <w:sz w:val="12"/>
        </w:rPr>
      </w:pPr>
      <w:r w:rsidRPr="005A5D9C">
        <w:rPr>
          <w:sz w:val="12"/>
        </w:rPr>
        <w:t>2.B. The ‘</w:t>
      </w:r>
      <w:r w:rsidRPr="005A5D9C">
        <w:rPr>
          <w:rStyle w:val="StyleUnderline"/>
        </w:rPr>
        <w:t>Intention’ Theory</w:t>
      </w:r>
      <w:r w:rsidRPr="005A5D9C">
        <w:rPr>
          <w:sz w:val="12"/>
        </w:rPr>
        <w:t xml:space="preserve">. If the causal theory is rejected, the next simplest theory is the ‘speaker’s-intention’ theory. According to this, the </w:t>
      </w:r>
      <w:r w:rsidRPr="005A5D9C">
        <w:rPr>
          <w:rStyle w:val="StyleUnderline"/>
        </w:rPr>
        <w:t xml:space="preserve">meaning of an utterance is to be identified with the </w:t>
      </w:r>
      <w:r>
        <w:rPr>
          <w:rStyle w:val="StyleUnderline"/>
        </w:rPr>
        <w:t>e</w:t>
      </w:r>
      <w:r w:rsidRPr="005A5D9C">
        <w:rPr>
          <w:rStyle w:val="StyleUnderline"/>
        </w:rPr>
        <w:t>ffects which the speaker intends to produce</w:t>
      </w:r>
      <w:r w:rsidRPr="005A5D9C">
        <w:rPr>
          <w:sz w:val="12"/>
        </w:rPr>
        <w:t xml:space="preserve"> in the hearer. Thus, the gong ‘means’ a meal is ready because it is beaten in order to produce that belief; the meaning of ‘Shut the door’ is to be explained by saying that it is uttered by people who want to have doors shut, and so on. This theory is able to deal, after a fashion, with the objection which I brought against the causal theory: on the assumption that people expect their utterances to be accepted one can say that they intend to bring about the effects which their utterances will have if they are accepted. Thus, </w:t>
      </w:r>
      <w:r w:rsidRPr="005A5D9C">
        <w:rPr>
          <w:rStyle w:val="StyleUnderline"/>
        </w:rPr>
        <w:t>if a particular utterance is not accepted by the hearer, the ensuing effects</w:t>
      </w:r>
      <w:r w:rsidRPr="005A5D9C">
        <w:rPr>
          <w:sz w:val="12"/>
        </w:rPr>
        <w:t xml:space="preserve"> (or lack of them) </w:t>
      </w:r>
      <w:r w:rsidRPr="005A5D9C">
        <w:rPr>
          <w:rStyle w:val="StyleUnderline"/>
        </w:rPr>
        <w:t>were no part of the speaker’s intention</w:t>
      </w:r>
      <w:r w:rsidRPr="005A5D9C">
        <w:rPr>
          <w:sz w:val="12"/>
        </w:rPr>
        <w:t xml:space="preserve">. However, </w:t>
      </w:r>
      <w:r w:rsidRPr="005A5D9C">
        <w:rPr>
          <w:rStyle w:val="StyleUnderline"/>
        </w:rPr>
        <w:t>this is not an adequate answer, for there is no need to suppose that the assumption made above is valid</w:t>
      </w:r>
      <w:r w:rsidRPr="005A5D9C">
        <w:rPr>
          <w:sz w:val="12"/>
        </w:rPr>
        <w:t xml:space="preserve">. </w:t>
      </w:r>
      <w:r w:rsidRPr="005A5D9C">
        <w:rPr>
          <w:rStyle w:val="StyleUnderline"/>
        </w:rPr>
        <w:t>Suppose that I know Jones is counter-suggestible; then in order to get him to do x (which is what I want him to do) I have to tell him not to do x. My intention is that he should do x but surely the meaning of ‘Do not do x’ does not change because of this?</w:t>
      </w:r>
      <w:r w:rsidRPr="005A5D9C">
        <w:rPr>
          <w:sz w:val="12"/>
        </w:rPr>
        <w:t xml:space="preserve"> Indeed, it is precisley because ‘Do not do x’ means what it does that I can use it in order to get Jones to do x. The criticism can be generalized. </w:t>
      </w:r>
      <w:r w:rsidRPr="005A5D9C">
        <w:rPr>
          <w:rStyle w:val="StyleUnderline"/>
        </w:rPr>
        <w:t>The meaning of an utterance cannot be equated with the actual intention of the speaker in using it</w:t>
      </w:r>
      <w:r w:rsidRPr="005A5D9C">
        <w:rPr>
          <w:sz w:val="12"/>
        </w:rPr>
        <w:t xml:space="preserve">. As well as the case where I tell Jones not to do x in order to get him to do the opposite, consider again the case of calling someone a liar. The causal theory had to include ‘anger’ in the meaning of ‘You’re a liar’ if the actual effect of the utterance was to anger the hearer; but the speaker’s-intention theory must include it in the meaning if the speaker intends to produce anger in the hearer. (Whether he succeeds or not is irrelevant for the speaker’s-intention theory). </w:t>
      </w:r>
    </w:p>
    <w:p w:rsidR="00772496" w:rsidRDefault="00772496" w:rsidP="00772496">
      <w:pPr>
        <w:rPr>
          <w:sz w:val="12"/>
        </w:rPr>
      </w:pPr>
    </w:p>
    <w:p w:rsidR="00772496" w:rsidRDefault="00772496" w:rsidP="00772496">
      <w:pPr>
        <w:rPr>
          <w:sz w:val="12"/>
        </w:rPr>
      </w:pPr>
    </w:p>
    <w:p w:rsidR="00772496" w:rsidRDefault="00772496" w:rsidP="00772496">
      <w:pPr>
        <w:pStyle w:val="Heading4"/>
      </w:pPr>
      <w:r>
        <w:t>Analogy is relies on shallow commonalities that overlook important differences between the subjects at hand – their argument becomes void</w:t>
      </w:r>
    </w:p>
    <w:p w:rsidR="00772496" w:rsidRDefault="00772496" w:rsidP="00772496">
      <w:r>
        <w:rPr>
          <w:rStyle w:val="Style13ptBold"/>
        </w:rPr>
        <w:t>Damer 95</w:t>
      </w:r>
      <w:r>
        <w:t xml:space="preserve"> [T. Edward Damer, professor of philosophy and chair of the Division Visual and Performing Arts at Emory and Henry College, recipient of the James A. David Faculty Recognition Award from the Emory alumni in recognition of his teaching, “Attacking Faulty Reasoning: A Practical Guide to Fallacy-Free Arguments”, Third Edition, Wadsworth Publishing Company, 1995, pg. 101] // t-haas</w:t>
      </w:r>
    </w:p>
    <w:p w:rsidR="00772496" w:rsidRPr="00615DEE" w:rsidRDefault="00772496" w:rsidP="00772496">
      <w:pPr>
        <w:rPr>
          <w:sz w:val="12"/>
        </w:rPr>
      </w:pPr>
      <w:r w:rsidRPr="00615DEE">
        <w:rPr>
          <w:rStyle w:val="StyleUnderline"/>
        </w:rPr>
        <w:t>Faulty Analogy</w:t>
      </w:r>
      <w:r w:rsidRPr="00615DEE">
        <w:rPr>
          <w:sz w:val="12"/>
        </w:rPr>
        <w:t xml:space="preserve"> Definition </w:t>
      </w:r>
      <w:r w:rsidRPr="00615DEE">
        <w:rPr>
          <w:rStyle w:val="StyleUnderline"/>
        </w:rPr>
        <w:t>This fallacy consists in assuming that because two things are alike in one or more respects, they necessarily are alike in some other respect</w:t>
      </w:r>
      <w:r w:rsidRPr="00615DEE">
        <w:rPr>
          <w:sz w:val="12"/>
        </w:rPr>
        <w:t xml:space="preserve">. </w:t>
      </w:r>
      <w:r w:rsidRPr="00615DEE">
        <w:rPr>
          <w:rStyle w:val="StyleUnderline"/>
        </w:rPr>
        <w:t>Those who commit this fallacy overlook the possibility of significant differences</w:t>
      </w:r>
      <w:r w:rsidRPr="00615DEE">
        <w:rPr>
          <w:sz w:val="12"/>
        </w:rPr>
        <w:t xml:space="preserve"> in compared cases </w:t>
      </w:r>
      <w:r w:rsidRPr="00615DEE">
        <w:rPr>
          <w:rStyle w:val="StyleUnderline"/>
        </w:rPr>
        <w:t>and therefore draw a questionable conclusion</w:t>
      </w:r>
      <w:r w:rsidRPr="00615DEE">
        <w:rPr>
          <w:sz w:val="12"/>
        </w:rPr>
        <w:t xml:space="preserve"> from a comparison. Commonly, </w:t>
      </w:r>
      <w:r w:rsidRPr="00615DEE">
        <w:rPr>
          <w:rStyle w:val="StyleUnderline"/>
        </w:rPr>
        <w:t xml:space="preserve">two compared things are alike only in unimportant ways and are quite different </w:t>
      </w:r>
      <w:r w:rsidRPr="00615DEE">
        <w:rPr>
          <w:sz w:val="12"/>
        </w:rPr>
        <w:t>in</w:t>
      </w:r>
      <w:r w:rsidRPr="00615DEE">
        <w:rPr>
          <w:rStyle w:val="StyleUnderline"/>
        </w:rPr>
        <w:t xml:space="preserve"> </w:t>
      </w:r>
      <w:r w:rsidRPr="00615DEE">
        <w:rPr>
          <w:sz w:val="12"/>
        </w:rPr>
        <w:t>important</w:t>
      </w:r>
      <w:r w:rsidRPr="00615DEE">
        <w:rPr>
          <w:rStyle w:val="StyleUnderline"/>
        </w:rPr>
        <w:t xml:space="preserve"> </w:t>
      </w:r>
      <w:r w:rsidRPr="00615DEE">
        <w:rPr>
          <w:sz w:val="12"/>
        </w:rPr>
        <w:t xml:space="preserve">ways, that is, </w:t>
      </w:r>
      <w:r w:rsidRPr="00615DEE">
        <w:rPr>
          <w:rStyle w:val="StyleUnderline"/>
        </w:rPr>
        <w:t>in ways that are relevant to the issue at stake in the arugment</w:t>
      </w:r>
      <w:r w:rsidRPr="00615DEE">
        <w:rPr>
          <w:sz w:val="12"/>
        </w:rPr>
        <w:t xml:space="preserve">. </w:t>
      </w:r>
      <w:r w:rsidRPr="00615DEE">
        <w:rPr>
          <w:rStyle w:val="StyleUnderline"/>
        </w:rPr>
        <w:t>The analogy often appeals to similarities that are very superficial and thus fails to support the particular conclusion sought</w:t>
      </w:r>
      <w:r w:rsidRPr="00615DEE">
        <w:rPr>
          <w:sz w:val="12"/>
        </w:rPr>
        <w:t xml:space="preserve">. </w:t>
      </w:r>
      <w:r w:rsidRPr="00615DEE">
        <w:rPr>
          <w:rStyle w:val="StyleUnderline"/>
        </w:rPr>
        <w:t>The implicit premise</w:t>
      </w:r>
      <w:r w:rsidRPr="00615DEE">
        <w:rPr>
          <w:sz w:val="12"/>
        </w:rPr>
        <w:t xml:space="preserve"> that two things alike in one or more respects are like in some other respect </w:t>
      </w:r>
      <w:r w:rsidRPr="00615DEE">
        <w:rPr>
          <w:rStyle w:val="StyleUnderline"/>
        </w:rPr>
        <w:t>is a very dubious assumption and thus cannot qualify as an acceptable premis</w:t>
      </w:r>
      <w:r>
        <w:rPr>
          <w:rStyle w:val="StyleUnderline"/>
        </w:rPr>
        <w:t>e</w:t>
      </w:r>
      <w:r w:rsidRPr="00615DEE">
        <w:rPr>
          <w:sz w:val="12"/>
        </w:rPr>
        <w:t xml:space="preserve">. Therefore, </w:t>
      </w:r>
      <w:r w:rsidRPr="00615DEE">
        <w:rPr>
          <w:rStyle w:val="StyleUnderline"/>
        </w:rPr>
        <w:t>any argument concerning, compared cases</w:t>
      </w:r>
      <w:r w:rsidRPr="00615DEE">
        <w:rPr>
          <w:sz w:val="12"/>
        </w:rPr>
        <w:t xml:space="preserve"> where an inference is drawn from such an assumption </w:t>
      </w:r>
      <w:r w:rsidRPr="00615DEE">
        <w:rPr>
          <w:rStyle w:val="StyleUnderline"/>
        </w:rPr>
        <w:t>cannot qualify as a good argument.</w:t>
      </w:r>
      <w:r>
        <w:rPr>
          <w:rStyle w:val="StyleUnderline"/>
        </w:rPr>
        <w:t xml:space="preserve"> </w:t>
      </w:r>
      <w:r w:rsidRPr="00615DEE">
        <w:rPr>
          <w:sz w:val="12"/>
        </w:rPr>
        <w:t>E</w:t>
      </w:r>
      <w:r w:rsidRPr="00615DEE">
        <w:rPr>
          <w:rStyle w:val="StyleUnderline"/>
        </w:rPr>
        <w:t xml:space="preserve">ven if the premises of the analogical argument made observations about the more relevant </w:t>
      </w:r>
      <w:r w:rsidRPr="00615DEE">
        <w:rPr>
          <w:sz w:val="12"/>
        </w:rPr>
        <w:t xml:space="preserve">and the important </w:t>
      </w:r>
      <w:r w:rsidRPr="00615DEE">
        <w:rPr>
          <w:rStyle w:val="StyleUnderline"/>
        </w:rPr>
        <w:t>similarities</w:t>
      </w:r>
      <w:r w:rsidRPr="00615DEE">
        <w:rPr>
          <w:sz w:val="12"/>
        </w:rPr>
        <w:t xml:space="preserve"> in the compared cases, </w:t>
      </w:r>
      <w:r w:rsidRPr="00615DEE">
        <w:rPr>
          <w:rStyle w:val="StyleUnderline"/>
        </w:rPr>
        <w:t>there could sill be a problem</w:t>
      </w:r>
      <w:r w:rsidRPr="00615DEE">
        <w:rPr>
          <w:sz w:val="12"/>
        </w:rPr>
        <w:t xml:space="preserve"> with the argument. Because </w:t>
      </w:r>
      <w:r w:rsidRPr="00615DEE">
        <w:rPr>
          <w:rStyle w:val="StyleUnderline"/>
        </w:rPr>
        <w:t>analogies are by nature usually only suggestive</w:t>
      </w:r>
      <w:r w:rsidRPr="00615DEE">
        <w:rPr>
          <w:sz w:val="12"/>
        </w:rPr>
        <w:t xml:space="preserve">, those who use them </w:t>
      </w:r>
      <w:r w:rsidRPr="00615DEE">
        <w:rPr>
          <w:rStyle w:val="StyleUnderline"/>
        </w:rPr>
        <w:t>should be prepared to offer evidence in addition to pointing out any observed similarities</w:t>
      </w:r>
      <w:r w:rsidRPr="00615DEE">
        <w:rPr>
          <w:sz w:val="12"/>
        </w:rPr>
        <w:t xml:space="preserve">. If a conclusion is drawn about one case from another case, then </w:t>
      </w:r>
      <w:r w:rsidRPr="00615DEE">
        <w:rPr>
          <w:rStyle w:val="StyleUnderline"/>
        </w:rPr>
        <w:t>there should be evidence presented to show precisely how the compared cases are alike in the significant way that is relevant to the claim at issue. An observed similarity</w:t>
      </w:r>
      <w:r w:rsidRPr="00615DEE">
        <w:rPr>
          <w:sz w:val="12"/>
        </w:rPr>
        <w:t xml:space="preserve">, by itself, </w:t>
      </w:r>
      <w:r w:rsidRPr="00615DEE">
        <w:rPr>
          <w:rStyle w:val="StyleUnderline"/>
        </w:rPr>
        <w:t>does not consitute evidence</w:t>
      </w:r>
      <w:r w:rsidRPr="00615DEE">
        <w:rPr>
          <w:sz w:val="12"/>
        </w:rPr>
        <w:t xml:space="preserve">. </w:t>
      </w:r>
    </w:p>
    <w:p w:rsidR="00772496" w:rsidRDefault="00772496" w:rsidP="00772496"/>
    <w:p w:rsidR="00772496" w:rsidRDefault="00772496" w:rsidP="00772496"/>
    <w:p w:rsidR="00772496" w:rsidRDefault="00772496" w:rsidP="00772496">
      <w:pPr>
        <w:pStyle w:val="Heading4"/>
      </w:pPr>
      <w:r>
        <w:lastRenderedPageBreak/>
        <w:t>Arguments by analogy are unreliable and unsound</w:t>
      </w:r>
    </w:p>
    <w:p w:rsidR="00772496" w:rsidRDefault="00772496" w:rsidP="00772496">
      <w:r>
        <w:rPr>
          <w:rStyle w:val="Style13ptBold"/>
        </w:rPr>
        <w:t>Wilson 99</w:t>
      </w:r>
      <w:r>
        <w:t xml:space="preserve"> [David C. Wilson, philosopher and administrator at UCLA, teaches courses in reasoning, PhD in philosophy from UCLA, “A Guide to Good Reasoning”, 1999, pg. 414] // t-haas</w:t>
      </w:r>
    </w:p>
    <w:p w:rsidR="00772496" w:rsidRDefault="00772496" w:rsidP="00772496">
      <w:r>
        <w:t xml:space="preserve">As you may have noticed, </w:t>
      </w:r>
      <w:r w:rsidRPr="00BD6560">
        <w:rPr>
          <w:rStyle w:val="StyleUnderline"/>
        </w:rPr>
        <w:t xml:space="preserve">every </w:t>
      </w:r>
      <w:r>
        <w:rPr>
          <w:rStyle w:val="StyleUnderline"/>
        </w:rPr>
        <w:t>example of an argument from ana</w:t>
      </w:r>
      <w:r w:rsidRPr="00BD6560">
        <w:rPr>
          <w:rStyle w:val="StyleUnderline"/>
        </w:rPr>
        <w:t>logy</w:t>
      </w:r>
      <w:r>
        <w:t xml:space="preserve"> worked out in this chapter </w:t>
      </w:r>
      <w:r w:rsidRPr="00BD6560">
        <w:rPr>
          <w:rStyle w:val="StyleUnderline"/>
        </w:rPr>
        <w:t>has been declared logically weak and thus unsound</w:t>
      </w:r>
      <w:r>
        <w:t xml:space="preserve">. This is not an aberration. Although not all </w:t>
      </w:r>
      <w:r w:rsidRPr="00BD6560">
        <w:rPr>
          <w:rStyle w:val="StyleUnderline"/>
        </w:rPr>
        <w:t>arguments from analogy</w:t>
      </w:r>
      <w:r>
        <w:t xml:space="preserve"> are unsound, they do </w:t>
      </w:r>
      <w:r w:rsidRPr="00BD6560">
        <w:rPr>
          <w:rStyle w:val="StyleUnderline"/>
        </w:rPr>
        <w:t>establish their conclusions far less often</w:t>
      </w:r>
      <w:r>
        <w:t xml:space="preserve"> than any other sort of argument. </w:t>
      </w:r>
      <w:r w:rsidRPr="00BD6560">
        <w:rPr>
          <w:rStyle w:val="StyleUnderline"/>
        </w:rPr>
        <w:t>Plato</w:t>
      </w:r>
      <w:r>
        <w:t xml:space="preserve">, in the lead quotation for this chapter, </w:t>
      </w:r>
      <w:r w:rsidRPr="00BD6560">
        <w:rPr>
          <w:rStyle w:val="StyleUnderline"/>
        </w:rPr>
        <w:t>calls them “imposters.” Analogical arguments</w:t>
      </w:r>
      <w:r>
        <w:t xml:space="preserve">, unlike any other arguments we look at in this book, </w:t>
      </w:r>
      <w:r w:rsidRPr="00BD6560">
        <w:rPr>
          <w:rStyle w:val="StyleUnderline"/>
        </w:rPr>
        <w:t>have a built-in logical shortcoming</w:t>
      </w:r>
      <w:r>
        <w:t>.</w:t>
      </w:r>
    </w:p>
    <w:p w:rsidR="00772496" w:rsidRDefault="00772496" w:rsidP="00772496"/>
    <w:p w:rsidR="00772496" w:rsidRDefault="00772496" w:rsidP="00772496"/>
    <w:p w:rsidR="00772496" w:rsidRDefault="00772496" w:rsidP="00772496">
      <w:pPr>
        <w:pStyle w:val="Heading4"/>
      </w:pPr>
      <w:r>
        <w:t>Arguments by analogy fall guilty to fallacy of faulty comparison – causes miscommunication and questioning of legitimacy</w:t>
      </w:r>
    </w:p>
    <w:p w:rsidR="00772496" w:rsidRDefault="00772496" w:rsidP="00772496">
      <w:r>
        <w:rPr>
          <w:rStyle w:val="Style13ptBold"/>
        </w:rPr>
        <w:t>Kahane and Cavender 98</w:t>
      </w:r>
      <w:r>
        <w:t xml:space="preserve"> [Howard Kahane and Nancy Cavender, Kahane graduated with a master's degree from the University of California at Los Angeles (1958) and received a Ph.D. from the University of Pennsylvania, taught philosophy at Bernard M. Baruch College, Whitman College, the University of Kansas, American University and the University of Maryland at Baltimore; Cavender is Professor Emeritus at the College of Marin, “Logic and Contemporary Rhetoric: The Use of Reason in Everyday Life”, Eighth Edition, 1998, pg. 84-85] // t-haas</w:t>
      </w:r>
    </w:p>
    <w:p w:rsidR="00772496" w:rsidRPr="00CD01FC" w:rsidRDefault="00772496" w:rsidP="00772496">
      <w:pPr>
        <w:rPr>
          <w:sz w:val="12"/>
        </w:rPr>
      </w:pPr>
      <w:r w:rsidRPr="0019081B">
        <w:rPr>
          <w:rStyle w:val="StyleUnderline"/>
        </w:rPr>
        <w:t>We reason by analogy when we conclude from the observed similarity of two or more items in some respects to their similarity in another</w:t>
      </w:r>
      <w:r w:rsidRPr="00CD01FC">
        <w:rPr>
          <w:sz w:val="12"/>
        </w:rPr>
        <w:t xml:space="preserve">. Sports fans, for example, reason by anaology when they conclude that the next Olympic games will be fun to watch, given that they were enjoyable in previous years. (But see Chapter 11 for a discussion on media coverage of the 1996 Olympic games!) Caffeine lovers do so when they reason from the fact that coffee has kept them awake several nights in a row to the conclusion that drinking it again tonight will keep them awake. The general form of such reasoning is that the items mentioned are alike in certain respects, so they will be alike in some other way. But </w:t>
      </w:r>
      <w:r w:rsidRPr="0019081B">
        <w:rPr>
          <w:rStyle w:val="StyleUnderline"/>
        </w:rPr>
        <w:t>we aren’t always justified in reasoning by analogy</w:t>
      </w:r>
      <w:r w:rsidRPr="00CD01FC">
        <w:rPr>
          <w:sz w:val="12"/>
        </w:rPr>
        <w:t xml:space="preserve">. When we do so anyway, </w:t>
      </w:r>
      <w:r w:rsidRPr="0019081B">
        <w:rPr>
          <w:rStyle w:val="StyleUnderline"/>
        </w:rPr>
        <w:t>we are guilty of the fallacy of questionable analogy</w:t>
      </w:r>
      <w:r w:rsidRPr="00CD01FC">
        <w:rPr>
          <w:sz w:val="12"/>
        </w:rPr>
        <w:t xml:space="preserve">, sometimes </w:t>
      </w:r>
      <w:r w:rsidRPr="0019081B">
        <w:rPr>
          <w:rStyle w:val="StyleUnderline"/>
        </w:rPr>
        <w:t>referred to as faulty comparison</w:t>
      </w:r>
      <w:r w:rsidRPr="00CD01FC">
        <w:rPr>
          <w:sz w:val="12"/>
        </w:rPr>
        <w:t xml:space="preserve">. </w:t>
      </w:r>
      <w:r w:rsidRPr="0019081B">
        <w:rPr>
          <w:rStyle w:val="StyleUnderline"/>
        </w:rPr>
        <w:t>Analogical reasoning can be fallacious for several</w:t>
      </w:r>
      <w:r w:rsidRPr="00CD01FC">
        <w:rPr>
          <w:sz w:val="12"/>
        </w:rPr>
        <w:t xml:space="preserve"> different </w:t>
      </w:r>
      <w:r w:rsidRPr="0019081B">
        <w:rPr>
          <w:rStyle w:val="StyleUnderline"/>
        </w:rPr>
        <w:t>reasons</w:t>
      </w:r>
      <w:r w:rsidRPr="00CD01FC">
        <w:rPr>
          <w:sz w:val="12"/>
        </w:rPr>
        <w:t xml:space="preserve">. </w:t>
      </w:r>
      <w:r w:rsidRPr="0019081B">
        <w:rPr>
          <w:rStyle w:val="StyleUnderline"/>
        </w:rPr>
        <w:t>The sample on which it is based may be too small or not sufficiently representative</w:t>
      </w:r>
      <w:r w:rsidRPr="00CD01FC">
        <w:rPr>
          <w:sz w:val="12"/>
        </w:rPr>
        <w:t xml:space="preserve"> (recall the recent discussions of sample size and representativeness); or </w:t>
      </w:r>
      <w:r w:rsidRPr="0019081B">
        <w:rPr>
          <w:rStyle w:val="StyleUnderline"/>
        </w:rPr>
        <w:t>it may conflict with conclusions drawn by higher-level reasoning</w:t>
      </w:r>
      <w:r w:rsidRPr="00CD01FC">
        <w:rPr>
          <w:sz w:val="12"/>
        </w:rPr>
        <w:t xml:space="preserve">; </w:t>
      </w:r>
      <w:r w:rsidRPr="0019081B">
        <w:rPr>
          <w:rStyle w:val="StyleUnderline"/>
        </w:rPr>
        <w:t>or there may be a lack of relevant similarity between the items imlied to be alike</w:t>
      </w:r>
      <w:r w:rsidRPr="00CD01FC">
        <w:rPr>
          <w:sz w:val="12"/>
        </w:rPr>
        <w:t xml:space="preserve">. Here is an example based on a much too small sample: I’ve won at blackjack twice in a row by drawing a card when holding cards totaling 18, so I conclude by analogy that I’ll win next time I draw on 18. This analogy also is defective because it ignores the higher-level theory of probability which says your chances of success when drawing on 18 are quite low. In some cases, </w:t>
      </w:r>
      <w:r w:rsidRPr="0019081B">
        <w:rPr>
          <w:rStyle w:val="StyleUnderline"/>
        </w:rPr>
        <w:t>the unapt nature of an analogy should make it obviously questionable</w:t>
      </w:r>
      <w:r w:rsidRPr="00CD01FC">
        <w:rPr>
          <w:sz w:val="12"/>
        </w:rPr>
        <w:t xml:space="preserve">. We frequently hear arguments, </w:t>
      </w:r>
      <w:r w:rsidRPr="0019081B">
        <w:rPr>
          <w:rStyle w:val="StyleUnderline"/>
        </w:rPr>
        <w:t>for example</w:t>
      </w:r>
      <w:r w:rsidRPr="00CD01FC">
        <w:rPr>
          <w:sz w:val="12"/>
        </w:rPr>
        <w:t xml:space="preserve">, urging cessation of </w:t>
      </w:r>
      <w:r w:rsidRPr="0019081B">
        <w:rPr>
          <w:rStyle w:val="StyleUnderline"/>
        </w:rPr>
        <w:t>an alleged wrong</w:t>
      </w:r>
      <w:r w:rsidRPr="00CD01FC">
        <w:rPr>
          <w:sz w:val="12"/>
        </w:rPr>
        <w:t xml:space="preserve"> by </w:t>
      </w:r>
      <w:r w:rsidRPr="0019081B">
        <w:rPr>
          <w:rStyle w:val="StyleUnderline"/>
        </w:rPr>
        <w:t>compari</w:t>
      </w:r>
      <w:r w:rsidRPr="00CD01FC">
        <w:rPr>
          <w:sz w:val="12"/>
        </w:rPr>
        <w:t xml:space="preserve">ng it </w:t>
      </w:r>
      <w:r w:rsidRPr="0019081B">
        <w:rPr>
          <w:rStyle w:val="StyleUnderline"/>
        </w:rPr>
        <w:t>to the Nazi persecution of the Jews, where it is clear that the wrong in question bears little resemblance to that horrible catastrophe</w:t>
      </w:r>
      <w:r w:rsidRPr="00CD01FC">
        <w:rPr>
          <w:sz w:val="12"/>
        </w:rPr>
        <w:t xml:space="preserve">. In a press conference in February 1996, for instance, after a meeting with Iraqi leader Saddam Hussein, Nation of Islam leader Louis Farrakhan argued that out policy toward Iraq made life miserable for Iraqi citizens and compared the situation in Iraq to that in Nazi concentration camps. (Comparing whoever or whatever, one dislikes to the Nazis, or to Nazi atrocities, has become a favorite way of arguing ad hominem these days.) </w:t>
      </w:r>
      <w:r w:rsidRPr="0019081B">
        <w:rPr>
          <w:rStyle w:val="StyleUnderline"/>
        </w:rPr>
        <w:t>The fallacy of questionable analogy often is concealed in reasoning that appears to be legitimate.</w:t>
      </w:r>
      <w:r>
        <w:rPr>
          <w:rStyle w:val="StyleUnderline"/>
        </w:rPr>
        <w:t xml:space="preserve"> </w:t>
      </w:r>
      <w:r w:rsidRPr="00CD01FC">
        <w:rPr>
          <w:sz w:val="12"/>
        </w:rPr>
        <w:t>During the Cold War, Congressman Charles Rose (Democrat, North Carolina) answered (in part) the arguments of those opposed to government-sponsored research to develop “remote viewing—the ability to see a distant place telepathically” – by stating that “It seems to me that it would be a hell of a cheap radar system, and if the Russians have it and we don’t, we are in serious trouble. This country wasn’t afraid to look into the strange physics behind lasers and semiconductors, and I don’t think we should be afraid to look into this.”</w:t>
      </w:r>
    </w:p>
    <w:p w:rsidR="00772496" w:rsidRDefault="00772496" w:rsidP="00772496"/>
    <w:p w:rsidR="00772496" w:rsidRDefault="00772496" w:rsidP="00772496"/>
    <w:p w:rsidR="00772496" w:rsidRDefault="00772496" w:rsidP="00772496">
      <w:pPr>
        <w:pStyle w:val="Heading4"/>
      </w:pPr>
      <w:r>
        <w:t>There’s a deliniation between analogy and argumentative analogy – crossing the line means we shouldn’t evaluate their argument</w:t>
      </w:r>
    </w:p>
    <w:p w:rsidR="00772496" w:rsidRDefault="00772496" w:rsidP="00772496">
      <w:r>
        <w:rPr>
          <w:rStyle w:val="Style13ptBold"/>
        </w:rPr>
        <w:t>Kahane and Cavender 98</w:t>
      </w:r>
      <w:r>
        <w:t xml:space="preserve"> [Howard Kahane and Nancy Cavender, Kahane graduated with a master's degree from the University of California at Los Angeles (1958) and received a Ph.D. from the University of Pennsylvania, taught philosophy at Bernard M. Baruch College, Whitman College, the University of Kansas, American University and the University of Maryland at Baltimore; Cavender is Professor Emeritus at the College of Marin, “Logic and Contemporary Rhetoric: The Use of Reason in Everyday Life”, Eighth Edition, 1998, pg. 85] // t-haas</w:t>
      </w:r>
    </w:p>
    <w:p w:rsidR="00772496" w:rsidRPr="00CD01FC" w:rsidRDefault="00772496" w:rsidP="00772496">
      <w:pPr>
        <w:rPr>
          <w:sz w:val="12"/>
        </w:rPr>
      </w:pPr>
      <w:r w:rsidRPr="00CD01FC">
        <w:rPr>
          <w:sz w:val="12"/>
        </w:rPr>
        <w:lastRenderedPageBreak/>
        <w:t xml:space="preserve">Before turning to a discussion of other fallacies, perhaps it should be noted that </w:t>
      </w:r>
      <w:r w:rsidRPr="000C56B0">
        <w:rPr>
          <w:rStyle w:val="StyleUnderline"/>
        </w:rPr>
        <w:t>we need to distinguish between explanatory analogies used to explain and arugmentative analogies used to prove a point</w:t>
      </w:r>
      <w:r w:rsidRPr="00CD01FC">
        <w:rPr>
          <w:sz w:val="12"/>
        </w:rPr>
        <w:t xml:space="preserve">. </w:t>
      </w:r>
      <w:r w:rsidRPr="000C56B0">
        <w:rPr>
          <w:rStyle w:val="StyleUnderline"/>
        </w:rPr>
        <w:t>When we argue</w:t>
      </w:r>
      <w:r w:rsidRPr="00CD01FC">
        <w:rPr>
          <w:sz w:val="12"/>
        </w:rPr>
        <w:t xml:space="preserve"> or reason </w:t>
      </w:r>
      <w:r w:rsidRPr="000C56B0">
        <w:rPr>
          <w:rStyle w:val="StyleUnderline"/>
        </w:rPr>
        <w:t>analogically</w:t>
      </w:r>
      <w:r w:rsidRPr="00CD01FC">
        <w:rPr>
          <w:sz w:val="12"/>
        </w:rPr>
        <w:t xml:space="preserve">, </w:t>
      </w:r>
      <w:r w:rsidRPr="000C56B0">
        <w:rPr>
          <w:rStyle w:val="StyleUnderline"/>
        </w:rPr>
        <w:t>we pr</w:t>
      </w:r>
      <w:r>
        <w:rPr>
          <w:rStyle w:val="StyleUnderline"/>
        </w:rPr>
        <w:t>e</w:t>
      </w:r>
      <w:r w:rsidRPr="000C56B0">
        <w:rPr>
          <w:rStyle w:val="StyleUnderline"/>
        </w:rPr>
        <w:t>sent</w:t>
      </w:r>
      <w:r w:rsidRPr="00CD01FC">
        <w:rPr>
          <w:sz w:val="12"/>
        </w:rPr>
        <w:t xml:space="preserve"> </w:t>
      </w:r>
      <w:r w:rsidRPr="000C56B0">
        <w:rPr>
          <w:rStyle w:val="StyleUnderline"/>
        </w:rPr>
        <w:t>evidence for a conclusion</w:t>
      </w:r>
      <w:r w:rsidRPr="00CD01FC">
        <w:rPr>
          <w:sz w:val="12"/>
        </w:rPr>
        <w:t xml:space="preserve">; </w:t>
      </w:r>
      <w:r w:rsidRPr="000C56B0">
        <w:rPr>
          <w:rStyle w:val="StyleUnderline"/>
        </w:rPr>
        <w:t>when we use an analogy to explain, we merely liken the thing explained to something already familiar</w:t>
      </w:r>
      <w:r w:rsidRPr="00CD01FC">
        <w:rPr>
          <w:sz w:val="12"/>
        </w:rPr>
        <w:t xml:space="preserve">, In Plato’s famous analogy of the cave, for those who restrict themselves to the ever-changing world of everday experience, while the person who comes out into the sunlight and sees the objects themselves is likened to the philosophers who reason to the unchanging reality that lies behind everyday experiences. The analogy explains Plato’s ideas about a world beyond that of mere everyday experiences, but it doesn’t prove that there is such a world or in any way argue that there is. (Plato himself seems to have intended his cave myth to be explanatory, not argumentative, but it sometimes is contrued otherwise.) The poine here is that </w:t>
      </w:r>
      <w:r w:rsidRPr="000C56B0">
        <w:rPr>
          <w:rStyle w:val="StyleUnderline"/>
        </w:rPr>
        <w:t>we shouldn’t accuse those whose analogies are intended to explain of being guilty of the fallacy questionable analogy</w:t>
      </w:r>
      <w:r w:rsidRPr="00CD01FC">
        <w:rPr>
          <w:sz w:val="12"/>
        </w:rPr>
        <w:t>. It’s true, though that explanatory analogies sometimes are mistakenly taken to prove what they merely explain, and in this case we are indeed justified in accusing those who do this of the fallacy questionable analogy.</w:t>
      </w:r>
    </w:p>
    <w:p w:rsidR="00772496" w:rsidRPr="008F06C1" w:rsidRDefault="00772496" w:rsidP="00772496"/>
    <w:p w:rsidR="00772496" w:rsidRPr="008F06C1" w:rsidRDefault="00772496" w:rsidP="00772496">
      <w:pPr>
        <w:pStyle w:val="Heading4"/>
      </w:pPr>
      <w:r w:rsidRPr="008F06C1">
        <w:t xml:space="preserve">Tangentially related figurative analogies are an ineffective way of arguing </w:t>
      </w:r>
    </w:p>
    <w:p w:rsidR="00772496" w:rsidRPr="008F06C1" w:rsidRDefault="00772496" w:rsidP="00772496">
      <w:r w:rsidRPr="008F06C1">
        <w:t xml:space="preserve">Bart </w:t>
      </w:r>
      <w:r w:rsidRPr="008F06C1">
        <w:rPr>
          <w:rStyle w:val="Style13ptBold"/>
        </w:rPr>
        <w:t>Garssen</w:t>
      </w:r>
      <w:r w:rsidRPr="008F06C1">
        <w:t xml:space="preserve"> 1/29/</w:t>
      </w:r>
      <w:r w:rsidRPr="008F06C1">
        <w:rPr>
          <w:rStyle w:val="Style13ptBold"/>
        </w:rPr>
        <w:t>09</w:t>
      </w:r>
      <w:r w:rsidRPr="008F06C1">
        <w:t>- lecturer in the Department of Speech Communication, Argumentation Theory and Rhetoric in the University of Amsterdam [PONDERING ON PROBLEMS OF ARGUMENTATION, Springer, Argumentation Library, Volume 14, Chapter 10: Comparing the Incomparable: Figurative Analogies in a Dialectical Testing Procedure, Page 133]</w:t>
      </w:r>
    </w:p>
    <w:p w:rsidR="00772496" w:rsidRPr="008F06C1" w:rsidRDefault="00772496" w:rsidP="00772496">
      <w:pPr>
        <w:rPr>
          <w:sz w:val="14"/>
        </w:rPr>
      </w:pPr>
      <w:r w:rsidRPr="008F06C1">
        <w:rPr>
          <w:sz w:val="14"/>
        </w:rPr>
        <w:t xml:space="preserve">The evolutionary biologist Richard </w:t>
      </w:r>
      <w:r w:rsidRPr="008F06C1">
        <w:rPr>
          <w:rStyle w:val="StyleUnderline"/>
        </w:rPr>
        <w:t>Dawkins argues</w:t>
      </w:r>
      <w:r w:rsidRPr="008F06C1">
        <w:rPr>
          <w:sz w:val="14"/>
        </w:rPr>
        <w:t xml:space="preserve"> that </w:t>
      </w:r>
      <w:r w:rsidRPr="008F06C1">
        <w:rPr>
          <w:rStyle w:val="StyleUnderline"/>
        </w:rPr>
        <w:t>punishment is</w:t>
      </w:r>
      <w:r w:rsidRPr="008F06C1">
        <w:rPr>
          <w:sz w:val="14"/>
        </w:rPr>
        <w:t xml:space="preserve">, scientifi- cally speaking, </w:t>
      </w:r>
      <w:r w:rsidRPr="008F06C1">
        <w:rPr>
          <w:rStyle w:val="StyleUnderline"/>
        </w:rPr>
        <w:t>out of date. He points</w:t>
      </w:r>
      <w:r w:rsidRPr="008F06C1">
        <w:rPr>
          <w:sz w:val="14"/>
        </w:rPr>
        <w:t xml:space="preserve"> out that </w:t>
      </w:r>
      <w:r w:rsidRPr="008F06C1">
        <w:rPr>
          <w:rStyle w:val="StyleUnderline"/>
        </w:rPr>
        <w:t>it makes no</w:t>
      </w:r>
      <w:r w:rsidRPr="008F06C1">
        <w:rPr>
          <w:sz w:val="14"/>
        </w:rPr>
        <w:t xml:space="preserve"> </w:t>
      </w:r>
      <w:r w:rsidRPr="008F06C1">
        <w:rPr>
          <w:rStyle w:val="StyleUnderline"/>
        </w:rPr>
        <w:t>sense to</w:t>
      </w:r>
      <w:r w:rsidRPr="008F06C1">
        <w:rPr>
          <w:sz w:val="14"/>
        </w:rPr>
        <w:t xml:space="preserve"> punish </w:t>
      </w:r>
      <w:r w:rsidRPr="008F06C1">
        <w:rPr>
          <w:rStyle w:val="StyleUnderline"/>
        </w:rPr>
        <w:t>a car</w:t>
      </w:r>
      <w:r w:rsidRPr="008F06C1">
        <w:rPr>
          <w:sz w:val="14"/>
        </w:rPr>
        <w:t xml:space="preserve"> </w:t>
      </w:r>
      <w:r w:rsidRPr="008F06C1">
        <w:rPr>
          <w:rStyle w:val="StyleUnderline"/>
        </w:rPr>
        <w:t>when it refuses to start</w:t>
      </w:r>
      <w:r w:rsidRPr="008F06C1">
        <w:rPr>
          <w:sz w:val="14"/>
        </w:rPr>
        <w:t xml:space="preserve"> </w:t>
      </w:r>
      <w:r w:rsidRPr="008F06C1">
        <w:rPr>
          <w:rStyle w:val="StyleUnderline"/>
        </w:rPr>
        <w:t>and</w:t>
      </w:r>
      <w:r w:rsidRPr="008F06C1">
        <w:rPr>
          <w:sz w:val="14"/>
        </w:rPr>
        <w:t xml:space="preserve"> that it is equally irrational to punish</w:t>
      </w:r>
      <w:r w:rsidRPr="008F06C1">
        <w:rPr>
          <w:rStyle w:val="StyleUnderline"/>
        </w:rPr>
        <w:t xml:space="preserve"> criminals, because </w:t>
      </w:r>
      <w:r w:rsidRPr="008F06C1">
        <w:rPr>
          <w:sz w:val="14"/>
        </w:rPr>
        <w:t xml:space="preserve">in their case something </w:t>
      </w:r>
      <w:r w:rsidRPr="008F06C1">
        <w:rPr>
          <w:rStyle w:val="StyleUnderline"/>
        </w:rPr>
        <w:t>is broken</w:t>
      </w:r>
      <w:r w:rsidRPr="008F06C1">
        <w:rPr>
          <w:sz w:val="14"/>
        </w:rPr>
        <w:t xml:space="preserve"> as well: they come from poor families, received poor education or have poor genes. In comparing criminals to broken inanimate objects </w:t>
      </w:r>
      <w:r w:rsidRPr="008F06C1">
        <w:rPr>
          <w:rStyle w:val="StyleUnderline"/>
        </w:rPr>
        <w:t>Dawkins uses</w:t>
      </w:r>
      <w:r w:rsidRPr="008F06C1">
        <w:rPr>
          <w:sz w:val="14"/>
        </w:rPr>
        <w:t xml:space="preserve"> argumentation that is </w:t>
      </w:r>
      <w:r w:rsidRPr="008F06C1">
        <w:rPr>
          <w:rStyle w:val="StyleUnderline"/>
        </w:rPr>
        <w:t>based on</w:t>
      </w:r>
      <w:r w:rsidRPr="008F06C1">
        <w:rPr>
          <w:sz w:val="14"/>
        </w:rPr>
        <w:t xml:space="preserve"> an </w:t>
      </w:r>
      <w:r w:rsidRPr="008F06C1">
        <w:rPr>
          <w:rStyle w:val="StyleUnderline"/>
        </w:rPr>
        <w:t>analogy.</w:t>
      </w:r>
      <w:r w:rsidRPr="008F06C1">
        <w:rPr>
          <w:sz w:val="14"/>
        </w:rPr>
        <w:t xml:space="preserve"> In most approaches to argument schemes this type of argumentation is considered to be a special type of reasoning by analogy or comparison argumentation, often called figurative analogy because of the abstract nature of the comparison. In spite of the many differences that can be observed among the various typologies of argument schemes, there seems to be general agreement about the importance of analogy or comparison argumentation as a separate category of argumentation: all typologies include a category of this type of reasoning. On closer look however, </w:t>
      </w:r>
      <w:r w:rsidRPr="008F06C1">
        <w:rPr>
          <w:rStyle w:val="StyleUnderline"/>
        </w:rPr>
        <w:t>there are terminological and conceptional differences among the approaches</w:t>
      </w:r>
      <w:r w:rsidRPr="008F06C1">
        <w:rPr>
          <w:sz w:val="14"/>
        </w:rPr>
        <w:t xml:space="preserve">. Whately, one of the first modern authors who dealt with categorizing types of argumentation includes comparison argumentation and the argumentation form he calls “comparison of ratios” (1846/1963, pp. 90–91). Perelman and Olbrechts-Tyteca (trans. 1969) include analogy, identity relation (quasi logical) and the use of the rule of justice. Hastings (1962) distinghuishes between comparison argumentation and figurative analogy. Both Kienpointner (1992) and Schellens (1985) follow Hastings and make a similar distinction. Govier (1987, p. 58) who does not have the ambition of presenting a complete list of argument forms makes a distinction between comparison argumentation (inductive analogy) and the a priori analogy (logical analogy).1 Although all typologies include comparison argumentation, the </w:t>
      </w:r>
      <w:r w:rsidRPr="008F06C1">
        <w:rPr>
          <w:rStyle w:val="StyleUnderline"/>
        </w:rPr>
        <w:t>figurative analogy is not always among the selected argument schemes</w:t>
      </w:r>
      <w:r w:rsidRPr="008F06C1">
        <w:rPr>
          <w:sz w:val="14"/>
        </w:rPr>
        <w:t xml:space="preserve">. In addition, </w:t>
      </w:r>
      <w:r w:rsidRPr="008F06C1">
        <w:rPr>
          <w:rStyle w:val="StyleUnderline"/>
        </w:rPr>
        <w:t>there is no</w:t>
      </w:r>
      <w:r w:rsidRPr="008F06C1">
        <w:rPr>
          <w:sz w:val="14"/>
        </w:rPr>
        <w:t xml:space="preserve"> general </w:t>
      </w:r>
      <w:r w:rsidRPr="008F06C1">
        <w:rPr>
          <w:rStyle w:val="StyleUnderline"/>
        </w:rPr>
        <w:t>agreement on the argumentative usefulness</w:t>
      </w:r>
      <w:r w:rsidRPr="008F06C1">
        <w:rPr>
          <w:sz w:val="14"/>
        </w:rPr>
        <w:t xml:space="preserve"> of the figurative analogy. Hastings, for instance, claims that </w:t>
      </w:r>
      <w:r w:rsidRPr="008F06C1">
        <w:rPr>
          <w:rStyle w:val="StyleUnderline"/>
        </w:rPr>
        <w:t>it has less</w:t>
      </w:r>
      <w:r w:rsidRPr="008F06C1">
        <w:rPr>
          <w:sz w:val="14"/>
        </w:rPr>
        <w:t xml:space="preserve"> argumentative </w:t>
      </w:r>
      <w:r w:rsidRPr="008F06C1">
        <w:rPr>
          <w:rStyle w:val="StyleUnderline"/>
        </w:rPr>
        <w:t>force than the literal</w:t>
      </w:r>
      <w:r w:rsidRPr="008F06C1">
        <w:rPr>
          <w:sz w:val="14"/>
        </w:rPr>
        <w:t xml:space="preserve"> analogy. </w:t>
      </w:r>
      <w:r w:rsidRPr="008F06C1">
        <w:rPr>
          <w:rStyle w:val="StyleUnderline"/>
        </w:rPr>
        <w:t>Some</w:t>
      </w:r>
      <w:r w:rsidRPr="008F06C1">
        <w:rPr>
          <w:sz w:val="14"/>
        </w:rPr>
        <w:t xml:space="preserve"> even </w:t>
      </w:r>
      <w:r w:rsidRPr="008F06C1">
        <w:rPr>
          <w:rStyle w:val="StyleUnderline"/>
        </w:rPr>
        <w:t>dismiss</w:t>
      </w:r>
      <w:r w:rsidRPr="008F06C1">
        <w:rPr>
          <w:sz w:val="14"/>
        </w:rPr>
        <w:t xml:space="preserve"> the figurative </w:t>
      </w:r>
      <w:r w:rsidRPr="008F06C1">
        <w:rPr>
          <w:rStyle w:val="StyleUnderline"/>
        </w:rPr>
        <w:t>analogy as a form that has no probative force and only</w:t>
      </w:r>
      <w:r w:rsidRPr="008F06C1">
        <w:rPr>
          <w:sz w:val="14"/>
        </w:rPr>
        <w:t xml:space="preserve"> serves </w:t>
      </w:r>
      <w:r w:rsidRPr="008F06C1">
        <w:rPr>
          <w:rStyle w:val="StyleUnderline"/>
        </w:rPr>
        <w:t>illustrative purposes</w:t>
      </w:r>
      <w:r w:rsidRPr="008F06C1">
        <w:rPr>
          <w:sz w:val="14"/>
        </w:rPr>
        <w:t xml:space="preserve"> (e.g. McBurney &amp; Mills, 1964). This is just a tentative sketch of the situation and certainly not an exhaustive account of all the typologies of argument schemes. It indicates however that </w:t>
      </w:r>
      <w:r w:rsidRPr="008F06C1">
        <w:rPr>
          <w:rStyle w:val="StyleUnderline"/>
        </w:rPr>
        <w:t>there is no general agreement on the nature of com- parison</w:t>
      </w:r>
      <w:r w:rsidRPr="008F06C1">
        <w:rPr>
          <w:sz w:val="14"/>
        </w:rPr>
        <w:t xml:space="preserve"> argumentation, and more specifically on the status of the figurative analogy. The questions is: should the figurative </w:t>
      </w:r>
      <w:r w:rsidRPr="008F06C1">
        <w:rPr>
          <w:rStyle w:val="StyleUnderline"/>
        </w:rPr>
        <w:t>analogy</w:t>
      </w:r>
      <w:r w:rsidRPr="008F06C1">
        <w:rPr>
          <w:sz w:val="14"/>
        </w:rPr>
        <w:t xml:space="preserve"> be seen as a special variant of compari- son argumentation or should it be dismissed as a form of argumentation altogether? In this paper I argue that, seen from a pragma-dialectical perspective, argumentation that involves a figurative analogy certainly has probative force, yet it </w:t>
      </w:r>
      <w:r w:rsidRPr="008F06C1">
        <w:rPr>
          <w:rStyle w:val="StyleUnderline"/>
        </w:rPr>
        <w:t>should not be seen as</w:t>
      </w:r>
      <w:r w:rsidRPr="008F06C1">
        <w:rPr>
          <w:sz w:val="14"/>
        </w:rPr>
        <w:t xml:space="preserve"> </w:t>
      </w:r>
      <w:r w:rsidRPr="008F06C1">
        <w:rPr>
          <w:rStyle w:val="StyleUnderline"/>
        </w:rPr>
        <w:t>comparison argumentation, but instead as a special presentational device</w:t>
      </w:r>
      <w:r w:rsidRPr="008F06C1">
        <w:rPr>
          <w:sz w:val="14"/>
        </w:rPr>
        <w:t xml:space="preserve"> that is used to put forward other (symptomatic or causal) types of argumentation. I will discuss the two main variants of (literal) comparison argumentation in order to show that the figurative analogy is a radically different category. </w:t>
      </w:r>
      <w:r w:rsidRPr="008F06C1">
        <w:rPr>
          <w:rStyle w:val="StyleUnderline"/>
        </w:rPr>
        <w:t>In</w:t>
      </w:r>
      <w:r w:rsidRPr="008F06C1">
        <w:rPr>
          <w:sz w:val="14"/>
        </w:rPr>
        <w:t xml:space="preserve"> </w:t>
      </w:r>
      <w:r w:rsidRPr="008F06C1">
        <w:rPr>
          <w:rStyle w:val="StyleUnderline"/>
        </w:rPr>
        <w:t xml:space="preserve">one of the variants </w:t>
      </w:r>
      <w:r w:rsidRPr="008F06C1">
        <w:rPr>
          <w:sz w:val="14"/>
        </w:rPr>
        <w:t xml:space="preserve">based on the principle of analogy a </w:t>
      </w:r>
      <w:r w:rsidRPr="008F06C1">
        <w:rPr>
          <w:rStyle w:val="StyleUnderline"/>
        </w:rPr>
        <w:t>comparison is made between</w:t>
      </w:r>
      <w:r w:rsidRPr="008F06C1">
        <w:rPr>
          <w:sz w:val="14"/>
        </w:rPr>
        <w:t xml:space="preserve"> the actual </w:t>
      </w:r>
      <w:r w:rsidRPr="008F06C1">
        <w:rPr>
          <w:rStyle w:val="StyleUnderline"/>
        </w:rPr>
        <w:t>characteristics</w:t>
      </w:r>
      <w:r w:rsidRPr="008F06C1">
        <w:rPr>
          <w:sz w:val="14"/>
        </w:rPr>
        <w:t xml:space="preserve"> of one thing, person or situation and the actual characteristics of another thing, person or situation, as in the following example: (1) Camera surveillance in the centre of Amsterdam will prove to be very effective, because in London, camera surveillance proved to be highly effective before. In this argumentation two elements that belong to the same class (London and Amsterdam, being both cities) are compared: it is claimed of Amsterdam that it has certain properties because London has those properties and Amsterdam is compa- rable to London. In this case, the comparison argumentation involves a prediction based on an extrapolation of shared properties, as is shown in figure 1. In this type of comparison argumentation the argumentative principle of analogy is used by extrapolating a property from a list of commonalities. In the argumentation itself these similarities are not expressed, but they come about in the critical testing procedure that may follow advancing comparison argumentation. The first step in this testing procedure is to ask whether the elements compared in the argumentation are, in principle, comparable. If asked to do so, the </w:t>
      </w:r>
      <w:r w:rsidRPr="008F06C1">
        <w:rPr>
          <w:rStyle w:val="StyleUnderline"/>
        </w:rPr>
        <w:t>protagonist is obliged to show that the elements compared belong to the same class</w:t>
      </w:r>
      <w:r w:rsidRPr="008F06C1">
        <w:rPr>
          <w:sz w:val="14"/>
        </w:rPr>
        <w:t xml:space="preserve">. The testing procedure can take different routes from here. Since the relevant similarities that function as a base for the extrapo- lation remain implicit, the antagonist can ask the protagonist to bring up one or more relevant similarities. The protagonist is then forced to provide additional argumentation in which he mentions one or more relevant similarities. This may lead to extra criticism from the side of the antagonist: the similarities mentioned may be not actual similari- ties at all, or they may be not relevant for the issue at hand.3 The antagonist himself can also criticize the argumentation by pointing at differences between the elements that are compared. The protagonist is then forced to show that these differences are not rel- evant or that the similarities are more important. In this way it is established in the test- ing procedure whether the intended extrapolation of characteristics is possible or not; the more relevant similarities there are, the more likely a successful extrapolation is. A typical characteristic of this type of comparison argumentation is that both the standpoint and premise are descriptive in nature: in both propositions a state of affairs is expressed. </w:t>
      </w:r>
      <w:r w:rsidRPr="008F06C1">
        <w:rPr>
          <w:rStyle w:val="StyleUnderline"/>
        </w:rPr>
        <w:t>In a second variant</w:t>
      </w:r>
      <w:r w:rsidRPr="008F06C1">
        <w:rPr>
          <w:sz w:val="14"/>
        </w:rPr>
        <w:t xml:space="preserve"> of comparison argumentation the principle of </w:t>
      </w:r>
      <w:r w:rsidRPr="008F06C1">
        <w:rPr>
          <w:rStyle w:val="StyleUnderline"/>
        </w:rPr>
        <w:t>analogy is combined with the principle of consistency</w:t>
      </w:r>
      <w:r w:rsidRPr="008F06C1">
        <w:rPr>
          <w:sz w:val="14"/>
        </w:rPr>
        <w:t xml:space="preserve">.4 </w:t>
      </w:r>
      <w:r w:rsidRPr="008F06C1">
        <w:rPr>
          <w:rStyle w:val="StyleUnderline"/>
        </w:rPr>
        <w:t xml:space="preserve">The general idea </w:t>
      </w:r>
      <w:r w:rsidRPr="008F06C1">
        <w:rPr>
          <w:sz w:val="14"/>
        </w:rPr>
        <w:t xml:space="preserve">in this variant </w:t>
      </w:r>
      <w:r w:rsidRPr="008F06C1">
        <w:rPr>
          <w:rStyle w:val="StyleUnderline"/>
        </w:rPr>
        <w:t xml:space="preserve">is that people should act in a consistent way </w:t>
      </w:r>
      <w:r w:rsidRPr="008F06C1">
        <w:rPr>
          <w:sz w:val="14"/>
        </w:rPr>
        <w:t xml:space="preserve">and </w:t>
      </w:r>
      <w:r w:rsidRPr="008F06C1">
        <w:rPr>
          <w:sz w:val="14"/>
        </w:rPr>
        <w:lastRenderedPageBreak/>
        <w:t xml:space="preserve">that if they acted in a certain way in one situa- tion, they should act accordingly in a situation that is similar in relevant respects. A specific instance of this general maxim is the rule of justice which “requires giving identical treatment to beings or situations of the same kind” (Perelman &amp; Olbrechts- Tyteca, trans. 1969, p. 218).5 </w:t>
      </w:r>
      <w:r w:rsidRPr="008F06C1">
        <w:rPr>
          <w:rStyle w:val="StyleUnderline"/>
        </w:rPr>
        <w:t>According to the rule of justice, persons</w:t>
      </w:r>
      <w:r w:rsidRPr="008F06C1">
        <w:rPr>
          <w:sz w:val="14"/>
        </w:rPr>
        <w:t xml:space="preserve">, </w:t>
      </w:r>
      <w:r w:rsidRPr="008F06C1">
        <w:rPr>
          <w:rStyle w:val="StyleUnderline"/>
        </w:rPr>
        <w:t>institutions or groups that belong to the same category should be treated in a similar way</w:t>
      </w:r>
      <w:r w:rsidRPr="008F06C1">
        <w:rPr>
          <w:sz w:val="14"/>
        </w:rPr>
        <w:t xml:space="preserve">. Just like in the former variant of comparison argumentation, the arguer claims that what is mentioned in the standpoint is comparable to what is mentioned in the premise. This happens for instance in the following example: 2) T he European committee should grand Belgium higher agricultural subsidies because it granted Italy higher subsidies as well. There is, however, an important difference with the former type of compari- son argumentation: application of the principle of consistency does not involve an extrapolation of characteristics. The central issue is whether the two elements (per- sons, groups etc.) really belong to the same category and whether this category is really relevant to the claim made in the standpoint. Another difference with the first variant of comparison argumentation is the fact that in this case the standpoint is by definition normative in nature: in the standpoint the claim is made that some person (or some group) should be treated in a certain way. </w:t>
      </w:r>
      <w:r w:rsidRPr="008F06C1">
        <w:rPr>
          <w:rStyle w:val="StyleUnderline"/>
        </w:rPr>
        <w:t>This</w:t>
      </w:r>
      <w:r w:rsidRPr="008F06C1">
        <w:rPr>
          <w:sz w:val="14"/>
        </w:rPr>
        <w:t xml:space="preserve"> type of </w:t>
      </w:r>
      <w:r w:rsidRPr="008F06C1">
        <w:rPr>
          <w:rStyle w:val="StyleUnderline"/>
        </w:rPr>
        <w:t>argumentation is</w:t>
      </w:r>
      <w:r w:rsidRPr="008F06C1">
        <w:rPr>
          <w:sz w:val="14"/>
        </w:rPr>
        <w:t xml:space="preserve"> very similar to the type of reasoning that Govier calles </w:t>
      </w:r>
      <w:r w:rsidRPr="008F06C1">
        <w:rPr>
          <w:rStyle w:val="StyleUnderline"/>
        </w:rPr>
        <w:t>a priori reasoning</w:t>
      </w:r>
      <w:r w:rsidRPr="008F06C1">
        <w:rPr>
          <w:sz w:val="14"/>
        </w:rPr>
        <w:t xml:space="preserve">. In this type of argumentation </w:t>
      </w:r>
      <w:r w:rsidRPr="008F06C1">
        <w:rPr>
          <w:rStyle w:val="StyleUnderline"/>
        </w:rPr>
        <w:t>someone is prompted to behave in a consistent way: you should do X because you would also do X in a simi- lar</w:t>
      </w:r>
      <w:r w:rsidRPr="008F06C1">
        <w:rPr>
          <w:sz w:val="14"/>
        </w:rPr>
        <w:t xml:space="preserve"> </w:t>
      </w:r>
      <w:r w:rsidRPr="008F06C1">
        <w:rPr>
          <w:rStyle w:val="StyleUnderline"/>
        </w:rPr>
        <w:t>situation</w:t>
      </w:r>
      <w:r w:rsidRPr="008F06C1">
        <w:rPr>
          <w:sz w:val="14"/>
        </w:rPr>
        <w:t xml:space="preserve"> (existing or not). For Govier an essential property of </w:t>
      </w:r>
      <w:r w:rsidRPr="008F06C1">
        <w:rPr>
          <w:rStyle w:val="StyleUnderline"/>
        </w:rPr>
        <w:t>a priori reasoning</w:t>
      </w:r>
      <w:r w:rsidRPr="008F06C1">
        <w:rPr>
          <w:sz w:val="14"/>
        </w:rPr>
        <w:t xml:space="preserve"> is that the example that </w:t>
      </w:r>
      <w:r w:rsidRPr="008F06C1">
        <w:rPr>
          <w:rStyle w:val="StyleUnderline"/>
        </w:rPr>
        <w:t>is used in the comparison can be</w:t>
      </w:r>
      <w:r w:rsidRPr="008F06C1">
        <w:rPr>
          <w:sz w:val="14"/>
        </w:rPr>
        <w:t xml:space="preserve"> </w:t>
      </w:r>
      <w:r w:rsidRPr="008F06C1">
        <w:rPr>
          <w:rStyle w:val="StyleUnderline"/>
        </w:rPr>
        <w:t>fictitious</w:t>
      </w:r>
      <w:r w:rsidRPr="008F06C1">
        <w:rPr>
          <w:sz w:val="14"/>
        </w:rPr>
        <w:t xml:space="preserve">. An example of such a non-existing situation is the commonplace question pacifists are often faced with: but you would use violence if your mother was attacked wouldn’t you? If the antagonist addressed admits that someone imagined or not should be treated in a certain way, he should admit that (real) persons belonging to the category should be treated in the same way. Just like in variant 1, using this kind of comparison argumentation presumes that there are similarities between what is mentioned in the standpoint and what is men- tioned in the premise. And again, these similarities are not mentioned in the premise themselves. Although the critical questions that go with variant 2 are more or less the same as those that pertain to variant 1, the dialectical testing procedure proceeds in a slightly different manner. Again, a preliminarily step is to establish whether what is mentioned in the standpoint is really comparable to what is mentioned in the argument. After establishing this, the antagonist may ask the protagonist to men- tion similarities (or at least one similarity) to justify the claim that the two persons (or groups) really belong to the same (moral) category. In his reaction to this, the protagonist is forced to present additional argumentation. The antagonist could also point at differences to show that the two persons or groups do not belong to the same category. As a reaction to this, the protagonist has to show that these differences are not relevant or that they are outbalanced by the similarities.6 In conclusion, seen from the perspective of a dialectical testing procedure, there seem to be two variants of comparison argumentation. In both variants the principle of analogy is used but there are some differences concerning the decisions that have to be made in the testing procedure. The question remains whether the figurative analogy should be seen as a special form of one of the variants that are described above or whether it should be seen as a third variant of comparison argumentation. In my view the </w:t>
      </w:r>
      <w:r w:rsidRPr="008F06C1">
        <w:rPr>
          <w:rStyle w:val="StyleUnderline"/>
        </w:rPr>
        <w:t>figurative analogy does not involve comparison argumentation at all.</w:t>
      </w:r>
      <w:r w:rsidRPr="008F06C1">
        <w:rPr>
          <w:sz w:val="14"/>
        </w:rPr>
        <w:t xml:space="preserve"> One striking quality of the figurative analogy is the fact that </w:t>
      </w:r>
      <w:r w:rsidRPr="008F06C1">
        <w:rPr>
          <w:rStyle w:val="StyleUnderline"/>
        </w:rPr>
        <w:t>the elements that are compared are situated on a different level or experience</w:t>
      </w:r>
      <w:r w:rsidRPr="008F06C1">
        <w:rPr>
          <w:sz w:val="14"/>
        </w:rPr>
        <w:t xml:space="preserve">, are </w:t>
      </w:r>
      <w:r w:rsidRPr="008F06C1">
        <w:rPr>
          <w:rStyle w:val="StyleUnderline"/>
        </w:rPr>
        <w:t>from different “spheres</w:t>
      </w:r>
      <w:r w:rsidRPr="008F06C1">
        <w:rPr>
          <w:sz w:val="14"/>
        </w:rPr>
        <w:t xml:space="preserve">”, or are of a completely different type. </w:t>
      </w:r>
      <w:r w:rsidRPr="008F06C1">
        <w:rPr>
          <w:rStyle w:val="StyleUnderline"/>
        </w:rPr>
        <w:t>To illustrate</w:t>
      </w:r>
      <w:r w:rsidRPr="008F06C1">
        <w:rPr>
          <w:sz w:val="14"/>
        </w:rPr>
        <w:t xml:space="preserve"> this, </w:t>
      </w:r>
      <w:r w:rsidRPr="008F06C1">
        <w:rPr>
          <w:rStyle w:val="StyleUnderline"/>
        </w:rPr>
        <w:t>Hastings</w:t>
      </w:r>
      <w:r w:rsidRPr="008F06C1">
        <w:rPr>
          <w:sz w:val="14"/>
        </w:rPr>
        <w:t xml:space="preserve"> (1962) </w:t>
      </w:r>
      <w:r w:rsidRPr="008F06C1">
        <w:rPr>
          <w:rStyle w:val="StyleUnderline"/>
        </w:rPr>
        <w:t>presents</w:t>
      </w:r>
      <w:r w:rsidRPr="008F06C1">
        <w:rPr>
          <w:sz w:val="14"/>
        </w:rPr>
        <w:t xml:space="preserve"> the following example of the figu- rative </w:t>
      </w:r>
      <w:r w:rsidRPr="008F06C1">
        <w:rPr>
          <w:rStyle w:val="StyleUnderline"/>
        </w:rPr>
        <w:t>analogy</w:t>
      </w:r>
      <w:r w:rsidRPr="008F06C1">
        <w:rPr>
          <w:sz w:val="14"/>
        </w:rPr>
        <w:t xml:space="preserve"> that is put forward </w:t>
      </w:r>
      <w:r w:rsidRPr="008F06C1">
        <w:rPr>
          <w:rStyle w:val="StyleUnderline"/>
        </w:rPr>
        <w:t>by</w:t>
      </w:r>
      <w:r w:rsidRPr="008F06C1">
        <w:rPr>
          <w:sz w:val="14"/>
        </w:rPr>
        <w:t xml:space="preserve"> </w:t>
      </w:r>
      <w:r w:rsidRPr="008F06C1">
        <w:rPr>
          <w:rStyle w:val="StyleUnderline"/>
        </w:rPr>
        <w:t>Truman</w:t>
      </w:r>
      <w:r w:rsidRPr="008F06C1">
        <w:rPr>
          <w:sz w:val="14"/>
        </w:rPr>
        <w:t xml:space="preserve"> </w:t>
      </w:r>
      <w:r w:rsidRPr="008F06C1">
        <w:rPr>
          <w:rStyle w:val="StyleUnderline"/>
        </w:rPr>
        <w:t>in his defence o</w:t>
      </w:r>
      <w:r w:rsidRPr="008F06C1">
        <w:rPr>
          <w:sz w:val="14"/>
        </w:rPr>
        <w:t xml:space="preserve">f the claim that the US should strike immediately at the beginning of the </w:t>
      </w:r>
      <w:r w:rsidRPr="008F06C1">
        <w:rPr>
          <w:rStyle w:val="StyleUnderline"/>
        </w:rPr>
        <w:t>conflict</w:t>
      </w:r>
      <w:r w:rsidRPr="008F06C1">
        <w:rPr>
          <w:sz w:val="14"/>
        </w:rPr>
        <w:t xml:space="preserve"> with Korea: (3) The best time to meet the threat is in the beginning. It is easier to put out a fire in the beginning when it is small than after it has become a roaring blaze (p. 114). </w:t>
      </w:r>
      <w:r w:rsidRPr="008F06C1">
        <w:rPr>
          <w:rStyle w:val="StyleUnderline"/>
        </w:rPr>
        <w:t>Fire and war</w:t>
      </w:r>
      <w:r w:rsidRPr="008F06C1">
        <w:rPr>
          <w:sz w:val="14"/>
        </w:rPr>
        <w:t xml:space="preserve"> clearly belong to different classes of events. That </w:t>
      </w:r>
      <w:r w:rsidRPr="008F06C1">
        <w:rPr>
          <w:rStyle w:val="StyleUnderline"/>
        </w:rPr>
        <w:t>makes it impos- sible to compare them</w:t>
      </w:r>
      <w:r w:rsidRPr="008F06C1">
        <w:rPr>
          <w:sz w:val="14"/>
        </w:rPr>
        <w:t xml:space="preserve"> in a direct way. In this case </w:t>
      </w:r>
      <w:r w:rsidRPr="008F06C1">
        <w:rPr>
          <w:rStyle w:val="StyleUnderline"/>
        </w:rPr>
        <w:t>we have to</w:t>
      </w:r>
      <w:r w:rsidRPr="008F06C1">
        <w:rPr>
          <w:sz w:val="14"/>
        </w:rPr>
        <w:t xml:space="preserve"> </w:t>
      </w:r>
      <w:r w:rsidRPr="008F06C1">
        <w:rPr>
          <w:rStyle w:val="StyleUnderline"/>
        </w:rPr>
        <w:t>look for</w:t>
      </w:r>
      <w:r w:rsidRPr="008F06C1">
        <w:rPr>
          <w:sz w:val="14"/>
        </w:rPr>
        <w:t xml:space="preserve"> similarities, not so much between the concrete features of fire and war, but between the </w:t>
      </w:r>
      <w:r w:rsidRPr="008F06C1">
        <w:rPr>
          <w:rStyle w:val="StyleUnderline"/>
        </w:rPr>
        <w:t>abstract relations</w:t>
      </w:r>
      <w:r w:rsidRPr="008F06C1">
        <w:rPr>
          <w:sz w:val="14"/>
        </w:rPr>
        <w:t xml:space="preserve"> within what is said in the premise and what is said in the standpoint. It is predicted that the war in Korea will become unmanageable if we do not act immedi- ately and that is exactly the reason why we should act now. Truman does not make a direct, literal, comparison between war and fire. That is why the standard critical questions that go with comparison argumentation (are there similarities? are there differences?) do not really apply. In fact, </w:t>
      </w:r>
      <w:r w:rsidRPr="008F06C1">
        <w:rPr>
          <w:rStyle w:val="StyleUnderline"/>
        </w:rPr>
        <w:t>no figurative</w:t>
      </w:r>
      <w:r w:rsidRPr="008F06C1">
        <w:rPr>
          <w:sz w:val="14"/>
        </w:rPr>
        <w:t xml:space="preserve"> </w:t>
      </w:r>
      <w:r w:rsidRPr="008F06C1">
        <w:rPr>
          <w:rStyle w:val="StyleUnderline"/>
        </w:rPr>
        <w:t>analogy could stand the test if we would use these questions in this form.</w:t>
      </w:r>
      <w:r w:rsidRPr="008F06C1">
        <w:rPr>
          <w:sz w:val="14"/>
        </w:rPr>
        <w:t xml:space="preserve"> We could try to amend the standard critical questions for figurative analogies by rephrasing them but, as we will see, this will not bring us much further. Apparently this is not a normal comparison but a comparison of the abstract relations within one situation and another, hence Hastings’ characterization of the relation as a “comparison of ratios”. Perelman and Olbrechts-Tyteca (trans. 1969) characterize the “resemblance of structures” as follows A and B together, the terms to which the conclusion relates […], we shall call the theme, and C and D together, the terms that serve to buttress the argument […], we shall call the phoros (p. 372). This can be illustrated by means of a much-quoted argument put forward by President Lincoln in his reply to the national union league on June 9, 1864: (4) I have not permitted myself, gentlemen, to conclude that I am the best man in the country; but I am reminded, in this connection, of a story of an old Dutch farmer who remarked to a companion once that “it was not best to swap horses while crossing a stream”. The figurative analogy in Lincoln’s argument (I should not resign at this moment because one should not swap horses while crossing a stream) can be reconstructed as follows: What becomes clear from this reconstruction is that the </w:t>
      </w:r>
      <w:r w:rsidRPr="008F06C1">
        <w:rPr>
          <w:rStyle w:val="StyleUnderline"/>
        </w:rPr>
        <w:t>two situations share only one similarity</w:t>
      </w:r>
      <w:r w:rsidRPr="008F06C1">
        <w:rPr>
          <w:sz w:val="14"/>
        </w:rPr>
        <w:t xml:space="preserve">. In both cases the general rule “it is unwise to make important changes while you are in a difficult situation” applies. </w:t>
      </w:r>
      <w:r w:rsidRPr="008F06C1">
        <w:rPr>
          <w:rStyle w:val="StyleUnderline"/>
        </w:rPr>
        <w:t>It</w:t>
      </w:r>
      <w:r w:rsidRPr="008F06C1">
        <w:rPr>
          <w:sz w:val="14"/>
        </w:rPr>
        <w:t xml:space="preserve"> </w:t>
      </w:r>
      <w:r w:rsidRPr="008F06C1">
        <w:rPr>
          <w:rStyle w:val="StyleUnderline"/>
        </w:rPr>
        <w:t>does not make much sense to look for more similarities.</w:t>
      </w:r>
      <w:r w:rsidRPr="008F06C1">
        <w:rPr>
          <w:sz w:val="14"/>
        </w:rPr>
        <w:t xml:space="preserve"> This makes the figurative analogy very different from “normal” comparison argumentation, where it is always implied that there is a series of similarities, as was shown in section 2 of this paper. Perelman and Olbrechts-Tyteca stress the fact that the situation mentioned in the premise is familiar or well known to the audience: “In the ordinary course, the phoros is better known than the theme of which it should clarify the structure or establish the value […]” (trans. 1969, p. 374). It is clear that </w:t>
      </w:r>
      <w:r w:rsidRPr="008F06C1">
        <w:rPr>
          <w:rStyle w:val="StyleUnderline"/>
        </w:rPr>
        <w:t>it does not make sense to punish a car, that a small fire can be put out much easier than a roaring</w:t>
      </w:r>
      <w:r w:rsidRPr="008F06C1">
        <w:rPr>
          <w:sz w:val="14"/>
        </w:rPr>
        <w:t xml:space="preserve"> </w:t>
      </w:r>
      <w:r w:rsidRPr="008F06C1">
        <w:rPr>
          <w:rStyle w:val="StyleUnderline"/>
        </w:rPr>
        <w:t>blaze, and that it is unwise to change horses while crossing a stream</w:t>
      </w:r>
      <w:r w:rsidRPr="008F06C1">
        <w:rPr>
          <w:sz w:val="14"/>
        </w:rPr>
        <w:t xml:space="preserve">. The general rule underlying the situations mentioned in the standpoint and the premise stands out in the phoros: it is the only real similarity between otherwise very different cases.7 The argumentation is presented in such a way that the listener is able to see that a general rule counts for both the situation mentioned in the premise and the situation mentioned in the standpoint. By making this clear the arguer indirectly puts forward this rule as an argument in defence of his standpoint. That means that the figurative analogy is not argumentation based on a comparison relation but a way of present- ing another type of argument scheme. For example, in his argumentation Lincoln indirectly claims that he should not resign because at the moment the Americans are in a difficult situation and it is unwise to change your leaders in a situation like this. In this argument he does not use comparison argumentation, but symptomatic argu- mentation: Lincoln should not resign now because we are at a crucial moment in the war and typical for crucial points in a war is that you should not change leaders. Figurative analogies are very similar to proverbial comparisons like “that is like throwing out the baby with the bathwater”. It is clear from the start that </w:t>
      </w:r>
      <w:r w:rsidRPr="008F06C1">
        <w:rPr>
          <w:rStyle w:val="StyleUnderline"/>
        </w:rPr>
        <w:t>asking the standard critical questions that go with comparison argumentation to evalu- ate argumentation in which such idiomatic expressions are used is ludicrous</w:t>
      </w:r>
      <w:r w:rsidRPr="008F06C1">
        <w:rPr>
          <w:sz w:val="14"/>
        </w:rPr>
        <w:t xml:space="preserve">. In fact, we know that the proverb means something like “you should be careful not to lose the good parts when you get rid of the bad parts of something”. Although the reconstruction of such idiomatic proverbs may be much easier, the same kind of reconstruction applies to figurative analogies. In the context of a dialectical </w:t>
      </w:r>
      <w:r w:rsidRPr="008F06C1">
        <w:rPr>
          <w:sz w:val="14"/>
        </w:rPr>
        <w:lastRenderedPageBreak/>
        <w:t xml:space="preserve">testing procedure there are at least two variants of comparison argumentation that seem to be relevant. In the first variant of compari- son argumentation a prediction about a state of affairs is made by comparing this state of affairs to another state of affairs. In the second variant of comparison argu- mentation the standpoint is defended that someone has to be treated in a certain way by comparing this person to someone else. The </w:t>
      </w:r>
      <w:r w:rsidRPr="008F06C1">
        <w:rPr>
          <w:rStyle w:val="StyleUnderline"/>
        </w:rPr>
        <w:t>figurative analogy does not have a place</w:t>
      </w:r>
      <w:r w:rsidRPr="008F06C1">
        <w:rPr>
          <w:sz w:val="14"/>
        </w:rPr>
        <w:t xml:space="preserve"> in this category, because on closer look no argumentative comparison is made. The figurative </w:t>
      </w:r>
      <w:r w:rsidRPr="008F06C1">
        <w:rPr>
          <w:rStyle w:val="StyleUnderline"/>
        </w:rPr>
        <w:t>analogy is a presenta- tional device that is used to put forward a specific kind of rule. This means that figurative analogy is</w:t>
      </w:r>
      <w:r w:rsidRPr="008F06C1">
        <w:rPr>
          <w:sz w:val="14"/>
        </w:rPr>
        <w:t xml:space="preserve"> </w:t>
      </w:r>
      <w:r w:rsidRPr="008F06C1">
        <w:rPr>
          <w:rStyle w:val="StyleUnderline"/>
        </w:rPr>
        <w:t>used to put forward other types of argumentation such as symptomatic argumentation or causal argumentation in an indirect way</w:t>
      </w:r>
      <w:r w:rsidRPr="008F06C1">
        <w:rPr>
          <w:sz w:val="14"/>
        </w:rPr>
        <w:t>. This leaves open the question why an arguer would choose this indirect way of putting forward argumentation. In further research it is best to analyse the figurative analogy in terms of strategic manoeuvring: when and in what contexts is it advantageous to use this presentational device and what exactly makes the figurative analogy more effective than a direct presentation of the argumentation?</w:t>
      </w:r>
    </w:p>
    <w:p w:rsidR="00772496" w:rsidRPr="008F06C1" w:rsidRDefault="00772496" w:rsidP="00772496">
      <w:pPr>
        <w:pStyle w:val="Heading4"/>
      </w:pPr>
      <w:r w:rsidRPr="008F06C1">
        <w:t>Analogies can never fully capture what they describe</w:t>
      </w:r>
    </w:p>
    <w:p w:rsidR="00772496" w:rsidRPr="008F06C1" w:rsidRDefault="00772496" w:rsidP="00772496">
      <w:r w:rsidRPr="008F06C1">
        <w:t xml:space="preserve">Marianne </w:t>
      </w:r>
      <w:r w:rsidRPr="008F06C1">
        <w:rPr>
          <w:rStyle w:val="Style13ptBold"/>
        </w:rPr>
        <w:t>Doury</w:t>
      </w:r>
      <w:r w:rsidRPr="008F06C1">
        <w:t xml:space="preserve"> 1/29/</w:t>
      </w:r>
      <w:r w:rsidRPr="008F06C1">
        <w:rPr>
          <w:rStyle w:val="Style13ptBold"/>
        </w:rPr>
        <w:t>09</w:t>
      </w:r>
      <w:r w:rsidRPr="008F06C1">
        <w:t>-French National Centre for Scientific Research Department Member [PONDERING ON PROBLEMS OF ARGUMENTATION, Springer, Argumentation Library, Volume 14, Chapter 11 Argument Schemes Typologies in Practice: The Case of Comparative Arguments, Page 153-154]</w:t>
      </w:r>
    </w:p>
    <w:p w:rsidR="00772496" w:rsidRPr="008F06C1" w:rsidRDefault="00772496" w:rsidP="00772496">
      <w:r w:rsidRPr="008F06C1">
        <w:rPr>
          <w:rStyle w:val="StyleUnderline"/>
        </w:rPr>
        <w:t>Studies on analogy</w:t>
      </w:r>
      <w:r w:rsidRPr="008F06C1">
        <w:t xml:space="preserve"> do not result in a systematic, hierarchically organized typology of sub-types of arguments based on a comparison. Nevertheless, they </w:t>
      </w:r>
      <w:r w:rsidRPr="008F06C1">
        <w:rPr>
          <w:rStyle w:val="StyleUnderline"/>
        </w:rPr>
        <w:t>permit</w:t>
      </w:r>
      <w:r w:rsidRPr="008F06C1">
        <w:t xml:space="preserve"> </w:t>
      </w:r>
      <w:r w:rsidRPr="008F06C1">
        <w:rPr>
          <w:rStyle w:val="StyleUnderline"/>
        </w:rPr>
        <w:t>the</w:t>
      </w:r>
      <w:r w:rsidRPr="008F06C1">
        <w:t xml:space="preserve"> </w:t>
      </w:r>
      <w:r w:rsidRPr="008F06C1">
        <w:rPr>
          <w:rStyle w:val="StyleUnderline"/>
        </w:rPr>
        <w:t>identi- fication of various parameters</w:t>
      </w:r>
      <w:r w:rsidRPr="008F06C1">
        <w:t xml:space="preserve"> (domain constraint on the compared cases, epistemic status of the premises, nature of the assigned predicate, dialectical orientation of the argument) which may help characterize comparative ar</w:t>
      </w:r>
      <w:bookmarkStart w:id="0" w:name="_GoBack"/>
      <w:bookmarkEnd w:id="0"/>
      <w:r w:rsidRPr="008F06C1">
        <w:t xml:space="preserve">guments as they appear in actual practice. Actual </w:t>
      </w:r>
      <w:r w:rsidRPr="008F06C1">
        <w:rPr>
          <w:rStyle w:val="StyleUnderline"/>
        </w:rPr>
        <w:t>argument by analogy show a tendency to preferentially aggre- gate characteristic</w:t>
      </w:r>
      <w:r w:rsidRPr="008F06C1">
        <w:t xml:space="preserve">s so as </w:t>
      </w:r>
      <w:r w:rsidRPr="008F06C1">
        <w:rPr>
          <w:rStyle w:val="StyleUnderline"/>
        </w:rPr>
        <w:t>to favour</w:t>
      </w:r>
      <w:r w:rsidRPr="008F06C1">
        <w:t xml:space="preserve"> </w:t>
      </w:r>
      <w:r w:rsidRPr="008F06C1">
        <w:rPr>
          <w:rStyle w:val="StyleUnderline"/>
        </w:rPr>
        <w:t>literal/predictive/confirmative analogies on the one hand, and figurative/a priori/refutative analogies on the other</w:t>
      </w:r>
      <w:r w:rsidRPr="008F06C1">
        <w:t xml:space="preserve">; however, </w:t>
      </w:r>
      <w:r w:rsidRPr="008F06C1">
        <w:rPr>
          <w:rStyle w:val="StyleUnderline"/>
        </w:rPr>
        <w:t xml:space="preserve">beyond these </w:t>
      </w:r>
      <w:r w:rsidRPr="008F06C1">
        <w:t xml:space="preserve">two preferred </w:t>
      </w:r>
      <w:r w:rsidRPr="008F06C1">
        <w:rPr>
          <w:rStyle w:val="StyleUnderline"/>
        </w:rPr>
        <w:t>patterns</w:t>
      </w:r>
      <w:r w:rsidRPr="008F06C1">
        <w:t xml:space="preserve">, </w:t>
      </w:r>
      <w:r w:rsidRPr="008F06C1">
        <w:rPr>
          <w:rStyle w:val="StyleUnderline"/>
        </w:rPr>
        <w:t>any combination seems to be possible</w:t>
      </w:r>
      <w:r w:rsidRPr="008F06C1">
        <w:t xml:space="preserve"> – though less frequent. My last remark pertains to the methodology partly applied here (and illustrated also by Snoeck Henkemans’s (2002) on analogy indicators) which is based on iden- tifying discursive clues (such as a-theoretical designations of argument schemes, indicators, or refutation processes) in order to specify the argument scheme involved. However disturbing this might be, </w:t>
      </w:r>
      <w:r w:rsidRPr="008F06C1">
        <w:rPr>
          <w:rStyle w:val="StyleUnderline"/>
        </w:rPr>
        <w:t>scholars authors are not infallible</w:t>
      </w:r>
      <w:r w:rsidRPr="008F06C1">
        <w:t xml:space="preserve">, and their anal- ysis is sometimes subject to discussion. </w:t>
      </w:r>
      <w:r w:rsidRPr="008F06C1">
        <w:rPr>
          <w:rStyle w:val="StyleUnderline"/>
        </w:rPr>
        <w:t>The same has to be said</w:t>
      </w:r>
      <w:r w:rsidRPr="008F06C1">
        <w:t xml:space="preserve"> </w:t>
      </w:r>
      <w:r w:rsidRPr="008F06C1">
        <w:rPr>
          <w:rStyle w:val="StyleUnderline"/>
        </w:rPr>
        <w:t>about ordinary speakers’ intuitions</w:t>
      </w:r>
      <w:r w:rsidRPr="008F06C1">
        <w:t xml:space="preserve">; the fact that </w:t>
      </w:r>
      <w:r w:rsidRPr="008F06C1">
        <w:rPr>
          <w:rStyle w:val="StyleUnderline"/>
        </w:rPr>
        <w:t>they</w:t>
      </w:r>
      <w:r w:rsidRPr="008F06C1">
        <w:t xml:space="preserve"> sometimes </w:t>
      </w:r>
      <w:r w:rsidRPr="008F06C1">
        <w:rPr>
          <w:rStyle w:val="Emphasis"/>
        </w:rPr>
        <w:t>label their argument “a compari- son” or “an image” does not guarantee that such a description necessarily fits the deep structure of their talk.</w:t>
      </w:r>
      <w:r w:rsidRPr="008F06C1">
        <w:t xml:space="preserve"> </w:t>
      </w:r>
      <w:r w:rsidRPr="008F06C1">
        <w:rPr>
          <w:rStyle w:val="StyleUnderline"/>
        </w:rPr>
        <w:t>Besides</w:t>
      </w:r>
      <w:r w:rsidRPr="008F06C1">
        <w:t xml:space="preserve">, the </w:t>
      </w:r>
      <w:r w:rsidRPr="008F06C1">
        <w:rPr>
          <w:rStyle w:val="StyleUnderline"/>
        </w:rPr>
        <w:t>colloquial</w:t>
      </w:r>
      <w:r w:rsidRPr="008F06C1">
        <w:t xml:space="preserve"> </w:t>
      </w:r>
      <w:r w:rsidRPr="008F06C1">
        <w:rPr>
          <w:rStyle w:val="StyleUnderline"/>
        </w:rPr>
        <w:t>use of terms such as</w:t>
      </w:r>
      <w:r w:rsidRPr="008F06C1">
        <w:t xml:space="preserve"> “example” or “</w:t>
      </w:r>
      <w:r w:rsidRPr="008F06C1">
        <w:rPr>
          <w:rStyle w:val="StyleUnderline"/>
        </w:rPr>
        <w:t>analogy</w:t>
      </w:r>
      <w:r w:rsidRPr="008F06C1">
        <w:t xml:space="preserve">” </w:t>
      </w:r>
      <w:r w:rsidRPr="008F06C1">
        <w:rPr>
          <w:rStyle w:val="StyleUnderline"/>
        </w:rPr>
        <w:t>does not cover the</w:t>
      </w:r>
      <w:r w:rsidRPr="008F06C1">
        <w:t xml:space="preserve"> exact corresponding </w:t>
      </w:r>
      <w:r w:rsidRPr="008F06C1">
        <w:rPr>
          <w:rStyle w:val="StyleUnderline"/>
        </w:rPr>
        <w:t>concept</w:t>
      </w:r>
      <w:r w:rsidRPr="008F06C1">
        <w:t xml:space="preserve"> in the theory of argu- mentation. For instance, whereas “it is not comparable” can hardly be found in response to an argument from example, a comparison may well be introduced by expressions such as “let’s take an example”. Clearly, </w:t>
      </w:r>
      <w:r w:rsidRPr="008F06C1">
        <w:rPr>
          <w:rStyle w:val="StyleUnderline"/>
        </w:rPr>
        <w:t>there is no exact correspon- dence to be found between learned approaches to argumentation and spontaneous pre-theorizations of it.</w:t>
      </w:r>
      <w:r w:rsidRPr="008F06C1">
        <w:t xml:space="preserve"> Nevertheless, an accurate and cautious dialogue between the two approaches may lead to an increased understanding of argumentative practice.</w:t>
      </w:r>
    </w:p>
    <w:p w:rsidR="00772496" w:rsidRPr="008F06C1" w:rsidRDefault="00772496" w:rsidP="00772496">
      <w:pPr>
        <w:pStyle w:val="Heading4"/>
      </w:pPr>
      <w:r w:rsidRPr="008F06C1">
        <w:t>Legal system proves analogies are a bad model</w:t>
      </w:r>
    </w:p>
    <w:p w:rsidR="00772496" w:rsidRPr="008F06C1" w:rsidRDefault="00772496" w:rsidP="00772496">
      <w:r w:rsidRPr="008F06C1">
        <w:t xml:space="preserve">Karen </w:t>
      </w:r>
      <w:r w:rsidRPr="008F06C1">
        <w:rPr>
          <w:rStyle w:val="Style13ptBold"/>
        </w:rPr>
        <w:t>Tracy ‘12</w:t>
      </w:r>
      <w:r w:rsidRPr="008F06C1">
        <w:t xml:space="preserve"> - Chair of the Department of Communication @ University of Colorado. She is a discourse analyst who studies problems in justice-, education-, and governance-linked institutions [Everyday argument strategies in Appellate Court argument about same-sex marriage, Exploring Argumentative Contexts, edited by Frans H. Van Eemeren, Frans Hendrik Eemeren, Bart Garssen, Disputing Who Can Marry: Discourses of Law, Identity, and Social Change, ml]</w:t>
      </w:r>
    </w:p>
    <w:p w:rsidR="00772496" w:rsidRPr="008F06C1" w:rsidRDefault="00772496" w:rsidP="00772496">
      <w:pPr>
        <w:rPr>
          <w:rStyle w:val="StyleUnderline"/>
        </w:rPr>
      </w:pPr>
      <w:r w:rsidRPr="008F06C1">
        <w:t xml:space="preserve">4. Reasonable or </w:t>
      </w:r>
      <w:r w:rsidRPr="008F06C1">
        <w:rPr>
          <w:rStyle w:val="StyleUnderline"/>
        </w:rPr>
        <w:t>problematic analogies</w:t>
      </w:r>
      <w:r w:rsidRPr="008F06C1">
        <w:t xml:space="preserve">? One of the more ordinary of everyday reasoning tools is the analogy. In seeking to persuade justices of the reasonableness of a claim, attorneys occasionally used this device. Below I examine two analogies, one by each side, and I consider why the analogy is reasonable and why it is problematic, showing how the assessment cannot be separated from an evaluator's positioning. In each instance, the </w:t>
      </w:r>
      <w:r w:rsidRPr="008F06C1">
        <w:rPr>
          <w:rStyle w:val="StyleUnderline"/>
        </w:rPr>
        <w:t>Court decided against</w:t>
      </w:r>
      <w:r w:rsidRPr="008F06C1">
        <w:t xml:space="preserve"> the side that </w:t>
      </w:r>
      <w:r w:rsidRPr="008F06C1">
        <w:rPr>
          <w:rStyle w:val="StyleUnderline"/>
        </w:rPr>
        <w:t>use</w:t>
      </w:r>
      <w:r w:rsidRPr="008F06C1">
        <w:t xml:space="preserve">d the </w:t>
      </w:r>
      <w:r w:rsidRPr="008F06C1">
        <w:rPr>
          <w:rStyle w:val="StyleUnderline"/>
        </w:rPr>
        <w:t>analogy</w:t>
      </w:r>
      <w:r w:rsidRPr="008F06C1">
        <w:t xml:space="preserve">. The </w:t>
      </w:r>
      <w:r w:rsidRPr="008F06C1">
        <w:lastRenderedPageBreak/>
        <w:t xml:space="preserve">first instance comes from In re Marriage where an attorney defending the existing marriage law responded to a justice's question about potential adverse effects for society if same-sex couples were permitted to marry. Line 2497, </w:t>
      </w:r>
      <w:r w:rsidRPr="008F06C1">
        <w:rPr>
          <w:rStyle w:val="StyleUnderline"/>
        </w:rPr>
        <w:t>Attorney</w:t>
      </w:r>
      <w:r w:rsidRPr="008F06C1">
        <w:t xml:space="preserve"> Stover I think it would undermine opposite-sex marriage in the same way that if you were to have, and this is just an illustration, to have uh one atom Of sodium and one atom Of chlorine creates salt, you can't change that name without having consequences. You can't simply redefine the definition of marriage to include what it's never included, same-sex relationships. The attorney's </w:t>
      </w:r>
      <w:r w:rsidRPr="008F06C1">
        <w:rPr>
          <w:rStyle w:val="StyleUnderline"/>
        </w:rPr>
        <w:t>analogy between</w:t>
      </w:r>
      <w:r w:rsidRPr="008F06C1">
        <w:t xml:space="preserve"> </w:t>
      </w:r>
      <w:r w:rsidRPr="008F06C1">
        <w:rPr>
          <w:rStyle w:val="StyleUnderline"/>
        </w:rPr>
        <w:t>marriage and salt</w:t>
      </w:r>
      <w:r w:rsidRPr="008F06C1">
        <w:t xml:space="preserve"> strongly </w:t>
      </w:r>
      <w:r w:rsidRPr="008F06C1">
        <w:rPr>
          <w:rStyle w:val="StyleUnderline"/>
        </w:rPr>
        <w:t>implies</w:t>
      </w:r>
      <w:r w:rsidRPr="008F06C1">
        <w:t xml:space="preserve"> that </w:t>
      </w:r>
      <w:r w:rsidRPr="008F06C1">
        <w:rPr>
          <w:rStyle w:val="StyleUnderline"/>
        </w:rPr>
        <w:t>just as one atom of sodium and</w:t>
      </w:r>
      <w:r w:rsidRPr="008F06C1">
        <w:t xml:space="preserve"> one atom of </w:t>
      </w:r>
      <w:r w:rsidRPr="008F06C1">
        <w:rPr>
          <w:rStyle w:val="StyleUnderline"/>
        </w:rPr>
        <w:t>chlorine create salt</w:t>
      </w:r>
      <w:r w:rsidRPr="008F06C1">
        <w:t xml:space="preserve"> and only salt, </w:t>
      </w:r>
      <w:r w:rsidRPr="008F06C1">
        <w:rPr>
          <w:rStyle w:val="StyleUnderline"/>
        </w:rPr>
        <w:t>so too</w:t>
      </w:r>
      <w:r w:rsidRPr="008F06C1">
        <w:t xml:space="preserve"> </w:t>
      </w:r>
      <w:r w:rsidRPr="008F06C1">
        <w:rPr>
          <w:rStyle w:val="StyleUnderline"/>
        </w:rPr>
        <w:t>is</w:t>
      </w:r>
      <w:r w:rsidRPr="008F06C1">
        <w:t xml:space="preserve"> it </w:t>
      </w:r>
      <w:r w:rsidRPr="008F06C1">
        <w:rPr>
          <w:rStyle w:val="StyleUnderline"/>
        </w:rPr>
        <w:t>the case</w:t>
      </w:r>
      <w:r w:rsidRPr="008F06C1">
        <w:t xml:space="preserve"> </w:t>
      </w:r>
      <w:r w:rsidRPr="008F06C1">
        <w:rPr>
          <w:rStyle w:val="StyleUnderline"/>
        </w:rPr>
        <w:t>with marriage</w:t>
      </w:r>
      <w:r w:rsidRPr="008F06C1">
        <w:t xml:space="preserve"> and </w:t>
      </w:r>
      <w:r w:rsidRPr="008F06C1">
        <w:rPr>
          <w:rStyle w:val="StyleUnderline"/>
        </w:rPr>
        <w:t>a single man and</w:t>
      </w:r>
      <w:r w:rsidRPr="008F06C1">
        <w:t xml:space="preserve"> a single </w:t>
      </w:r>
      <w:r w:rsidRPr="008F06C1">
        <w:rPr>
          <w:rStyle w:val="StyleUnderline"/>
        </w:rPr>
        <w:t>women</w:t>
      </w:r>
      <w:r w:rsidRPr="008F06C1">
        <w:t xml:space="preserve">. Two elements of chlorine will not create salt. </w:t>
      </w:r>
      <w:r w:rsidRPr="008F06C1">
        <w:rPr>
          <w:rStyle w:val="StyleUnderline"/>
        </w:rPr>
        <w:t xml:space="preserve">In equating "marriage" </w:t>
      </w:r>
      <w:r w:rsidRPr="008F06C1">
        <w:t xml:space="preserve">to this natural substance, </w:t>
      </w:r>
      <w:r w:rsidRPr="008F06C1">
        <w:rPr>
          <w:rStyle w:val="StyleUnderline"/>
        </w:rPr>
        <w:t>the inappropriateness of two men or</w:t>
      </w:r>
      <w:r w:rsidRPr="008F06C1">
        <w:t xml:space="preserve"> two </w:t>
      </w:r>
      <w:r w:rsidRPr="008F06C1">
        <w:rPr>
          <w:rStyle w:val="StyleUnderline"/>
        </w:rPr>
        <w:t xml:space="preserve">women being marriage </w:t>
      </w:r>
      <w:r w:rsidRPr="008F06C1">
        <w:t xml:space="preserve">partners </w:t>
      </w:r>
      <w:r w:rsidRPr="008F06C1">
        <w:rPr>
          <w:rStyle w:val="StyleUnderline"/>
        </w:rPr>
        <w:t>is asserted</w:t>
      </w:r>
      <w:r w:rsidRPr="008F06C1">
        <w:t xml:space="preserve">. Although currently not popular among many US legal scholars, there is a tradition of seeing the law as deriving from God and nature (e.g. Washington 2002). Within such a tradition, Staver's analogy is reasonable. However, </w:t>
      </w:r>
      <w:r w:rsidRPr="008F06C1">
        <w:rPr>
          <w:rStyle w:val="StyleUnderline"/>
        </w:rPr>
        <w:t>if one sees</w:t>
      </w:r>
      <w:r w:rsidRPr="008F06C1">
        <w:t xml:space="preserve"> marriage, and the laws that have been created about it, as </w:t>
      </w:r>
      <w:r w:rsidRPr="008F06C1">
        <w:rPr>
          <w:rStyle w:val="StyleUnderline"/>
        </w:rPr>
        <w:t xml:space="preserve">a social institution that has changed across </w:t>
      </w:r>
      <w:r w:rsidRPr="008F06C1">
        <w:t xml:space="preserve">time, </w:t>
      </w:r>
      <w:r w:rsidRPr="008F06C1">
        <w:rPr>
          <w:rStyle w:val="StyleUnderline"/>
        </w:rPr>
        <w:t>then the inappropriateness</w:t>
      </w:r>
      <w:r w:rsidRPr="008F06C1">
        <w:t xml:space="preserve"> of the analogy </w:t>
      </w:r>
      <w:r w:rsidRPr="008F06C1">
        <w:rPr>
          <w:rStyle w:val="StyleUnderline"/>
        </w:rPr>
        <w:t>becomes obvious</w:t>
      </w:r>
      <w:r w:rsidRPr="008F06C1">
        <w:t xml:space="preserve">. The bonding between chlorine and sodium's a natural process, not at all like the bonding between intimate partners. To treat the two as analogous is inappropriate. A second analogy comes from a plaintiff attorney in the final minutes of rebuttal during the Proposition 8 case. The attorney is making the case of the importance of the word "marriage" rather than "domestic partnership" to describe committed relationships between same-sex couples. As an analogy suggests the importance of having similar titaltes for male and female judges. He says: Line 2769, Attorney Maroko Thank you, your honor. I wanna- if I may just follow up on Justice Kennard and Justice George's questions of Mr. Minter. Um aren't we basically just focusing on a very narrow aspect of Prop 8, which has changed the nomenclature, but the basic suspect class action of rights which was the core of the case stays? the position (Of the other sidel... so I'm proposing hypotheticals, we've all been talking about hypotheticals ...Back in the sixties saying that uh — cause we all know that a bar — a bartender has to be a man. Can't have a woman bar — basically simplifying it… [So I propose a ballot initiative that will be only nomenclature] Nomenclature. Only males shall serve as members of the California judiciary. Females shall be commissioners with the same rights and powers as men. Okay, people, the people have the sovereign - sovereign people 51% passed it, 52% passed that, they have reasons. Many women get pregnant and be off the bench. It won't be- whatever their reasoning is. Women will be commissioners, called commissi- Same rights. Same rights. Justice- Justice Corrigan, Justice k- uh um Justice Kennard, Justice Werdegar [three named justices are female] you h- you can rule the same way, but you're called a commissioner, Justice Moreno Onalel is not, is called a judge, justice. This </w:t>
      </w:r>
      <w:r w:rsidRPr="008F06C1">
        <w:rPr>
          <w:rStyle w:val="StyleUnderline"/>
        </w:rPr>
        <w:t>analogy</w:t>
      </w:r>
      <w:r w:rsidRPr="008F06C1">
        <w:t xml:space="preserve"> </w:t>
      </w:r>
      <w:r w:rsidRPr="008F06C1">
        <w:rPr>
          <w:rStyle w:val="StyleUnderline"/>
        </w:rPr>
        <w:t>seems</w:t>
      </w:r>
      <w:r w:rsidRPr="008F06C1">
        <w:t xml:space="preserve"> highly </w:t>
      </w:r>
      <w:r w:rsidRPr="008F06C1">
        <w:rPr>
          <w:rStyle w:val="StyleUnderline"/>
        </w:rPr>
        <w:t>appropriate</w:t>
      </w:r>
      <w:r w:rsidRPr="008F06C1">
        <w:t xml:space="preserve">, </w:t>
      </w:r>
      <w:r w:rsidRPr="008F06C1">
        <w:rPr>
          <w:rStyle w:val="StyleUnderline"/>
        </w:rPr>
        <w:t>although</w:t>
      </w:r>
      <w:r w:rsidRPr="008F06C1">
        <w:t xml:space="preserve"> </w:t>
      </w:r>
      <w:r w:rsidRPr="008F06C1">
        <w:rPr>
          <w:rStyle w:val="StyleUnderline"/>
        </w:rPr>
        <w:t>not</w:t>
      </w:r>
      <w:r w:rsidRPr="008F06C1">
        <w:t xml:space="preserve"> necessarily politically </w:t>
      </w:r>
      <w:r w:rsidRPr="008F06C1">
        <w:rPr>
          <w:rStyle w:val="StyleUnderline"/>
        </w:rPr>
        <w:t>smart</w:t>
      </w:r>
      <w:r w:rsidRPr="008F06C1">
        <w:t xml:space="preserve">. In creating an analogy about the importance Of names, not in principle, but in the concrete situation confronted by the three female justices, the attorney can be Seen as seeking to drive home the consequentiality of the name that is given to an event or person. At the same time, his </w:t>
      </w:r>
      <w:r w:rsidRPr="008F06C1">
        <w:rPr>
          <w:rStyle w:val="StyleUnderline"/>
        </w:rPr>
        <w:t>analogy is at Odds With the impersonal argument style favored</w:t>
      </w:r>
      <w:r w:rsidRPr="008F06C1">
        <w:t xml:space="preserve"> by appellate court arguers. </w:t>
      </w:r>
      <w:r w:rsidRPr="008F06C1">
        <w:rPr>
          <w:rStyle w:val="StyleUnderline"/>
        </w:rPr>
        <w:t>In being personal</w:t>
      </w:r>
      <w:r w:rsidRPr="008F06C1">
        <w:t xml:space="preserve">, however reasonable the analogy, </w:t>
      </w:r>
      <w:r w:rsidRPr="008F06C1">
        <w:rPr>
          <w:rStyle w:val="StyleUnderline"/>
        </w:rPr>
        <w:t>the attorney violates</w:t>
      </w:r>
      <w:r w:rsidRPr="008F06C1">
        <w:t xml:space="preserve"> the </w:t>
      </w:r>
      <w:r w:rsidRPr="008F06C1">
        <w:rPr>
          <w:rStyle w:val="StyleUnderline"/>
        </w:rPr>
        <w:t>institutionally legitimized ways</w:t>
      </w:r>
      <w:r w:rsidRPr="008F06C1">
        <w:t xml:space="preserve"> of </w:t>
      </w:r>
      <w:r w:rsidRPr="008F06C1">
        <w:rPr>
          <w:rStyle w:val="StyleUnderline"/>
        </w:rPr>
        <w:t>weaving passion into argument</w:t>
      </w:r>
      <w:r w:rsidRPr="008F06C1">
        <w:t xml:space="preserve"> (Bailey 1983), therein </w:t>
      </w:r>
      <w:r w:rsidRPr="008F06C1">
        <w:rPr>
          <w:rStyle w:val="StyleUnderline"/>
        </w:rPr>
        <w:t xml:space="preserve">making his emotion visible in a fashion neither expected nor acceptable in appellate exchanges. </w:t>
      </w:r>
    </w:p>
    <w:p w:rsidR="00772496" w:rsidRPr="008F06C1" w:rsidRDefault="00772496" w:rsidP="00772496">
      <w:pPr>
        <w:pStyle w:val="Heading4"/>
      </w:pPr>
      <w:r w:rsidRPr="008F06C1">
        <w:t xml:space="preserve">Analogies are a form of manipulation – cause policy failure </w:t>
      </w:r>
    </w:p>
    <w:p w:rsidR="00772496" w:rsidRPr="008F06C1" w:rsidRDefault="00772496" w:rsidP="00772496">
      <w:r w:rsidRPr="008F06C1">
        <w:t xml:space="preserve">Angela G. </w:t>
      </w:r>
      <w:r w:rsidRPr="008F06C1">
        <w:rPr>
          <w:rStyle w:val="Style13ptBold"/>
        </w:rPr>
        <w:t>Ray ‘12</w:t>
      </w:r>
      <w:r w:rsidRPr="008F06C1">
        <w:t xml:space="preserve"> - studies and teaches in the areas of rhetorical criticism and history @ Northwestern [Everyday argument strategies in Appellate Court argument about same-sex marriage, Exploring Argumentative Contexts, edited by Frans H. Van Eemeren, Frans Hendrik Eemeren, Bart Garssen, Making history by analogy Frederick Douglass remembers William the Silent , Identity, and Social Change, ml]</w:t>
      </w:r>
    </w:p>
    <w:p w:rsidR="00772496" w:rsidRDefault="00772496" w:rsidP="00772496">
      <w:r w:rsidRPr="008F06C1">
        <w:rPr>
          <w:rStyle w:val="StyleUnderline"/>
        </w:rPr>
        <w:t>When</w:t>
      </w:r>
      <w:r w:rsidRPr="008F06C1">
        <w:t xml:space="preserve"> </w:t>
      </w:r>
      <w:r w:rsidRPr="008F06C1">
        <w:rPr>
          <w:rStyle w:val="StyleUnderline"/>
        </w:rPr>
        <w:t>scholars</w:t>
      </w:r>
      <w:r w:rsidRPr="008F06C1">
        <w:t xml:space="preserve"> of U.S. political and rhetorical tory have </w:t>
      </w:r>
      <w:r w:rsidRPr="008F06C1">
        <w:rPr>
          <w:rStyle w:val="StyleUnderline"/>
        </w:rPr>
        <w:t>examined</w:t>
      </w:r>
      <w:r w:rsidRPr="008F06C1">
        <w:t xml:space="preserve"> the </w:t>
      </w:r>
      <w:r w:rsidRPr="008F06C1">
        <w:rPr>
          <w:rStyle w:val="StyleUnderline"/>
        </w:rPr>
        <w:t>analogy, they</w:t>
      </w:r>
      <w:r w:rsidRPr="008F06C1">
        <w:t xml:space="preserve"> have usually </w:t>
      </w:r>
      <w:r w:rsidRPr="008F06C1">
        <w:rPr>
          <w:rStyle w:val="StyleUnderline"/>
        </w:rPr>
        <w:t>emphasized</w:t>
      </w:r>
      <w:r w:rsidRPr="008F06C1">
        <w:t xml:space="preserve"> </w:t>
      </w:r>
      <w:r w:rsidRPr="008F06C1">
        <w:rPr>
          <w:rStyle w:val="StyleUnderline"/>
        </w:rPr>
        <w:t>the ways in which historical</w:t>
      </w:r>
      <w:r w:rsidRPr="008F06C1">
        <w:t xml:space="preserve"> </w:t>
      </w:r>
      <w:r w:rsidRPr="008F06C1">
        <w:rPr>
          <w:rStyle w:val="StyleUnderline"/>
        </w:rPr>
        <w:t>analogies</w:t>
      </w:r>
      <w:r w:rsidRPr="008F06C1">
        <w:t xml:space="preserve"> have </w:t>
      </w:r>
      <w:r w:rsidRPr="008F06C1">
        <w:rPr>
          <w:rStyle w:val="StyleUnderline"/>
        </w:rPr>
        <w:t>affected</w:t>
      </w:r>
      <w:r w:rsidRPr="008F06C1">
        <w:t xml:space="preserve"> elite </w:t>
      </w:r>
      <w:r w:rsidRPr="008F06C1">
        <w:rPr>
          <w:rStyle w:val="StyleUnderline"/>
        </w:rPr>
        <w:t xml:space="preserve">policy-makers in moments of </w:t>
      </w:r>
      <w:r w:rsidRPr="008F06C1">
        <w:rPr>
          <w:rStyle w:val="StyleUnderline"/>
        </w:rPr>
        <w:lastRenderedPageBreak/>
        <w:t>crisis</w:t>
      </w:r>
      <w:r w:rsidRPr="008F06C1">
        <w:t xml:space="preserve">. At such times, </w:t>
      </w:r>
      <w:r w:rsidRPr="008F06C1">
        <w:rPr>
          <w:rStyle w:val="StyleUnderline"/>
        </w:rPr>
        <w:t>analogies have led elites to create shallow and misleading</w:t>
      </w:r>
      <w:r w:rsidRPr="008F06C1">
        <w:t xml:space="preserve"> </w:t>
      </w:r>
      <w:r w:rsidRPr="008F06C1">
        <w:rPr>
          <w:rStyle w:val="StyleUnderline"/>
        </w:rPr>
        <w:t>interpretations</w:t>
      </w:r>
      <w:r w:rsidRPr="008F06C1">
        <w:t xml:space="preserve"> of current events, </w:t>
      </w:r>
      <w:r w:rsidRPr="008F06C1">
        <w:rPr>
          <w:rStyle w:val="StyleUnderline"/>
        </w:rPr>
        <w:t>upon</w:t>
      </w:r>
      <w:r w:rsidRPr="008F06C1">
        <w:t xml:space="preserve"> </w:t>
      </w:r>
      <w:r w:rsidRPr="008F06C1">
        <w:rPr>
          <w:rStyle w:val="StyleUnderline"/>
        </w:rPr>
        <w:t>which they then have based illogical</w:t>
      </w:r>
      <w:r w:rsidRPr="008F06C1">
        <w:t xml:space="preserve">, misguided, or pernicious </w:t>
      </w:r>
      <w:r w:rsidRPr="008F06C1">
        <w:rPr>
          <w:rStyle w:val="StyleUnderline"/>
        </w:rPr>
        <w:t>decisions for action</w:t>
      </w:r>
      <w:r w:rsidRPr="008F06C1">
        <w:t xml:space="preserve">. U.S. </w:t>
      </w:r>
      <w:r w:rsidRPr="008F06C1">
        <w:rPr>
          <w:rStyle w:val="StyleUnderline"/>
        </w:rPr>
        <w:t>policy-makers use</w:t>
      </w:r>
      <w:r w:rsidRPr="008F06C1">
        <w:t xml:space="preserve"> </w:t>
      </w:r>
      <w:r w:rsidRPr="008F06C1">
        <w:rPr>
          <w:rStyle w:val="StyleUnderline"/>
        </w:rPr>
        <w:t>analogies</w:t>
      </w:r>
      <w:r w:rsidRPr="008F06C1">
        <w:t xml:space="preserve"> </w:t>
      </w:r>
      <w:r w:rsidRPr="008F06C1">
        <w:rPr>
          <w:rStyle w:val="StyleUnderline"/>
        </w:rPr>
        <w:t>badly</w:t>
      </w:r>
      <w:r w:rsidRPr="008F06C1">
        <w:t xml:space="preserve">: that is the recurring conclusion of scholars, whether they are examining Woodrow Wilson's framing of the early days of World War I as similar to the War of 1812 (May 1973, p. ix), Harry </w:t>
      </w:r>
      <w:r w:rsidRPr="008F06C1">
        <w:rPr>
          <w:rStyle w:val="StyleUnderline"/>
        </w:rPr>
        <w:t>Trumank</w:t>
      </w:r>
      <w:r w:rsidRPr="008F06C1">
        <w:t xml:space="preserve"> understanding of the </w:t>
      </w:r>
      <w:r w:rsidRPr="008F06C1">
        <w:rPr>
          <w:rStyle w:val="StyleUnderline"/>
        </w:rPr>
        <w:t>North Korean</w:t>
      </w:r>
      <w:r w:rsidRPr="008F06C1">
        <w:t xml:space="preserve"> invasion of South Korea in 1950 in light of the events in Europe in the 1930s (Neustadt &amp; May 1986, pp. 34—57), the </w:t>
      </w:r>
      <w:r w:rsidRPr="008F06C1">
        <w:rPr>
          <w:rStyle w:val="StyleUnderline"/>
        </w:rPr>
        <w:t>U.S</w:t>
      </w:r>
      <w:r w:rsidRPr="008F06C1">
        <w:t xml:space="preserve">. </w:t>
      </w:r>
      <w:r w:rsidRPr="008F06C1">
        <w:rPr>
          <w:rStyle w:val="StyleUnderline"/>
        </w:rPr>
        <w:t>State Department</w:t>
      </w:r>
      <w:r w:rsidRPr="008F06C1">
        <w:t xml:space="preserve">'s comprehension Of events in </w:t>
      </w:r>
      <w:r w:rsidRPr="008F06C1">
        <w:rPr>
          <w:rStyle w:val="StyleUnderline"/>
        </w:rPr>
        <w:t>Vietnam</w:t>
      </w:r>
      <w:r w:rsidRPr="008F06C1">
        <w:t xml:space="preserve"> through comparison to various world crises from the 1930s through the ear y 1960s (Khong 1992, pp. 58—62), George H. W. interpretations Of the </w:t>
      </w:r>
      <w:r w:rsidRPr="008F06C1">
        <w:rPr>
          <w:rStyle w:val="StyleUnderline"/>
        </w:rPr>
        <w:t>Gulf War</w:t>
      </w:r>
      <w:r w:rsidRPr="008F06C1">
        <w:t xml:space="preserve"> Of the early 1990s alongside remembrance of World War Il and Vietnam (Stuckey 1992), or George W Bush invocations of World War Il in speaking of 11 September 2001 and its aftermath (Noon 2004). Scholars have different recommendations concerning the use of historical analogies by policy-makers (compare, e.g. Neustadt &amp; May 1986 with Khong 1992), but there is a general consensus that </w:t>
      </w:r>
      <w:r w:rsidRPr="008F06C1">
        <w:rPr>
          <w:rStyle w:val="StyleUnderline"/>
        </w:rPr>
        <w:t>the deployment of such analogies for political decision-making is</w:t>
      </w:r>
      <w:r w:rsidRPr="008F06C1">
        <w:t xml:space="preserve"> fundamentally </w:t>
      </w:r>
      <w:r w:rsidRPr="008F06C1">
        <w:rPr>
          <w:rStyle w:val="StyleUnderline"/>
        </w:rPr>
        <w:t>problematic</w:t>
      </w:r>
      <w:r w:rsidRPr="008F06C1">
        <w:t xml:space="preserve">, </w:t>
      </w:r>
      <w:r w:rsidRPr="008F06C1">
        <w:rPr>
          <w:rStyle w:val="StyleUnderline"/>
        </w:rPr>
        <w:t>encouraging</w:t>
      </w:r>
      <w:r w:rsidRPr="008F06C1">
        <w:t xml:space="preserve"> gross </w:t>
      </w:r>
      <w:r w:rsidRPr="008F06C1">
        <w:rPr>
          <w:rStyle w:val="StyleUnderline"/>
        </w:rPr>
        <w:t>simplification and mistaken conclusions</w:t>
      </w:r>
      <w:r w:rsidRPr="008F06C1">
        <w:t xml:space="preserve">. David Hooglund Noon puts it succinct y. </w:t>
      </w:r>
      <w:r w:rsidRPr="008F06C1">
        <w:rPr>
          <w:rStyle w:val="StyleUnderline"/>
        </w:rPr>
        <w:t>analogies</w:t>
      </w:r>
      <w:r w:rsidRPr="008F06C1">
        <w:t xml:space="preserve"> in such cases, he writes, Often </w:t>
      </w:r>
      <w:r w:rsidRPr="008F06C1">
        <w:rPr>
          <w:rStyle w:val="StyleUnderline"/>
        </w:rPr>
        <w:t>prove</w:t>
      </w:r>
      <w:r w:rsidRPr="008F06C1">
        <w:t xml:space="preserve"> </w:t>
      </w:r>
      <w:r w:rsidRPr="008F06C1">
        <w:rPr>
          <w:rStyle w:val="StyleUnderline"/>
        </w:rPr>
        <w:t>powerful</w:t>
      </w:r>
      <w:r w:rsidRPr="008F06C1">
        <w:t xml:space="preserve"> </w:t>
      </w:r>
      <w:r w:rsidRPr="008F06C1">
        <w:rPr>
          <w:rStyle w:val="StyleUnderline"/>
        </w:rPr>
        <w:t>because they bypass</w:t>
      </w:r>
      <w:r w:rsidRPr="008F06C1">
        <w:t xml:space="preserve"> "serious </w:t>
      </w:r>
      <w:r w:rsidRPr="008F06C1">
        <w:rPr>
          <w:rStyle w:val="StyleUnderline"/>
        </w:rPr>
        <w:t>intellectual engagement</w:t>
      </w:r>
      <w:r w:rsidRPr="008F06C1">
        <w:t xml:space="preserve">" with complex phenomena (2004, p. 355). </w:t>
      </w:r>
    </w:p>
    <w:p w:rsidR="00772496" w:rsidRPr="008F06C1" w:rsidRDefault="00772496" w:rsidP="00772496">
      <w:pPr>
        <w:pStyle w:val="Heading3"/>
      </w:pPr>
      <w:r w:rsidRPr="008F06C1">
        <w:lastRenderedPageBreak/>
        <w:t>Historical Analogies Bad</w:t>
      </w:r>
    </w:p>
    <w:p w:rsidR="00772496" w:rsidRDefault="00772496" w:rsidP="00772496">
      <w:pPr>
        <w:pStyle w:val="Heading4"/>
      </w:pPr>
      <w:r w:rsidRPr="008F06C1">
        <w:t>Analogies are inaccurate hyperbole</w:t>
      </w:r>
    </w:p>
    <w:p w:rsidR="00772496" w:rsidRPr="009D2A5B" w:rsidRDefault="00772496" w:rsidP="00772496">
      <w:r>
        <w:t xml:space="preserve">Dan </w:t>
      </w:r>
      <w:r w:rsidRPr="009D2A5B">
        <w:rPr>
          <w:rStyle w:val="Style13ptBold"/>
        </w:rPr>
        <w:t>Lindley</w:t>
      </w:r>
      <w:r>
        <w:t xml:space="preserve"> March 6, 20</w:t>
      </w:r>
      <w:r w:rsidRPr="009D2A5B">
        <w:rPr>
          <w:rStyle w:val="Style13ptBold"/>
        </w:rPr>
        <w:t>06</w:t>
      </w:r>
      <w:r>
        <w:t xml:space="preserve"> -Assistant Professor, Department of Political Science, 448 Decio Hall, University of Notre Dame, Notre Dame [“Flights of Fancy: The Misuse of Analogies and British Planning for Strategic Bombing in the Interwar Period Flights of Fancy: The Misuse of Analogies and British Planning for Strategic Bombing in the Interwar Period”, </w:t>
      </w:r>
      <w:hyperlink r:id="rId6" w:history="1">
        <w:r w:rsidRPr="00BB2257">
          <w:rPr>
            <w:rStyle w:val="Hyperlink"/>
          </w:rPr>
          <w:t>http://www3.nd.edu/~dlindley/handouts/Lindley%20Flights%20of%20Fancy%20RTG%20FIN.pdf</w:t>
        </w:r>
      </w:hyperlink>
      <w:r>
        <w:t>, ml]</w:t>
      </w:r>
    </w:p>
    <w:p w:rsidR="00772496" w:rsidRPr="008F06C1" w:rsidRDefault="00772496" w:rsidP="00772496">
      <w:r w:rsidRPr="008F06C1">
        <w:t>Learning from the past is normal and necessary, and often it is straightforward and direct. For example, when I was dating I relied on learned cues to help differentiate women from men.</w:t>
      </w:r>
    </w:p>
    <w:p w:rsidR="00772496" w:rsidRPr="008F06C1" w:rsidRDefault="00772496" w:rsidP="00772496">
      <w:r w:rsidRPr="008F06C1">
        <w:t xml:space="preserve">Great inefficiencies would result if people had to think through these sorts of basic categorizations at every turn (Jervis, 1968).However, </w:t>
      </w:r>
      <w:r w:rsidRPr="008F06C1">
        <w:rPr>
          <w:rStyle w:val="StyleUnderline"/>
        </w:rPr>
        <w:t>when</w:t>
      </w:r>
      <w:r w:rsidRPr="008F06C1">
        <w:t xml:space="preserve"> </w:t>
      </w:r>
      <w:r w:rsidRPr="008F06C1">
        <w:rPr>
          <w:rStyle w:val="StyleUnderline"/>
        </w:rPr>
        <w:t>there is</w:t>
      </w:r>
      <w:r w:rsidRPr="008F06C1">
        <w:t xml:space="preserve"> greater </w:t>
      </w:r>
      <w:r w:rsidRPr="008F06C1">
        <w:rPr>
          <w:rStyle w:val="StyleUnderline"/>
        </w:rPr>
        <w:t>uncertainty, it is harder to characterize situations or formulate options</w:t>
      </w:r>
      <w:r w:rsidRPr="008F06C1">
        <w:t xml:space="preserve">. </w:t>
      </w:r>
      <w:r w:rsidRPr="008F06C1">
        <w:rPr>
          <w:rStyle w:val="StyleUnderline"/>
        </w:rPr>
        <w:t>Analogies are boiled down</w:t>
      </w:r>
      <w:r w:rsidRPr="008F06C1">
        <w:t xml:space="preserve">, shorthand lessons from history. As such </w:t>
      </w:r>
      <w:r w:rsidRPr="008F06C1">
        <w:rPr>
          <w:rStyle w:val="StyleUnderline"/>
        </w:rPr>
        <w:t>they are a tool policy makers use to confront uncertainty. Analogies</w:t>
      </w:r>
      <w:r w:rsidRPr="008F06C1">
        <w:t xml:space="preserve"> help </w:t>
      </w:r>
      <w:r w:rsidRPr="008F06C1">
        <w:rPr>
          <w:rStyle w:val="StyleUnderline"/>
        </w:rPr>
        <w:t>make</w:t>
      </w:r>
      <w:r w:rsidRPr="008F06C1">
        <w:t xml:space="preserve"> tougher and more </w:t>
      </w:r>
      <w:r w:rsidRPr="008F06C1">
        <w:rPr>
          <w:rStyle w:val="StyleUnderline"/>
        </w:rPr>
        <w:t>indeterminate categorizations</w:t>
      </w:r>
      <w:r w:rsidRPr="008F06C1">
        <w:t xml:space="preserve">, </w:t>
      </w:r>
      <w:r w:rsidRPr="008F06C1">
        <w:rPr>
          <w:rStyle w:val="StyleUnderline"/>
        </w:rPr>
        <w:t>and</w:t>
      </w:r>
      <w:r w:rsidRPr="008F06C1">
        <w:t xml:space="preserve"> help </w:t>
      </w:r>
      <w:r w:rsidRPr="008F06C1">
        <w:rPr>
          <w:rStyle w:val="StyleUnderline"/>
        </w:rPr>
        <w:t>shape reactions to political problems</w:t>
      </w:r>
      <w:r w:rsidRPr="008F06C1">
        <w:t xml:space="preserve">. To make and use an analogy, policy makers find past situations with similarities to a current problem, and they apply the lessons from the past to the existing problem. For example, a driving analogy of the Cold War was that of Munich where the conventional wisdom is that the West made concessions to Hitler’s Germany that led to World War. The analogy is that if failure to deter at Munich only whetted the appetite of a expansionist authoritarian power, then the West must stand firm to prevent expansion by the Soviet Union. Yuen Foong </w:t>
      </w:r>
      <w:r w:rsidRPr="008F06C1">
        <w:rPr>
          <w:rStyle w:val="StyleUnderline"/>
        </w:rPr>
        <w:t>Khong defines</w:t>
      </w:r>
      <w:r w:rsidRPr="008F06C1">
        <w:t xml:space="preserve"> an </w:t>
      </w:r>
      <w:r w:rsidRPr="008F06C1">
        <w:rPr>
          <w:rStyle w:val="StyleUnderline"/>
        </w:rPr>
        <w:t>analogy as</w:t>
      </w:r>
      <w:r w:rsidRPr="008F06C1">
        <w:t xml:space="preserve"> </w:t>
      </w:r>
      <w:r w:rsidRPr="008F06C1">
        <w:rPr>
          <w:rStyle w:val="StyleUnderline"/>
        </w:rPr>
        <w:t>an</w:t>
      </w:r>
      <w:r w:rsidRPr="008F06C1">
        <w:t xml:space="preserve"> “</w:t>
      </w:r>
      <w:r w:rsidRPr="008F06C1">
        <w:rPr>
          <w:rStyle w:val="StyleUnderline"/>
        </w:rPr>
        <w:t>inference</w:t>
      </w:r>
      <w:r w:rsidRPr="008F06C1">
        <w:t xml:space="preserve"> </w:t>
      </w:r>
      <w:r w:rsidRPr="008F06C1">
        <w:rPr>
          <w:rStyle w:val="StyleUnderline"/>
        </w:rPr>
        <w:t>that if two or more</w:t>
      </w:r>
      <w:r w:rsidRPr="008F06C1">
        <w:t xml:space="preserve"> </w:t>
      </w:r>
      <w:r w:rsidRPr="008F06C1">
        <w:rPr>
          <w:rStyle w:val="StyleUnderline"/>
        </w:rPr>
        <w:t>events</w:t>
      </w:r>
      <w:r w:rsidRPr="008F06C1">
        <w:t xml:space="preserve"> separated </w:t>
      </w:r>
      <w:r w:rsidRPr="008F06C1">
        <w:rPr>
          <w:rStyle w:val="StyleUnderline"/>
        </w:rPr>
        <w:t>in time agree in one respect,</w:t>
      </w:r>
      <w:r w:rsidRPr="008F06C1">
        <w:t xml:space="preserve"> then </w:t>
      </w:r>
      <w:r w:rsidRPr="008F06C1">
        <w:rPr>
          <w:rStyle w:val="StyleUnderline"/>
        </w:rPr>
        <w:t>they may</w:t>
      </w:r>
      <w:r w:rsidRPr="008F06C1">
        <w:t xml:space="preserve"> </w:t>
      </w:r>
      <w:r w:rsidRPr="008F06C1">
        <w:rPr>
          <w:rStyle w:val="StyleUnderline"/>
        </w:rPr>
        <w:t>also agree in another</w:t>
      </w:r>
      <w:r w:rsidRPr="008F06C1">
        <w:t xml:space="preserve">.” As he depicts it: AX:BX::AY:BY. </w:t>
      </w:r>
      <w:r w:rsidRPr="008F06C1">
        <w:rPr>
          <w:rStyle w:val="StyleUnderline"/>
        </w:rPr>
        <w:t>In other words,</w:t>
      </w:r>
      <w:r w:rsidRPr="008F06C1">
        <w:t xml:space="preserve"> </w:t>
      </w:r>
      <w:r w:rsidRPr="008F06C1">
        <w:rPr>
          <w:rStyle w:val="StyleUnderline"/>
        </w:rPr>
        <w:t>if</w:t>
      </w:r>
      <w:r w:rsidRPr="008F06C1">
        <w:t xml:space="preserve"> the </w:t>
      </w:r>
      <w:r w:rsidRPr="008F06C1">
        <w:rPr>
          <w:rStyle w:val="StyleUnderline"/>
        </w:rPr>
        <w:t>problems of World War II</w:t>
      </w:r>
      <w:r w:rsidRPr="008F06C1">
        <w:t xml:space="preserve"> (A) </w:t>
      </w:r>
      <w:r w:rsidRPr="008F06C1">
        <w:rPr>
          <w:rStyle w:val="StyleUnderline"/>
        </w:rPr>
        <w:t>and the Cold War</w:t>
      </w:r>
      <w:r w:rsidRPr="008F06C1">
        <w:t xml:space="preserve"> (B) </w:t>
      </w:r>
      <w:r w:rsidRPr="008F06C1">
        <w:rPr>
          <w:rStyle w:val="StyleUnderline"/>
        </w:rPr>
        <w:t>share</w:t>
      </w:r>
      <w:r w:rsidRPr="008F06C1">
        <w:t xml:space="preserve"> the common </w:t>
      </w:r>
      <w:r w:rsidRPr="008F06C1">
        <w:rPr>
          <w:rStyle w:val="StyleUnderline"/>
        </w:rPr>
        <w:t>factor</w:t>
      </w:r>
      <w:r w:rsidRPr="008F06C1">
        <w:t xml:space="preserve"> of totalitarian expansion (X), then not appeasing (Y), which was the </w:t>
      </w:r>
      <w:r w:rsidRPr="008F06C1">
        <w:rPr>
          <w:rStyle w:val="StyleUnderline"/>
        </w:rPr>
        <w:t>lesson</w:t>
      </w:r>
      <w:r w:rsidRPr="008F06C1">
        <w:t xml:space="preserve"> from World War II, </w:t>
      </w:r>
      <w:r w:rsidRPr="008F06C1">
        <w:rPr>
          <w:rStyle w:val="StyleUnderline"/>
        </w:rPr>
        <w:t>should apply</w:t>
      </w:r>
      <w:r w:rsidRPr="008F06C1">
        <w:t xml:space="preserve"> to the Cold War (Khong, 1992:7). The trick with </w:t>
      </w:r>
      <w:r w:rsidRPr="008F06C1">
        <w:rPr>
          <w:rStyle w:val="StyleUnderline"/>
        </w:rPr>
        <w:t>analogies</w:t>
      </w:r>
      <w:r w:rsidRPr="008F06C1">
        <w:t xml:space="preserve"> lies in selecting the right ones and applying them usefully. Lots </w:t>
      </w:r>
      <w:r w:rsidRPr="008F06C1">
        <w:rPr>
          <w:rStyle w:val="StyleUnderline"/>
        </w:rPr>
        <w:t>can go wrong</w:t>
      </w:r>
      <w:r w:rsidRPr="008F06C1">
        <w:t xml:space="preserve">. The bulk of the </w:t>
      </w:r>
      <w:r w:rsidRPr="008F06C1">
        <w:rPr>
          <w:rStyle w:val="StyleUnderline"/>
        </w:rPr>
        <w:t>literature</w:t>
      </w:r>
      <w:r w:rsidRPr="008F06C1">
        <w:t xml:space="preserve"> on analogies </w:t>
      </w:r>
      <w:r w:rsidRPr="008F06C1">
        <w:rPr>
          <w:rStyle w:val="StyleUnderline"/>
        </w:rPr>
        <w:t>examines</w:t>
      </w:r>
      <w:r w:rsidRPr="008F06C1">
        <w:t xml:space="preserve"> the different </w:t>
      </w:r>
      <w:r w:rsidRPr="008F06C1">
        <w:rPr>
          <w:rStyle w:val="StyleUnderline"/>
        </w:rPr>
        <w:t>ways</w:t>
      </w:r>
      <w:r w:rsidRPr="008F06C1">
        <w:t xml:space="preserve"> </w:t>
      </w:r>
      <w:r w:rsidRPr="008F06C1">
        <w:rPr>
          <w:rStyle w:val="StyleUnderline"/>
        </w:rPr>
        <w:t>analogies are applied</w:t>
      </w:r>
      <w:r w:rsidRPr="008F06C1">
        <w:t xml:space="preserve">, </w:t>
      </w:r>
      <w:r w:rsidRPr="008F06C1">
        <w:rPr>
          <w:rStyle w:val="StyleUnderline"/>
        </w:rPr>
        <w:t>and</w:t>
      </w:r>
      <w:r w:rsidRPr="008F06C1">
        <w:t xml:space="preserve"> often </w:t>
      </w:r>
      <w:r w:rsidRPr="008F06C1">
        <w:rPr>
          <w:rStyle w:val="StyleUnderline"/>
        </w:rPr>
        <w:t>focuses on identifying</w:t>
      </w:r>
      <w:r w:rsidRPr="008F06C1">
        <w:t xml:space="preserve"> various </w:t>
      </w:r>
      <w:r w:rsidRPr="008F06C1">
        <w:rPr>
          <w:rStyle w:val="StyleUnderline"/>
        </w:rPr>
        <w:t>pathologies that arise</w:t>
      </w:r>
      <w:r w:rsidRPr="008F06C1">
        <w:t xml:space="preserve"> in the selection and misapplication of analogies (Khong 1992; May 1973; Neustadt and May 1986; Vertzberger 1986). </w:t>
      </w:r>
      <w:r w:rsidRPr="008F06C1">
        <w:rPr>
          <w:rStyle w:val="Emphasis"/>
        </w:rPr>
        <w:t>Analogies are just one of a number of cognitive lenses, biases, and filters that people bring to bear in decision making.</w:t>
      </w:r>
      <w:r w:rsidRPr="008F06C1">
        <w:t xml:space="preserve"> Others include evoked sets, schemas, and operational codes, but analogies are the most explicitly historical (McDermott, 2004; Sears, et al., 2003).</w:t>
      </w:r>
    </w:p>
    <w:p w:rsidR="00772496" w:rsidRPr="008F06C1" w:rsidRDefault="00772496" w:rsidP="00772496">
      <w:pPr>
        <w:pStyle w:val="Heading4"/>
      </w:pPr>
      <w:r>
        <w:t>Historical analogies are inaccurate and fall susceptible to group think</w:t>
      </w:r>
    </w:p>
    <w:p w:rsidR="00772496" w:rsidRPr="008F06C1" w:rsidRDefault="00772496" w:rsidP="00772496">
      <w:r w:rsidRPr="008F06C1">
        <w:t xml:space="preserve">Jeffrey </w:t>
      </w:r>
      <w:r w:rsidRPr="008F06C1">
        <w:rPr>
          <w:rStyle w:val="Style13ptBold"/>
        </w:rPr>
        <w:t>Record</w:t>
      </w:r>
      <w:r w:rsidRPr="008F06C1">
        <w:t xml:space="preserve"> March </w:t>
      </w:r>
      <w:r w:rsidRPr="008F06C1">
        <w:rPr>
          <w:rStyle w:val="Style13ptBold"/>
        </w:rPr>
        <w:t>’98</w:t>
      </w:r>
      <w:r w:rsidRPr="008F06C1">
        <w:t xml:space="preserve"> - Visiting Professor of International Security Studies at the Air War College and former professional staff member of the Senate Armed Services Committee [“Perils Of Reasoning By Historical Analogy: Munich, Vietnam, And American Use Of Force Since 1945”, </w:t>
      </w:r>
      <w:hyperlink r:id="rId7" w:history="1">
        <w:r w:rsidRPr="008F06C1">
          <w:rPr>
            <w:rStyle w:val="Hyperlink"/>
          </w:rPr>
          <w:t>http://www.au.af.mil/au/awc/awcgate/cst/occppr04.htm</w:t>
        </w:r>
      </w:hyperlink>
      <w:r w:rsidRPr="008F06C1">
        <w:t>, ml]</w:t>
      </w:r>
    </w:p>
    <w:p w:rsidR="00772496" w:rsidRPr="008F06C1" w:rsidRDefault="00772496" w:rsidP="00772496">
      <w:r w:rsidRPr="009D2A5B">
        <w:rPr>
          <w:rStyle w:val="StyleUnderline"/>
        </w:rPr>
        <w:t>Reasoning by</w:t>
      </w:r>
      <w:r>
        <w:t xml:space="preserve"> historical </w:t>
      </w:r>
      <w:r w:rsidRPr="009D2A5B">
        <w:rPr>
          <w:rStyle w:val="StyleUnderline"/>
        </w:rPr>
        <w:t>analogy</w:t>
      </w:r>
      <w:r>
        <w:t xml:space="preserve"> has </w:t>
      </w:r>
      <w:r w:rsidRPr="009D2A5B">
        <w:rPr>
          <w:rStyle w:val="StyleUnderline"/>
        </w:rPr>
        <w:t>played</w:t>
      </w:r>
      <w:r>
        <w:t xml:space="preserve"> a </w:t>
      </w:r>
      <w:r w:rsidRPr="009D2A5B">
        <w:rPr>
          <w:rStyle w:val="StyleUnderline"/>
        </w:rPr>
        <w:t>significant role in</w:t>
      </w:r>
      <w:r>
        <w:t xml:space="preserve"> the </w:t>
      </w:r>
      <w:r w:rsidRPr="009D2A5B">
        <w:rPr>
          <w:rStyle w:val="StyleUnderline"/>
        </w:rPr>
        <w:t>formulation</w:t>
      </w:r>
      <w:r>
        <w:t xml:space="preserve"> and implementation </w:t>
      </w:r>
      <w:r w:rsidRPr="009D2A5B">
        <w:rPr>
          <w:rStyle w:val="StyleUnderline"/>
        </w:rPr>
        <w:t>of</w:t>
      </w:r>
      <w:r>
        <w:t xml:space="preserve"> US foreign </w:t>
      </w:r>
      <w:r w:rsidRPr="009D2A5B">
        <w:rPr>
          <w:rStyle w:val="StyleUnderline"/>
        </w:rPr>
        <w:t>policy</w:t>
      </w:r>
      <w:r>
        <w:t xml:space="preserve"> since the end of World War II, especially on matters involving consideration or actual use of force. States, like individuals, make decisions based at least in part on past experience, or, more specifically, what they believe past experience teaches. </w:t>
      </w:r>
      <w:r w:rsidRPr="009D2A5B">
        <w:rPr>
          <w:rStyle w:val="StyleUnderline"/>
        </w:rPr>
        <w:t>But reasoning by historical analogy</w:t>
      </w:r>
      <w:r>
        <w:t xml:space="preserve"> </w:t>
      </w:r>
      <w:r w:rsidRPr="009D2A5B">
        <w:rPr>
          <w:rStyle w:val="StyleUnderline"/>
        </w:rPr>
        <w:t>can be dangerous</w:t>
      </w:r>
      <w:r>
        <w:t xml:space="preserve">, </w:t>
      </w:r>
      <w:r w:rsidRPr="009D2A5B">
        <w:rPr>
          <w:rStyle w:val="StyleUnderline"/>
        </w:rPr>
        <w:t>especially if such reasoning is untempered by recognition that no two historical events are identical</w:t>
      </w:r>
      <w:r>
        <w:t xml:space="preserve"> and that the future is more than a linear extension of the past. The instructiveness of historical events tends to diminish the greater their distance in time and space from the day and place they occurred. To be sure, historical </w:t>
      </w:r>
      <w:r w:rsidRPr="009D2A5B">
        <w:t>analogies</w:t>
      </w:r>
      <w:r>
        <w:t xml:space="preserve"> can helpfully inform policy. Many </w:t>
      </w:r>
      <w:r w:rsidRPr="009D2A5B">
        <w:rPr>
          <w:rStyle w:val="StyleUnderline"/>
        </w:rPr>
        <w:t>policy-makers</w:t>
      </w:r>
      <w:r>
        <w:t xml:space="preserve">, however, </w:t>
      </w:r>
      <w:r w:rsidRPr="009D2A5B">
        <w:rPr>
          <w:rStyle w:val="StyleUnderline"/>
        </w:rPr>
        <w:t>are historically illiterate</w:t>
      </w:r>
      <w:r>
        <w:t xml:space="preserve">, </w:t>
      </w:r>
      <w:r w:rsidRPr="009D2A5B">
        <w:rPr>
          <w:rStyle w:val="StyleUnderline"/>
        </w:rPr>
        <w:t>and most</w:t>
      </w:r>
      <w:r>
        <w:t xml:space="preserve"> that are well read </w:t>
      </w:r>
      <w:r w:rsidRPr="009D2A5B">
        <w:rPr>
          <w:rStyle w:val="StyleUnderline"/>
        </w:rPr>
        <w:t>make policy</w:t>
      </w:r>
      <w:r>
        <w:t xml:space="preserve"> decisions, just like their untutored </w:t>
      </w:r>
      <w:r>
        <w:lastRenderedPageBreak/>
        <w:t xml:space="preserve">brethren, primarily </w:t>
      </w:r>
      <w:r w:rsidRPr="009D2A5B">
        <w:rPr>
          <w:rStyle w:val="StyleUnderline"/>
        </w:rPr>
        <w:t>on the basis of considerations having nothing to do with</w:t>
      </w:r>
      <w:r>
        <w:t xml:space="preserve"> </w:t>
      </w:r>
      <w:r w:rsidRPr="009D2A5B">
        <w:rPr>
          <w:rStyle w:val="StyleUnderline"/>
        </w:rPr>
        <w:t>the</w:t>
      </w:r>
      <w:r>
        <w:t xml:space="preserve"> perceived lessons of </w:t>
      </w:r>
      <w:r w:rsidRPr="009D2A5B">
        <w:rPr>
          <w:rStyle w:val="StyleUnderline"/>
        </w:rPr>
        <w:t>past</w:t>
      </w:r>
      <w:r>
        <w:t xml:space="preserve"> experience. For example, the Johnson administration’s very reluctant decision to fight in Vietnam was driven as much by perceived domestic political imperatives (notably fear that abandoning South Vietnam would provoke a presidency-destroying “soft-on-communism” political backlash) as by any other factor. Two historical events in particular have influenced US use-of-force decisions since 1945: the infamous Munich Conference of 1938, and the lost American war in Vietnam. The power of these two </w:t>
      </w:r>
      <w:r w:rsidRPr="009D2A5B">
        <w:t>analogies</w:t>
      </w:r>
      <w:r>
        <w:t xml:space="preserve"> has been such as to merit the definition “syndrome,” or the political analog to a set of signs and symptoms that together indicate the presence of a disease or abnormal conditions. </w:t>
      </w:r>
      <w:r w:rsidRPr="009D2A5B">
        <w:rPr>
          <w:rStyle w:val="StyleUnderline"/>
        </w:rPr>
        <w:t>Decision-makers have regarded Munich and Vietnam as disastrous events whose repetition</w:t>
      </w:r>
      <w:r>
        <w:t xml:space="preserve"> on any scale </w:t>
      </w:r>
      <w:r w:rsidRPr="009D2A5B">
        <w:rPr>
          <w:rStyle w:val="StyleUnderline"/>
        </w:rPr>
        <w:t>is to be avoided</w:t>
      </w:r>
      <w:r>
        <w:t xml:space="preserve"> </w:t>
      </w:r>
      <w:r w:rsidRPr="00BA16D3">
        <w:rPr>
          <w:sz w:val="2"/>
          <w:szCs w:val="2"/>
        </w:rPr>
        <w:t>at any cost. Indeed, it was the perceived lessons of Munich and its corollary domino theory that perhaps more than any other non-domestic political factor propelled the United States into Vietnam. And it was America’s calamitous experience in Vietnam that in turn continues to exert a no less profound hold on the present generation of American decision-makers. Munich promoted a propensity to use force against what was held to be insatiable aggression by totalitarian states. In contrast, Vietnam has served, within the Congress and Pentagon if not the White House, to discourage and constrain, if not prohibit, non-mandatory uses of force1 in all but the most exceptionally favorable political and operational circumstances. Indeed, some observers have bemoaned what they believe is Vietnam’s endowment of geopolitical timidity. “The legacy of Munich,” wrote Norman Podhoretz in 1982, “had been a disposition, even a great readiness, to resist, by force if necessary, the expansion of totalitarianism; the legacy of Vietnam would obversely be a reluctance, even a refusal, to resist, especially if resistance required the use of force.”2 This monograph addresses four questions. First, what exactly happened at Munich and in Vietnam, and what foreign and military policy lessons did US national political and military leadership draw from these two events? Second, to what extent have those lessons influenced situations involving consideration or actual use of force? Third, have Munich and Vietnam provided national decision-makers useful guidance in dealing with matters of war and peace since 1945? Finally, as a general rule, does reasoning by historical analogy help or hinder decision-makers? II. What Happened at Munich and in Vietnam, and What Lessons Did They Present? The Munich Conference of October 1938, attended by representatives of France (Premier Edouard Daladier), Great Britain (Prime Minister Neville Chamberlain), Germany (Adolf Hitler), and Italy (Benito Mussolini) was held to address German demands for the incorporation into the Third Reich of those areas of Czechoslovakia, known as the Sudetenland, harboring German population majorities. The Sudetenland fronted the Czech-German border and contained powerful fortifications essential to Czechoslovakia’s defense against German attack. At the time of the conference, to which Czech representatives were invited only as observers (they had to stay in their hotel rooms until the fate of their country was decided), Czechoslovakia enjoyed a defensive alliance with France.3 Hitler’s demand for the Sudetenland was, by the time of the Munich Conference, but the latest in a series of German moves that suggested a determination by Hitler to expand the Third Reich to encompass, at a minimum, all “lost” German territory. During the first years of his rule, Hitler had denounced the Versailles Treaty settlement imposed upon Germany after World War I, initiated Germany’s rearmament, and revoked German membership in the League of Nations. In 1936 Hitler ordered the military reoccupation of the Versailles-mandated demilitarized Rhineland, which among things dealt a disabling blow to the credibility of French military guarantees to other potential victims of Nazi aggression. The credibility of those guarantees rested on a French willingness to invade Germany through an undefended Rhineland; yet the French not only refused to challenge Germany’s reoccupation of the Rhineland but also embraced a purely defensive strategy epitomized by the Maginot Line. In March 1938, Hitler engineered the Anschluss, or the union of Germany and Austria. Hitler claimed that the Sudetenland was his last territorial demand in Europe, implying that Nazi Germany’s imperial ambitions did not extend to non-German territories and states, and he walked away from the Munich Conference with the Sudetenland in his pocket. Six months later, German forces occupied the rest of Czechoslovakia, and within another six months plunged Europe into the Second World War by invading Poland (to which France and Great Britain had belatedly given security guarantees). Hitler went on to attack Denmark, Norway, Belgium, Luxembourg, the Netherlands, France, Great Britain, Yugoslavia, Albania, Greece, North Africa, Russia, and Italy. He also declared war on the United States. What happened at Munich? France and Great Britain, as Hitler saw all too clearly, were gripped by fear both of Germany’s growing military might, especially German air power, whose strength Nazi propagandists had deliberately inflated,4 and of the prospect of repeating the nightmare of World War I. (Both Chamberlain and Daladier were politically imprisoned by widespread public pacifism in their respective countries.) Paris and London also were blind to the true scope of Hitler’s ambitions in Europe. Accordingly, the democracies appeased Hitler by acceding to Germany’s occupation of the Sudetenland. A crippled Czechoslovakia was a small price to pay for avoidance of another world war. Indeed, Chamberlain, in a radio address to the British people, dismissed the entire Sudetenland issue as “a quarrel in a far away country between people of whom we know nothing.”5 Though Munich was widely hailed in France and Britain as a masterstroke for peace, the democracies, as quickly became apparent, had fatally miscalculated. First, they had overrated Germany’s military power. In 1938, the formidable Czech army, assisted by Britain and France and by Czech fortifications in armor-unfriendly western Czechoslovakia, probably could have defeated a German invasion of Czechoslovakia.6 Germany’s military leadership was acutely aware of the Third Reich’s relative military weakness at the time of Munich. Indeed, key German military leaders, including Army Chief of Staff Walther von Brauchitsch and General Staff Chief Franz Halder, strongly opposed risking war over the Sudetenland, and — we now know — were contemplating Hitler’s removal in the event the democracies called dictator’s bluff at Munich.7 Second, the French and British governments believed, or wanted to believe, that Hitler’s ambitions were indeed limited to Germanic Europe. They also believed that Hitler’s ambitions within the German nation were in large measure legitimate because they reflected in part a desire to overturn the unwise punitive peace the democracies had imposed upon a defeated Germany in 1919. Clearly, appeasement of Germany at Munich encouraged Hitler to believe that he could grab even more territory in Europe with little risk of provoking war, just as the Rhineland and Anschluss had encouraged him to believe that he could get away with the Sudetenland. Appeasement also made the terms of war with Germany, when war finally came, much less favorable to the democracies. The military price of stopping Hitler in 1938 was much cheaper than it was even just a year later, when a Nazi Germany now aligned with Stalin’s Russia gobbled up a Poland that neither Britain nor France was in any position to assist militarily, notwithstanding pledges to do so. The price was dwarfed by the cost of the much wider war that followed. By the end of 1940, Hitler had crushed France and had marginalized British military power in Europe. Britain could not even hope to overturn Nazi control of Europe absent the entrance into the war of both the United States and the Soviet Union, a condition fulfilled in 1941 by Hitler’s invasion of Russia in June and utterly gratuitous declaration of war on the United States in December.8 The main lesson the democracies, including the United States, drew from Munich was simple and clear: appeasement of aggression only invites more aggression, and can be stopped only by an early collective defense. Totalitarian states, be they fascist or communist, are insatiably aggressive, and their imperial ambitions must be thwarted early, and by war if necessary. Appeasement feeds and encourages the aggressor, and in so doing makes the terms of inevitable military confrontation all the more unfavorable to those anti-aggressor states still in the field. The price for initial appeasement is a larger, even global war later on. World War II in Europe could have been averted had the democracies been prepared to use force against Hitler in 1936 (Rhineland) and certainly in 1938 (Sudetenland). Indeed, force is the only language totalitarians understand, and the key to preventing yet another world war is to draw lines clearly and early and not hesitate to shoot when those lines are transgressed. Though, as we shall see, Munich exerted a powerful influence on US decision-makers responsible for America’s intervention in the Vietnam War, that war itself conveyed quite different messages to post-Vietnam generations of decision-makers. If Munich encouraged an embrace of force, Vietnam encouraged an aversion to it, although the strength of that aversion has varied in time and place. What happened to the United States in Vietnam? There is still no consensus on the reasons for America’s defeat in Indochina. But in retrospect there seems to be broad if not universal agreement on the following points: (1) It was a mistake to intervene in the Vietnam War, because (2) that war was in the first instance a civil war among Vietnamese and was waged in a place of peripheral strategic importance to the United States, and because (3) the military proficiency and especially political tenacity displayed by Vietnamese communists, who regarded the war as total, exceeded that of both the United States, which waged a limited war, and its feckless South Vietnamese client. It is also widely recognized that (4) civilian authority imposed substantial political restrictions on the American use of force in Indochina, though controversy has scarcely abated over the issue or whether those restrictions self-denied a US victory, and that (5) the defeat of the American cause in Vietnam — the preservation of an independent, non-Communist South Vietnam — was occasioned not by outright military defeat but rather by US loss of political will to pursue a conclusive military solution to the war. Disagreement centers on whether the war was America’s to lose, and if so, why the United States lost. There are two basic schools of thought on the causes of US defeat. The first school contends that defeat was attributable to a combination of fatal miscalculations (e.g., misinterpretation of the war’s nature and strategic significance, gross underestimation of the enemy’s fighting power and overestimation of America’s, incomprehension of conventional warfare’s utility against a pre-industrial opponent waging revolutionary war) and a South Vietnamese client state inherently irredeemable because of its lack of political legitimacy and a professionally competent military.9 The second school asserts that a decisive US military victory in Indochina was attainable, but was, in the event, self-denied primarily by crippling civilian intrusion upon the conduct of military operations, a subversive domestic anti-war movement, and a hostile press.10 A variant of this school condemns US military as well as civilian leadership; the former is criticized for disunity of command, choice of improper strategy, self-defeating personnel policies, reliance on lavish base camps, and lack of courage to confront civilian authority for failure to take sound professional military advice.11 (My own view is that the Vietnamese communists won the war as much as the United States lost it. I reject the conclusion advanced by such analysts as H.R. McMaster that the war was lost in Washington.12 This conclusion implicitly belittles the remarkable tenacity and fighting power of Vietnamese communism. After all, the 7th Cavalry was not the only force present along the Little Bighorn on that fateful day in 1876. The Sioux also showed up, and they had something do with subsequent events.13) The principal grand strategic lesson that post-Vietnam War American decision-makers drew from experience in that war was seemingly as clear and simple as Munich’s: Stay out of other peoples’ civil wars, especially protracted civil wars in non-vital places. For the Defense Department and much of the rest of post-Vietnam US officialdom, including perhaps a Congressional majority today, the specific political-military lessons of the war are, however, fundamentally those enunciated by Secretary of Defense Caspar Weinberger in his famous speech to the National Press Club in late 1984. For Weinberger, who believed that Truman was “seriously wrong...to limit General Douglas MacArthur’s freedom of movement in Korea” and to reprimand the general “for going too far,”14 the lessons of Vietnam were reaffirmed by disastrous US intervention in Lebanon in 1982-1984 and waiting to be relearned yet again in prospective US intervention in Central America. By the mid-1980s, fear of US combat forces being drawn directly into the anti-Sandinista war in El Salvador prompted not only Weinberger to speak out. Congress also moved to prohibit aid to the Contras seeking to overthrow Sandinista rule in Nicaragua (via the famous Boland Amendment). The Weinberger lessons amounted to six tests to be passed before the United States committed force — tests that by implication were not mastered in 1960s in Indochina. The tests were that: (1) vital interests must be at stake; (2) force must be committed wholeheartedly and with the intention of winning; (3) political and military objectives must be clearly defined; (4) harmony must be maintained between objectives and the size, composition, and disposition of committed forces; (5) there must be a reasonable assurance of public and congressional support; and (6) non-violent alternatives to force must be exhausted before force is employed.15 Weinberger’s critics, as will be discussed below, claimed that a policy based on satisfaction of all six tests would cripple America’s will and capacity to use force effectively, and challenged the “vital interest” and “last resort” theses. (The democracies postponed use of force against Hitler at the price of subsequent war on very unfavorable terms). Indeed, in no war other than World War II has the United States satisfied all six tests. But the Weinberger speech did prompt continuing debate on the subject highlighted by the appearance during the Bush administration of what became known as the “Powell doctrine” of overwhelming force and the subsequent proclamation by the Clinton administration of even more detailed and restrictive conditions on the use of force. Powell had served as Weinberger’s military aide and helped draft the National Press Club speech. As a Vietnam War veteran he passionately believed, as did many of his fellow officers who later planned and executed the stunning performance of American military power in the Gulf War, that US military forces had been almost criminally misused by both the White House and the armed services professional leadership. “War should be the politics of last resort,” writes Powell on Vietnam. “And when we go to war, we should have a purpose that our people understand and support; we should mobilize the country’s resources to fulfill that mission and then go in to win. In Vietnam, we entered a halfhearted half-war, with much of the nation opposed or indifferent, while a small fraction carried the burden.”16 Indeed, Powell made avoidance of another Vietnam War his life’s mission. “Many of my generation, the career captains, majors, and lieutenant colonels seasoned in that war, vowed that when our turn came to call the shots, we would not quietly acquiesce in halfhearted warfare for half-baked reasons that the American people could not understand or support. If we could make good on that promise to ourselves, to the civilian leadership, and to the country, then the sacrifices of Vietnam would not have been in vain.”17 As one of President Reagan’s national security advisors, and later, Chairman of the Joint Chiefs of Staff under presidents Bush and Clinton, Powell embraced what became known as the doctrine of overwhelming force, or Powell doctrine, which is essentially a restatement of the Weinberger doctrine. The Powell doctrine holds that US use of force should be restricted to situations in which most and hopefully all of the Weinberger tests can be satisfied. Especially to be avoided are uses of in situations where one or more of the following conditions apply: political considerations threaten to impede effective use of force; a clear and quick military win is not attainable; and public and congressional opinion is indifferent or hostile to the purpose for which force is being used. In effect, the Powell doctrine, like Weinberger’s, not only places considerations of feasibility over those of desirability when it comes to using force. It also establishes, as the basic standard of feasibility, prior confidence in the near-certainty of military victory and political sustainability. The doctrine also ignores the likely presence — as in the Gulf War — of significant and politically indispensable allies in future major US wars, allies whose own interests may have to be accommodated in a manner violating doctrinal tenets. The Clinton administration, in response to strong congressional opposition to intervention in Haiti and Bosnia and sharp criticism of its handling of the Somalia intervention it inherited from the Bush administration, has belatedly if only rhetorically endorsed the basic principles of the Weinberger-Powell doctrine. In deciding when and how to employ US forces, the administration declares, a clear distinction must be made between vital interests (those of broad overriding importance to the survival, security, and vitality of our national entity), important interests (those that do not affect our survival but that do affect our national well-being and the character of the world in which we live), and humanitarian interests.18 In the case of vital interests, “use of force will be decisive and, if necessary, unilateral.” With respect to important interests, “the costs and risks of U.S. military involvement must be judged to be commensurate with the stakes involved,” and that involvement must not preempt consideration of “nonmilitary means that offer a reasonable chance of success.” For humanitarian interests, military forces will be used only in appropriate circumstances — i.e., “when a humanitarian catastrophe dwarfs the ability of civilian agencies to respond; when the need for relief is urgent and only the military has the ability to jump-start the longer-term response to the disaster; when the response requires resources unique to the military; and when the risk to American troops is minimal.”19 On how to use force, the administration builds on the main principles postulated by Weinberger and asserted by Powell. US troops must have “a clear mission” and the “means to achieve their objectives decisively,” and should not be exposed to risks that outweigh the significance of the interests they are placed in harm’s way to protect. Finally, any use of force, be it for war or operations other than war, must rest on recognition that “the United States cannot long sustain a fight without the support of the public, and close consultations with Congress are important.”20 III. How Have Munich and Vietnam Influenced National Security Policy? It is difficult to underestimate the influence of Munich — and World War II —on the imagination of senior US decision-makers during the two decades separating the end of World War II and the introduction of US ground combat troops into Vietnam.21 To be sure, Munich, unlike the Vietnam War, entailed no American loss of life and caused no bitter domestic social division. Nor did Munich, as did Vietnam (and Watergate), deal a body blow to public trust in the integrity and competence of government or damage American psychological self-confidence and sense of national uniqueness. But presidents Truman, Eisenhower, Kennedy, and Johnson and their senior foreign policy lieutenants — Marshall, Acheson, Dulles, Rusk, Bundy, and Rostow — did believe that Munich had led directly to the outbreak of World War II, and all cited the example of Munich as a powerful argument for US Cold War policies and decisions. Munich — i.e., the consequences of appeasing fascist aggression in the 1930s — was invoked in the late 1940s on behalf of establishing the containment of Soviet power and influence as the organizing principle of American foreign policy. It was subsequently invoked on behalf of the Truman administration’s decision to fight in Korea; on behalf of containment’s militarization and extension to Asia and the Middle East; and on behalf of the Johnson administration’s decision to intervene in the Vietnam War. Munich was, of course, but one of many factors contributing to each of these decisions. But the consequences of Munich were both searing and remembered, and Munich seemed an historical analogy highly relevant to the post-World War II world. By the late 1940s, most policy-makers had come to see Stalin’s Russia as, like Nazi Germany, an implacably hostile and globally ambitious totalitarian state bent on dominating Eurasia. The Truman administration interpreted both Mao Tse-Tung’s victory in China and the outbreak of war in Korea as part of a larger program of aggression orchestrated from Moscow. Dean Rusk, in 1951 Assistant Secretary of State for Far Eastern Affairs and later (1961-1968) Secretary of State and key Vietnam War player, declared Mao’s regime to be “a colonial Russian government — a Slavic Manchukuo on a large scale. It is not the Government of China.”22 Earlier, Secretary of State Dean Acheson had asserted that Soviet and Communist Chinese diplomatic recognition of Ho Chi Minh’s Democratic Republic of Vietnam “should reveal Ho in his true colors as a mortal enemy of native independence in Indochina.”23 Truman himself saw the North Korean invasion of South Korea as a move by “the Russians...to get Korea by default, gambling that we would be afraid of starting a third world war and would offer no resistance.”24 That Munich captured his imagination was manifest in a 1951 radio address on the Korean War and US policy in the Far East. “Communists in the Kremlin are engaged in a monstrous conspiracy to stamp out freedom all over the world,” he said, adding that, “It is easier to put out a fire when it is small than after it has become a roaring blaze. And the best way to meet the threat of aggression is for the peace-loving nations to act together. If they don’t act together, they are likely to be picked off one by one.... If the free countries of the world had acted together to crush the aggression of the [fascist] dictators [in the 1930s], there probably would have been no World War II. If history has taught us anything, it is that aggression anywhere in the world is a threat to peace everywhere in the world.”25 The Korean War facilitated subsequent US intervention in Vietnam by sparking not only the permanent rearmament of the United States but also the extension of containment to Asia in the form of US direct defense guarantees to South Korea, Japan, the Republic of China (Formosa) and indirect guarantees to the former states of French Indochina (by according them status as protocol states to the SEATO Treaty of 1954). Until 1950, the Truman administration had paid little attention to the Vietnamese struggle against French colonial rule, but North Korea’s invasion of South Korea transformed the significance of the First Indochina War in the administration’s eyes. That war was suddenly seen as but another front in a centrally directed program of communist aggression in Asia, aggression that would continue until it encountered effective armed resistance. Truman’s successor in the White House also saw the war in Indochina as being analogous to the march of fascism in Europe in the 1930s. Indeed, it was Eisenhower who first publicly likened the consequences of Indochina’s fall to communism to that of a row of dominoes. In 1953, in an address to a conference of state governors, Eisenhower warned that “if Indochina goes, several things happen right away. The Malayan peninsula would scarcely be defensible... All India would be outflanked...[and] how would the free world hold the rich empire of Indonesia? So you see, somewhere along the line, this must be blocked. It must be blocked now.”26 In a subsequent letter to Prime Minister Winston Churchill, Eisenhower appealed for British help in rescuing the French: “We failed to halt Hirohito, Mussolini and Hitler by not acting in unity and in time. That marked the beginning of many years of stark tragedy and desperate peril. May it not be that our nations have learned something from that lesson?”27 Presidents Kennedy and Johnson were no less captives of Munich and the Munich-rooted domino theory. As a student at Harvard, Kennedy had written his senior honors thesis on “Appeasement at Munich: The Inevitable Result of the Slowness of British Democracy to Change from a Disarmament Policy.” (His father, Joseph P. Kennedy, though notoriously pro-appeasement during his service as US ambassador to Great Britain from 1937 to 1940, had his son’s thesis rewritten and published as the best-seller Why England Slept.)28 In a famous speech he delivered in 1956, the then Senator Kennedy declared: “Vietnam represents the cornerstone of the Free World in Southeast Asia, the keystone to the arch, the finger in the dike. Burma, Thailand, India, Japan, the Philippines and obviously Laos and Cambodia are among those whose security would be threatened if the red tide of communism overflowed into Vietnam.”29 President Kennedy even cited Munich’s consequences as mandating his tough stand during the Cuban Missile Crisis. In an address to the nation on October 22, 1962, Kennedy warned that the “1930s taught us a clear lesson: aggressive conduct, if allowed to go unchecked and unchallenged, ultimately leads to war.”30 Indeed, for Kennedy, Munich and appeasement “connoted not only past events and their supposed lessons but also his own need continually to prove that his views were not his father’s.”31 President Johnson also saw Munich lurking in Indochina. After he left the White House, he told Doris Kearns that, “everything I knew about history told me that if I got out of Vietnam and let Ho Chi Minh run through the streets of Saigon, then I’d be doing exactly what Chamberlain did...I be giving a fat reward to aggression.”32 In early 1964, he told his secretary of defense, Robert McNamara, that if the United States pulled out of Vietnam, “the dominoes would fall and a part of the world would go to the Communists.”33 For his secretary of state, Dean Rusk, the stakes in Vietnam were nothing short of another world war: the “overriding problem before us in Southeast Asia was...how to prevent World War II. The principal lesson I learned from World War II was that if aggression is allowed to gather momentum, it can continue to build and lead to general war.”34 Historian Eric F. Goldman concludes that Johnson, “like so many people who do not read history, was peculiarly a creature of it, and perhaps a prisoner of one particular interpretation of it.” Johnson, who in the 1960 Democratic nomination fight had attacked Kennedy for his father’s support for the Munich settlement (“I wasn’t any Chamberlain umbrella man.”), believed that the post-World War II wave of communist aggression had replaced that of the 1930s fascist wave, and that the communists had to be taught, as did the fascists, that the democracies could and would fight.35 In early 1964, Johnson cautioned “those who advocate retreat or appeasement” in Vietnam that “we modestly suggest that...on history’s face the blotch of Munich is still visible.”36 The Vietnam War, notwithstanding its allegedly chilling effects on American will to use force abroad, has in fact exerted no such visible effect on the White House. Post-Vietnam War presidents have displayed no discernibly greater reluctance to use force than their pre-war predecessors. Since the fall of Saigon in 1975, presidents have employed force to rescue diplomatic hostages in Iran; restore central political authority in Lebanon; overthrow the government of Grenada; punish Libya (twice); halt shipping in Nicaragua’s harbors; protect oil shipping in the Persian Gulf; thwart a coup in the Philippines; overthrow the government of Panama; eject Iraqi forces from Kuwait and strip Iraq of its offensive military power; feed the starving and attempt to build central political authority in Somalia; restore “democracy” in Haiti; and enforce “peace” in Bosnia. Post-Vietnam presidents have, however, in contrast to both Kennedy and Johnson in Vietnam, exhibited a willingness to cut US losses in questionable or unsuccessful interventions (e.g., Carter in Iran, Reagan in Lebanon, and Clinton in Somalia). Though neither Kennedy nor Johnson was optimistic about long-term prospects for South Vietnam’s survival, both believed that vital US interests were at stake in Indochina and that abandonment of Saigon would provoke a crippling domestic political firestorm. Moreover, unlike post-Vietnam War presidents, presidents before the Vietnam War faced no significant congressional or professional military checks on their use-of-force decisions. From the late 1940s onward, Congress, responding to what it believed were Cold War imperatives, eagerly deferred to the White House on matters of war and peace, going so far as to pass resolutions — the most infamous being the Tonkin Gulf Resolution of August 1964 — granting the president, in advance of anticipated possible hostilities, authority to use force when and where he saw fit. The Pentagon was equally docile in so far as it supported presidential decisions to use force in Korea (1950), Lebanon (1958), the Dominican Republic (1965), and Vietnam (1965). In the pre-Vietnam era, however, the JCS by and large displayed a bellicosity exceeding that of both civilian authority at the time as well as post-Vietnam authoritative military opinion.37 For example, though President Eisenhower ultimately refrained from ordering US military forces to intervene in 1954 on behalf of the beleaguered French in Indochina, JCS Chairman Arthur W. Radford and Air Force Chief of Staff Nathan F. Twining favored intervention, as did Vice President Nixon and Secretary of State Dulles. (Army Chief of Staff Matthew B. Ridgway adamantly opposed intervention and marshaled the convincing and ultimately persuasive — and prescient — argument that nothing short of massive US intervention on the ground could prevent a communist victory in Vietnam.38) Seven years later, the JCS pushed President Kennedy to provide direct US air and naval support to the Cuban exile brigade that landed in a CIA-orchestrated invasion at the Bay of Pigs, even though President Kennedy had early on ruled out any such support.39 During the Laotian crisis of 1961, the JCS took an all-or-nothing stance on prospective US military intervention. They rejected any limited use of force for the purposes of producing a negotiated settlement (which in the end the Kennedy White House successfully opted for via the dispatch of US Marines to neighboring Thailand), insisting instead that any use of force be overwhelming. With the distaste of the limited Korean War still fresh, the JCS called for the deployment of 60,000-100,000 US troops to the Laotian panhandle, Thailand, and South Vietnam, followed by massive air operations against North Vietnam, and by, should the Chinese intervene, the use of nuclear weapons.40 During the Cuban Missile Crisis, the Chiefs again argued for a more belligerent course of action than their civilian superiors finally settled upon. The Chiefs, initially with substantial civilian support within the hastily established independent National Security Council unit known as EXCOM, proposed a massive aerial bombardment of not only Soviet missile sites in Cuba but also Cuban air fields and air defenses. The JCS opposed the ultimately successful naval “quarantine” option that Kennedy finally selected. Indeed, after the crisis was over, Air Force Chief of Staff Curtis LeMay told a stunned Kennedy to his face that “We have been had. It’s the greatest defeat in our history. We should invade today.”41 Indeed, according to Kennedy’s alter ego, Ted Sorensen, during the crisis LeMay condemned the choice of a naval quarantine as a sellout “almost as bad as the appeasement at Munich.”42 And it is, of course, well known that the Chiefs, from the outset of US intervention in Vietnam, favored earlier and more extensive uses of force than the Johnson White House was prepared to entertain. The JCS became especially embittered by Johnson’s refusal to order a reserve mobilization, the administration’s embrace of gradualist limited war theory, and civilian-imposed restrictions on the conduct of air operations against North Vietnam and prohibition of ground force operations in Laos. Senior military opinion favored direct US military intervention in Vietnam, but chafed at restrictions subsequently placed on the employment of US military power there. To be sure, in each of these crises the JCS “hard line” attracted some civilian support, but the president was the one civilian whose opinion counted in the end. President Eisenhower was not prepared to go to war in Indochina in 1954. Nor was President Kennedy ready to go to war over Laos and Cuba in 1961, or to undertake any action during the Cuban Missile Crisis inconsistent with his determination to minimize prospects for escalation to a general US-Soviet war. Pre-Vietnam War interventions not only provoked no senior military opposition and usually enjoyed broad public support. From the late 1940s to the late 1960s, there was also a public and congressional consensus on anti-communism as the organizing principle of American foreign policy, and presidents were taken at their word when they declared the need to use force against threats they labeled as communist. Indeed, the Johnson administration had no reason not to take public and congressional support for the Vietnam War for granted, even though it ended up overestimating national tolerance for a protracted conflict in which there was no convincing progress toward a decisive military resolution. Dean Rusk later admitted that “as secretary of state I made two serious mistakes with respect to Vietnam. First, I overestimated the patience of the American people, and second, I underestimated the tenacity of the North Vietnamese.”43 Public opinion did not turn against the war until after the Tet Offensive of 1968, just four years after Congress had eagerly passed the Tonkin Gulf Resolution. The Vietnam War seems to have had a far greater impact on how force is used rather than on decisions whether to use force, and on the Congress and Pentagon rather than on the White House. For structural and other reasons, neither the Congress nor the Pentagon is in a position easily to stop a president from sending US forces into harm’s way. But the Congress can and has used its power to deny appropriations to condition and even terminate military operations already underway. And while the Pentagon has no power to deny appropriations, it has since the Vietnam War, and especially since passage of the Defense Reorganization Act of 1986, placed a significant political impediment in the way of presidential use of force and increased its influence in the councils of war. Indeed, the Vietnam War produced a de facto Congressional-military alliance dedicated to blocking or at least disciplining potentially reckless presidential uses of force. That alliance rests — and continues to rest — on a combination of legislation, force structure reorganization, and doctrinal assertiveness — all driven by a determination never again to repeat the Vietnam War. If Vietnam (along with Watergate) torpedoed the imperial presidency, in so doing it also altered both civil-military and Congressional-Executive relations in a manner significantly influencing consideration or actual use of force. Congress responded to the Vietnam War by reasserting its prerogatives in foreign and defense policy. From the early 1970s onward, Congress has used its appropriations power to block prospective US uses of force (e.g., Angola, Central America), terminate interventions already underway (Somalia), or condition support for interventions it opposed but was unprepared to terminate (Bosnia). Congress also sought, though without success, to reassert its constitutional power to declare war via the 1973 War Powers Act; it did, however, prevail upon a very reluctant President Bush to seek formal congressional approval for the initiation of hostilities against Iraq in 1991. Additionally, the Congress acted to increase the weight of military advice to civilian authority in the full knowledge of the military’s great post-Vietnam caution on matters involving the use of force. Since the Vietnam War, and especially since the end of the Cold War, congressional majorities have displayed much less enthusiasm for using force overseas than has the White House, and this lack of enthusiasm has been, if anything, even more pronounced inside the Pentagon. The uniformed military responded to the Vietnam War in two ways aimed at restraining presidential recklessness. First, it sought and received from the Nixon administration and an enthusiastic Congress authority to implement a Total Force Policy that among other things made it impossible for the president to undertake a major intervention absent a reserve call-up. (Lyndon Johnson’s unprecedented refusal to mobilize the reserves was the bitterest and most enduring source of civil-military tension during the Vietnam War.) Though the Total Force Policy served other purposes,44 its key objective, satisfied by transferring the bulk of combat service and combat service support functions from the active to the reserve components, was to prevent future presidents from going to war without having to clear the domestic political hurdle of a reserve call-up. As Army Chief of Staff (1972-1974) Creighton Abrams remarked to General Don Starry, “They’re never going to take us to war again without calling up the reserves.”45 The armed services have been frank in declaring the political intent of the Total Force Policy. “The political argument for greater integration of the Reserves had its roots in Vietnam,” states the official Army history of the Gulf War, which begins with a review of the organizational and other reforms prompted by the Vietnam War and subsequently displayed in the Gulf. “President Johnson chose to rely on the draft alone to prosecute the war in order to cause as little disruption on the home front as possible and thereby dampen popular opposition. While successful during the early years, Johnson’s policy created an army in the field made up largely of the very young, the poor, and the disaffected. As the war dragged on and casualties mounted, a rift was inevitable between the people and this unfamiliar, unrepresentative body of men fighting an unpopular war. For that reason, Abrams, during his short tenure as Chief of Staff, had insisted that the Army could not go to war again without the involvement and tacit approval of the American people. A call-up of Reserves would bring home to Americans from the beginning that they had a personal stake in the conflict. Therefore, Abrams had sought to weave Reserve force so inextricably into established deployment schemes that no force would be able to fight a major war in the future without them.”46 The Total Force Policy and the larger Vietnam syndrome itself have not prevented post-Vietnam presidents from undertaking major interventions overseas, but they have compelled them to seek public and congressional support for such interventions to a degree that Lyndon Johnson did not during the Vietnam War. Congressional opposition forced the Reagan administration, whose principal foreign and defense policy lieutenants (Alexander Haig, Jr., George Shultz, and Caspar Weinberger) all believed that Munich taught the dangers of appeasing the Soviet Union and communism in general, to terminate its military misadventure in Lebanon. Congressional opposition also crippled the Reagan administration’s attempt to overthrow the communist Sandinista government in Nicaragua, a government whose survival, the White House believed, could be the first installment of a Soviet-Cuban-directed plan to communize all of Central America and Mexico. President Reagan and other administration spokesmen described the “malignancy in Managua” as a “strategic threat”; a potentially “mortal threat to the entire New World”; “another Cuba”; and “a privileged sanctuary for terrorists and subversives just two days driving time from Harlingen, Texas.”47 The invasion of Grenada, whose brevity and success rendered congressional opinion irrelevant, also was justified as a move to prevent the extension of Soviet-Cuban influence in the Western Hemisphere. During the run up to Operation Desert Storm, for which 231,000 reservists were recalled to active duty (with 105,000 of them deployed to the Persian Gulf),48 the Bush White House also orchestrated a major public relations campaign to demonize Saddam Hussein — comparing the Iraqi dictator to Hitler and citing the lessons of appeasing fascist aggression in the 1930s — and to instruct the nation on the vitality of American strategic interests in the Gulf.49 The Bush administration also planned and implemented Desert Storm in a manner designed to satisfy the tenets of the Weinberger-Powell doctrine. Indeed, that doctrine constituted the second post-Vietnam Defense Department initiative designed to curb presidential recklessness. In addition to locking in a reserve call-up for any major use of force, the recovering Pentagon of the 1980s began publicly propounding a use-of-force doctrine aimed at restricting non-mandatory uses of force to all but the most exceptionally compelling — and favorable — circumstances. Weinberger and Powell spoke, as do their respective successors today, for a Vietnam-era generation of military professionals determined at all costs to avoid another Vietnam, and if those professionals have not been able to stop unwanted presidentially-ordered interventions, they have been able to extract concessions that limit the Pentagon’s potential liability. In George Bush, the Pentagon enjoyed a president who also believed US military power had been disastrously mishandled in Vietnam by civilian authority, and whose behavior the Gulf crisis of 1990-1991 displayed a keen appreciation of the Weinberger-Powell doctrine’s insistence on the presence of vital interests, a determination to win, the establishment of clear political and military objectives, the assurance of public and congressional support, and the use of force as a last resort. Bush acknowledged “fears of another Vietnam” and assured the American public that should war come in the Gulf, “this will not be another Vietnam. This will not be a protracted, drawn-out war.”50 After the war, Bush triumphantly if prematurely declared that “we’ve kicked the Vietnam syndrome once and for all” because the “specter of Vietnam has been buried forever in the desert sands of the Arabian peninsula.”51 Indeed, as Arnold Isaacs has concluded, “it was hard to escape the impression that laying the Vietnam syndrome to rest was itself a major administration goal, perhaps even equal in importance to the goal of defeating Iraq.”52 Though Powell himself had serious reservations about going to war over Kuwait,53 once that issue was decided by Bush, he made sure that all possible doors to a protracted, indecisive war in the Gulf were closed as tightly as possible before hostilities commenced. In the Persian Gulf, the Vietnam War-seared US military leadership finally encountered the redemptive war it had longed to fight. Overwhelming force was swiftly and successfully employed on behalf of clear and attainable objectives in a war that had the nation behind it. The Powell doctrine could be and was applied in the Gulf. Yet, Charles Lane contends that, for conflicts not taking “the preferred, straightforward form of two armies in collision....the Powell Doctrine offers only one answer: ‘We do deserts, we don’t do mountains.’ The Powell Doctrine hinges, therefore, not only on a revised version of military tactics but also on a different, and constitutionally questionable, relationship between the soldier and the state. It seems to be a relationship in which...professional military officers are able to exercise more influence — some might call it veto power — over the policy decisions of civilians.”54 Since the dissolution of the Soviet Union, however, presidents have saddled the Pentagon with a host of so-called military operations other than war (MOOTW), which the armed services do not like and in which therefore they have sought — with considerable success — to restrict their potential liability.55 Most MOOTW are politically messy and militarily non-heroic affairs that, as Alvin Bernstein has pointed out, have “the added disadvantage, from the military’s point of view, of increasing the role of civilian leaders in shaping military operations.”56 US military leadership was reluctant to intervene in Somalia and opposed intervention in Haiti and Bosnia, though in the latter two interventions it extracted from the White House concessions that so narrowed the military’s mission as to compromise intervention’s political effectiveness. The fear of “mission creep” — i.e., being drawn into a conflict in excess of initial limited objectives — is rooted in the Americanization of a war in Vietnam in which US participation had been initially, and as it turns out, wisely, restricted to the provision of arms and advice to the South Vietnamese. Mission creep subsequently led to disaster in Beirut and humiliation in Somalia. In the case of Bosnia, the Pentagon anticipated a presidential decision to commit US forces to peace enforcement operations there, and was determined to prevent mission creep. Accordingly, it secured a public White House pledge to limit the duration and scope of the US mission. US forces were to stay in Bosnia only one year and were not to participate in any nation-building enterprises or other activities not strictly military in scope, such as nabbing war criminals. In effect, they were sent in enforce a cease-fire, and having done that their de facto mission became one of self-protection — i.e., avoidance of a Balkan Beirut or Mogadishu. A congressional majority also opposed intervention in Bosnia but could not bring itself to overturn the fait accompli presented to it by the Clinton administration’s pledge to provide US troops to enforce the Dayton Peace Accords. Congress did, however, after considerable debate in which memory of Vietnam was invoked on numerous occasions, condition its support for intervention on a separate administration pledge. That pledge, extracted from the White House in the form of a letter from President Clinton to Senate Majority Leader Bob Dole, committed the administration to provide the Bosnian Muslim government sufficient arms and training to ensure its own defense after the withdrawal of the NATO Implementation Force. (The administration had previously opposed lifting the international arms embargo of former Yugoslavia even though the embargo tremendously disadvantaged the Bosnian government against Bosnian Serb forces.) Congress also supported the military’s insistence on a one-year intervention deadline and prohibition on the performance of all but the narrowest of military tasks.57 The Vietnam War and Watergate predictably produced a Congress reassertive of its prerogatives in foreign and defense policy in competition with the Executive Branch. But the military’s more recent outspokenness on what it regards as dubious prospective uses of force has provoked charges of transgression of traditional civil-military boundaries.58 Whatever one’s judgment on this issue, there is no doubt that the military’s influence on use of force issues has grown significantly since the days Lyndon Johnson boasted that the Air Force couldn’t bomb an outhouse in North Vietnam without his permission. Moreover, Congress, via passage of the 1986 Defense Reorganization Act, played a critical role in increasing the weight of military opinion by elevating the power and authority of the Chairman of the Joint Chiefs of Staff at the expense of the service chiefs themselves, whose ability to provide timely and useful advice was routinely compromised by primary loyalty to respective parochial service interests rather than to the common military good. Weinberger and the Chiefs opposed passage of the act, Weinberger because the Chiefs did, and the Chiefs because Goldwater-Nichols reduced their power. However, subsequent secretaries of defense, JCS chairmen, and service chiefs themselves have praised reorganization as significantly improving US military effectiveness as well as increasing the military’s say when it comes to using force. Powell certainly needed no prodding to use his reorganization-enhanced influence as a pulpit from which to preach his use-of-force gospel. IV. Have Munich and Vietnam Usefully Informed Policy? If the significant influence of Munich and Vietnam on the formulation and implementation of US national security policy since 1945 is not to be gainsaid, the usefulness of these two historical analogies as policy informants is less evident. Munich was indeed relevant to dealing with post-World War II Soviet expansionism. Both Hitler’s Germany and Stalin’s Russia had imperial ambitions on a global scale and enormous resources to act upon those ambitions. Indeed, the Munich analogy presupposes not only aggression relentlessly pursued but also military power on a scale commensurate with that of Great Power status. Additionally, the Munich analogy’s corollary domino principle presupposes a relative equality on the part of victim states to armed takeover. The states that Hitler invaded in sequence from September 1939 to July 1941 — all of them, except France, relatively weak — did indeed quickly fall, thereby resembling the fall of dominoes. German power ground to a halt only at the English Channel and along the approaches to Moscow. Nor was it unreasonable for the Truman administration to interpret North Korea’s invasion of South Korea as a surrogate Soviet invasion. Soviet occupation forces had brought Kim Il Sung into Korea in 1945 and put him in power. Kim Il Sung had no independent nationalist credentials; he had no more political legitimacy than the Soviet-installed regimes in Eastern Europe that also served Stalin’s strategic agenda. By 1949 his regime had become a Soviet client state to the point where the North Korean dictator felt compelled to travel to Moscow to obtain Stalin’s permission to start a war on the South. Indeed, Stalin not only approved but also supplied North Korea with heavy weapons, including the then still-superb T-34 tank (against which the South Korean’s had no effective defenses).59 Nor was George Bush’s invocation of the lessons of the 1930s altogether misplaced in the Persian Gulf forty years later. Though Saddam Hussein’s Iraq was hardly a great power, it sought hegemony in a region of indisputably vital importance to the United States and its Western allies. In 1990 Saddam was a brutal aggressor whose conquest of Kuwait, if allowed to stand, would have placed him in a position to easily invade Saudi Arabia’s Eastern Province or, more likely, to coerce Saudi concessions on oil and even security issues. Saddam’s military power had no local equal and dwarfed that of Saudi Arabia, a US client state for whose survival past US presidents had declared a willingness to fight. The US response to Saddam’s move not only ejected Iraqi forces from Kuwait but also stripped Saddam of sustainable offensive conventional military power. In Vietnam, however, Munich blinded rather than enlightened American policy-makers. Indeed, as noted, their propensity to view events in Southeast Asia in the 1960s through the prism of events in Europe in the 1930s helped lay the foundation for the very disaster memories of which today shape US policy just as profoundly as did Munich in Southeast Asia. Three decades after Chamberlain and Daladier agreed to sit down with Hitler and Mussolini, Munich simply spoiled on its long journey to Indochina. In Southeast Asia the United States was dealing with a small, poor communist state. There was simply no analogy between Ho Chi Minh and Hitler, and between South Vietnam and the Sudetenland. The Asian communist dictator, whose credentials as a Vietnamese nationalist had no equal anywhere in Vietnam, was an instrument neither of Chinese nor of Soviet expansion. Nor did he harbor imperial ambitions outside Indochina, which his very limited military power was insufficient to fulfill in any event. The assumption that no communist leader could be a genuine nationalist — and therefore have legitimate political appeal — obscured the persistence of substantial national tensions within the so-called “Communist Bloc” of states. Tito’s dramatic break with Stalin in the late 1940s, which provoked the extension of substantial US military assistance to communist Yugoslavia, was an example available to Vietnam era policy-makers, who were also aware of rising Sino-Soviet tensions and who should have been aware of historic Sino-Vietnamese hatreds. Powell himself has complained that in Vietnam, “Our political leaders led us into a war for the one-size-fits-all rationale of anti-communism, which was only a partial fit in Vietnam, where the war had its own historical roots in nationalism, anticolonialism and civil strife.”60 As for dominoes, the Vietnamese revolution, because of its predominately nationalist nature, could not be readily exported beyond Indochina.61 Official prognostications that South Vietnam’s fall would provoke that of the rest of Southeast Asia failed to recognize that communism’s success in Vietnam derived from a confluence of historical, cultural, and political factors peculiar to that country. In Europe in the 1930s and 1940s, aggression was centrally directed from Berlin. No such authority directed it in Asia in the 1960s. In sum, the Munich analogy is a useful policy informant with respect to some kinds of external security threats, but it was not relevant to any and all cases of aggression. Indeed, the Johnson administration’s insistence that Vietnam was a case of international aggression as clear as Germany’s invasion of other European states during World War II obscured the reality of the Vietnam War as first and foremost a civil war among Vietnamese to determine who was govern the southern half of the Vietnamese nation. If the southward trek of communist forces was an act of international aggression, then so too was the southward movement of Union armies into Confederate territory. As for the Vietnam War analogy, its usefulness as a guide to using force since that war would appear to hinge on what is meant by the use of force. There are many ways force can be employed, only one of them being war against another state. Richard Haass’ taxonomy of uses of force includes deterrence, preventive attacks, compellence, punitive attacks, peacekeeping, peace-making, nation-building, interdiction, humanitarian assistance, rescue, and war-fighting.62 In addition to actual uses of force are threatened uses of force for purposes varying from coercion to war avoidance. Successfully threatened force, however, rests on conveying to an adversary a willingness to use force. The Weinberger-Powell doctrine correctly cautions against rushing off to real war with another state absent mobilization of public support, a clear conception of victory and how it is to be attained, and a willingness on the part of civilian authority to grant the military sufficient operational latitude to achieve declared military objectives. The decision to enter major war with another state does indeed require obedience to maintaining the integrity of the Clausewitz’s trinity of the army, the state, and the people. “Clausewitz’s greatest lesson for my profession,” observes Colin Powell, “was that the soldier, for all his patriotism, valor, and skill, forms just one leg in a triad. Without all three legs engaged, the military, the government, and the people, the enterprise cannot stand.”63 Even former Secretary of Defense and key Vietnam policy-maker Robert McNamara himself now recognizes that a key to US defeat in Vietnam was the Johnson administration’s failure “to draw Congress and the American people into a full and frank discussion....of the pros and cons of a large-scale U.S. military involvement in Southeast Asia before we initiated the action....America’s deepest military strength lies not in its military prowess but, rather, in the unity of its people. We failed to maintain it.”64 But does this judgment apply to all uses of force? Was it necessary to mobilize the nation for the Iranian hostage rescue mission? The invasion of Grenada? The punitive air strikes against Libya? The dispatch of a carrier to the Taiwan Strait? Do not military operations other than war, which have been the predominant use of US force since the Cold War’s demise, inherently require the utmost discrimination in using force, and therefore the closest political supervision? What about the use of force as a tool of coercive diplomacy? Can the use of force be credibly threatened if an adversary is convinced that US self-imposed restrictions make its use unlikely? Is not the Weinberger-Powell doctrine the conventional military equivalent of the Massive Retaliation doctrine of the 1950s? Does it not, as Eliot Cohen has argued, yield “a military posture that is prepared for all-or-nothing operations, likely to provide civilian leaders with only the harshest of military choices, or indeed none at all”?65 The relevance of the Weinberger-Powell doctrine in the post-Cold War world is questionable on three counts. First, to the extent that the doctrine purports to be a warning against another Vietnam, it is almost certainly unnecessary. The very experience of the Vietnam War remains the greatest obstacle to its repetition, and even if it weren’t, there are probably no more Vietnams lying in wait for the United States anywhere in the world. The Cold War’s demise has stripped most of the non-industrial world of any strategic vitality to the United States, thereby eliminating a critical condition promoting major US use of force there. More to the point, there is probably no non-industrial state or faction, now or in the foreseeable future, that could replicate the remarkable performance of Vietnamese communist forces in Indochina from 1945 to 1975. Iranian Pasdaran, Nicaraguan Sandinistas, Lebanese militia, Iraqi Republican Guards, Somali “technicals,” and Bosnian Serb gunners may be vexing, even dangerous, but in skill, tenacity, and discipline they could not hold a candle to North Vietnamese army regulars and main force Viet Cong. Additionally, it would be difficult for the United States to find a non-industrial client state as politically and militarily incompetent as it South Vietnamese client of the 1960s. These judgments are not meant to encourage recklessness in approaching conflicts in the Third World: US intervention in Vietnam was a monumental and costly mistake, and subsequent US interventions in Lebanon and Somalia were clearly ill advised and mishandled. But the confluence of allies, adversaries, perceived interests, and events in Indochina in the 1960s finds no analog anywhere in the world today. Second, though the doctrine has become entrenched on Capitol Hill and across the Potomac at the Pentagon, post-Vietnam War and especially post-Cold War presidents have displayed a propensity to use force with little regard for the doctrine’s explicit cautions. President Reagan made his disastrous decision to intervene in Lebanon’s civil war against the strong objections of Secretary of Defense Weinberger and the JCS; President Bush chose to go to war over Kuwait notwithstanding the grave reservations of JCS Chairman Powell; President Clinton launched an invasion of Haiti in the face of strong congressional opposition. Whatever rhetorical obedience presidents have paid to the tenets of the Weinberger-Powell Doctrine, they have not hesitated to exercise their authority as commander-in-chief to place US military forces in harm’s way. They have used force on behalf of non-vital interests, in the absence of public and congressional support, and as a second, even first, rather than last resort. Presidents seem to regard the doctrine, as they do the War Powers Act itself, as both an intrusion upon presidential authority in national security policy and an enemy of flexibility in crises, especially crises calling for uses of force short of full-scale war. In his 1985 book, No More Vietnams, Richard Nixon deplored the fact that “our ineptness in Vietnam [has] led many Americans to question the wisdom of using our power at all,” turning the United States “into a military giant and a diplomatic dwarf.”66 Nixon went on to warn that the “outstretched hand of diplomacy will have a very weak grip unless a President holds the scepter of credible military power in his other hand.”67 Former Secretary of Defense James Schlesinger also opposes “the emerging belief that the United States must only fight popular, winnable wars. The role of the United States in the world is such that it must be prepared for, be prepared to threaten, and even be prepared to fight those intermediate conflicts that are likely to fare poorly on television.”68 Former Secretary of State George P. Shultz has denounced the doctrine as “the Vietnam syndrome in spades, carried to an absurd level, and a complete abdication of the duties of leadership” because it excludes the use or threatened use of force in “situations where a discrete assertion of power is needed or appropriate for limited purposes.” In his view, Weinberger believed that “our forces were to be constantly built up but not used: everything in our defense structure seemed geared exclusively to deter World War II against the Soviets; diplomacy was to solve all the other problems we faced around the world.”69 Secretary of State Madeleine Albright had the same complaint about Powell’s aversion to deploying US troops to Bosnia: “What’s the point,” she asked Powell, “of having this superb military that you are always talking about if we can’t use it?”70 The late Secretary of Defense Les Aspin also condemned the Powell doctrine as “the ‘all-or-nothing’ school [which] says if you aren’t willing to put the pedal to the floor, don’t start the engine.”71 Which brings us to the third questionable aspect of the doctrine: its relevance to post-Cold War uses of force. The Weinberger-Powell doctrine seems most relevant to precisely the kind of conflict — large-scale interstate warfare involving full and sustained national political and military engagement — that is receding as a serious threat to American security. Any president contemplating a large war with another state would be foolish indeed to make war over trivial interests and in the absence of mobilized public and congressional support. President Bush went to war in the Persian Gulf over a vital US interest and with broad popular support. He opted for war only after it became obvious that economic sanctions against Iraq would not force Saddam Hussein out of Kuwait, and he conducted the war on behalf of clear and achievable political and military objectives. But the Gulf War appears to be the exception that proves the rule. While the era of large-scale interstate warfare — the collision of big conventional armies — may not be over for good (because it may be a function of impermanent American military domination of the international system72), the scope and incidence of such warfare declined dramatically since 1945.73 Indeed, Andrew Bacevich contends that “the changing character of modern war long ago turned the flank of conventional military practice, limiting its application to an ever-narrowing spectrum of contingencies.”74 In a post-Cold War world in which the United States faces no peer military competitor for the foreseeable future, the primary demands on American military power have been small wars and operations other than war in places peripheral to core US security interests. Continued Pentagon preparation for major conventional warfare at the regional level reflects, not anticipation of the more likely, but rather preference for the familiar and a determination to preserve as much force structure as possible in the wake of the Soviet Union’s disappearance. MOOTW abound, and even the employment of violence by the military is far more likely than not to be limited and brief — e.g., punitive air strikes of the kind directed against Libya in 1986 and against Bosnian Serb targets in 1995. The post-Cold War world, at least as it has unfolded so far, has not been marked by Clausewitzian clashes of nations, but instead by Jominian employment of limited force for limited ends. Intrastate warfare has displaced interstate warfare as the principal source of violence. “The core problem,” writes Leslie H. Gelb, “is wars of national debilitation, a steady run of uncivil civil wars sundering fragile but functioning nation-states and gnawing at the well-being of stable nations.”75 Strict adherence to the tenets of the Weinberger-Powell doctrine would preclude US use of force or threatened use of force in virtually all crises, including the Bosnias, Somalias, and Haitis of the world, other than those involving the kind of familiar large-scale regional wars for which the Pentagon continues to plan. This goes a long way in explaining the doctrine’s popularity inside the Pentagon and on Capitol Hill. At the same time, it explains White House and State Department hostility to the doctrine. Overwhelming force is an excessive response to most crises engaging US national security interests, and even grave threats to core interests provoke searches for non-war solutions. Would the national interest in October 1962 have been better served by an overwhelming military assault on Cuba than by the naval quarantine option President Kennedy ultimately settled upon? Indeed, how does one reach the conclusion that the 8,000,000 tons of bombs the United States dropped in Indochina during the Vietnam War was a display of underwhelming force? And does not “a formula for going to war in which American casualties are minimized and protracted engagements are avoided...require...the massive use of American firepower and a speedy withdrawal from the scenes of destruction” that in turn encourages leaving behind unfinished and potentially critical political business?76 Was not Saddam Hussein’s political survival attributable in part to the emphasis in the Weinberger-Powell Doctrine on haste and minimizing casualties?77 Impressive military power and a demonstrated willingness to use it in circumstances short of all-out war and on behalf of less than vital interests, including those collectively known as imperial policing, constitute not only a critical mark of great power status but also the indispensable foundation of successful diplomacy. War and force are not synonymous, and force without war is usually preferable to war itself. This is not an argument for buying into every small war and potential MOOTW that comes along. But it is an argument against elevating the importance of preserving the military’s well-being and reputation above that of the state itself. The military’s first obligation is to protect the state; the state does not exist to protect the military. A strategically reckless and politically maimed use of force in Vietnam does not justify potentially crippling national military timidity thirty years later. To be sure, the Weinberger-Powell doctrine never commanded universal allegiance within the Pentagon; the Army was and remains its core constituency. Moreover, the passage of Powell and of time itself, coupled with signs of growing appreciation of the doctrine’s limited relevance, may lead to its ultimate displacement by a use-of-force doctrine more appropriate to a world of small wars and MOOTW — if in fact this is the post-Cold War world in store for the United States. Yet, it would be a mistake to underestimate the powerful influence the Vietnam War continues to exert on military and especially congressional opinion, where the tenets of the Weinberger-Powell doctrine have become dogma. Strategically, the doctrine is a prescription for neo-isolationism, and as such appeals strongly to those on Capitol Hill who believe the Cold War’s demise relieves the United States of paying more than perfunctory political attention to the rest of the world. V. Does Reasoning by Historical Analogy Help or Hinder?</w:t>
      </w:r>
      <w:r>
        <w:t xml:space="preserve"> </w:t>
      </w:r>
      <w:r w:rsidRPr="009D2A5B">
        <w:rPr>
          <w:rStyle w:val="StyleUnderline"/>
        </w:rPr>
        <w:t>The examples of Munich and Vietnam reveal the limits of reasoning by historical analogy</w:t>
      </w:r>
      <w:r>
        <w:t xml:space="preserve">. Notwithstanding Santayana’s famous dictum, </w:t>
      </w:r>
      <w:r w:rsidRPr="009D2A5B">
        <w:rPr>
          <w:rStyle w:val="StyleUnderline"/>
        </w:rPr>
        <w:t>historical events</w:t>
      </w:r>
      <w:r>
        <w:t xml:space="preserve"> </w:t>
      </w:r>
      <w:r w:rsidRPr="009D2A5B">
        <w:rPr>
          <w:rStyle w:val="StyleUnderline"/>
        </w:rPr>
        <w:t>do not repeat themselves</w:t>
      </w:r>
      <w:r>
        <w:t xml:space="preserve"> </w:t>
      </w:r>
      <w:r w:rsidRPr="009D2A5B">
        <w:rPr>
          <w:rStyle w:val="StyleUnderline"/>
        </w:rPr>
        <w:t>with an exactitude permitting accurate prediction</w:t>
      </w:r>
      <w:r>
        <w:t xml:space="preserve"> of what will or will not happen if one chooses that or that course of action. Human imperfection renders misjudgment a permanent and prominent feature of human endeavor. </w:t>
      </w:r>
      <w:r w:rsidRPr="009D2A5B">
        <w:rPr>
          <w:rStyle w:val="StyleUnderline"/>
        </w:rPr>
        <w:t>History</w:t>
      </w:r>
      <w:r>
        <w:t xml:space="preserve"> nonetheless </w:t>
      </w:r>
      <w:r w:rsidRPr="009D2A5B">
        <w:rPr>
          <w:rStyle w:val="StyleUnderline"/>
        </w:rPr>
        <w:t>can teach</w:t>
      </w:r>
      <w:r>
        <w:t xml:space="preserve"> </w:t>
      </w:r>
      <w:r w:rsidRPr="009D2A5B">
        <w:rPr>
          <w:rStyle w:val="StyleUnderline"/>
        </w:rPr>
        <w:t>at the level of generality</w:t>
      </w:r>
      <w:r>
        <w:t xml:space="preserve">. </w:t>
      </w:r>
      <w:r w:rsidRPr="009D2A5B">
        <w:rPr>
          <w:rStyle w:val="StyleUnderline"/>
        </w:rPr>
        <w:t>Munich constituted a legitimate lesson</w:t>
      </w:r>
      <w:r>
        <w:t xml:space="preserve"> in how not to deal with powerful aggressor seeking regional or global domination. Stopping Hitler in 1938 might indeed have averted World War II, and the subsequent US decision to contain rather than appease post-World War II Soviet expansion did indeed prevent Europe’s domination by Moscow and perhaps even forestalled a third world war. </w:t>
      </w:r>
      <w:r w:rsidRPr="009D2A5B">
        <w:rPr>
          <w:rStyle w:val="StyleUnderline"/>
        </w:rPr>
        <w:t>Even</w:t>
      </w:r>
      <w:r>
        <w:t xml:space="preserve"> </w:t>
      </w:r>
      <w:r w:rsidRPr="009D2A5B">
        <w:rPr>
          <w:rStyle w:val="StyleUnderline"/>
        </w:rPr>
        <w:t>so</w:t>
      </w:r>
      <w:r>
        <w:t xml:space="preserve">, the </w:t>
      </w:r>
      <w:r w:rsidRPr="009D2A5B">
        <w:rPr>
          <w:rStyle w:val="StyleUnderline"/>
        </w:rPr>
        <w:t>differences between</w:t>
      </w:r>
      <w:r>
        <w:t xml:space="preserve"> Nazi </w:t>
      </w:r>
      <w:r w:rsidRPr="009D2A5B">
        <w:rPr>
          <w:rStyle w:val="StyleUnderline"/>
        </w:rPr>
        <w:t>Germany and</w:t>
      </w:r>
      <w:r>
        <w:t xml:space="preserve"> Soviet </w:t>
      </w:r>
      <w:r w:rsidRPr="009D2A5B">
        <w:rPr>
          <w:rStyle w:val="StyleUnderline"/>
        </w:rPr>
        <w:t>Russia were probably critical</w:t>
      </w:r>
      <w:r>
        <w:t xml:space="preserve"> (along with the presence of nuclear weapons after 1945) </w:t>
      </w:r>
      <w:r w:rsidRPr="009D2A5B">
        <w:rPr>
          <w:rStyle w:val="StyleUnderline"/>
        </w:rPr>
        <w:t>in explaining the absence of another world war</w:t>
      </w:r>
      <w:r>
        <w:t xml:space="preserve">. Hitler was reckless and impatient, whereas the Soviet leadership (with Khrushchev in 1961-1962 being an exception) was cautious and unhurried. But the differences between Hitler’s Germany of the 1930s and 1940s and Ho Chi Minh’s Democratic Republic of Vietnam of the 1960s were so profound as to make Munich an enemy of sound judgment by the United States on Vietnam. The </w:t>
      </w:r>
      <w:r w:rsidRPr="009D2A5B">
        <w:rPr>
          <w:rStyle w:val="StyleUnderline"/>
        </w:rPr>
        <w:t>Vietnam analogy</w:t>
      </w:r>
      <w:r>
        <w:t xml:space="preserve"> itself provides good instruction on the democratic political and professional military requirements the United States should attempt to meet when contemplating major and potentially sustained use of force against another state. The Weinberger-Powell doctrine is wise counsel as far as it goes, and it was certainly a proper fit for the Gulf crisis of 1990-1991. To be sure, adherence to that doctrine would have precluded US intervention in Vietnam on the grounds that no vital US interests were present, although the definitional elasticity of presidential declarations of vital US interests over the past half-century has robbed the term of any operationally useful meaning. Yet the doctrine </w:t>
      </w:r>
      <w:r w:rsidRPr="009D2A5B">
        <w:rPr>
          <w:rStyle w:val="StyleUnderline"/>
        </w:rPr>
        <w:t>is not a</w:t>
      </w:r>
      <w:r>
        <w:t xml:space="preserve"> </w:t>
      </w:r>
      <w:r w:rsidRPr="009D2A5B">
        <w:rPr>
          <w:rStyle w:val="StyleUnderline"/>
        </w:rPr>
        <w:t>helpful guide to using or threatening force in an international political landscape in which lesser intrastate violence is the dominant form of warfare.</w:t>
      </w:r>
      <w:r>
        <w:t xml:space="preserve"> The argument that the United States should stay out of all such small wars and military operations other than war, that it should keep its powder dry for only big conventional wars, may be emotionally appealing. </w:t>
      </w:r>
      <w:r w:rsidRPr="009D2A5B">
        <w:t>But</w:t>
      </w:r>
      <w:r w:rsidRPr="009D2A5B">
        <w:rPr>
          <w:rStyle w:val="StyleUnderline"/>
        </w:rPr>
        <w:t xml:space="preserve"> it runs afoul of the reality that the</w:t>
      </w:r>
      <w:r>
        <w:t xml:space="preserve"> </w:t>
      </w:r>
      <w:r w:rsidRPr="009D2A5B">
        <w:rPr>
          <w:rStyle w:val="StyleUnderline"/>
        </w:rPr>
        <w:t>United States is an imperial power with a vested interest in maintaining a certain</w:t>
      </w:r>
      <w:r>
        <w:t xml:space="preserve"> level of </w:t>
      </w:r>
      <w:r w:rsidRPr="009D2A5B">
        <w:rPr>
          <w:rStyle w:val="StyleUnderline"/>
        </w:rPr>
        <w:t>stability</w:t>
      </w:r>
      <w:r>
        <w:t xml:space="preserve"> in the international political system, </w:t>
      </w:r>
      <w:r w:rsidRPr="009D2A5B">
        <w:rPr>
          <w:rStyle w:val="StyleUnderline"/>
        </w:rPr>
        <w:t>and that stability maintenance requires, as it has of every other imperial power, occasional military intervention along the imperial periphery.</w:t>
      </w:r>
      <w:r>
        <w:t xml:space="preserve"> The uniqueness of the American empire as a voluntary association of market democracies does not alter the imperial obligations of the United States as the center of that empire. Imperial states meddle in small wars for reasons ranging from deterrence of escalation to protection of friends and allies. In any event, </w:t>
      </w:r>
      <w:r w:rsidRPr="009D2A5B">
        <w:rPr>
          <w:rStyle w:val="StyleUnderline"/>
        </w:rPr>
        <w:t xml:space="preserve">whatever the utility of reasoning by </w:t>
      </w:r>
      <w:r w:rsidRPr="009D2A5B">
        <w:rPr>
          <w:rStyle w:val="StyleUnderline"/>
        </w:rPr>
        <w:lastRenderedPageBreak/>
        <w:t>historical analogy as a tool of policy formulation and implementation, it is clear that policymakers invariably will continue to be influenced by past events</w:t>
      </w:r>
      <w:r>
        <w:t>and what they believe those events teach.</w:t>
      </w:r>
    </w:p>
    <w:p w:rsidR="00772496" w:rsidRPr="008F06C1" w:rsidRDefault="00772496" w:rsidP="00772496"/>
    <w:p w:rsidR="00772496" w:rsidRPr="008F06C1" w:rsidRDefault="00772496" w:rsidP="00772496"/>
    <w:p w:rsidR="00772496" w:rsidRPr="008F06C1" w:rsidRDefault="00772496" w:rsidP="00772496">
      <w:pPr>
        <w:pStyle w:val="Heading3"/>
      </w:pPr>
      <w:r w:rsidRPr="008F06C1">
        <w:lastRenderedPageBreak/>
        <w:t>Interpretation Bad</w:t>
      </w:r>
    </w:p>
    <w:p w:rsidR="00772496" w:rsidRPr="008F06C1" w:rsidRDefault="00772496" w:rsidP="00772496">
      <w:pPr>
        <w:pStyle w:val="Heading4"/>
      </w:pPr>
      <w:r w:rsidRPr="008F06C1">
        <w:t>Text cannot be interpreted accurately – it stifles creativity and devalues work</w:t>
      </w:r>
    </w:p>
    <w:p w:rsidR="00772496" w:rsidRPr="008F06C1" w:rsidRDefault="00772496" w:rsidP="00772496">
      <w:r w:rsidRPr="008F06C1">
        <w:t xml:space="preserve">Susan </w:t>
      </w:r>
      <w:r w:rsidRPr="008F06C1">
        <w:rPr>
          <w:rStyle w:val="Style13ptBold"/>
        </w:rPr>
        <w:t>Sontag ‘66</w:t>
      </w:r>
      <w:r w:rsidRPr="008F06C1">
        <w:t xml:space="preserve"> [American writer and filmmaker, teacher and political activist; President of PEN American Center; writer in at the New Yorker; Against Interpretation, Pages 3-4, ml]</w:t>
      </w:r>
    </w:p>
    <w:p w:rsidR="00772496" w:rsidRPr="008F06C1" w:rsidRDefault="00772496" w:rsidP="00772496">
      <w:r w:rsidRPr="008F06C1">
        <w:rPr>
          <w:rStyle w:val="StyleUnderline"/>
        </w:rPr>
        <w:t>What situation could prompt</w:t>
      </w:r>
      <w:r w:rsidRPr="008F06C1">
        <w:t xml:space="preserve"> this curious project for </w:t>
      </w:r>
      <w:r w:rsidRPr="008F06C1">
        <w:rPr>
          <w:rStyle w:val="StyleUnderline"/>
        </w:rPr>
        <w:t>transforming</w:t>
      </w:r>
      <w:r w:rsidRPr="008F06C1">
        <w:t xml:space="preserve"> a </w:t>
      </w:r>
      <w:r w:rsidRPr="008F06C1">
        <w:rPr>
          <w:rStyle w:val="StyleUnderline"/>
        </w:rPr>
        <w:t>text</w:t>
      </w:r>
      <w:r w:rsidRPr="008F06C1">
        <w:t xml:space="preserve">? History gives us the materials for an answer. Interpretation first appears in the culture of late classical antiquity, when the power and credibility of myth had been broken by the "realistic" view of the world introduced by scientific enlightenment. Once the question that haunts post-mythic consciousness - that of the seemliness of religious symbols - had been asked, the ancient texts were, in their pristine form, no longer acceptable. Then </w:t>
      </w:r>
      <w:r w:rsidRPr="008F06C1">
        <w:rPr>
          <w:rStyle w:val="StyleUnderline"/>
        </w:rPr>
        <w:t>interpretation was summoned, to reconcile</w:t>
      </w:r>
      <w:r w:rsidRPr="008F06C1">
        <w:t xml:space="preserve"> the ancient </w:t>
      </w:r>
      <w:r w:rsidRPr="008F06C1">
        <w:rPr>
          <w:rStyle w:val="StyleUnderline"/>
        </w:rPr>
        <w:t>texts to "modern" demands</w:t>
      </w:r>
      <w:r w:rsidRPr="008F06C1">
        <w:t xml:space="preserve">. Thus, the Stoics, to accord with their view that the gods had to be moral, allegorized away the rude features of Zeus and his boisterous clan in Homer's epics. What Homer really designated by the adultery of Zeus with Leto, they explained, was the union between power and wisdom. In the same vein, Philo of Alexandria interpreted the literal historical narratives of the Hebrew Bible as spiritual paradigms. The story of the exodus from Egypt, the wandering in the desert for forty years, and the entry into the promised land, said Philo, was really an allegory of the individual soul's emancipation, tribulations, and final deliverance. Interpretation thus presupposes a discrepancy between the clear meaning of the text and the demands of (later) readers. </w:t>
      </w:r>
      <w:r w:rsidRPr="008F06C1">
        <w:rPr>
          <w:rStyle w:val="StyleUnderline"/>
        </w:rPr>
        <w:t xml:space="preserve">It seeks to resolve that discrepancy. The situation is that for some reason a text has become unacceptable; yet </w:t>
      </w:r>
      <w:r w:rsidRPr="008F06C1">
        <w:t>it</w:t>
      </w:r>
      <w:r w:rsidRPr="008F06C1">
        <w:rPr>
          <w:rStyle w:val="StyleUnderline"/>
        </w:rPr>
        <w:t xml:space="preserve"> cannot be discarded.</w:t>
      </w:r>
      <w:r w:rsidRPr="008F06C1">
        <w:t xml:space="preserve"> </w:t>
      </w:r>
      <w:r w:rsidRPr="008F06C1">
        <w:rPr>
          <w:rStyle w:val="StyleUnderline"/>
        </w:rPr>
        <w:t>Interpretation is a</w:t>
      </w:r>
      <w:r w:rsidRPr="008F06C1">
        <w:t xml:space="preserve"> radical </w:t>
      </w:r>
      <w:r w:rsidRPr="008F06C1">
        <w:rPr>
          <w:rStyle w:val="StyleUnderline"/>
        </w:rPr>
        <w:t xml:space="preserve">strategy for conserving </w:t>
      </w:r>
      <w:r w:rsidRPr="008F06C1">
        <w:t xml:space="preserve">an old </w:t>
      </w:r>
      <w:r w:rsidRPr="008F06C1">
        <w:rPr>
          <w:rStyle w:val="StyleUnderline"/>
        </w:rPr>
        <w:t>text</w:t>
      </w:r>
      <w:r w:rsidRPr="008F06C1">
        <w:t xml:space="preserve">, which is thought too precious to repudiate, by revamping it. </w:t>
      </w:r>
      <w:r w:rsidRPr="008F06C1">
        <w:rPr>
          <w:rStyle w:val="StyleUnderline"/>
        </w:rPr>
        <w:t>The interpreter</w:t>
      </w:r>
      <w:r w:rsidRPr="008F06C1">
        <w:t xml:space="preserve">, without actually erasing or rewriting the text, </w:t>
      </w:r>
      <w:r w:rsidRPr="008F06C1">
        <w:rPr>
          <w:rStyle w:val="StyleUnderline"/>
        </w:rPr>
        <w:t>is altering it. But</w:t>
      </w:r>
      <w:r w:rsidRPr="008F06C1">
        <w:t xml:space="preserve"> he </w:t>
      </w:r>
      <w:r w:rsidRPr="008F06C1">
        <w:rPr>
          <w:rStyle w:val="StyleUnderline"/>
        </w:rPr>
        <w:t>can't admit to</w:t>
      </w:r>
      <w:r w:rsidRPr="008F06C1">
        <w:t xml:space="preserve"> doing this. He claims to be only making it intelligible, by disclosing its true meaning. However far the interpreters alter the text (another notorious example is the Rabbinic and Christian "spiritual" interpretations of the clearly erotic Song of Songs), they must claim to be reading off a sense that is already there. </w:t>
      </w:r>
      <w:r w:rsidRPr="008F06C1">
        <w:rPr>
          <w:rStyle w:val="StyleUnderline"/>
        </w:rPr>
        <w:t>Interpretation in our</w:t>
      </w:r>
      <w:r w:rsidRPr="008F06C1">
        <w:t xml:space="preserve"> own </w:t>
      </w:r>
      <w:r w:rsidRPr="008F06C1">
        <w:rPr>
          <w:rStyle w:val="StyleUnderline"/>
        </w:rPr>
        <w:t>time</w:t>
      </w:r>
      <w:r w:rsidRPr="008F06C1">
        <w:t xml:space="preserve">, however, </w:t>
      </w:r>
      <w:r w:rsidRPr="008F06C1">
        <w:rPr>
          <w:rStyle w:val="StyleUnderline"/>
        </w:rPr>
        <w:t>is</w:t>
      </w:r>
      <w:r w:rsidRPr="008F06C1">
        <w:t xml:space="preserve"> </w:t>
      </w:r>
      <w:r w:rsidRPr="008F06C1">
        <w:rPr>
          <w:rStyle w:val="StyleUnderline"/>
        </w:rPr>
        <w:t>even more complex</w:t>
      </w:r>
      <w:r w:rsidRPr="008F06C1">
        <w:t xml:space="preserve">. For the contemporary zeal for the project of </w:t>
      </w:r>
      <w:r w:rsidRPr="008F06C1">
        <w:rPr>
          <w:rStyle w:val="StyleUnderline"/>
        </w:rPr>
        <w:t>interpretation is</w:t>
      </w:r>
      <w:r w:rsidRPr="008F06C1">
        <w:t xml:space="preserve"> often </w:t>
      </w:r>
      <w:r w:rsidRPr="008F06C1">
        <w:rPr>
          <w:rStyle w:val="StyleUnderline"/>
        </w:rPr>
        <w:t>prompted</w:t>
      </w:r>
      <w:r w:rsidRPr="008F06C1">
        <w:t xml:space="preserve"> not by piety toward the troublesome text (which may conceal an aggression), but </w:t>
      </w:r>
      <w:r w:rsidRPr="008F06C1">
        <w:rPr>
          <w:rStyle w:val="StyleUnderline"/>
        </w:rPr>
        <w:t>by</w:t>
      </w:r>
      <w:r w:rsidRPr="008F06C1">
        <w:t xml:space="preserve"> an open </w:t>
      </w:r>
      <w:r w:rsidRPr="008F06C1">
        <w:rPr>
          <w:rStyle w:val="StyleUnderline"/>
        </w:rPr>
        <w:t>aggressiveness</w:t>
      </w:r>
      <w:r w:rsidRPr="008F06C1">
        <w:t xml:space="preserve">, an overt contempt for appearances. The old style of interpretation was insistent, but respectful; it erected another meaning on top of the literal one. The </w:t>
      </w:r>
      <w:r w:rsidRPr="008F06C1">
        <w:rPr>
          <w:rStyle w:val="StyleUnderline"/>
        </w:rPr>
        <w:t>modern style</w:t>
      </w:r>
      <w:r w:rsidRPr="008F06C1">
        <w:t xml:space="preserve"> of interpretation excavates, and as it excavates, </w:t>
      </w:r>
      <w:r w:rsidRPr="008F06C1">
        <w:rPr>
          <w:rStyle w:val="StyleUnderline"/>
        </w:rPr>
        <w:t>destroys</w:t>
      </w:r>
      <w:r w:rsidRPr="008F06C1">
        <w:t xml:space="preserve">; it </w:t>
      </w:r>
      <w:r w:rsidRPr="008F06C1">
        <w:rPr>
          <w:rStyle w:val="StyleUnderline"/>
        </w:rPr>
        <w:t>digs "behind" the text, to find a sub-text which is the true one</w:t>
      </w:r>
      <w:r w:rsidRPr="008F06C1">
        <w:t xml:space="preserve">. The most celebrated and influential modern doctrines, those of Marx and Freud, actually amount to elaborate systems of hermeneutics, aggressive and impious theories of interpretation. All observable phenomena are bracketed, in Freud's phrase, as manifest content. This manifest content must be probed and pushed aside to find the true meaning - the latent content - beneath. For Marx, social events like revolutions and wars; for Freud, the events of individual lives (like neurotic symptoms and slips of the tongue) as well as texts (like a dream or a work of art) - all are treated as occasions for interpretation. According to Marx and Freud, these events only seem to be intelligible. Actually, they have no meaning without interpretation. To understand is to interpret. And </w:t>
      </w:r>
      <w:r w:rsidRPr="008F06C1">
        <w:rPr>
          <w:rStyle w:val="StyleUnderline"/>
        </w:rPr>
        <w:t>to interpret is to restate the phenomenon</w:t>
      </w:r>
      <w:r w:rsidRPr="008F06C1">
        <w:t xml:space="preserve">, in effect to find an equivalent for it. Thus, </w:t>
      </w:r>
      <w:r w:rsidRPr="008F06C1">
        <w:rPr>
          <w:rStyle w:val="StyleUnderline"/>
        </w:rPr>
        <w:t>interpretation is not</w:t>
      </w:r>
      <w:r w:rsidRPr="008F06C1">
        <w:t xml:space="preserve"> (as most people assume) </w:t>
      </w:r>
      <w:r w:rsidRPr="008F06C1">
        <w:rPr>
          <w:rStyle w:val="StyleUnderline"/>
        </w:rPr>
        <w:t>an absolute value</w:t>
      </w:r>
      <w:r w:rsidRPr="008F06C1">
        <w:t xml:space="preserve">, a gesture of mind situated in some timeless realm of capabilities. </w:t>
      </w:r>
      <w:r w:rsidRPr="008F06C1">
        <w:rPr>
          <w:rStyle w:val="StyleUnderline"/>
        </w:rPr>
        <w:t>Interpretation must</w:t>
      </w:r>
      <w:r w:rsidRPr="008F06C1">
        <w:t xml:space="preserve"> itself be </w:t>
      </w:r>
      <w:r w:rsidRPr="008F06C1">
        <w:rPr>
          <w:rStyle w:val="StyleUnderline"/>
        </w:rPr>
        <w:t>evaluated</w:t>
      </w:r>
      <w:r w:rsidRPr="008F06C1">
        <w:t xml:space="preserve">, </w:t>
      </w:r>
      <w:r w:rsidRPr="008F06C1">
        <w:rPr>
          <w:rStyle w:val="StyleUnderline"/>
        </w:rPr>
        <w:t>within a historical view of human consciousness</w:t>
      </w:r>
      <w:r w:rsidRPr="008F06C1">
        <w:t xml:space="preserve">. In some cultural contexts, interpretation is a liberating act. It is a means of revising, of transvaluing, of escaping the dead past. In other cultural contexts, it is reactionary, impertinent, cowardly, stifling. </w:t>
      </w:r>
      <w:r w:rsidRPr="008F06C1">
        <w:rPr>
          <w:rStyle w:val="StyleUnderline"/>
        </w:rPr>
        <w:t>Today is</w:t>
      </w:r>
      <w:r w:rsidRPr="008F06C1">
        <w:t xml:space="preserve"> such </w:t>
      </w:r>
      <w:r w:rsidRPr="008F06C1">
        <w:rPr>
          <w:rStyle w:val="StyleUnderline"/>
        </w:rPr>
        <w:t>a time</w:t>
      </w:r>
      <w:r w:rsidRPr="008F06C1">
        <w:t xml:space="preserve">, </w:t>
      </w:r>
      <w:r w:rsidRPr="008F06C1">
        <w:rPr>
          <w:rStyle w:val="StyleUnderline"/>
        </w:rPr>
        <w:t>when</w:t>
      </w:r>
      <w:r w:rsidRPr="008F06C1">
        <w:t xml:space="preserve"> the project of </w:t>
      </w:r>
      <w:r w:rsidRPr="008F06C1">
        <w:rPr>
          <w:rStyle w:val="StyleUnderline"/>
        </w:rPr>
        <w:t>interpretation is</w:t>
      </w:r>
      <w:r w:rsidRPr="008F06C1">
        <w:t xml:space="preserve"> largely reactionary, </w:t>
      </w:r>
      <w:r w:rsidRPr="008F06C1">
        <w:rPr>
          <w:rStyle w:val="StyleUnderline"/>
        </w:rPr>
        <w:t>stifling</w:t>
      </w:r>
      <w:r w:rsidRPr="008F06C1">
        <w:t xml:space="preserve">. Like the fumes of the automobile and of heavy industry which befoul the urban atmosphere, the </w:t>
      </w:r>
      <w:r w:rsidRPr="008F06C1">
        <w:rPr>
          <w:rStyle w:val="StyleUnderline"/>
        </w:rPr>
        <w:t>effusion of interpretations</w:t>
      </w:r>
      <w:r w:rsidRPr="008F06C1">
        <w:t xml:space="preserve"> of art today </w:t>
      </w:r>
      <w:r w:rsidRPr="008F06C1">
        <w:rPr>
          <w:rStyle w:val="StyleUnderline"/>
        </w:rPr>
        <w:t>poisons</w:t>
      </w:r>
      <w:r w:rsidRPr="008F06C1">
        <w:t xml:space="preserve"> our </w:t>
      </w:r>
      <w:r w:rsidRPr="008F06C1">
        <w:rPr>
          <w:rStyle w:val="StyleUnderline"/>
        </w:rPr>
        <w:t>sensibilities</w:t>
      </w:r>
      <w:r w:rsidRPr="008F06C1">
        <w:t xml:space="preserve">. In a culture whose already classical dilemma is the hypertrophy of </w:t>
      </w:r>
      <w:r w:rsidRPr="008F06C1">
        <w:lastRenderedPageBreak/>
        <w:t xml:space="preserve">the intellect at the expense of energy and sensual capability, interpretation is the revenge of the intellect upon art. Even more. </w:t>
      </w:r>
      <w:r w:rsidRPr="008F06C1">
        <w:rPr>
          <w:rStyle w:val="StyleUnderline"/>
        </w:rPr>
        <w:t>It is the revenge of the intellect upon the world. To interpret is to impoverish, to deplete</w:t>
      </w:r>
      <w:r w:rsidRPr="008F06C1">
        <w:t xml:space="preserve"> the world - in order to set up a shadow world of "meanings." It is to turn the world into this world. ("This world"! As if there were any other.) </w:t>
      </w:r>
      <w:r w:rsidRPr="008F06C1">
        <w:rPr>
          <w:rStyle w:val="StyleUnderline"/>
        </w:rPr>
        <w:t>The world,</w:t>
      </w:r>
      <w:r w:rsidRPr="008F06C1">
        <w:t xml:space="preserve"> our world, </w:t>
      </w:r>
      <w:r w:rsidRPr="008F06C1">
        <w:rPr>
          <w:rStyle w:val="StyleUnderline"/>
        </w:rPr>
        <w:t>is</w:t>
      </w:r>
      <w:r w:rsidRPr="008F06C1">
        <w:t xml:space="preserve"> depleted, </w:t>
      </w:r>
      <w:r w:rsidRPr="008F06C1">
        <w:rPr>
          <w:rStyle w:val="StyleUnderline"/>
        </w:rPr>
        <w:t>impoverished enough</w:t>
      </w:r>
      <w:r w:rsidRPr="008F06C1">
        <w:t xml:space="preserve">. </w:t>
      </w:r>
      <w:r w:rsidRPr="008F06C1">
        <w:rPr>
          <w:rStyle w:val="StyleUnderline"/>
        </w:rPr>
        <w:t>Away</w:t>
      </w:r>
      <w:r w:rsidRPr="008F06C1">
        <w:t xml:space="preserve"> </w:t>
      </w:r>
      <w:r w:rsidRPr="008F06C1">
        <w:rPr>
          <w:rStyle w:val="StyleUnderline"/>
        </w:rPr>
        <w:t>with</w:t>
      </w:r>
      <w:r w:rsidRPr="008F06C1">
        <w:t xml:space="preserve"> all </w:t>
      </w:r>
      <w:r w:rsidRPr="008F06C1">
        <w:rPr>
          <w:rStyle w:val="StyleUnderline"/>
        </w:rPr>
        <w:t>duplicates</w:t>
      </w:r>
      <w:r w:rsidRPr="008F06C1">
        <w:t xml:space="preserve"> of it, until we again experience more immediately what we have.</w:t>
      </w:r>
    </w:p>
    <w:p w:rsidR="00772496" w:rsidRPr="008F06C1" w:rsidRDefault="00772496" w:rsidP="00772496">
      <w:pPr>
        <w:pStyle w:val="Heading4"/>
      </w:pPr>
      <w:r w:rsidRPr="008F06C1">
        <w:t xml:space="preserve">Interpretation makes the work something to be used rather than cherished – coincides with an emphasis on re-production and over consumption  </w:t>
      </w:r>
    </w:p>
    <w:p w:rsidR="00772496" w:rsidRPr="008F06C1" w:rsidRDefault="00772496" w:rsidP="00772496">
      <w:r w:rsidRPr="008F06C1">
        <w:t xml:space="preserve">Susan </w:t>
      </w:r>
      <w:r w:rsidRPr="008F06C1">
        <w:rPr>
          <w:rStyle w:val="Style13ptBold"/>
        </w:rPr>
        <w:t>Sontag ‘66</w:t>
      </w:r>
      <w:r w:rsidRPr="008F06C1">
        <w:t xml:space="preserve"> [American writer and filmmaker, teacher and political activist; President of PEN American Center; writer in at the New Yorker; Against Interpretation, Pages 3-4, ml]</w:t>
      </w:r>
    </w:p>
    <w:p w:rsidR="00772496" w:rsidRDefault="00772496" w:rsidP="00772496">
      <w:pPr>
        <w:rPr>
          <w:rStyle w:val="StyleUnderline"/>
        </w:rPr>
      </w:pPr>
      <w:r w:rsidRPr="008F06C1">
        <w:t xml:space="preserve">In most modern instances, interpretation amounts to the philistine refusal to leave the work of art alone. Real art has the capacity to make us nervous. </w:t>
      </w:r>
      <w:r w:rsidRPr="008F06C1">
        <w:rPr>
          <w:rStyle w:val="StyleUnderline"/>
        </w:rPr>
        <w:t>By reducing</w:t>
      </w:r>
      <w:r w:rsidRPr="008F06C1">
        <w:t xml:space="preserve"> the </w:t>
      </w:r>
      <w:r w:rsidRPr="008F06C1">
        <w:rPr>
          <w:rStyle w:val="StyleUnderline"/>
        </w:rPr>
        <w:t>work</w:t>
      </w:r>
      <w:r w:rsidRPr="008F06C1">
        <w:t xml:space="preserve"> of art </w:t>
      </w:r>
      <w:r w:rsidRPr="008F06C1">
        <w:rPr>
          <w:rStyle w:val="StyleUnderline"/>
        </w:rPr>
        <w:t>to its content</w:t>
      </w:r>
      <w:r w:rsidRPr="008F06C1">
        <w:t xml:space="preserve"> and then interpreting that, </w:t>
      </w:r>
      <w:r w:rsidRPr="008F06C1">
        <w:rPr>
          <w:rStyle w:val="StyleUnderline"/>
        </w:rPr>
        <w:t>one tames the work</w:t>
      </w:r>
      <w:r w:rsidRPr="008F06C1">
        <w:t xml:space="preserve"> of art. Interpretation makes art manageable, comformable. This philistinism of interpretation is more rife in literature than in any other art. For decades now, literary critics have understood it to be their task to translate the elements of the poem or play or novel or story into something else. Sometimes a writer will be so uneasy before the naked power of his art that he will install within the work itself - albeit with a little shyness, a touch of the good taste of irony - the clear and explicit interpretation of it. Thomas Mann is an example of such an overcooperative author. In the case of more stubborn authors, the critic is only too happy to perform the job. The work of Kafka, for example, has been subjected to a mass ravishment by no less than three armies of interpreters. Those who read Kafka as a social allegory see case studies of the frustrations and insanity of modern bureaucracy and its ultimate issuance in the totalitarian state. Those who read Kafka as a psychoanalytic allegory see desperate revelations of Kafka's fear of his father, his castration anxieties, his sense of his own impotence, his thralldom to his dreams. Those who read Kafka as a religious allegory explain that K. in The Castle is trying to gain access to heaven, that Josepl K. in The Trial is being judged by the inexorable and mysterious justice of God. . . . Another oeuvre that has attracted interpreters like leeches is that of Samuel Beckett. Beckett's delicate dramas of the withdrawn consciousness - pared down to essentials, cut off, often represented as physically immobilized - are read as a statement about modern man's alienation from meaning or from God, or as an allegory of psychopathology. Proust, Joyce, Faulkner, Rilke, Lawrence, Gide . . . one could go on citing author after author; the list is endless of those around whom thick encrustations of interpretation have taken hold. But </w:t>
      </w:r>
      <w:r w:rsidRPr="008F06C1">
        <w:rPr>
          <w:rStyle w:val="StyleUnderline"/>
        </w:rPr>
        <w:t>it should be noted that interpretation is not simply the compliment that mediocrity pays to</w:t>
      </w:r>
      <w:r w:rsidRPr="008F06C1">
        <w:t xml:space="preserve"> </w:t>
      </w:r>
      <w:r w:rsidRPr="008F06C1">
        <w:rPr>
          <w:rStyle w:val="StyleUnderline"/>
        </w:rPr>
        <w:t>genius. It is,</w:t>
      </w:r>
      <w:r w:rsidRPr="008F06C1">
        <w:t xml:space="preserve"> indeed, the </w:t>
      </w:r>
      <w:r w:rsidRPr="008F06C1">
        <w:rPr>
          <w:rStyle w:val="StyleUnderline"/>
        </w:rPr>
        <w:t>modern way of understanding</w:t>
      </w:r>
      <w:r w:rsidRPr="008F06C1">
        <w:t xml:space="preserve"> something, and is applied to works of every quality. Thus, in the notes that Elia Kazan published on his production of A Streetcar Named Desire, it becomes clear that, in order to direct the play, Kazan had to discover that Stanley Kowalski represented the sensual and vengeful barbarism that was engulfing our culture, while Blanche Du Bois was Western civilization, poetry, delicate apparel, dim lighting, refined feelings and all, though a little the worse for wear to be sure. Tennessee Williams' forceful psychological melodrama now became intelligible: it was about something, about the decline of Western civilization. Apparently, were it to go on being a play about a handsome brute named Stanley Kowalski and a faded mangy belle named Blanche Du Bois, it would not be manageable. </w:t>
      </w:r>
      <w:r w:rsidRPr="008F06C1">
        <w:rPr>
          <w:rStyle w:val="StyleUnderline"/>
        </w:rPr>
        <w:t>It doesn't matter whether artists intend, or don't intend, for their works to be interpreted</w:t>
      </w:r>
      <w:r w:rsidRPr="008F06C1">
        <w:t xml:space="preserve">. Perhaps Tennessee Williams thinks Streetcar is about what Kazan thinks it to be about. It may be that Cocteau in The Blood of a Poet and in Orpheus wanted the elaborate readings which have been given these films, in terms of Freudian symbolism and social critique. But </w:t>
      </w:r>
      <w:r w:rsidRPr="008F06C1">
        <w:rPr>
          <w:rStyle w:val="StyleUnderline"/>
        </w:rPr>
        <w:t>the merit of these works certainly lies elsewhere than in their</w:t>
      </w:r>
      <w:r w:rsidRPr="008F06C1">
        <w:t xml:space="preserve"> "</w:t>
      </w:r>
      <w:r w:rsidRPr="008F06C1">
        <w:rPr>
          <w:rStyle w:val="StyleUnderline"/>
        </w:rPr>
        <w:t xml:space="preserve">meanings." </w:t>
      </w:r>
      <w:r w:rsidRPr="008F06C1">
        <w:t xml:space="preserve">Indeed, it is precisely to the extent that Williams' plays and Cocteau's films do suggest these portentous meanings that they are defective, false, contrived, lacking in conviction. From </w:t>
      </w:r>
      <w:r w:rsidRPr="008F06C1">
        <w:lastRenderedPageBreak/>
        <w:t xml:space="preserve">interviews, it appears that Resnais and Robbe-Grillet consciously designed Last Year at Marienbad to accommodate a multiplicity of equally plausible interpretations. But the temptation to interpret Marienbad should be resisted. What matters in Marienbad is the pure, untranslatable, sensuous immediacy of some of its images, and its rigorous if narrow solutions to certain problems of cinematic form. Again, Ingmar Bergman may have meant the tank rumbling down the empty night street in The Silence as a phallic symbol. But if he did, it was a foolish thought. ("Never trust the teller, trust the tale," said Lawrence.) Taken as a brute object, as an immediate sensory equivalent for the mysterious abrupt armored happenings going on inside the hotel, that sequence with the tank is the most striking moment in the film. Those who reach for a Freudian interpretation of the tank are only expressing their lack of response to what is there on the screen. It is always the case that interpretation of this type indicates a dissatisfaction (conscious or unconscious) with the work, a wish to replace it by something else. </w:t>
      </w:r>
      <w:r w:rsidRPr="008F06C1">
        <w:rPr>
          <w:rStyle w:val="StyleUnderline"/>
        </w:rPr>
        <w:t xml:space="preserve">Interpretation, based on the highly dubious theory that a work of art is composed of items of content, violates art. It makes art into an article for use, for arrangement into a mental scheme of categories. </w:t>
      </w:r>
      <w:r w:rsidRPr="008F06C1">
        <w:t xml:space="preserve">7 Interpretation does not, of course, always prevail. In fact, a great deal of today's art may be understood as motivated by a flight from interpretation. To avoid interpretation, art may become parody. Or it may become abstract. Or it may become ("merely") decorative. Or it may become non-art. The flight from interpretation seems particularly a feature of modern painting. Abstract painting is the attempt to have, in the ordinary sense, no content; since there is no content, there can be no interpretation. Pop Art works by the opposite means to the same result; using a content so blatant, so "what it is," it, too, ends by being uninterpretable. A great deal of modern poetry as well, starting from the great experiments of French poetry (including the movement that is misleadingly called Symbolism) to put silence into poems and to reinstate the magic of the word, has escaped from the rough grip of interpretation. The most recent revolution in contemporary taste in poetry - the revolution that has deposed Eliot and elevated Pound - represents a turning away from content in poetry in the old sense, an impatience with what made modern poetry prey to the zeal of interpreters. I am speaking mainly of the situation in America, of course. Interpretation runs rampant here in those arts with a feeble and negligible avant-garde: fiction and the drama. Most American novelists and playwrights are really either journalists or gentlemen sociologists and psychologists. They are writing the literary equivalent of program music. And so rudimentary, uninspired, and stagnant has been the sense of what might be done with form in fiction and drama that even when the content isn't simply information, news, it is still peculiarly visible, handier, more exposed. To the extent that novels and plays (in America), unlike poetry and painting and music, don't reflect any interesting concern with changes in their form, these arts remain prone to assault by interpretation. But programmatic avant-gardism - which has meant, mostly, experiments with form at the expense of content - is not the only defense against the infestation of art by interpretations. At least, I hope not. For this would be to commit art to being perpetually on the run. (It also perpetuates the very distinction between form and content which is, ultimately, an illusion.) Ideally, it is possible to elude the interpreters in another way, by making works of art whose surface is so unified and clean, whose momentum is so rapid, whose address is so direct that the work can be . . . just what it is. Is this possible now? It does happen in films, I believe. This is why cinema is the most alive, the most exciting, the most important of all art forms right now. Perhaps the way one tells how alive a particular art form is, is by the latitude it gives for making mistakes in it, and still being good. For example, a few of the films of Bergman - though crammed with lame messages about the modern spirit, thereby inviting interpretations - still triumph over the pretentious intentions of their director. In Winter Light and The Silence, the beauty and visual sophistication of the images subvert before our eyes the callow pseudo¬intellectuality of the story and some of the dialogue. (The most remarkable instance of this sort of discrepancy is the work of D. W. Griffith.) In good films, there is always a directness that entirely frees us from the itch to interpret. Many old Hollywood films, like those of Cukor, Walsh, Hawks, and countless other directors, have this liberating anti-symbolic quality, no less than the best work of the </w:t>
      </w:r>
      <w:r w:rsidRPr="008F06C1">
        <w:lastRenderedPageBreak/>
        <w:t xml:space="preserve">new European directors, like Truffaut's Shoot the Piano Player and Jules and Jim, Godard's Breathless and Vivre Sa Vie, Antonioni's L'Avventura, and Olmi's The Fiances. The fact that films have not been overrun by interpreters is in part due simply to the newness of cinema as an art. It also owes to the happy accident that films for such a long time were just movies; in other words, that they were understood to be part of mass, as opposed to high, culture, and were left alone by most people with minds. Then, too, there is always something other than content in the cinema to grab hold of, for those who want to analyze. For the cinema, unlike the novel, possesses a vocabulary of forms - the explicit, complex, and discussable technology of camera movements, cutting, and composition of the frame that goes into the making of a film. 8 What kind of criticism, of commentary on the arts, is desirable today? For I am not saying that works of art are ineffable, that they cannot be described or paraphrased. They can be. The question is how. What would criticism look like that would serve the work of art, not usurp its place? What is needed, first, is more attention to form in art. If excessive stress on content provokes the arrogance of interpretation, more extended and more thorough descriptions of form would silence. What is needed is a vocabulary - a descriptive, rather than prescriptive, vocabulary - for forms.1 The best criticism, and it is uncommon, is of this sort that dissolves considerations of content into those of form. On film, drama, and painting respectively, I can think of Erwin Panofsky's essay, "Style and Medium in the Motion Pictures," Northrop Frye's essay "A Conspectus of Dramatic Genres," Pierre Francastel's essay "The Destruction of a Plastic Space." Roland Barthes' book On Racine and his two essays on Robbe-Grillet are examples of formal analysis applied to the work of a single author. (The best essays in Erich Auerbach's Mimesis, like "The Scar of Odysseus," are also of this type.) An example of formal analysis applied simultaneously to genre and author is Walter Benjamin's essay, "The Story Teller: Reflections on the Works of Nicolai Leskov." Equally valuable would be acts of criticism which would supply a really accurate, sharp, loving description of the appearance of a work of art. This seems even harder to do than formal analysis. Some of Manny Farber's film criticism, Dorothy Van Ghent's essay "The Dickens World: A View from Todgers'," Randall Jarrell's essay on Walt Whitman are among the rare examples of what I mean. These are essays which reveal the sensuous surface of art without mucking about in it. 9 </w:t>
      </w:r>
      <w:r w:rsidRPr="008F06C1">
        <w:rPr>
          <w:rStyle w:val="StyleUnderline"/>
        </w:rPr>
        <w:t>Transparence is the highest, most liberating value</w:t>
      </w:r>
      <w:r w:rsidRPr="008F06C1">
        <w:t xml:space="preserve"> in art - and in criticism - today. </w:t>
      </w:r>
      <w:r w:rsidRPr="008F06C1">
        <w:rPr>
          <w:rStyle w:val="StyleUnderline"/>
        </w:rPr>
        <w:t>Transparence means experiencing the luminousness of the</w:t>
      </w:r>
      <w:r w:rsidRPr="008F06C1">
        <w:t xml:space="preserve"> </w:t>
      </w:r>
      <w:r w:rsidRPr="008F06C1">
        <w:rPr>
          <w:rStyle w:val="StyleUnderline"/>
        </w:rPr>
        <w:t>thing in itself</w:t>
      </w:r>
      <w:r w:rsidRPr="008F06C1">
        <w:t xml:space="preserve">, of things being what they are. This is the greatness of, for example, the films of Bresson and Ozu and Renoir's The Rules of the Game. Once upon a time (say, for Dante), it must have been a revolutionary and creative move to design works of art so that they might be experienced on several levels. Now it is not. It reinforces the principle of redundancy that is the principal affliction of modern life. Once upon a time (a time when high art was scarce), it must have been a revolutionary and creative move to interpret works of art. Now it is not. What we decidedly do not need now is further to assimilate Art into Thought, or (worse yet) Art into Culture. </w:t>
      </w:r>
      <w:r w:rsidRPr="008F06C1">
        <w:rPr>
          <w:rStyle w:val="StyleUnderline"/>
        </w:rPr>
        <w:t>Interpretation takes the sensory experience of the work</w:t>
      </w:r>
      <w:r w:rsidRPr="008F06C1">
        <w:t xml:space="preserve"> of art for granted, </w:t>
      </w:r>
      <w:r w:rsidRPr="008F06C1">
        <w:rPr>
          <w:rStyle w:val="StyleUnderline"/>
        </w:rPr>
        <w:t>and</w:t>
      </w:r>
      <w:r w:rsidRPr="008F06C1">
        <w:t xml:space="preserve"> </w:t>
      </w:r>
      <w:r w:rsidRPr="008F06C1">
        <w:rPr>
          <w:rStyle w:val="StyleUnderline"/>
        </w:rPr>
        <w:t>proceeds</w:t>
      </w:r>
      <w:r w:rsidRPr="008F06C1">
        <w:t xml:space="preserve"> from there. </w:t>
      </w:r>
      <w:r w:rsidRPr="008F06C1">
        <w:rPr>
          <w:rStyle w:val="StyleUnderline"/>
        </w:rPr>
        <w:t>This</w:t>
      </w:r>
      <w:r w:rsidRPr="008F06C1">
        <w:t xml:space="preserve"> </w:t>
      </w:r>
      <w:r w:rsidRPr="008F06C1">
        <w:rPr>
          <w:rStyle w:val="StyleUnderline"/>
        </w:rPr>
        <w:t>cannot be taken for granted</w:t>
      </w:r>
      <w:r w:rsidRPr="008F06C1">
        <w:t xml:space="preserve">, now. Think of the sheer multiplication of works of art available to every one of us, superadded to the conflicting tastes and odors and sights of the urban environment that bombard our senses. </w:t>
      </w:r>
      <w:r w:rsidRPr="008F06C1">
        <w:rPr>
          <w:rStyle w:val="StyleUnderline"/>
        </w:rPr>
        <w:t>Ours is a culture based on excess, on overproduction; the result is a steady loss of sharpness in our sensory experience. All the conditions of modern life - its material plenitude, its sheer crowdedness - conjoin to dull our sensory faculties. And it is in the light of the condition of our senses, our capacities (rather than those of another age), that the task of the critic must be assessed.</w:t>
      </w:r>
    </w:p>
    <w:p w:rsidR="00772496" w:rsidRDefault="00772496" w:rsidP="00772496"/>
    <w:p w:rsidR="00772496" w:rsidRPr="00772496" w:rsidRDefault="00772496" w:rsidP="00772496"/>
    <w:p w:rsidR="00746AD6" w:rsidRPr="00746AD6" w:rsidRDefault="00772496" w:rsidP="00772496">
      <w:pPr>
        <w:pStyle w:val="Heading2"/>
      </w:pPr>
      <w:r>
        <w:lastRenderedPageBreak/>
        <w:t>**</w:t>
      </w:r>
      <w:r w:rsidR="00746AD6" w:rsidRPr="00746AD6">
        <w:t>Metaphors Bad</w:t>
      </w:r>
      <w:r>
        <w:t>**</w:t>
      </w:r>
    </w:p>
    <w:p w:rsidR="00746AD6" w:rsidRDefault="00746AD6" w:rsidP="00746AD6"/>
    <w:p w:rsidR="002F307C" w:rsidRDefault="002F307C" w:rsidP="002F307C"/>
    <w:p w:rsidR="00813F5D" w:rsidRDefault="00813F5D" w:rsidP="00813F5D">
      <w:pPr>
        <w:pStyle w:val="Heading3"/>
      </w:pPr>
      <w:r>
        <w:lastRenderedPageBreak/>
        <w:t>General Affirmation of a Metaphor</w:t>
      </w:r>
    </w:p>
    <w:p w:rsidR="00813F5D" w:rsidRDefault="00813F5D" w:rsidP="002F307C"/>
    <w:p w:rsidR="00746AD6" w:rsidRPr="00746AD6" w:rsidRDefault="002F307C" w:rsidP="00746AD6">
      <w:pPr>
        <w:pStyle w:val="Heading4"/>
      </w:pPr>
      <w:r>
        <w:t>The underlying interpretive structure creates uncertainty that forces an impossible choice – destroys decision-making</w:t>
      </w:r>
    </w:p>
    <w:p w:rsidR="00746AD6" w:rsidRDefault="00746AD6" w:rsidP="008C1B2E">
      <w:r>
        <w:rPr>
          <w:rStyle w:val="Style13ptBold"/>
        </w:rPr>
        <w:t>Ramsay 04</w:t>
      </w:r>
      <w:r>
        <w:t xml:space="preserve"> [John Ramsay, The Economics Division, The Business School, Staffordshire University, Stoke-on-Trent, UK, “Trope Control: The Costs and Benefits of Metaphor Unreliability in the Description of Empirical Phenomena”, British Journal of Management Volume 15, Issue 2 June 2004 Pages 143–155] // t-haas</w:t>
      </w:r>
    </w:p>
    <w:p w:rsidR="00746AD6" w:rsidRPr="0042117A" w:rsidRDefault="00746AD6" w:rsidP="008C1B2E">
      <w:pPr>
        <w:rPr>
          <w:sz w:val="14"/>
        </w:rPr>
      </w:pPr>
      <w:r w:rsidRPr="002F307C">
        <w:rPr>
          <w:rStyle w:val="StyleUnderline"/>
        </w:rPr>
        <w:t>The process of communicating and interpreting the meaning of metaphors</w:t>
      </w:r>
      <w:r w:rsidRPr="0042117A">
        <w:rPr>
          <w:sz w:val="14"/>
        </w:rPr>
        <w:t xml:space="preserve"> in business writing </w:t>
      </w:r>
      <w:r w:rsidRPr="002F307C">
        <w:rPr>
          <w:rStyle w:val="StyleUnderline"/>
        </w:rPr>
        <w:t>is deeply unreliable</w:t>
      </w:r>
      <w:r w:rsidRPr="0042117A">
        <w:rPr>
          <w:sz w:val="14"/>
        </w:rPr>
        <w:t xml:space="preserve">. </w:t>
      </w:r>
      <w:r w:rsidRPr="002F307C">
        <w:rPr>
          <w:rStyle w:val="StyleUnderline"/>
        </w:rPr>
        <w:t>This stems from the structure of metaphors</w:t>
      </w:r>
      <w:r w:rsidRPr="0042117A">
        <w:rPr>
          <w:sz w:val="14"/>
        </w:rPr>
        <w:t xml:space="preserve"> in which some of the characteristics of a source domain are transferred to a target domain. The precise </w:t>
      </w:r>
      <w:r w:rsidRPr="002F307C">
        <w:rPr>
          <w:rStyle w:val="StyleUnderline"/>
        </w:rPr>
        <w:t>selection of characteristics is made by the reader rather than the author of the metaphor, thus creating uncertainty of meaning</w:t>
      </w:r>
      <w:r w:rsidRPr="0042117A">
        <w:rPr>
          <w:sz w:val="14"/>
        </w:rPr>
        <w:t xml:space="preserve">. Although there are some beneﬁts stemming from the inherent ambiguity of metaphor, </w:t>
      </w:r>
      <w:r w:rsidRPr="002F307C">
        <w:rPr>
          <w:rStyle w:val="StyleUnderline"/>
        </w:rPr>
        <w:t>the unreliability of the trope not only makes it impossible to choose between competing metaphors, but may distort our view of reality and thus lead to poor management decision-making</w:t>
      </w:r>
      <w:r w:rsidRPr="0042117A">
        <w:rPr>
          <w:sz w:val="14"/>
        </w:rPr>
        <w:t xml:space="preserve">. Moreover, </w:t>
      </w:r>
      <w:r w:rsidRPr="002F307C">
        <w:rPr>
          <w:rStyle w:val="StyleUnderline"/>
        </w:rPr>
        <w:t>the unreliability of the interpretation process is so pronounced that some</w:t>
      </w:r>
      <w:r w:rsidRPr="0042117A">
        <w:rPr>
          <w:sz w:val="14"/>
        </w:rPr>
        <w:t xml:space="preserve"> authors have attempted to </w:t>
      </w:r>
      <w:r w:rsidRPr="002F307C">
        <w:rPr>
          <w:rStyle w:val="StyleUnderline"/>
        </w:rPr>
        <w:t>reject the use of metaphor entirely</w:t>
      </w:r>
      <w:r w:rsidRPr="0042117A">
        <w:rPr>
          <w:sz w:val="14"/>
        </w:rPr>
        <w:t xml:space="preserve">. </w:t>
      </w:r>
    </w:p>
    <w:p w:rsidR="00746AD6" w:rsidRDefault="00746AD6" w:rsidP="001932AC"/>
    <w:p w:rsidR="001932AC" w:rsidRDefault="001932AC" w:rsidP="001932AC"/>
    <w:p w:rsidR="001932AC" w:rsidRPr="001932AC" w:rsidRDefault="001932AC" w:rsidP="001932AC">
      <w:pPr>
        <w:pStyle w:val="Heading4"/>
      </w:pPr>
      <w:r>
        <w:t>Metaphors are a flawed method – ambiguity and distortion from interpretation decimate decision making and the purpose behind the metaphor</w:t>
      </w:r>
    </w:p>
    <w:p w:rsidR="00746AD6" w:rsidRDefault="00746AD6" w:rsidP="008C1B2E">
      <w:r>
        <w:rPr>
          <w:rStyle w:val="Style13ptBold"/>
        </w:rPr>
        <w:t>Ramsay 04</w:t>
      </w:r>
      <w:r>
        <w:t xml:space="preserve"> [John Ramsay, The Economics Division, The Business School, Staffordshire University, Stoke-on-Trent, UK, “Trope Control: The Costs and Benefits of Metaphor Unreliability in the Description of Empirical Phenomena”, British Journal of Management Volume 15, Issue 2 June 2004 Pages 143–155] // t-haas</w:t>
      </w:r>
    </w:p>
    <w:p w:rsidR="00746AD6" w:rsidRPr="0042117A" w:rsidRDefault="00746AD6" w:rsidP="008C1B2E">
      <w:pPr>
        <w:rPr>
          <w:sz w:val="12"/>
        </w:rPr>
      </w:pPr>
      <w:r w:rsidRPr="0042117A">
        <w:rPr>
          <w:sz w:val="12"/>
        </w:rPr>
        <w:t xml:space="preserve">The </w:t>
      </w:r>
      <w:r w:rsidRPr="002F307C">
        <w:rPr>
          <w:rStyle w:val="StyleUnderline"/>
        </w:rPr>
        <w:t>use of metaphor complicates the process of establishing</w:t>
      </w:r>
      <w:r w:rsidRPr="0042117A">
        <w:rPr>
          <w:sz w:val="12"/>
        </w:rPr>
        <w:t xml:space="preserve"> </w:t>
      </w:r>
      <w:r w:rsidRPr="002F307C">
        <w:rPr>
          <w:rStyle w:val="StyleUnderline"/>
        </w:rPr>
        <w:t>and communicating understanding</w:t>
      </w:r>
      <w:r w:rsidRPr="0042117A">
        <w:rPr>
          <w:sz w:val="12"/>
        </w:rPr>
        <w:t xml:space="preserve"> of empirical phenomena </w:t>
      </w:r>
      <w:r w:rsidRPr="002F307C">
        <w:rPr>
          <w:rStyle w:val="StyleUnderline"/>
        </w:rPr>
        <w:t>because the process of interpreting the meaning of any given metaphor is deeply unreliable</w:t>
      </w:r>
      <w:r w:rsidRPr="0042117A">
        <w:rPr>
          <w:sz w:val="12"/>
        </w:rPr>
        <w:t xml:space="preserve">, and </w:t>
      </w:r>
      <w:r w:rsidRPr="002F307C">
        <w:rPr>
          <w:rStyle w:val="StyleUnderline"/>
        </w:rPr>
        <w:t xml:space="preserve">the resulting misunderstandings distort our perceptions of the world. It is extremely difficult to control the process whereby the meaning that the ‘author’ of a metaphor wishes to convey is received and </w:t>
      </w:r>
      <w:r w:rsidRPr="0042117A">
        <w:rPr>
          <w:sz w:val="12"/>
        </w:rPr>
        <w:t>reconstructed or</w:t>
      </w:r>
      <w:r w:rsidRPr="002F307C">
        <w:rPr>
          <w:rStyle w:val="StyleUnderline"/>
        </w:rPr>
        <w:t xml:space="preserve"> interpreted by its ‘readers’.</w:t>
      </w:r>
      <w:r w:rsidRPr="0042117A">
        <w:rPr>
          <w:sz w:val="12"/>
        </w:rPr>
        <w:t xml:space="preserve"> In terms of the earlier discussion, </w:t>
      </w:r>
      <w:r w:rsidRPr="002F307C">
        <w:rPr>
          <w:rStyle w:val="StyleUnderline"/>
        </w:rPr>
        <w:t>ambiguity is generated by both the structure of the metaphor and the way in which it generates meaning</w:t>
      </w:r>
      <w:r w:rsidRPr="0042117A">
        <w:rPr>
          <w:sz w:val="12"/>
        </w:rPr>
        <w:t xml:space="preserve"> in the mind of the reader. When characteristics are transferred from source to target domain (illustrated by the overlap in Figure 1 above) </w:t>
      </w:r>
      <w:r w:rsidRPr="002F307C">
        <w:rPr>
          <w:rStyle w:val="StyleUnderline"/>
        </w:rPr>
        <w:t>the transfer is only partial</w:t>
      </w:r>
      <w:r w:rsidRPr="0042117A">
        <w:rPr>
          <w:sz w:val="12"/>
        </w:rPr>
        <w:t xml:space="preserve">. The </w:t>
      </w:r>
      <w:r w:rsidRPr="002F307C">
        <w:rPr>
          <w:rStyle w:val="StyleUnderline"/>
        </w:rPr>
        <w:t>metaphor's author will</w:t>
      </w:r>
      <w:r w:rsidRPr="0042117A">
        <w:rPr>
          <w:sz w:val="12"/>
        </w:rPr>
        <w:t xml:space="preserve"> (hopefully) </w:t>
      </w:r>
      <w:r w:rsidRPr="002F307C">
        <w:rPr>
          <w:rStyle w:val="StyleUnderline"/>
        </w:rPr>
        <w:t>have a clear idea in their own mind what the</w:t>
      </w:r>
      <w:r w:rsidRPr="0042117A">
        <w:rPr>
          <w:sz w:val="12"/>
        </w:rPr>
        <w:t xml:space="preserve"> ‘shape’ of the </w:t>
      </w:r>
      <w:r w:rsidRPr="002F307C">
        <w:rPr>
          <w:rStyle w:val="StyleUnderline"/>
        </w:rPr>
        <w:t>overlap</w:t>
      </w:r>
      <w:r w:rsidRPr="0042117A">
        <w:rPr>
          <w:sz w:val="12"/>
        </w:rPr>
        <w:t xml:space="preserve"> between source and target domains </w:t>
      </w:r>
      <w:r w:rsidRPr="002F307C">
        <w:rPr>
          <w:rStyle w:val="StyleUnderline"/>
        </w:rPr>
        <w:t>looks like</w:t>
      </w:r>
      <w:r w:rsidRPr="0042117A">
        <w:rPr>
          <w:sz w:val="12"/>
        </w:rPr>
        <w:t xml:space="preserve">; in other words which particular sub-set of the characteristics of the source domain they would like the reader to focus upon and transfer to the target domain. However, </w:t>
      </w:r>
      <w:r w:rsidRPr="002F307C">
        <w:rPr>
          <w:rStyle w:val="StyleUnderline"/>
        </w:rPr>
        <w:t>this process of cognitive blending takes place in the reader's mind and is not susceptible to direct authorial control</w:t>
      </w:r>
      <w:r w:rsidRPr="0042117A">
        <w:rPr>
          <w:sz w:val="12"/>
        </w:rPr>
        <w:t xml:space="preserve">. In the earlier roller-coaster example, the author's intended, key source-domain characteristic may have been the unexpected and extreme nature of the sensations generated in the coaster's riders by the undulations in its track, but is unlikely to have included steel or wooden rails, screaming children and the like. </w:t>
      </w:r>
      <w:r w:rsidRPr="002F307C">
        <w:rPr>
          <w:rStyle w:val="StyleUnderline"/>
        </w:rPr>
        <w:t>Even if the author delineates the intended subset of characteristics very clearly in an accompanying explanation, as soon as the metaphor reaches the reader's mind it will be broken down and reconstructed in an unconscious process as the linguistic images in the metaphor interact with the reader's personal knowledge and experiences. The cognitive structures formed in this process will be different for each reader because each has a unique set of experiences and knowledge to draw upon</w:t>
      </w:r>
      <w:r w:rsidRPr="0042117A">
        <w:rPr>
          <w:sz w:val="12"/>
        </w:rPr>
        <w:t xml:space="preserve">. The </w:t>
      </w:r>
      <w:r w:rsidRPr="002F307C">
        <w:rPr>
          <w:rStyle w:val="StyleUnderline"/>
        </w:rPr>
        <w:t>meanings of all metaphors are thus ambiguous</w:t>
      </w:r>
      <w:r w:rsidRPr="0042117A">
        <w:rPr>
          <w:sz w:val="12"/>
        </w:rPr>
        <w:t xml:space="preserve">. The unreliable nature of the </w:t>
      </w:r>
      <w:r w:rsidRPr="002F307C">
        <w:rPr>
          <w:rStyle w:val="StyleUnderline"/>
        </w:rPr>
        <w:t xml:space="preserve">interpretation process is readily demonstrated </w:t>
      </w:r>
      <w:r w:rsidRPr="0042117A">
        <w:rPr>
          <w:sz w:val="12"/>
        </w:rPr>
        <w:t xml:space="preserve">using a recent metaphor coined in 2000: ‘supply chains can be conceived of as vast networks of dyadic (buyer and seller) power relationships. Taken as a whole, the supply chain that must be created to deliver any product or service can be conceived of as a particular power regime. The overall structure of each </w:t>
      </w:r>
      <w:r w:rsidRPr="002F307C">
        <w:rPr>
          <w:rStyle w:val="StyleUnderline"/>
        </w:rPr>
        <w:t>regime</w:t>
      </w:r>
      <w:r w:rsidRPr="0042117A">
        <w:rPr>
          <w:sz w:val="12"/>
        </w:rPr>
        <w:t xml:space="preserve"> depends on the unique power relationships between buyers and sellers in all of its constituent parts.’ (Cox, Sanderson and Watson, 2000, p. xii) No detailed explanation was given in the original text for the subset of the characteristics of a ‘regime’ the authors intended readers to apply </w:t>
      </w:r>
      <w:r w:rsidRPr="0042117A">
        <w:rPr>
          <w:sz w:val="12"/>
        </w:rPr>
        <w:lastRenderedPageBreak/>
        <w:t xml:space="preserve">to the metaphor of supply chains. Indeed, </w:t>
      </w:r>
      <w:r w:rsidRPr="002F307C">
        <w:rPr>
          <w:rStyle w:val="StyleUnderline"/>
        </w:rPr>
        <w:t>no effort was made to specify what type of ‘regime’ was in their minds when creating this new metaphor</w:t>
      </w:r>
      <w:r w:rsidRPr="0042117A">
        <w:rPr>
          <w:sz w:val="12"/>
        </w:rPr>
        <w:t xml:space="preserve">. </w:t>
      </w:r>
      <w:r w:rsidRPr="002F307C">
        <w:rPr>
          <w:rStyle w:val="StyleUnderline"/>
        </w:rPr>
        <w:t>As a result readers are given free rein to draw upon whatever images, concepts or feelings the word ‘regime’ resonates with from their own experiences. These might range from authoritarian Marxist political systems or rigid personal behaviour patterns through to diet regimes</w:t>
      </w:r>
      <w:r w:rsidRPr="0042117A">
        <w:rPr>
          <w:sz w:val="12"/>
        </w:rPr>
        <w:t xml:space="preserve"> and the like. Here is what the metaphor meant to one of its authors: ‘We use the word “regime” (perhaps somewhat unconsciously) to refer to a system of power relationships, in the same way that commentators talk about a political regime. The relationships in such a political regime are between various interest groups (business, trades unions, the media etc.) and the formal institutions of governance (depts. of state, parliament etc.). Each of these actors has certain power resources that it might use more or less successfully to achieve political/economic/social outcomes that it values. In our conception, a supply chain power regime consists of exchange relationships between firms, in which power resources might be used to achieve certain valued exchange outcomes. The word “</w:t>
      </w:r>
      <w:r w:rsidRPr="002F307C">
        <w:rPr>
          <w:rStyle w:val="StyleUnderline"/>
        </w:rPr>
        <w:t>regime” is used to denote the fact that the interests of the actors in the system of exchange</w:t>
      </w:r>
      <w:r w:rsidRPr="0042117A">
        <w:rPr>
          <w:sz w:val="12"/>
        </w:rPr>
        <w:t xml:space="preserve"> (supply chain or network) </w:t>
      </w:r>
      <w:r w:rsidRPr="002F307C">
        <w:rPr>
          <w:rStyle w:val="StyleUnderline"/>
        </w:rPr>
        <w:t>are</w:t>
      </w:r>
      <w:r w:rsidRPr="0042117A">
        <w:rPr>
          <w:sz w:val="12"/>
        </w:rPr>
        <w:t xml:space="preserve"> more or less </w:t>
      </w:r>
      <w:r w:rsidRPr="002F307C">
        <w:rPr>
          <w:rStyle w:val="StyleUnderline"/>
        </w:rPr>
        <w:t>in conflict</w:t>
      </w:r>
      <w:r w:rsidRPr="0042117A">
        <w:rPr>
          <w:sz w:val="12"/>
        </w:rPr>
        <w:t xml:space="preserve">, and that power resources might be used to pursue those interests. The notion of a supply chain or a network, on the other hand, is simply about the physical process of buying, transforming and selling goods and service.’ (Sanderson, 2001) </w:t>
      </w:r>
      <w:r w:rsidRPr="002F307C">
        <w:rPr>
          <w:rStyle w:val="StyleUnderline"/>
        </w:rPr>
        <w:t>It is extraordinarily unlikely that anyone reading the original description of the metaphor would have selected that precise subset of characteristics</w:t>
      </w:r>
      <w:r w:rsidRPr="0042117A">
        <w:rPr>
          <w:sz w:val="12"/>
        </w:rPr>
        <w:t xml:space="preserve">, and many would have constructed radically different interpretations referring to entirely different kinds of regime. Moreover, the meaning of a metaphor to a given reader may fluctuate from moment to moment as their mood changes, they experience new events or remember old ones and thus draw on different images and memories. Hence, </w:t>
      </w:r>
      <w:r w:rsidRPr="002F307C">
        <w:rPr>
          <w:rStyle w:val="StyleUnderline"/>
        </w:rPr>
        <w:t>once released into the world a metaphor resembles not so much a stable meaning as a shimmering, boundless cloud of potential meanings waiting for individual readers to impose their own shape upon it through a subjective process mediated by their personal experiences</w:t>
      </w:r>
      <w:r w:rsidRPr="0042117A">
        <w:rPr>
          <w:sz w:val="12"/>
        </w:rPr>
        <w:t xml:space="preserve">. </w:t>
      </w:r>
      <w:r w:rsidRPr="001932AC">
        <w:rPr>
          <w:rStyle w:val="Emphasis"/>
        </w:rPr>
        <w:t>The consequences of this feature of metaphors are profound</w:t>
      </w:r>
      <w:r w:rsidRPr="0042117A">
        <w:rPr>
          <w:sz w:val="12"/>
        </w:rPr>
        <w:t xml:space="preserve">. First, </w:t>
      </w:r>
      <w:r w:rsidRPr="002F307C">
        <w:rPr>
          <w:rStyle w:val="StyleUnderline"/>
        </w:rPr>
        <w:t>if the precise meaning of any given metaphor is impossible to establish</w:t>
      </w:r>
      <w:r w:rsidRPr="0042117A">
        <w:rPr>
          <w:sz w:val="12"/>
        </w:rPr>
        <w:t xml:space="preserve">, and depends instead upon the subjective experiences of each individual reader, </w:t>
      </w:r>
      <w:r w:rsidRPr="002F307C">
        <w:rPr>
          <w:rStyle w:val="StyleUnderline"/>
        </w:rPr>
        <w:t xml:space="preserve">then </w:t>
      </w:r>
      <w:r w:rsidRPr="001932AC">
        <w:rPr>
          <w:rStyle w:val="Emphasis"/>
        </w:rPr>
        <w:t>there can be no logical or objective method of choosing between them</w:t>
      </w:r>
      <w:r w:rsidRPr="0042117A">
        <w:rPr>
          <w:sz w:val="12"/>
        </w:rPr>
        <w:t>. If, for example, the precise meanings of the competing metaphors of ‘supply chains’ and ‘supply networks’ in the purchasing and marketing fields are impossible to establish, then</w:t>
      </w:r>
      <w:r w:rsidRPr="002F307C">
        <w:rPr>
          <w:rStyle w:val="StyleUnderline"/>
        </w:rPr>
        <w:t xml:space="preserve"> </w:t>
      </w:r>
      <w:r w:rsidRPr="0042117A">
        <w:rPr>
          <w:sz w:val="12"/>
        </w:rPr>
        <w:t xml:space="preserve">there can be no objective method for academics and practitioners to decide which is the most appropriate for their circumstances or needs. </w:t>
      </w:r>
      <w:r w:rsidRPr="002F307C">
        <w:rPr>
          <w:rStyle w:val="StyleUnderline"/>
        </w:rPr>
        <w:t>Second, if there is no way for the author of a metaphor to control the readers' selection of source domain characteristics, there is a real risk of inappropriate characteristics being chosen during the interpretation process with consequent distortions to the readers' perceptions of the phenomenon being described</w:t>
      </w:r>
      <w:r w:rsidRPr="0042117A">
        <w:rPr>
          <w:sz w:val="12"/>
        </w:rPr>
        <w:t xml:space="preserve">. </w:t>
      </w:r>
    </w:p>
    <w:p w:rsidR="00746AD6" w:rsidRDefault="00746AD6" w:rsidP="008C1B2E"/>
    <w:p w:rsidR="00746AD6" w:rsidRDefault="001932AC" w:rsidP="00746AD6">
      <w:pPr>
        <w:pStyle w:val="Heading4"/>
      </w:pPr>
      <w:r>
        <w:t xml:space="preserve">By masking objective truth, it becomes impossible to determine whether the metaphor is productive or not – means they don’t access solvency </w:t>
      </w:r>
    </w:p>
    <w:p w:rsidR="00746AD6" w:rsidRDefault="00746AD6" w:rsidP="008C1B2E">
      <w:r>
        <w:rPr>
          <w:rStyle w:val="Style13ptBold"/>
        </w:rPr>
        <w:t>Ramsay 04</w:t>
      </w:r>
      <w:r>
        <w:t xml:space="preserve"> [John Ramsay, The Economics Division, The Business School, Staffordshire University, Stoke-on-Trent, UK, “Trope Control: The Costs and Benefits of Metaphor Unreliability in the Description of Empirical Phenomena”, British Journal of Management Volume 15, Issue 2 June 2004 Pages 143–155] // t-haas</w:t>
      </w:r>
    </w:p>
    <w:p w:rsidR="00746AD6" w:rsidRPr="0042117A" w:rsidRDefault="00746AD6" w:rsidP="008C1B2E">
      <w:pPr>
        <w:rPr>
          <w:sz w:val="12"/>
        </w:rPr>
      </w:pPr>
      <w:r w:rsidRPr="001932AC">
        <w:rPr>
          <w:rStyle w:val="StyleUnderline"/>
        </w:rPr>
        <w:t>Metaphors bring ambiguity</w:t>
      </w:r>
      <w:r w:rsidRPr="0042117A">
        <w:rPr>
          <w:sz w:val="12"/>
        </w:rPr>
        <w:t xml:space="preserve">, but opinions vary over the significance of the effect of this feature on our understanding and explanation. </w:t>
      </w:r>
      <w:r w:rsidRPr="001932AC">
        <w:rPr>
          <w:rStyle w:val="StyleUnderline"/>
        </w:rPr>
        <w:t>Positivists</w:t>
      </w:r>
      <w:r w:rsidRPr="0042117A">
        <w:rPr>
          <w:sz w:val="12"/>
        </w:rPr>
        <w:t xml:space="preserve">, particularly those of a Popperian bent, </w:t>
      </w:r>
      <w:r w:rsidRPr="001932AC">
        <w:rPr>
          <w:rStyle w:val="StyleUnderline"/>
        </w:rPr>
        <w:t>regard this aspect of metaphor as deeply problematic</w:t>
      </w:r>
      <w:r w:rsidRPr="0042117A">
        <w:rPr>
          <w:sz w:val="12"/>
        </w:rPr>
        <w:t xml:space="preserve">. Indeed some find </w:t>
      </w:r>
      <w:r w:rsidRPr="001932AC">
        <w:rPr>
          <w:rStyle w:val="StyleUnderline"/>
        </w:rPr>
        <w:t>the difficulties generated by metaphor insuperable</w:t>
      </w:r>
      <w:r w:rsidRPr="0042117A">
        <w:rPr>
          <w:sz w:val="12"/>
        </w:rPr>
        <w:t xml:space="preserve"> and </w:t>
      </w:r>
      <w:r w:rsidRPr="001932AC">
        <w:rPr>
          <w:rStyle w:val="StyleUnderline"/>
        </w:rPr>
        <w:t>suggest that</w:t>
      </w:r>
      <w:r w:rsidRPr="0042117A">
        <w:rPr>
          <w:sz w:val="12"/>
        </w:rPr>
        <w:t>: ‘</w:t>
      </w:r>
      <w:r w:rsidRPr="001932AC">
        <w:rPr>
          <w:rStyle w:val="StyleUnderline"/>
        </w:rPr>
        <w:t>an alternative to adopting and/or over-developing metaphors is to strive to avoid using them at all</w:t>
      </w:r>
      <w:r w:rsidRPr="0042117A">
        <w:rPr>
          <w:sz w:val="12"/>
        </w:rPr>
        <w:t xml:space="preserve"> in reported research and new theory…</w:t>
      </w:r>
      <w:r w:rsidRPr="001932AC">
        <w:rPr>
          <w:rStyle w:val="StyleUnderline"/>
        </w:rPr>
        <w:t>deliberate striving to avoid metaphor tends to tie accurate</w:t>
      </w:r>
      <w:r w:rsidRPr="0042117A">
        <w:rPr>
          <w:sz w:val="12"/>
        </w:rPr>
        <w:t xml:space="preserve"> scientific </w:t>
      </w:r>
      <w:r w:rsidRPr="001932AC">
        <w:rPr>
          <w:rStyle w:val="StyleUnderline"/>
        </w:rPr>
        <w:t>communication to observable phenomena by way of direct reference and ostension</w:t>
      </w:r>
      <w:r w:rsidRPr="0042117A">
        <w:rPr>
          <w:sz w:val="12"/>
        </w:rPr>
        <w:t>.’ (Pinder and Bourgeois, 1982, pp. 646–647) This conclusion stems from an ontological belief in an objective reality ‘out there’ to be described and understood through the observation of events and the identification of their ‘constant conjunction’, and an epistemological view that classifies metaphors as obfuscating impurities in the language that serve only to prevent us from arriving at accurate descriptions of the regularities of the empirical world. The heart of their complaint rests on a Popperian view of explanation: ‘</w:t>
      </w:r>
      <w:r w:rsidRPr="001932AC">
        <w:rPr>
          <w:rStyle w:val="StyleUnderline"/>
        </w:rPr>
        <w:t>honest science ultimately puts itself on the line in literal enough terms to show us the conditions under which we should reject it</w:t>
      </w:r>
      <w:r w:rsidRPr="0042117A">
        <w:rPr>
          <w:sz w:val="12"/>
        </w:rPr>
        <w:t xml:space="preserve"> (Popper, 1968). But a science that is laced with metaphors makes this difficult, because </w:t>
      </w:r>
      <w:r w:rsidRPr="001932AC">
        <w:rPr>
          <w:rStyle w:val="StyleUnderline"/>
        </w:rPr>
        <w:t>metaphors shape cognition as much as cognitions shape metaphors</w:t>
      </w:r>
      <w:r w:rsidRPr="0042117A">
        <w:rPr>
          <w:sz w:val="12"/>
        </w:rPr>
        <w:t xml:space="preserve"> (de Man, 1978), and </w:t>
      </w:r>
      <w:r w:rsidRPr="001932AC">
        <w:rPr>
          <w:rStyle w:val="StyleUnderline"/>
        </w:rPr>
        <w:t>pursuing metaphors can be misleading and inefficient because one never can be sure whether they have caused us to ask inappropriate questions, whether we have asked appropriate questions appropriately or whether we are correctly interpreting the implications for theory of results</w:t>
      </w:r>
      <w:r w:rsidRPr="0042117A">
        <w:rPr>
          <w:sz w:val="12"/>
        </w:rPr>
        <w:t xml:space="preserve"> derived from metaphor-guided theorizing. In brief we cannot be sure that unsuitable metaphors will be culled from the lexicon of the field by regular scientific means.’ (Pinder and Bourgeois, 1982, p. 644)</w:t>
      </w:r>
    </w:p>
    <w:p w:rsidR="00746AD6" w:rsidRDefault="00746AD6" w:rsidP="008C1B2E"/>
    <w:p w:rsidR="00746AD6" w:rsidRDefault="00746AD6" w:rsidP="008C1B2E"/>
    <w:p w:rsidR="00E04503" w:rsidRDefault="00870054" w:rsidP="00870054">
      <w:pPr>
        <w:pStyle w:val="Heading3"/>
      </w:pPr>
      <w:r>
        <w:lastRenderedPageBreak/>
        <w:t>Disaster</w:t>
      </w:r>
      <w:r w:rsidR="009F30E6">
        <w:t xml:space="preserve"> Reps</w:t>
      </w:r>
      <w:r>
        <w:t xml:space="preserve"> Bad</w:t>
      </w:r>
    </w:p>
    <w:p w:rsidR="00870054" w:rsidRDefault="00870054" w:rsidP="00870054"/>
    <w:p w:rsidR="00870054" w:rsidRDefault="00870054" w:rsidP="00870054"/>
    <w:p w:rsidR="004E488A" w:rsidRDefault="009205A0" w:rsidP="009B0A13">
      <w:pPr>
        <w:pStyle w:val="Heading4"/>
      </w:pPr>
      <w:r>
        <w:t>Their use of a disaster scenario wrongly constructs victims as “lawless” – destroys community and turns the case</w:t>
      </w:r>
    </w:p>
    <w:p w:rsidR="004E488A" w:rsidRDefault="009B0A13" w:rsidP="00870054">
      <w:r>
        <w:rPr>
          <w:rStyle w:val="Style13ptBold"/>
        </w:rPr>
        <w:t>Tierney et al. 06</w:t>
      </w:r>
      <w:r>
        <w:t xml:space="preserve"> </w:t>
      </w:r>
      <w:r w:rsidR="004E488A">
        <w:t xml:space="preserve">[Kathleen Tierney, Christine Bevc and Erica Kuligowski, Tierney is a Professor of Sociology and Director of the Natural Hazards Research and Applications Information Center at the University of Colorado at Boulder; Bevc is a research associate with the North Carolina Preparedness and Emergency Response Research Center (NCPERRC); Kuligowski is a fire protection engineer in the Disaster Resilience Program of the Materials and Structural Systems Division (MSSD) of the Engineering Laboratory (EL) at the National Institute of Standards and Technology (NIST); “Metaphors Matter: Disaster Myths, Media Frames, and Their Consequences in Hurricane Katrina”, </w:t>
      </w:r>
      <w:r>
        <w:t>The ANNALS of the American Academy of Political and Social Science 2006 604: 57, March 2006] // t-haas</w:t>
      </w:r>
    </w:p>
    <w:p w:rsidR="00E04503" w:rsidRDefault="004E488A" w:rsidP="008C1B2E">
      <w:pPr>
        <w:rPr>
          <w:sz w:val="12"/>
        </w:rPr>
      </w:pPr>
      <w:r w:rsidRPr="004A05A5">
        <w:rPr>
          <w:sz w:val="12"/>
        </w:rPr>
        <w:t>Myths and their consequences. As the foregoing discussion shows, both media reporting and official discourse following Hurricane Katrina upheld the mythical notion that disasters result in lawlessness and social breakdown. This is not to say that media coverage following Katrina provided nothing helpful or useful to victims, theAmerican public, and audiences around theworld. That was certainly not the case. The media devoted enormous resources to covering Katrina and also to performing such services as helping to locate and reunite disaster-stricken households. Reporters worked tirelessly to provide up-to-date information on allaspects of the hurricane.</w:t>
      </w:r>
      <w:r w:rsidR="004A05A5" w:rsidRPr="004A05A5">
        <w:rPr>
          <w:sz w:val="12"/>
        </w:rPr>
        <w:t xml:space="preserve"> </w:t>
      </w:r>
      <w:r w:rsidRPr="004A05A5">
        <w:rPr>
          <w:sz w:val="12"/>
        </w:rPr>
        <w:t xml:space="preserve">However, even while engaging extensively in both reporting and public service, the media also presented highly oversimplified and distorted characterizations of the human response to the Katrina catastrophe. </w:t>
      </w:r>
      <w:r w:rsidRPr="004A05A5">
        <w:rPr>
          <w:rStyle w:val="StyleUnderline"/>
        </w:rPr>
        <w:t>Ignoring the diversity and complexity of human responses to disastrous events, media accounts constructed only two images of those trapped in the disaster impact are a: victims were seen either as “marauding thugs” out to attack both fellow victims and emergency responders or as helpless refugees from the storm, unable to cope and deserving of charity</w:t>
      </w:r>
      <w:r w:rsidRPr="004A05A5">
        <w:rPr>
          <w:sz w:val="12"/>
        </w:rPr>
        <w:t>. These contrasting constructions are reflected in a story that appeared in theTimes Picayune on August 30, which discussed Louisiana Governor Blanco’s reflection on displaced New Orleans disaster victims:</w:t>
      </w:r>
      <w:r w:rsidR="004A05A5" w:rsidRPr="004A05A5">
        <w:rPr>
          <w:sz w:val="12"/>
        </w:rPr>
        <w:t xml:space="preserve"> </w:t>
      </w:r>
      <w:r w:rsidRPr="004A05A5">
        <w:rPr>
          <w:sz w:val="12"/>
        </w:rPr>
        <w:t>Part of the population in the Dome are people “who do not have any regard for others.” But many “good people” are also living in the Dome, she said, including mothers with babies. (Scott 2005)</w:t>
      </w:r>
      <w:r w:rsidR="004A05A5" w:rsidRPr="004A05A5">
        <w:rPr>
          <w:sz w:val="12"/>
        </w:rPr>
        <w:t xml:space="preserve"> </w:t>
      </w:r>
      <w:r w:rsidRPr="004A05A5">
        <w:rPr>
          <w:sz w:val="12"/>
        </w:rPr>
        <w:t xml:space="preserve">Even as media and official discourses acknowledged that “good people”— mainly women and children—were among those victimized by Katrina, </w:t>
      </w:r>
      <w:r w:rsidRPr="004A05A5">
        <w:rPr>
          <w:rStyle w:val="StyleUnderline"/>
        </w:rPr>
        <w:t>the terms used to describe the behavior of disaster victims</w:t>
      </w:r>
      <w:r w:rsidRPr="004A05A5">
        <w:rPr>
          <w:sz w:val="12"/>
        </w:rPr>
        <w:t xml:space="preserve"> in New Orleans, </w:t>
      </w:r>
      <w:r w:rsidRPr="004A05A5">
        <w:rPr>
          <w:rStyle w:val="StyleUnderline"/>
        </w:rPr>
        <w:t>the majority of whom were people of color, were identical to those used to describe individuals and groups that engage in rioting in the context of episodes of civil unrest.</w:t>
      </w:r>
      <w:r w:rsidRPr="004A05A5">
        <w:rPr>
          <w:sz w:val="12"/>
        </w:rPr>
        <w:t xml:space="preserve"> Those trapped in New Orleans were </w:t>
      </w:r>
      <w:r w:rsidRPr="004A05A5">
        <w:rPr>
          <w:rStyle w:val="StyleUnderline"/>
        </w:rPr>
        <w:t>characterized as irrational (because they engaged in “senseless” theft, rather than stealing for survival) and as gangs of out-of-control young males who presented a lethal threat to fellow victims and emergency responders</w:t>
      </w:r>
      <w:r w:rsidRPr="004A05A5">
        <w:rPr>
          <w:sz w:val="12"/>
        </w:rPr>
        <w:t>. Officials increasingly responded to the debacle in New Orleans—a debacle that was in large measure of their own making—as if the United States were facing an armed urban insurgency rather than a catastrophic disaster. As the situationinNewOrleans was increasinglyequatedwithconditions of a“war zone,” strict military and law enforcement controls, including controls on media access to response activities such as body recovery, were seen as necessary to replace social breakdown with the rule of law and order.</w:t>
      </w:r>
      <w:r w:rsidR="004A05A5" w:rsidRPr="004A05A5">
        <w:rPr>
          <w:sz w:val="12"/>
        </w:rPr>
        <w:t xml:space="preserve"> </w:t>
      </w:r>
      <w:r w:rsidRPr="004A05A5">
        <w:rPr>
          <w:sz w:val="12"/>
        </w:rPr>
        <w:t>Once the initial media frenzy finally died down, journalists themselves were among the harshest critics of Katrina reporting. For example, in a September 29 segment that aired on the NewsHour with Jim Lehrer, media analysts, a journalist who had covered the Katrina disaster, and a military official were unanimous in their condemnation of how the media promoted myths of looting and violence in stories that were based almost entirely on rumor and hearsay. Noting that media reporters had by and large never actually witnessed lawlessness and violence in New Orleans, NewsHour guests gave numerous examples of the ways in which the mediafellshortofitsdutytoreportfacts,asopposed torumors. Onecommentator noted that</w:t>
      </w:r>
      <w:r w:rsidR="004A05A5" w:rsidRPr="004A05A5">
        <w:rPr>
          <w:sz w:val="12"/>
        </w:rPr>
        <w:t xml:space="preserve"> </w:t>
      </w:r>
      <w:r w:rsidRPr="004A05A5">
        <w:rPr>
          <w:sz w:val="12"/>
        </w:rPr>
        <w:t>The central part of this story, what went wrong at the convention center and the Superdome, was wrong. American media threweverything they had atthisstory...and yetthey could not get inside the convention center, they could not get inside the Superdome to dispel the lurid, the hysterical, the salaciousness of the reporting. . . . I have in mind especially the throat-slashed seven-year-old girl who had been gang-raped at the convention center—didn’thappen. In fact therewereno rapesat the convention centerorthe Superdomethat have yetbeen corroboratedin any way....There weren’t stacks of bodies in the freezer. But America was riveted by this reporting, wholesale collapse of the media’s own levees as they let in all the rumors,and all the innuendo, all the first-personstory, because they were caught up in their own emotionalism . . . [this was] one of the worst weeks of reporting in the history of the American media. (Online NewsHour 2005, 5)</w:t>
      </w:r>
      <w:r w:rsidR="004A05A5" w:rsidRPr="004A05A5">
        <w:rPr>
          <w:sz w:val="12"/>
        </w:rPr>
        <w:t xml:space="preserve"> </w:t>
      </w:r>
      <w:r w:rsidRPr="004A05A5">
        <w:rPr>
          <w:sz w:val="12"/>
        </w:rPr>
        <w:t>Ways of telling are also ways of not telling, and this same commentator went on to say,</w:t>
      </w:r>
      <w:r w:rsidR="004A05A5" w:rsidRPr="004A05A5">
        <w:rPr>
          <w:sz w:val="12"/>
        </w:rPr>
        <w:t xml:space="preserve"> </w:t>
      </w:r>
      <w:r w:rsidRPr="004A05A5">
        <w:rPr>
          <w:sz w:val="12"/>
        </w:rPr>
        <w:t>I think that some of the journalists involved, especially the anchors, became so caught up in their own persona and their own celebrity that they missed important and obvious stories. They failed to report on the basic issues surrounding who deploys the National Guard; they failed to reporton why theSalvation Armyand theRedCrosswereforbidden by state officials to deliver supplies to the Superdome and the convention center. They failed to report what happened to the buses [that were supposed to be used to evacuate residents of New Orleans] . . . they reported panic-inducing, fear-inducing, hysteriainducing events: looting, pillaging, murder sprees, sort of the mostsqualid journalism you could imagine. (Online NewsHour 2005, 7)</w:t>
      </w:r>
      <w:r w:rsidR="004A05A5" w:rsidRPr="004A05A5">
        <w:rPr>
          <w:sz w:val="12"/>
        </w:rPr>
        <w:t xml:space="preserve"> </w:t>
      </w:r>
      <w:r w:rsidRPr="004A05A5">
        <w:rPr>
          <w:sz w:val="12"/>
        </w:rPr>
        <w:t xml:space="preserve">Outcomes and consequences of media myths. Despite these and other efforts to criticize the media’s performance following Katrina, initial evidence suggests that the media’s relentless </w:t>
      </w:r>
      <w:r w:rsidRPr="004A05A5">
        <w:rPr>
          <w:rStyle w:val="StyleUnderline"/>
        </w:rPr>
        <w:t>adherence to disaster myths and to frames emphasizing civil unrest and urban insurgency</w:t>
      </w:r>
      <w:r w:rsidRPr="004A05A5">
        <w:rPr>
          <w:sz w:val="12"/>
        </w:rPr>
        <w:t xml:space="preserve">, along with the strategic response measures these reports justified, </w:t>
      </w:r>
      <w:r w:rsidRPr="004A05A5">
        <w:rPr>
          <w:rStyle w:val="StyleUnderline"/>
        </w:rPr>
        <w:t>had a number of immediate negative consequences</w:t>
      </w:r>
      <w:r w:rsidRPr="004A05A5">
        <w:rPr>
          <w:sz w:val="12"/>
        </w:rPr>
        <w:t xml:space="preserve">. </w:t>
      </w:r>
      <w:r w:rsidRPr="004A05A5">
        <w:rPr>
          <w:rStyle w:val="StyleUnderline"/>
        </w:rPr>
        <w:t>For example,</w:t>
      </w:r>
      <w:r w:rsidRPr="004A05A5">
        <w:rPr>
          <w:sz w:val="12"/>
        </w:rPr>
        <w:t xml:space="preserve"> by callingfor curfews and viewing all victim movements around thecityas suspect, authorities likely interfered with ability of neighborhood residents and family groups to assist one another. </w:t>
      </w:r>
      <w:r w:rsidRPr="004A05A5">
        <w:rPr>
          <w:rStyle w:val="StyleUnderline"/>
        </w:rPr>
        <w:t>Because they focused on combating what the media had constructed as out-of-control looting and widespread violence, officials may have failed to take full advantage of the goodwill and altruistic spirit of community</w:t>
      </w:r>
      <w:r w:rsidRPr="004A05A5">
        <w:rPr>
          <w:sz w:val="12"/>
        </w:rPr>
        <w:t xml:space="preserve"> residentsandcommunity resources, suchaschurches andcommunity-based organizations. By reassigning emergency responders from lifesaving activities to law enforcement functions, those in charge of the response placed law and order above the lives of hurricane survivors. By treating disaster victims as thugs engaging in capital crimes at worst and as troublesome “holdouts” at best, responding agencies created conflicts between themselves and disaster victims that might not have developed otherwise and that likely destroyed the potential for the kinds of collaborative partnership activities that major disasters require. Anecdotal reports, not yet verified, also suggest that images of looting and lawlessness may have caused individuals and organizations from outside the affected region to hesitate before mobilizing to disaster sites in the immediate aftermath of Katrina (Laris 2005).</w:t>
      </w:r>
      <w:r w:rsidR="004A05A5" w:rsidRPr="004A05A5">
        <w:rPr>
          <w:sz w:val="12"/>
        </w:rPr>
        <w:t xml:space="preserve"> </w:t>
      </w:r>
      <w:r w:rsidRPr="004A05A5">
        <w:rPr>
          <w:sz w:val="12"/>
        </w:rPr>
        <w:t xml:space="preserve">The treatment of disaster victims in New Orleans and other areas affected by Katrina has also reinforced the nation’s racial divide. Public opinion polls conducted in the aftermath of Hurricane Katrina reveal stark differences between white and African American perceptions of the governmental response to the disaster. A survey conducted by the Pew Center for the People and the Press in early September found that a majority of those polled disapproved of the government’s handling of the Katrina disaster. However, comparisons of black and white responses to the poll revealed </w:t>
      </w:r>
      <w:r w:rsidRPr="004A05A5">
        <w:rPr>
          <w:sz w:val="12"/>
        </w:rPr>
        <w:lastRenderedPageBreak/>
        <w:t>very significant opinion differences. For example, 71 percent of blacks thought that the disaster showed that racial inequality is still a major problem in the United States, but 56 percent of white respondents said that was not the case. Two-thirds of black respondents believed that the governmental response would have been swifter had the disaster victims been white, while only 17 percent of whites thought the race of the victims made a difference. The opinions of blacks and whites differed dramatically along other dimensions as well: blacks were much more likely to report feeling angry and depressed after the hurricane; to feel sympathy for those who had been unable to evacuate; and to believe that those who may have looted did so because they needed to survive, not because they were criminals seeking to take advantage of the disaster (although 37 percent of whites expressed the latter view) (Pew Center 2005).</w:t>
      </w:r>
    </w:p>
    <w:p w:rsidR="009205A0" w:rsidRPr="009205A0" w:rsidRDefault="009205A0" w:rsidP="008C1B2E">
      <w:pPr>
        <w:rPr>
          <w:sz w:val="12"/>
        </w:rPr>
      </w:pPr>
    </w:p>
    <w:p w:rsidR="00E04503" w:rsidRDefault="009029EB" w:rsidP="009029EB">
      <w:pPr>
        <w:pStyle w:val="Heading3"/>
      </w:pPr>
      <w:r>
        <w:lastRenderedPageBreak/>
        <w:t>Rape Metaphors Bad</w:t>
      </w:r>
    </w:p>
    <w:p w:rsidR="009029EB" w:rsidRDefault="009029EB" w:rsidP="00786A4F"/>
    <w:p w:rsidR="0042117A" w:rsidRDefault="0042117A" w:rsidP="0042117A">
      <w:pPr>
        <w:pStyle w:val="Heading4"/>
      </w:pPr>
      <w:r>
        <w:t>Language is apriori – their use of the rape metaphor decimates how we view rape and belittles the lived experiences of victims; this perpetuates victim oppression</w:t>
      </w:r>
    </w:p>
    <w:p w:rsidR="0042117A" w:rsidRDefault="0042117A" w:rsidP="0042117A">
      <w:r>
        <w:rPr>
          <w:rStyle w:val="Style13ptBold"/>
        </w:rPr>
        <w:t>Taraskiewicz 12</w:t>
      </w:r>
      <w:r>
        <w:t xml:space="preserve"> [Leah Taraskiewicz, “Rape is Not a Metaphor”, March 20</w:t>
      </w:r>
      <w:r w:rsidRPr="00D07B9F">
        <w:rPr>
          <w:vertAlign w:val="superscript"/>
        </w:rPr>
        <w:t>th</w:t>
      </w:r>
      <w:r>
        <w:t xml:space="preserve">, 2012, </w:t>
      </w:r>
      <w:hyperlink r:id="rId8" w:history="1">
        <w:r w:rsidRPr="00F30F7F">
          <w:rPr>
            <w:rStyle w:val="Hyperlink"/>
          </w:rPr>
          <w:t>http://havenuproot.com/2012/03/20/rape-is-not-a-metaphor/</w:t>
        </w:r>
      </w:hyperlink>
      <w:r>
        <w:t>] // t-haas</w:t>
      </w:r>
    </w:p>
    <w:p w:rsidR="0042117A" w:rsidRPr="0042117A" w:rsidRDefault="0042117A" w:rsidP="0042117A">
      <w:pPr>
        <w:rPr>
          <w:sz w:val="12"/>
        </w:rPr>
      </w:pPr>
      <w:r w:rsidRPr="0042117A">
        <w:rPr>
          <w:sz w:val="12"/>
        </w:rPr>
        <w:t xml:space="preserve">Here we are again, </w:t>
      </w:r>
      <w:r w:rsidRPr="0042117A">
        <w:rPr>
          <w:rStyle w:val="StyleUnderline"/>
        </w:rPr>
        <w:t>another day another inappropriate and offensive use of the word “rape”.</w:t>
      </w:r>
      <w:r w:rsidRPr="0042117A">
        <w:rPr>
          <w:sz w:val="12"/>
        </w:rPr>
        <w:t xml:space="preserve"> If you haven’t heard, last week musician </w:t>
      </w:r>
      <w:r w:rsidRPr="0042117A">
        <w:rPr>
          <w:rStyle w:val="StyleUnderline"/>
        </w:rPr>
        <w:t>Courtney Love accused the Muppets of “raping” the memory of her late husband, Kurt Cobain</w:t>
      </w:r>
      <w:r w:rsidRPr="0042117A">
        <w:rPr>
          <w:sz w:val="12"/>
        </w:rPr>
        <w:t xml:space="preserve">. However this is not just Courtney Love. Her words are indicative of a larger problem as she is joined by many other people and celebrities, who have confused situations/actions where they feel violated or uncomfortable with rape. After googling this particular story I was, at first, hopeful because a few headlines read “Jack Black Schools Courtney Love on Muppet Controversy” or some variation of that title. In my head, I was thinking, “No way! Jack Black spoke out against people using the word ‘rape’ to describe situations that clearly are not rape. What an unexpected and pleasant surprise.” Alas, I misinterpreted what I saw. Jack Black was not drawing attention to the importance of language; he was simply defending the Muppet Movie’sbarbershop quartet version of “Smells Like Teen Spirit” (which is all well and good, but not the sort of backlash I was hoping for). I digress. Let’s take a moment to review. Things I don’t know: if Courtney Love owns the rights to “Smells Like Teen Spirit” or if the Muppets (or whoever produced the The Muppet Movie) overstepped their legal bounds. Things I do know: the Muppets did not rape Kurt Cobain or his memory; this situation in almost no way at all resembles or is even close to being sexual assault. </w:t>
      </w:r>
      <w:r w:rsidRPr="0042117A">
        <w:rPr>
          <w:rStyle w:val="StyleUnderline"/>
        </w:rPr>
        <w:t>Here’s the definition of rape from RAINN’s website: “forced sexual intercourse, including vaginal, anal, or oral penetration. Penetration may be by a body part or an object.” So we can deduce then that the Muppets using Kurt Cobain’s song without Courtney Love’s permission is not rape</w:t>
      </w:r>
      <w:r w:rsidRPr="0042117A">
        <w:rPr>
          <w:sz w:val="12"/>
        </w:rPr>
        <w:t xml:space="preserve">. It’s pretty simple. You might be thinking, “Yeah, but she meant it as a metaphor. We all know that this isn’t really rape.” Sure, I’ll give you that. </w:t>
      </w:r>
      <w:r w:rsidRPr="0042117A">
        <w:rPr>
          <w:rStyle w:val="StyleUnderline"/>
        </w:rPr>
        <w:t>The problem is that when rape is used to describe situations that aren’t actually rape</w:t>
      </w:r>
      <w:r w:rsidRPr="0042117A">
        <w:rPr>
          <w:sz w:val="12"/>
        </w:rPr>
        <w:t xml:space="preserve"> (i.e. “That test totally raped me” or “I raped that video game this weekend”) </w:t>
      </w:r>
      <w:r w:rsidRPr="0042117A">
        <w:rPr>
          <w:rStyle w:val="StyleUnderline"/>
        </w:rPr>
        <w:t>the word rape starts to become divorced from its true meaning. When you use “rape” inappropriately or outside of its proper context the perceptions of that act become distorted. Rape is a serious criminal act of violence and a violation of someone’s humanity</w:t>
      </w:r>
      <w:r w:rsidRPr="0042117A">
        <w:rPr>
          <w:sz w:val="12"/>
        </w:rPr>
        <w:t xml:space="preserve">. Just </w:t>
      </w:r>
      <w:r w:rsidRPr="0042117A">
        <w:rPr>
          <w:rStyle w:val="StyleUnderline"/>
        </w:rPr>
        <w:t>the threat of rape affects the emotional, physical, and mental safety ofsurvivors throughout their entire lives. Using the word out of context is harmful to survivors of sexual assault</w:t>
      </w:r>
      <w:r w:rsidRPr="0042117A">
        <w:rPr>
          <w:sz w:val="12"/>
        </w:rPr>
        <w:t xml:space="preserve">. </w:t>
      </w:r>
      <w:r w:rsidRPr="0042117A">
        <w:rPr>
          <w:rStyle w:val="StyleUnderline"/>
        </w:rPr>
        <w:t>If a rape is</w:t>
      </w:r>
      <w:r w:rsidRPr="0042117A">
        <w:rPr>
          <w:sz w:val="12"/>
        </w:rPr>
        <w:t xml:space="preserve"> taken lightly, </w:t>
      </w:r>
      <w:r w:rsidRPr="0042117A">
        <w:rPr>
          <w:rStyle w:val="StyleUnderline"/>
        </w:rPr>
        <w:t>used metaphorically</w:t>
      </w:r>
      <w:r w:rsidRPr="0042117A">
        <w:rPr>
          <w:sz w:val="12"/>
        </w:rPr>
        <w:t xml:space="preserve">, or made into a joke </w:t>
      </w:r>
      <w:r w:rsidRPr="0042117A">
        <w:rPr>
          <w:rStyle w:val="StyleUnderline"/>
        </w:rPr>
        <w:t xml:space="preserve">it belittles and minimizes the truly painful and life altering experiences of survivors. Language is important; it can change the way that we think about the world and the way that we relate to other people. </w:t>
      </w:r>
      <w:r w:rsidRPr="0042117A">
        <w:rPr>
          <w:rStyle w:val="Emphasis"/>
        </w:rPr>
        <w:t>Language is powerful</w:t>
      </w:r>
      <w:r w:rsidRPr="0042117A">
        <w:rPr>
          <w:rStyle w:val="StyleUnderline"/>
        </w:rPr>
        <w:t xml:space="preserve">; it can be liberating or oppressive depending on the way that it is wielded. </w:t>
      </w:r>
      <w:r w:rsidRPr="0042117A">
        <w:rPr>
          <w:rStyle w:val="Emphasis"/>
        </w:rPr>
        <w:t>It is imperative that we continue to challenge language</w:t>
      </w:r>
      <w:r w:rsidRPr="0042117A">
        <w:rPr>
          <w:rStyle w:val="StyleUnderline"/>
        </w:rPr>
        <w:t xml:space="preserve"> that perpetuates oppression. We must also hold ourselves and each other accountable when we mess up</w:t>
      </w:r>
      <w:r w:rsidRPr="0042117A">
        <w:rPr>
          <w:sz w:val="12"/>
        </w:rPr>
        <w:t xml:space="preserve">. </w:t>
      </w:r>
    </w:p>
    <w:p w:rsidR="0042117A" w:rsidRDefault="0042117A" w:rsidP="0042117A"/>
    <w:p w:rsidR="00CC26A1" w:rsidRDefault="00031033" w:rsidP="00031033">
      <w:pPr>
        <w:pStyle w:val="Heading4"/>
      </w:pPr>
      <w:r>
        <w:t xml:space="preserve">Discussions of rape require literal interpretation – reifies patriarchal violence and forces inhumane disfiguration </w:t>
      </w:r>
    </w:p>
    <w:p w:rsidR="00CC26A1" w:rsidRDefault="00CC26A1" w:rsidP="00786A4F">
      <w:r>
        <w:rPr>
          <w:rStyle w:val="Style13ptBold"/>
        </w:rPr>
        <w:t>Higgins and Silver 91</w:t>
      </w:r>
      <w:r>
        <w:t xml:space="preserve"> [Lynn A. Higgins and Brenda R. Silver, Higgins is Associate Dean of the Faculty for International and Interdisciplinary Studies,</w:t>
      </w:r>
      <w:r w:rsidR="00FD6E1A">
        <w:t xml:space="preserve"> </w:t>
      </w:r>
      <w:r>
        <w:t>Edward Tuck Professor of French &amp; Comparative Literature</w:t>
      </w:r>
      <w:r w:rsidR="00FD6E1A">
        <w:t>,</w:t>
      </w:r>
      <w:r>
        <w:t xml:space="preserve"> and Professor of Comparative Literature at Dartmouth College, Silver is Mary Brinsmead Wheelock Professor, Emerita at Dartmouth College, PhD from Harvard University, “Rape and Representation”, 1991, accessed on google ebooks] // t-haas</w:t>
      </w:r>
    </w:p>
    <w:p w:rsidR="00CC26A1" w:rsidRPr="00FD6E1A" w:rsidRDefault="00CC26A1" w:rsidP="00786A4F">
      <w:pPr>
        <w:rPr>
          <w:sz w:val="10"/>
        </w:rPr>
      </w:pPr>
      <w:r w:rsidRPr="00FD6E1A">
        <w:rPr>
          <w:sz w:val="10"/>
        </w:rPr>
        <w:t>“</w:t>
      </w:r>
      <w:r w:rsidRPr="00FD6E1A">
        <w:rPr>
          <w:rStyle w:val="StyleUnderline"/>
        </w:rPr>
        <w:t xml:space="preserve">What does it matter who is speaking?” </w:t>
      </w:r>
      <w:r w:rsidRPr="00FD6E1A">
        <w:rPr>
          <w:sz w:val="10"/>
        </w:rPr>
        <w:t xml:space="preserve">For feminist literary critics </w:t>
      </w:r>
      <w:r w:rsidRPr="00FD6E1A">
        <w:rPr>
          <w:rStyle w:val="StyleUnderline"/>
        </w:rPr>
        <w:t>confronting the entanglement of rape with representation</w:t>
      </w:r>
      <w:r w:rsidRPr="00FD6E1A">
        <w:rPr>
          <w:sz w:val="10"/>
        </w:rPr>
        <w:t xml:space="preserve">, Beckett’s question, so central to debates about the status of the subject in Western (post)modernism, </w:t>
      </w:r>
      <w:r w:rsidRPr="00FD6E1A">
        <w:rPr>
          <w:rStyle w:val="StyleUnderline"/>
        </w:rPr>
        <w:t>demands the answer: who is speaking may be all that matters</w:t>
      </w:r>
      <w:r w:rsidRPr="00FD6E1A">
        <w:rPr>
          <w:sz w:val="10"/>
        </w:rPr>
        <w:t xml:space="preserve">. Whether in the courts or the media, whether in art or criticism, who gets to tell the story and whose story counts as “truth” determine the definition of what rape is. Focusing on the taLes told (or not told) by voices within texts, by authors, and by critics, the contributors to this collection chart the complex inter sections of rape and representation, revealing their inseparability from questions of subjectivity, authority, meaning, power, and voice. The </w:t>
      </w:r>
      <w:r w:rsidRPr="00FD6E1A">
        <w:rPr>
          <w:rStyle w:val="StyleUnderline"/>
        </w:rPr>
        <w:t xml:space="preserve">added recognition that the term representation cuts across boundaries of juridical, diplomatic, political, and literary discourses sustains the assumption underlying this hook: that the politics and aesthetics of rape are one. The urgency </w:t>
      </w:r>
      <w:r w:rsidRPr="00FD6E1A">
        <w:rPr>
          <w:sz w:val="10"/>
        </w:rPr>
        <w:t>of this project</w:t>
      </w:r>
      <w:r w:rsidRPr="00FD6E1A">
        <w:rPr>
          <w:rStyle w:val="StyleUnderline"/>
        </w:rPr>
        <w:t xml:space="preserve"> derives from the fact that rape and the threat of rape are a major force in the subjugation of women</w:t>
      </w:r>
      <w:r w:rsidRPr="00FD6E1A">
        <w:rPr>
          <w:sz w:val="10"/>
        </w:rPr>
        <w:t xml:space="preserve">. </w:t>
      </w:r>
      <w:r w:rsidRPr="00FD6E1A">
        <w:rPr>
          <w:rStyle w:val="StyleUnderline"/>
        </w:rPr>
        <w:t>In “rape cultures”</w:t>
      </w:r>
      <w:r w:rsidRPr="00FD6E1A">
        <w:rPr>
          <w:sz w:val="10"/>
        </w:rPr>
        <w:t xml:space="preserve"> such as the United States, </w:t>
      </w:r>
      <w:r w:rsidRPr="00FD6E1A">
        <w:rPr>
          <w:rStyle w:val="StyleUnderline"/>
        </w:rPr>
        <w:t xml:space="preserve">the </w:t>
      </w:r>
      <w:r w:rsidRPr="00FD6E1A">
        <w:rPr>
          <w:rStyle w:val="StyleUnderline"/>
        </w:rPr>
        <w:lastRenderedPageBreak/>
        <w:t>danger, the frequency, and the acceptance of sexual violence all contribute to shaping behavior and identity, in women and men alike</w:t>
      </w:r>
      <w:r w:rsidRPr="00FD6E1A">
        <w:rPr>
          <w:sz w:val="10"/>
        </w:rPr>
        <w:t xml:space="preserve">. Within this culture, as in others, the nature and degree of oppression will vary with the histor ical moment and, within that, the permutations of racial, class, gender, and institutional relations of power. Nevertheless, in this volume, analyses of specific texts, when read through and against each other, illustrate a number of profoundly disturbing patterns. Not the least of these is an obsessive inscription—and an obsessive erasure—of sexual violence against women (and against those placed by society in the position of “woman”. The striking repetition of inscription and erasure raises the question not only of why this trope recurs, but even more, of what it means and who benefits. </w:t>
      </w:r>
      <w:r w:rsidRPr="00FD6E1A">
        <w:rPr>
          <w:rStyle w:val="StyleUnderline"/>
        </w:rPr>
        <w:t>How is it that in spite</w:t>
      </w:r>
      <w:r w:rsidRPr="00FD6E1A">
        <w:rPr>
          <w:sz w:val="10"/>
        </w:rPr>
        <w:t xml:space="preserve"> (</w:t>
      </w:r>
      <w:r w:rsidRPr="00FD6E1A">
        <w:rPr>
          <w:rStyle w:val="StyleUnderline"/>
        </w:rPr>
        <w:t>or perhaps because of their erasure, rape and sexual violence have been so ingrained and SO rationalized through their representations as to appear “natural” and inevitable</w:t>
      </w:r>
      <w:r w:rsidRPr="00FD6E1A">
        <w:rPr>
          <w:sz w:val="10"/>
        </w:rPr>
        <w:t xml:space="preserve">, to women as to men7 Feminist modes of “reading” rape and its cultural inscrip tions help identify and demystify the multiple manifestations, dis placements, and transformations of what amounts to an insidious cultural myth. In the process, they show how feminist critique can challenge the representations that continue to hurt women both in the courts and on the streets. One of the feminist strategies evident in this collection is to show how art and criticism share the well-documented bias of rape law, where representations of rape after the event are almost always framed by a masculine perspective premised on men’s fantasies about female sexuality and their fears of false accusation, as well as their codified access to and possession of women’s bodies. Even after recent reforms meant to correct this bias, women, particularly in cases where they know their assailants, are still often put on trial and still carry the burden of proving their innocence (e.g., by dem onstrating their “resistance”, men’s intentions and sexual history are usually not part of the record). Whether in legal or literary criti cism, unmasking the privilege accorded masculine points of view reveals how patriarchal perspectives have prevented courts as well as texts, authors, and critics from asking who is speaking, who is hearing, and in what circumstances. In the courts, the split reality that often characterizes rape cases—the recognition that such cases may well involve an event experienced as rape by the woman but not perceived as rape by the man—falls prey to the need to have a single “truth.” The question then becomes how undecidability, at least in the courts, may lead to the disappearance of rape from the social text. What remains is a conspicuous absence: a configuration where sexual violence against women is an origin of social relations and narratives in which the event itself is subsequently elided. Over and over in the texts explored here, rape exists as an absence or gap that is both product and sourcc of textual anxiety, contradic tion, or censorship. The simultaneous presence and disappearance of rape as constantly deferred origin of both plot and social relations is repeated so often as to suggest a basic conceptual principle in the articulation of both social and artistic representations. Even when the rape does not disappear, the naturalization of patriarchal think ing, institutions, and plots has profound effects: just as victims of rape often end up blaming themselves, the texts explored below present women telling stories that echo or ventriloquize definitions of rape that obliterate what might have been radically different per ceptions. The prevalence of masculine perspectives in stories told by wonicn leads Coppélia Kahn, in her essay, to ask ‘who or what speaks in the character we call Lucrccc?” and us to ask where, or how, critics can hear and validate another subjectivity and voice. The stakes involved in finding answers to these questions are high: for literary and artistic representations not only dcpict (or fail to depict) instances of rape after or as if they have occurred; they also contribute to the social positioning of women and men and shape the cognitive systems that make rape thinkable. The essays suggest that rape and rapabilicy are central to the very construction of gender identity and that our subjectivity and sense of ourselves as sexual beings are inextricably enmeshed in representations. Viewed from this angle, rape exists as a context independent of its occur rence as discrete event. The process of unraveling the cultural texts that have obsessively madc rape both so pervasive and so invisible a theme—made it “unreadable”—is multilayered. It involves listening not only to who speaks and in what circumstances, but who does not speak and why. It requires that we listen for those stories that differ from the master(’s) story; that we recuperate what has too often been left out: the physical violation and the women who find ways to speak it. It also means reassessing the master(’s story itself for what it reveals about the construction of masculinity. Whcn viewed through a feminist lens, even (or especially the most canonical of texts—and their canonical interpretations—can, as Susan Winnett points out below, “divulge cultural secrets.” </w:t>
      </w:r>
      <w:r w:rsidRPr="00FD6E1A">
        <w:rPr>
          <w:rStyle w:val="StyleUnderline"/>
        </w:rPr>
        <w:t>In the process of rereading rape</w:t>
      </w:r>
      <w:r w:rsidRPr="00FD6E1A">
        <w:rPr>
          <w:sz w:val="10"/>
        </w:rPr>
        <w:t xml:space="preserve">, </w:t>
      </w:r>
      <w:r w:rsidRPr="00FD6E1A">
        <w:rPr>
          <w:rStyle w:val="StyleUnderline"/>
        </w:rPr>
        <w:t>one crucial step taken</w:t>
      </w:r>
      <w:r w:rsidRPr="00FD6E1A">
        <w:rPr>
          <w:sz w:val="10"/>
        </w:rPr>
        <w:t xml:space="preserve"> by feminist literary Critics, like feminist legal scholars, </w:t>
      </w:r>
      <w:r w:rsidRPr="00FD6E1A">
        <w:rPr>
          <w:rStyle w:val="StyleUnderline"/>
        </w:rPr>
        <w:t>has been to trace the ways in which women</w:t>
      </w:r>
      <w:r w:rsidRPr="00FD6E1A">
        <w:rPr>
          <w:sz w:val="10"/>
        </w:rPr>
        <w:t xml:space="preserve"> (artists or characters) </w:t>
      </w:r>
      <w:r w:rsidRPr="00FD6E1A">
        <w:rPr>
          <w:rStyle w:val="StyleUnderline"/>
        </w:rPr>
        <w:t>“represent” themselves, whether in law, in political systems, in speech.</w:t>
      </w:r>
      <w:r w:rsidRPr="00FD6E1A">
        <w:rPr>
          <w:sz w:val="10"/>
        </w:rPr>
        <w:t xml:space="preserve"> This entails discern ing where or how they break through the discourses that have cir cumscribed their perceptions of the causes and nature of sexual violation and contributed to what amounts to a cultural cover-up. (The insistence that “no” means “no” and not a modest feminine “yes” provides one clear example.) Here the question of who speaks and who does not leads in a different direction. Where, textually, can we find these breakthroughs and begin to locate another point of view7 </w:t>
      </w:r>
      <w:r w:rsidRPr="00FD6E1A">
        <w:rPr>
          <w:rStyle w:val="StyleUnderline"/>
        </w:rPr>
        <w:t>What are the rhetorical strategies whereby rape gets repre sented in spite of</w:t>
      </w:r>
      <w:r w:rsidRPr="00FD6E1A">
        <w:rPr>
          <w:sz w:val="10"/>
        </w:rPr>
        <w:t xml:space="preserve"> (or through) </w:t>
      </w:r>
      <w:r w:rsidRPr="00FD6E1A">
        <w:rPr>
          <w:rStyle w:val="StyleUnderline"/>
        </w:rPr>
        <w:t>its suppression</w:t>
      </w:r>
      <w:r w:rsidRPr="00FD6E1A">
        <w:rPr>
          <w:sz w:val="10"/>
        </w:rPr>
        <w:t xml:space="preserve">7 </w:t>
      </w:r>
      <w:r w:rsidRPr="00FD6E1A">
        <w:rPr>
          <w:rStyle w:val="StyleUnderline"/>
        </w:rPr>
        <w:t>Equally important, what happens to women who go public about their violation? ¡f they escape the dominani fate of silencing and erasure, what price do they pay? Will their speech, their protest, be rcinscribcd in the patriarchal economy as figures of a female violence even worse than that perpe trated against them</w:t>
      </w:r>
      <w:r w:rsidRPr="00FD6E1A">
        <w:rPr>
          <w:sz w:val="10"/>
        </w:rPr>
        <w:t xml:space="preserve"> But </w:t>
      </w:r>
      <w:r w:rsidRPr="00FD6E1A">
        <w:rPr>
          <w:rStyle w:val="StyleUnderline"/>
        </w:rPr>
        <w:t xml:space="preserve">the act of rereading rape involves more than listening to silences; </w:t>
      </w:r>
      <w:r w:rsidRPr="00031033">
        <w:rPr>
          <w:rStyle w:val="Emphasis"/>
        </w:rPr>
        <w:t>it requires restoring rape to the literal</w:t>
      </w:r>
      <w:r w:rsidRPr="00FD6E1A">
        <w:rPr>
          <w:rStyle w:val="StyleUnderline"/>
        </w:rPr>
        <w:t>, to the body: restor ing, that is, the violence—the physical, sexual violation</w:t>
      </w:r>
      <w:r w:rsidRPr="00FD6E1A">
        <w:rPr>
          <w:sz w:val="10"/>
        </w:rPr>
        <w:t xml:space="preserve">. </w:t>
      </w:r>
      <w:r w:rsidRPr="00FD6E1A">
        <w:rPr>
          <w:rStyle w:val="StyleUnderline"/>
        </w:rPr>
        <w:t xml:space="preserve">The insis tence on taking rape literally often necessitates a conscious critical act of reading the violence and the sexuality back into texts where it has been deflected, either by the text itself or by the critics: </w:t>
      </w:r>
      <w:r w:rsidRPr="00031033">
        <w:rPr>
          <w:rStyle w:val="Emphasis"/>
        </w:rPr>
        <w:t>where it has been turned into a metaphor</w:t>
      </w:r>
      <w:r w:rsidRPr="00FD6E1A">
        <w:rPr>
          <w:rStyle w:val="StyleUnderline"/>
        </w:rPr>
        <w:t xml:space="preserve"> or a symbol or represented rhetori cally as titillation, persuasion, ravishment, seduction, or desire</w:t>
      </w:r>
      <w:r w:rsidRPr="00FD6E1A">
        <w:rPr>
          <w:sz w:val="10"/>
        </w:rPr>
        <w:t xml:space="preserve"> (Po. etic, narrative, courtly, military). </w:t>
      </w:r>
      <w:r w:rsidRPr="00FD6E1A">
        <w:rPr>
          <w:rStyle w:val="StyleUnderline"/>
        </w:rPr>
        <w:t xml:space="preserve">Here, </w:t>
      </w:r>
      <w:r w:rsidRPr="00031033">
        <w:rPr>
          <w:rStyle w:val="Emphasis"/>
        </w:rPr>
        <w:t>the recurrent motif of disfiguratjon becomes significant</w:t>
      </w:r>
      <w:r w:rsidRPr="00FD6E1A">
        <w:rPr>
          <w:rStyle w:val="StyleUnderline"/>
        </w:rPr>
        <w:t>: disfiguration both in its rhetorical and physical senses</w:t>
      </w:r>
      <w:r w:rsidRPr="00FD6E1A">
        <w:rPr>
          <w:sz w:val="10"/>
        </w:rPr>
        <w:t xml:space="preserve"> (and ways in which the first hides the second), </w:t>
      </w:r>
      <w:r w:rsidRPr="00FD6E1A">
        <w:rPr>
          <w:rStyle w:val="StyleUnderline"/>
        </w:rPr>
        <w:t>as both textual and corporeal deformati</w:t>
      </w:r>
      <w:r w:rsidR="00FD6E1A" w:rsidRPr="00FD6E1A">
        <w:rPr>
          <w:rStyle w:val="StyleUnderline"/>
        </w:rPr>
        <w:t>on or mutilation.</w:t>
      </w:r>
      <w:r w:rsidR="00FD6E1A" w:rsidRPr="00FD6E1A">
        <w:rPr>
          <w:sz w:val="10"/>
        </w:rPr>
        <w:t xml:space="preserve"> In reading the</w:t>
      </w:r>
      <w:r w:rsidRPr="00FD6E1A">
        <w:rPr>
          <w:sz w:val="10"/>
        </w:rPr>
        <w:t xml:space="preserve"> violence back into texts, then, the essays in this collection reclaim the physical, material bodies of women from their status as “figures” and reveal the ways in which violence marks the female subject both physically and psychologically. Where, if anywhere, do literary texts offer possibilities of resis tance? Is there, as Carla Freccero asks below, a “feminine difference” in texts about rape authored by women, and if so, where and how is it inscribed Do women who write of rape—and until recently, especially among white women in the Anglo-American tradition, these have been few in number—f</w:t>
      </w:r>
      <w:r w:rsidR="00FD6E1A" w:rsidRPr="00FD6E1A">
        <w:rPr>
          <w:sz w:val="10"/>
        </w:rPr>
        <w:t>ind a way out of the representa</w:t>
      </w:r>
      <w:r w:rsidRPr="00FD6E1A">
        <w:rPr>
          <w:sz w:val="10"/>
        </w:rPr>
        <w:t>tional double binds confronting those women who attempt to escape their entrapment in the patriarchal story? Do women of color within the United States or “third world” women, who have addressed the taboo subject more often and more openly, offer subversive perspec tives? It is also necessary to recognize the disturbing fault lines that appear within men’s texts and to ask what rolc male authors play in uncovering the structures that brutalize women’s bodies and crase their subjectivity. Do these texts reveal traces of masculine sexual anxiety or guilt? And are even male authors who recognize their complicity in the violence of the gender system ultimately caught in its powerful meshes? Each of the five sections in this book foregrounds a different aspect of the challenge collectively posed by these questions. The two essays in part 1, Prior Violence, highlight ways in which some of the earliest stories in the Western tradition have established prec edents and left legacies that continue to animate our cultural (self-t representations. More important, both set out to confront the natu ralization of “prior” erotic violence and rape in these founding talcs: to reveal them as myths that simultaneously articulate and hide the socially constructed story of male and female sexuality, difference, and power that makes women “essentially” vulnerable and mute. The obsessive narrative that recurs in the volume as a whole begins with the glimpse, provided by John Winkler, of the layers of cultural work enacted by forms such as song, dance, games, and poetry in obscuring the violence they nonetheless transmit. Patricia Joplin’s essay, which helped launch this entire field of inquiry, urges critics to reclaim both the hidden cultural plot and the women who tell it. The violation Joplin exposes is not just the double violation of Phi lomela—her rape by her brother-in-law, who then cuts out her tongue— but the subsequent appropriation of her story and her art by writers, anthropologists, and literary critics alike. But the paradigm of rape and silencing presented in these two essays also contains the seeds of its own undoing, for the “prior violence,” continually reiterated and erased, is neither lost nor left behind. Instead, it remains variously as a stain or bruise, as a gap or absence, a failed attempt at repression that ensures the violence will return. That trace or sign of imperfect erasure can have many mean ings, however, and in the tension between attempt and failure to reveal violation, the story that often gets told is that of an inability to tell the story.</w:t>
      </w:r>
    </w:p>
    <w:p w:rsidR="00CC26A1" w:rsidRDefault="00CC26A1" w:rsidP="00786A4F"/>
    <w:p w:rsidR="00CC26A1" w:rsidRDefault="00CC26A1" w:rsidP="00786A4F"/>
    <w:p w:rsidR="00CC26A1" w:rsidRDefault="00CC26A1" w:rsidP="00786A4F"/>
    <w:p w:rsidR="00786A4F" w:rsidRDefault="00786A4F" w:rsidP="00786A4F"/>
    <w:p w:rsidR="00786A4F" w:rsidRPr="00786A4F" w:rsidRDefault="00031033" w:rsidP="00786A4F">
      <w:pPr>
        <w:pStyle w:val="Heading4"/>
      </w:pPr>
      <w:r>
        <w:lastRenderedPageBreak/>
        <w:t xml:space="preserve">Metaphors of rape further an “inner space” dichotomy </w:t>
      </w:r>
      <w:r w:rsidR="009B5206">
        <w:t>– the impact is patriarchy; women become defenseless and vunerable and destroys the space to combat actual violence</w:t>
      </w:r>
    </w:p>
    <w:p w:rsidR="009029EB" w:rsidRDefault="00786A4F" w:rsidP="009029EB">
      <w:r>
        <w:rPr>
          <w:rStyle w:val="Style13ptBold"/>
        </w:rPr>
        <w:t>Robson 07</w:t>
      </w:r>
      <w:r>
        <w:t xml:space="preserve"> [Kathryn Robson, PhD (Cambridge University) University of Newcastle upon Tyne, UK, “SPACES OF VIOLATION: REFIGURING</w:t>
      </w:r>
      <w:r w:rsidR="00B06185">
        <w:t xml:space="preserve"> </w:t>
      </w:r>
      <w:r>
        <w:t>RAPE IN CONTEMPORARY FRENCH WOMEN’S FICTION”, Romance Studies, Vol. 25 (1), January 2007] // t-haas</w:t>
      </w:r>
    </w:p>
    <w:p w:rsidR="009029EB" w:rsidRPr="0042117A" w:rsidRDefault="009029EB" w:rsidP="009029EB">
      <w:pPr>
        <w:rPr>
          <w:sz w:val="10"/>
        </w:rPr>
      </w:pPr>
      <w:r w:rsidRPr="0042117A">
        <w:rPr>
          <w:sz w:val="10"/>
        </w:rPr>
        <w:t>Following the reform of rape law in 1980, feminists in France have continued to militate against sexual violence and to support its victims, yet there have been remarkably few attempts to theorize rape in French feminist thought since the late 1970s.10 Instead I turn to Anglo-American feminist theory, which has addressed rape differently, beginning with Susan Brownmiller’s contention in 1975 that rape constitutes an assertion of power rather than sexuality. Brownmiller’s argument was widely adopted in the late 1970s, particularly by liberal feminists, but was countered in the 1980s by Catherine MacKinnon and other radical feminists who saw rape as part of a violently imposed heterosexuality denying women agency.11 More recently, as Carine Mardorossian argued in 2002, feminist theory has tended to avoid the subject of rape: ‘sexual violence has become the taboo subject of feminist theory today.’12 Mardorossian cites Sharon Marcus’s ‘Fighting Bodies, Fighting Words’ (1992) as an exception here; one should also refer to Ann Cahill’s Rethinking Rape (2001). Marcus’s article seeks to undermine the inside/outside binary that habitually underscores rape discourses and to rewrite what she calls the standard ‘rape script’. Marcus points out that rape is statistically as likely (or more likely) to happen inside the home as outside and ‘if rape can occur inside, then “inside” is no longer what it is meant to be — sheltering, separate and distinct from an unsafe, external realm’.13 She goes on to criticize how the ‘rape script’ characterizes women’s bodies:</w:t>
      </w:r>
      <w:r w:rsidR="00031033" w:rsidRPr="0042117A">
        <w:rPr>
          <w:sz w:val="10"/>
        </w:rPr>
        <w:t xml:space="preserve"> </w:t>
      </w:r>
      <w:r w:rsidRPr="0042117A">
        <w:rPr>
          <w:sz w:val="10"/>
        </w:rPr>
        <w:t xml:space="preserve">The </w:t>
      </w:r>
      <w:r w:rsidRPr="00031033">
        <w:rPr>
          <w:rStyle w:val="StyleUnderline"/>
        </w:rPr>
        <w:t>rape script defines women as vulnerable, violable, penetrable and wounded</w:t>
      </w:r>
      <w:r w:rsidRPr="0042117A">
        <w:rPr>
          <w:sz w:val="10"/>
        </w:rPr>
        <w:t xml:space="preserve">; </w:t>
      </w:r>
      <w:r w:rsidRPr="00031033">
        <w:rPr>
          <w:rStyle w:val="StyleUnderline"/>
        </w:rPr>
        <w:t>metaphors of rape as trespass and invasion retain this definition intact</w:t>
      </w:r>
      <w:r w:rsidRPr="0042117A">
        <w:rPr>
          <w:sz w:val="10"/>
        </w:rPr>
        <w:t xml:space="preserve">. The psychological corollary of </w:t>
      </w:r>
      <w:r w:rsidRPr="00031033">
        <w:rPr>
          <w:rStyle w:val="StyleUnderline"/>
        </w:rPr>
        <w:t>this property metaphor characterizes female sexuality as inner space, rape as the invasion of this inner space</w:t>
      </w:r>
      <w:r w:rsidRPr="0042117A">
        <w:rPr>
          <w:sz w:val="10"/>
        </w:rPr>
        <w:t xml:space="preserve">, and anti-rape politics as a means to safeguard this inner space from contact with anything external to it. </w:t>
      </w:r>
      <w:r w:rsidRPr="00031033">
        <w:rPr>
          <w:rStyle w:val="StyleUnderline"/>
        </w:rPr>
        <w:t>The entire female body comes to be symbolized by the vagina, itself conceived of as a delicate, perhaps inevitably damaged and pained inner space.</w:t>
      </w:r>
      <w:r w:rsidRPr="0042117A">
        <w:rPr>
          <w:sz w:val="10"/>
        </w:rPr>
        <w:t>14</w:t>
      </w:r>
      <w:r w:rsidR="00031033" w:rsidRPr="0042117A">
        <w:rPr>
          <w:sz w:val="10"/>
        </w:rPr>
        <w:t xml:space="preserve"> </w:t>
      </w:r>
      <w:r w:rsidRPr="00031033">
        <w:rPr>
          <w:rStyle w:val="StyleUnderline"/>
        </w:rPr>
        <w:t>The emphasis on an inner space that requires protection is troubling because it leads women to misunderstand where danger lies and because it figures women’s bodies as passive and defenceless</w:t>
      </w:r>
      <w:r w:rsidRPr="0042117A">
        <w:rPr>
          <w:sz w:val="10"/>
        </w:rPr>
        <w:t xml:space="preserve">. This coheres, Marcus goes on to argue, with a ‘gendered grammar of violence’ according to which women can only ever act as objects, not subjects, of violence. </w:t>
      </w:r>
      <w:r w:rsidRPr="00031033">
        <w:rPr>
          <w:rStyle w:val="StyleUnderline"/>
        </w:rPr>
        <w:t>In rape</w:t>
      </w:r>
      <w:r w:rsidRPr="0042117A">
        <w:rPr>
          <w:sz w:val="10"/>
        </w:rPr>
        <w:t>, she argues, ‘</w:t>
      </w:r>
      <w:r w:rsidRPr="00031033">
        <w:rPr>
          <w:rStyle w:val="StyleUnderline"/>
        </w:rPr>
        <w:t>a subject of violence acts on an object of violence to define her as the boundary between exterior and interior, which he crosses, and as the immobilized space through which he moves</w:t>
      </w:r>
      <w:r w:rsidRPr="0042117A">
        <w:rPr>
          <w:sz w:val="10"/>
        </w:rPr>
        <w:t xml:space="preserve">’.15 Thus </w:t>
      </w:r>
      <w:r w:rsidRPr="00031033">
        <w:rPr>
          <w:rStyle w:val="StyleUnderline"/>
        </w:rPr>
        <w:t xml:space="preserve">the female body is imaged as a fixed, static space that can be acted upon but cannot react: </w:t>
      </w:r>
      <w:r w:rsidRPr="00031033">
        <w:rPr>
          <w:rStyle w:val="Emphasis"/>
        </w:rPr>
        <w:t>this in turn serves ‘to reiterate women’s vulnerability’ by confirming it in the popular imagination</w:t>
      </w:r>
      <w:r w:rsidRPr="00031033">
        <w:rPr>
          <w:rStyle w:val="StyleUnderline"/>
        </w:rPr>
        <w:t>.</w:t>
      </w:r>
      <w:r w:rsidRPr="0042117A">
        <w:rPr>
          <w:sz w:val="10"/>
        </w:rPr>
        <w:t xml:space="preserve">16 </w:t>
      </w:r>
      <w:r w:rsidRPr="00031033">
        <w:rPr>
          <w:rStyle w:val="StyleUnderline"/>
        </w:rPr>
        <w:t>This model leaves women with no space from which to combat rape</w:t>
      </w:r>
      <w:r w:rsidRPr="0042117A">
        <w:rPr>
          <w:sz w:val="10"/>
        </w:rPr>
        <w:t>; Marcus attempts to open up the rape script in order to empower women to fight back, both through training in self-defence and through learning to reconceptualize the female body and female sexuality in different — more powerful — terms. Mardorossian reads in Marcus’s argument an implication that rape occurs ‘because of women’s passive compliance with a sexual and linguistic script’ and argues that this risks holding the victim responsible for her own rape; she also points out that even if rape is played out according to a culturally determined performance or script, this does not mean that individual women can simply choose to deviate from it.17 Mardorossian’s critique of the implications of Marcus’s argument is convincing, but it fails to recognize the most compelling aspect of Marcus’s approach: the emphasis on reconfiguring rape and the female body differently. Although Marcus’s assertion that ‘we do not need to defend our “real” bodies from invasion but to rework this elaboration of our bodies altogether’ initially appears to dismiss the need for self-defence, her subsequent insistence that women learn to fight back shows her concern to prevent rape for individual women. More importantly, as the second part of her statement indicates, she is trying to move away from a model of rape as invasion of an inner space in order to invent alternative cultural figurations of women’s sexuality and bodies that could ultimately work to disrupt the rape script.18</w:t>
      </w:r>
    </w:p>
    <w:p w:rsidR="00786A4F" w:rsidRDefault="00786A4F" w:rsidP="009029EB"/>
    <w:p w:rsidR="002D2CA6" w:rsidRDefault="002D2CA6" w:rsidP="008C1B2E"/>
    <w:p w:rsidR="002D2CA6" w:rsidRDefault="002D2CA6" w:rsidP="008C1B2E"/>
    <w:p w:rsidR="002D2CA6" w:rsidRDefault="00FA7C75" w:rsidP="002D2CA6">
      <w:pPr>
        <w:pStyle w:val="Heading4"/>
      </w:pPr>
      <w:r>
        <w:t xml:space="preserve">Rape metaphors trivialize the very real violence that takes place everyday – in the context of current rape culture, they only reinforce societal norms that place blame on the victim </w:t>
      </w:r>
    </w:p>
    <w:p w:rsidR="002D2CA6" w:rsidRDefault="002D2CA6" w:rsidP="008C1B2E">
      <w:r>
        <w:rPr>
          <w:rStyle w:val="Style13ptBold"/>
        </w:rPr>
        <w:t>Groupthink 2/13</w:t>
      </w:r>
      <w:r>
        <w:t xml:space="preserve"> [Groupthink, “Why the Word 'Rape' Should Not Be Used For Anything Else”, Feburary 13</w:t>
      </w:r>
      <w:r w:rsidRPr="002D2CA6">
        <w:rPr>
          <w:vertAlign w:val="superscript"/>
        </w:rPr>
        <w:t>th</w:t>
      </w:r>
      <w:r>
        <w:t xml:space="preserve">, 2014, </w:t>
      </w:r>
      <w:hyperlink r:id="rId9" w:history="1">
        <w:r w:rsidRPr="00F30F7F">
          <w:rPr>
            <w:rStyle w:val="Hyperlink"/>
          </w:rPr>
          <w:t>http://groupthink.jezebel.com/why-its-not-okay-to-use-the-word-rape-for-anything-e-1522352126/1522607143/+burtreynoldsismyspiritguide1</w:t>
        </w:r>
      </w:hyperlink>
      <w:r>
        <w:t>] // t-haas</w:t>
      </w:r>
    </w:p>
    <w:p w:rsidR="002D2CA6" w:rsidRPr="0042117A" w:rsidRDefault="002D2CA6" w:rsidP="008C1B2E">
      <w:pPr>
        <w:rPr>
          <w:sz w:val="12"/>
        </w:rPr>
      </w:pPr>
      <w:r w:rsidRPr="0042117A">
        <w:rPr>
          <w:sz w:val="12"/>
        </w:rPr>
        <w:t xml:space="preserve">TW: Discussion of rape and rape culture (and brief discussion of racism/murder) I was on my way back to DC after visiting my family for Christmas. A college aged girl in front of me was on the phone with her father. "I raped my econ exam. Like, took it out back and had my way with it." I was stunned. Are we using the word "rape" to describe something good now? Like, I did something worthy of pride, so I shall describe my actions as having committed this horrible act? I am a gamer, specifically League of Legends. I am on a personal crusade to educate people why they shouldn't use it to describe anything in the game as "rape." No, there is no way in this game for one character to force him or herself upon another character, so no, rape cannot happen here. </w:t>
      </w:r>
      <w:r w:rsidRPr="00FA7C75">
        <w:rPr>
          <w:rStyle w:val="StyleUnderline"/>
        </w:rPr>
        <w:t>Telling people that they "raped" you or you "raped" them or calling on your team to "rape" someone else trivializes and normalizes the act</w:t>
      </w:r>
      <w:r w:rsidRPr="0042117A">
        <w:rPr>
          <w:sz w:val="12"/>
        </w:rPr>
        <w:t xml:space="preserve">. I was reading the comments in the article on Nicki Minaj and her use of the phrase "I'm raping you." Defenses are there, such as "she doesn't mean RAPE, she's saying she's empowered and has more power than men!" THATZ STILL NOT OKAY. It is still taking rape and turning it into something positive that someone can do while there are still people out there who are victims of this horribly violent crime EVERY. SINGLE. DAY. I don't want someone taking what was done to me and turning it into a display of THEIR power. That's not empowering to me. </w:t>
      </w:r>
      <w:r w:rsidRPr="00FA7C75">
        <w:rPr>
          <w:rStyle w:val="StyleUnderline"/>
        </w:rPr>
        <w:t>That's not empowering</w:t>
      </w:r>
      <w:r w:rsidRPr="0042117A">
        <w:rPr>
          <w:sz w:val="12"/>
        </w:rPr>
        <w:t xml:space="preserve"> to the millions of survivors out there. </w:t>
      </w:r>
      <w:r w:rsidRPr="00FA7C75">
        <w:rPr>
          <w:rStyle w:val="StyleUnderline"/>
        </w:rPr>
        <w:t xml:space="preserve">Rape culture is perpetuated by the idea that this type of language is okay. It takes something that is horrible and violent and incredibly triggering for many people and makes it just another verb. It takes the horrible and traumatic experiences of myself and so, so many others and turns it into a taunt. Or worse, something positive that you can do. We've all heard arguments: "does that mean that we shouldn't say that I murdered that? Should we not say I killed it? That's a violent crime too!" The difference is: </w:t>
      </w:r>
      <w:r w:rsidRPr="00FA7C75">
        <w:rPr>
          <w:rStyle w:val="StyleUnderline"/>
        </w:rPr>
        <w:lastRenderedPageBreak/>
        <w:t>we don't live in a culture and society that blames murder victims.</w:t>
      </w:r>
      <w:r w:rsidRPr="0042117A">
        <w:rPr>
          <w:sz w:val="12"/>
        </w:rPr>
        <w:t xml:space="preserve">* </w:t>
      </w:r>
      <w:r w:rsidRPr="00FA7C75">
        <w:rPr>
          <w:rStyle w:val="StyleUnderline"/>
        </w:rPr>
        <w:t>We don't live in a society where the clothing, sexual history, or levels of intoxication are endlessly speculated on as factors Women especially walk around every day knowing that rape is an ever present threat.</w:t>
      </w:r>
      <w:r w:rsidRPr="0042117A">
        <w:rPr>
          <w:sz w:val="12"/>
        </w:rPr>
        <w:t xml:space="preserve"> I was raped by my best friend because I was drunk. A person told me that I needed to choose my friends better. Another asked if it was REALLY rape because I was drunk. I didn't call it rape because I felt so guilty about it and complicit in it until another friend pointed out that I was so drunk that I couldn't stand. I didn't say "no," but I did say "this isn't a good idea." Repeatedly. I couldn't talk to or face the person after. Two years later, I still avoid anywhere I know he will be. That's not a drunken mistake. That's rape. So no, </w:t>
      </w:r>
      <w:r w:rsidRPr="00FA7C75">
        <w:rPr>
          <w:rStyle w:val="StyleUnderline"/>
        </w:rPr>
        <w:t>taking "rape" and making it something positive or just another verb is not okay</w:t>
      </w:r>
      <w:r w:rsidRPr="0042117A">
        <w:rPr>
          <w:sz w:val="12"/>
        </w:rPr>
        <w:t xml:space="preserve">. It takes a fun hobby for me (gaming) and turns it into a constant threat of being triggered. </w:t>
      </w:r>
      <w:r w:rsidRPr="00FA7C75">
        <w:rPr>
          <w:rStyle w:val="StyleUnderline"/>
        </w:rPr>
        <w:t>It shows me how much people still don't take my experience seriously. It is not empowering. It is rape culture</w:t>
      </w:r>
      <w:r w:rsidRPr="0042117A">
        <w:rPr>
          <w:sz w:val="12"/>
        </w:rPr>
        <w:t>. *Unless, of course, you are a young black man. Then your killer was just "defending himself and standing his ground." Or it was just another consequence of "gang violence" or "thugs being thugs."</w:t>
      </w:r>
    </w:p>
    <w:p w:rsidR="002D2CA6" w:rsidRDefault="002D2CA6" w:rsidP="008C1B2E"/>
    <w:p w:rsidR="002D2CA6" w:rsidRDefault="002D2CA6" w:rsidP="008C1B2E"/>
    <w:p w:rsidR="002D2CA6" w:rsidRDefault="00FA7C75" w:rsidP="002D2CA6">
      <w:pPr>
        <w:pStyle w:val="Heading4"/>
      </w:pPr>
      <w:r>
        <w:t>Rape as a metaphor is unnecessary – there are an abundence of replacements; hold them to their discursive choice</w:t>
      </w:r>
    </w:p>
    <w:p w:rsidR="002D2CA6" w:rsidRDefault="002D2CA6" w:rsidP="008C1B2E">
      <w:r>
        <w:rPr>
          <w:rStyle w:val="Style13ptBold"/>
        </w:rPr>
        <w:t>Feminist Frenzy 11</w:t>
      </w:r>
      <w:r>
        <w:t xml:space="preserve"> [Feminist Frenzy, blog created w/ the purpose of “smashing the patriarchy”, “Rape Is Rape, Not Slang”, December 20</w:t>
      </w:r>
      <w:r w:rsidRPr="002D2CA6">
        <w:rPr>
          <w:vertAlign w:val="superscript"/>
        </w:rPr>
        <w:t>th</w:t>
      </w:r>
      <w:r>
        <w:t xml:space="preserve">, 2011, </w:t>
      </w:r>
      <w:hyperlink r:id="rId10" w:history="1">
        <w:r w:rsidRPr="00F30F7F">
          <w:rPr>
            <w:rStyle w:val="Hyperlink"/>
          </w:rPr>
          <w:t>http://www.feministfrenzy.com/2011/12/20/rape-is-rape-not-slang/</w:t>
        </w:r>
      </w:hyperlink>
      <w:r>
        <w:t>] // t-haas</w:t>
      </w:r>
    </w:p>
    <w:p w:rsidR="002D2CA6" w:rsidRPr="0042117A" w:rsidRDefault="002D2CA6" w:rsidP="008C1B2E">
      <w:pPr>
        <w:rPr>
          <w:sz w:val="12"/>
        </w:rPr>
      </w:pPr>
      <w:r w:rsidRPr="0042117A">
        <w:rPr>
          <w:sz w:val="12"/>
        </w:rPr>
        <w:t xml:space="preserve">Sometimes us fast talkin’ kids pick up, erm, colorful words to make our own language feel more intense; it’s part of the nature of slang. I like slang; I like crafting the words I say into an identity. But as an advocate for social change, I try to be mindful of the words I chose to incorporate into my speech. </w:t>
      </w:r>
      <w:r w:rsidRPr="00FA7C75">
        <w:rPr>
          <w:rStyle w:val="StyleUnderline"/>
        </w:rPr>
        <w:t>Rape-As-A-Metaphor</w:t>
      </w:r>
      <w:r w:rsidRPr="0042117A">
        <w:rPr>
          <w:sz w:val="12"/>
        </w:rPr>
        <w:t xml:space="preserve"> ™ </w:t>
      </w:r>
      <w:r w:rsidRPr="00FA7C75">
        <w:rPr>
          <w:rStyle w:val="StyleUnderline"/>
        </w:rPr>
        <w:t>is one of those things I don’t say</w:t>
      </w:r>
      <w:r w:rsidRPr="0042117A">
        <w:rPr>
          <w:sz w:val="12"/>
        </w:rPr>
        <w:t xml:space="preserve"> anymore. I didn’t intentionally drop it, as it disappeared on it’s own as I began to see rape as a social issue rather than This-Thing-That-Is-Out-There-Somewhere. Transcribed below, with permission, is a (slightly abridged) Facebook thread between myself and my friend and social issues enthusiast, Jake Lazaroff, that made me clarify my distaste for Rape-As-Metaphor ™ into words: JL: Hey, I had an interesting discussion the other day and thought you might have some insight: Why do some people get offended at the use of “rape” as a colloquialism for “defeated soundly” (the Redskins raped the Giants last Sunday!) but have no problem with other violent terms such as “killed” or “murdered” (the Redskins murdered the Giants last Sunday</w:t>
      </w:r>
      <w:r w:rsidRPr="00FA7C75">
        <w:rPr>
          <w:rStyle w:val="StyleUnderline"/>
        </w:rPr>
        <w:t>!)</w:t>
      </w:r>
      <w:r w:rsidRPr="0042117A">
        <w:rPr>
          <w:sz w:val="12"/>
        </w:rPr>
        <w:t xml:space="preserve"> JA: I think the explanation is two fold: part one is that </w:t>
      </w:r>
      <w:r w:rsidRPr="00FA7C75">
        <w:rPr>
          <w:rStyle w:val="StyleUnderline"/>
        </w:rPr>
        <w:t xml:space="preserve">rape is seriously a horrible horrible thing and to diminish that by comparing it </w:t>
      </w:r>
      <w:r w:rsidRPr="0042117A">
        <w:rPr>
          <w:sz w:val="12"/>
        </w:rPr>
        <w:t>to a football game</w:t>
      </w:r>
      <w:r w:rsidRPr="00FA7C75">
        <w:rPr>
          <w:rStyle w:val="StyleUnderline"/>
        </w:rPr>
        <w:t xml:space="preserve"> is really insensitive to people who have experienced the actual horror</w:t>
      </w:r>
      <w:r w:rsidRPr="0042117A">
        <w:rPr>
          <w:sz w:val="12"/>
        </w:rPr>
        <w:t xml:space="preserve">. </w:t>
      </w:r>
      <w:r w:rsidRPr="00FA7C75">
        <w:rPr>
          <w:rStyle w:val="StyleUnderline"/>
        </w:rPr>
        <w:t xml:space="preserve">I’d say murder or kill is not as offensive as rape (part two), because murder really isn’t at the front lines of a social justice movement. Everyone knows murder is bad and stuff, but by and large, rape, while considered “bad” is still more or less supported in our culture. </w:t>
      </w:r>
      <w:r w:rsidRPr="0042117A">
        <w:rPr>
          <w:sz w:val="12"/>
        </w:rPr>
        <w:t xml:space="preserve">I think a better comparison would be “the Redskins lynched the Giants”. It’s just a horribly insensitive thing to say, in part because it really minimizing the suffering of an oppressed group. JL: Interesting… I’m not sure about part one, insofar as rape and murder are both horrible, and trying to compare the “horribleness” of the two is (in my opinion) the wrong way to look at this and potentially offensive to people… who have been affected by one or the other. The lynching comparison is particularly apt, I think. The main two differences seem to be that rape and lynching have to do with one particular group of people, while murder doesn’t, and rape and lynching were both (slash are still) somehow more “acceptable” socially. I would never try to excuse rape in the way some people do (“she was asking for it”/etc), so if i know the company I’m with won’t find it offensive I’d have no reservations using one term over the other. If i don’t know the people that well (or, obviously, if i know someone WILL be offended) I’d keep it on the down-low. JA: </w:t>
      </w:r>
      <w:r w:rsidRPr="00FA7C75">
        <w:rPr>
          <w:rStyle w:val="StyleUnderline"/>
        </w:rPr>
        <w:t>It’s pretty hard to identify who has been a victim of rape/sexual assault. Really, there is no way of knowing if your words are triggering even to your closest friends</w:t>
      </w:r>
      <w:r w:rsidRPr="0042117A">
        <w:rPr>
          <w:sz w:val="12"/>
        </w:rPr>
        <w:t xml:space="preserve">. JL: I suppose that’s true, but I can’t be 100% politically correct around all my friends; I guess I would hope that my friends would feel comfortable telling me they would rather I not use a particular word or phrase, even if they’re not comfortable telling me why they feel that way. JA: Yeah, I mean, you can usually catch the vibe of your friends and what you are free to say in safe quarters, but when it comes to deciding what language you choose to use, these are all things to consider. For me, </w:t>
      </w:r>
      <w:r w:rsidRPr="00FA7C75">
        <w:rPr>
          <w:rStyle w:val="StyleUnderline"/>
        </w:rPr>
        <w:t>I don’t feel as if I’m being burdened by “political correctness” when I don’t use the word rape frivolously, particularly because there is no shortage of replacement words</w:t>
      </w:r>
      <w:r w:rsidRPr="0042117A">
        <w:rPr>
          <w:sz w:val="12"/>
        </w:rPr>
        <w:t>. I try to choose my words carefully, when I can. I do it because it’s important to me to reach the lowest common denominator of non-offensiveness. Is my exact wording more important to me than the possibly negative impact my words can have on the people listening? Usually not. I use this logic to justify my eye-rolling toward those who complain about over-PCing. That said, I appreciate Jake’s point about what is said among friends. Because I’m not a perfect feminist and also not a saint, I use unfeminist slang amongst my friends, doing so safe in the knowledge that they know I’m a raging feminist. Is it a winning feminist strategy? No, I doubt it, and I’d like to weed the language out, even though some of those rap lyrics are really catchy.</w:t>
      </w:r>
    </w:p>
    <w:p w:rsidR="002D2CA6" w:rsidRDefault="002D2CA6" w:rsidP="008C1B2E"/>
    <w:p w:rsidR="002D2CA6" w:rsidRDefault="002D2CA6" w:rsidP="008C1B2E"/>
    <w:p w:rsidR="00C85C30" w:rsidRDefault="00FA7C75" w:rsidP="00C85C30">
      <w:pPr>
        <w:pStyle w:val="Heading4"/>
      </w:pPr>
      <w:r>
        <w:t>Rape metaphors trivialize sexual violence</w:t>
      </w:r>
    </w:p>
    <w:p w:rsidR="002D2CA6" w:rsidRDefault="002D2CA6" w:rsidP="008C1B2E">
      <w:r>
        <w:rPr>
          <w:rStyle w:val="Style13ptBold"/>
        </w:rPr>
        <w:t>Angyal 10</w:t>
      </w:r>
      <w:r>
        <w:t xml:space="preserve"> [Chloe Angyal, feminist blogger, “More Than Words: The Rape Metaphor”, January 11</w:t>
      </w:r>
      <w:r w:rsidRPr="002D2CA6">
        <w:rPr>
          <w:vertAlign w:val="superscript"/>
        </w:rPr>
        <w:t>th</w:t>
      </w:r>
      <w:r>
        <w:t xml:space="preserve">, 2010, </w:t>
      </w:r>
      <w:hyperlink r:id="rId11" w:history="1">
        <w:r w:rsidRPr="00F30F7F">
          <w:rPr>
            <w:rStyle w:val="Hyperlink"/>
          </w:rPr>
          <w:t>http://www.huffingtonpost.com/chloe-angyal/more-than-words-the-rape_b_418570.html</w:t>
        </w:r>
      </w:hyperlink>
      <w:r>
        <w:t>] // t-haas</w:t>
      </w:r>
    </w:p>
    <w:p w:rsidR="002D2CA6" w:rsidRPr="0042117A" w:rsidRDefault="002D2CA6" w:rsidP="008C1B2E">
      <w:pPr>
        <w:rPr>
          <w:sz w:val="12"/>
        </w:rPr>
      </w:pPr>
      <w:r w:rsidRPr="0042117A">
        <w:rPr>
          <w:sz w:val="12"/>
        </w:rPr>
        <w:t xml:space="preserve">In their own defense, the young men who created the group insisted that they had used the word "rape" metaphorically, to describe the defeat of a rival football team by their own. And they were probably telling the truth; among Australian college students, </w:t>
      </w:r>
      <w:r w:rsidRPr="00FA7C75">
        <w:rPr>
          <w:rStyle w:val="StyleUnderline"/>
        </w:rPr>
        <w:t>"rape" is often used to describe particularly unpleasant experiences</w:t>
      </w:r>
      <w:r w:rsidRPr="0042117A">
        <w:rPr>
          <w:sz w:val="12"/>
        </w:rPr>
        <w:t xml:space="preserve">. Certainly, it is a part of the vernacular of St. Paul's, the residential college to which the young men in question belonged. The day after the article first appeared in the Sydney Morning Herald, one member of the Facebook group expressed his feelings about it using his Facebook status: "Paul's was raped by the SMH." It's not only in Australia that "rape" is used as a metaphor for an unpleasant experience. Here in the US, it is not uncommon to hear the word invoked to describe a particularly grueling exam or an especially hard day at work. Indeed, Media Matters has compiled a rather disturbing montage of clips of conservative media commentators, most notably Glenn Beck and Rush Limbaugh, repeatedly using the word as a metaphor for anything and everything bad. There's nothing wrong with metaphors, of course, and as I'm sure they'd be swift to point out, Limbaugh and Beck are well within their rights to use </w:t>
      </w:r>
      <w:r w:rsidRPr="0042117A">
        <w:rPr>
          <w:sz w:val="12"/>
        </w:rPr>
        <w:lastRenderedPageBreak/>
        <w:t xml:space="preserve">any words they please to express their feelings about taxation, bailouts and illegal immigration. But </w:t>
      </w:r>
      <w:r w:rsidRPr="00FA7C75">
        <w:rPr>
          <w:rStyle w:val="StyleUnderline"/>
        </w:rPr>
        <w:t>using the word to describe a garden variety bad experience trivializes the very real experience of rape victims</w:t>
      </w:r>
      <w:r w:rsidRPr="0042117A">
        <w:rPr>
          <w:sz w:val="12"/>
        </w:rPr>
        <w:t>. And the sad truth is that our culture already trivializes rape enough without the contributions of Fox news commentators or Australian frat boys. I</w:t>
      </w:r>
      <w:r w:rsidRPr="00FA7C75">
        <w:rPr>
          <w:rStyle w:val="StyleUnderline"/>
        </w:rPr>
        <w:t>n the United States, the rape kit backlog numbers in the hundreds of thousands. According to Human Rights Watch, last year in Los Angeles alone there were 12, 669 rape kits, containing evidence essential to arrest and conviction, that had never undergone forensic testing</w:t>
      </w:r>
      <w:r w:rsidRPr="0042117A">
        <w:rPr>
          <w:sz w:val="12"/>
        </w:rPr>
        <w:t xml:space="preserve">. That's 12,669 rape kits just sitting on storage shelves as the statute of limitations for rape trickles away. </w:t>
      </w:r>
      <w:r w:rsidRPr="00FA7C75">
        <w:rPr>
          <w:rStyle w:val="StyleUnderline"/>
        </w:rPr>
        <w:t>That's 12,669 women whose very real experiences of rape have gone ignored and unpunished. Rape and sexual assault regularly appear on our screens as a form of entertainment.</w:t>
      </w:r>
      <w:r w:rsidRPr="0042117A">
        <w:rPr>
          <w:sz w:val="12"/>
        </w:rPr>
        <w:t xml:space="preserve"> On police procedurals like Law and Order: SVU, rape is often depicted as a titillating sexual act rather than as the often brutal crime that it is. On the silver screen, as in last year's mall cop comedy Observe and Report, rape is a punch line, and was in fact the punch line of that film's trailer. In other words, rape was the hilarious selling point with which the studio was hoping to attract viewers. Rape kits go untested, </w:t>
      </w:r>
      <w:r w:rsidRPr="00FA7C75">
        <w:rPr>
          <w:rStyle w:val="StyleUnderline"/>
        </w:rPr>
        <w:t>sexual assault is presented as a form of entertainment</w:t>
      </w:r>
      <w:r w:rsidRPr="0042117A">
        <w:rPr>
          <w:sz w:val="12"/>
        </w:rPr>
        <w:t xml:space="preserve">, and the young men who formed "Define Statutory" weren't named and shamed in the press. The failure to use forensic evidence to punish rapists and the tendency to use rape as an edgy or amusing plot twist are emblematic of our culture's failure to take rape seriously. </w:t>
      </w:r>
      <w:r w:rsidRPr="00FA7C75">
        <w:rPr>
          <w:rStyle w:val="StyleUnderline"/>
        </w:rPr>
        <w:t>Similarly, using "rape" as a metaphor for bad things that are not in any way comparable to the experience of being raped is a sign of how little priority our culture affords to rape prevention and to justice for rape survivors</w:t>
      </w:r>
      <w:r w:rsidRPr="0042117A">
        <w:rPr>
          <w:sz w:val="12"/>
        </w:rPr>
        <w:t>. Perhaps the boys of St. Paul's really were just calling for the defeat of one sports team by another. Perhaps, offline, they condemn sexual violations in all its forms. I can't know for sure. What I do know is that, in the case of "rape," language is powerful. If we want to change the way our society thinks about and reacts to rape - if we want to ensure that rape kits get tested and that popular culture depicts rape and sexual assault in a just and accurate way - then we first need to change the way we talk about rape. We need to talk about it seriously, honestly and sensitively. We need to talk about it with a full sense of the gravity and scope of the problem. Rape is a crime, and it's also a tragedy. And there's nothing metaphorical about that.</w:t>
      </w:r>
    </w:p>
    <w:p w:rsidR="008B4E9E" w:rsidRDefault="008B4E9E" w:rsidP="008C1B2E"/>
    <w:p w:rsidR="002A1803" w:rsidRDefault="0042117A" w:rsidP="00CC26A1">
      <w:pPr>
        <w:pStyle w:val="Heading4"/>
      </w:pPr>
      <w:r>
        <w:t xml:space="preserve">Using rape as a metaphor enforces shame that prevents victims from overcoming or even reporting their rape – </w:t>
      </w:r>
      <w:r w:rsidR="009205A0">
        <w:t xml:space="preserve">ending and rejecting </w:t>
      </w:r>
      <w:r>
        <w:t>trivalization is a viable solution</w:t>
      </w:r>
    </w:p>
    <w:p w:rsidR="002A1803" w:rsidRDefault="00CC26A1" w:rsidP="008C1B2E">
      <w:r>
        <w:rPr>
          <w:rStyle w:val="Style13ptBold"/>
        </w:rPr>
        <w:t>Terrazas 10</w:t>
      </w:r>
      <w:r>
        <w:t xml:space="preserve"> [</w:t>
      </w:r>
      <w:r w:rsidR="002A1803">
        <w:t xml:space="preserve">Beatriz Terrazas, </w:t>
      </w:r>
      <w:r>
        <w:t>writer and former Nieman fellow, “DON'T USE "RAPE" AS A METAPHOR”, Progressive.org, November 22</w:t>
      </w:r>
      <w:r w:rsidRPr="00CC26A1">
        <w:rPr>
          <w:vertAlign w:val="superscript"/>
        </w:rPr>
        <w:t>nd</w:t>
      </w:r>
      <w:r>
        <w:t xml:space="preserve">, 2010, </w:t>
      </w:r>
      <w:hyperlink r:id="rId12" w:history="1">
        <w:r w:rsidRPr="00F30F7F">
          <w:rPr>
            <w:rStyle w:val="Hyperlink"/>
          </w:rPr>
          <w:t>http://www.progressive.org/mpterrazas112210.html</w:t>
        </w:r>
      </w:hyperlink>
      <w:r>
        <w:t>] // t-haas</w:t>
      </w:r>
    </w:p>
    <w:p w:rsidR="002A1803" w:rsidRDefault="002A1803" w:rsidP="008C1B2E">
      <w:r>
        <w:t xml:space="preserve">Nov. 25 is the International Day for the Elimination of Violence Against Women, and as this day approaches, I have a challenge for men and women alike. Before we forget what it really means, </w:t>
      </w:r>
      <w:r w:rsidRPr="0042117A">
        <w:rPr>
          <w:rStyle w:val="StyleUnderline"/>
        </w:rPr>
        <w:t>let’s take back the word “rape” from the pundits and others who have thoughtlessly co-opted it and are distorting its meaning with inappropriate metaphors</w:t>
      </w:r>
      <w:r>
        <w:t xml:space="preserve">. I’ve heard talk show hosts say society will be “gang-raped” by a political party, that our government is “raping the pocketbooks of the rich to give to the poor,” and that “the poor have effectively been raped by American capitalism.” </w:t>
      </w:r>
      <w:r w:rsidRPr="0042117A">
        <w:rPr>
          <w:rStyle w:val="StyleUnderline"/>
        </w:rPr>
        <w:t>Others have used rape to describe environmental pollution</w:t>
      </w:r>
      <w:r>
        <w:t xml:space="preserve">. I even read about a man saying a tough gym workout “raped” him. </w:t>
      </w:r>
      <w:r w:rsidRPr="0042117A">
        <w:rPr>
          <w:rStyle w:val="StyleUnderline"/>
        </w:rPr>
        <w:t>Webster’s New World Dictionary</w:t>
      </w:r>
      <w:r>
        <w:t xml:space="preserve"> minces no words, </w:t>
      </w:r>
      <w:r w:rsidRPr="0042117A">
        <w:rPr>
          <w:rStyle w:val="StyleUnderline"/>
        </w:rPr>
        <w:t>defining rape as “the crime of engaging in sexual acts, esp. involving penetration of the vagina or anus, usually forcibly, with a person who has not consented.” This crime affects victims in ways that most of us cannot begin to imagine. It inflicts immense psychological, emotional, physical, social and sexual damage</w:t>
      </w:r>
      <w:r>
        <w:t xml:space="preserve">. That’s why equating rape with paying higher taxes or being bested on the basketball court is ridiculous and offensive. </w:t>
      </w:r>
      <w:r w:rsidRPr="0042117A">
        <w:rPr>
          <w:rStyle w:val="StyleUnderline"/>
        </w:rPr>
        <w:t>Using the word “rape” as a metaphor does a disservice to victims and to those striving to help them because it dilutes the meaning of a word that already makes most of us so uncomfortable we can’t talk about it openly</w:t>
      </w:r>
      <w:r>
        <w:t xml:space="preserve">. According to the FBI, which defines rape as “the carnal knowledge of a female forcibly and against her will,” there were 88,097 rapes reported in this country last year. But the number doesn’t tell the whole story. For one thing, it doesn’t include statutory rape, sodomy or assault with an object. Nor does it include the rapes of men, which are classified as aggravated assaults or sex crimes. </w:t>
      </w:r>
      <w:r w:rsidRPr="0042117A">
        <w:rPr>
          <w:rStyle w:val="StyleUnderline"/>
        </w:rPr>
        <w:t>Rape remains one of the most underreported crimes in our country</w:t>
      </w:r>
      <w:r>
        <w:t xml:space="preserve">. Experts estimate that only 15 to 20 percent of victims ever report the crime. Most are too ashamed, embarrassed or afraid to speak up. Ashley Lind, chief program officer for the Dallas Children’s Advocacy Center, has worked with sexual assault victims for two decades. </w:t>
      </w:r>
      <w:r w:rsidRPr="0042117A">
        <w:rPr>
          <w:rStyle w:val="StyleUnderline"/>
        </w:rPr>
        <w:t xml:space="preserve">She says that only by talking openly about rape can we begin to remove the stigma and shame for survivors and get a true handle on this crime. I’ll go further and say only by keeping the definition of “rape” intact will we transform our society from one that largely sees it as an act of sex to one that recognizes it as a crime of power and violence. Only then will we be able </w:t>
      </w:r>
      <w:r w:rsidRPr="0042117A">
        <w:rPr>
          <w:rStyle w:val="StyleUnderline"/>
        </w:rPr>
        <w:lastRenderedPageBreak/>
        <w:t>to use the word without making jokes about it or invoking it in poorly conceived metaphors. And only then will we have a decent chance to help the survivors overcome this particular violence.</w:t>
      </w:r>
    </w:p>
    <w:p w:rsidR="002A1803" w:rsidRDefault="002A1803" w:rsidP="008C1B2E"/>
    <w:p w:rsidR="00D0747E" w:rsidRDefault="00D0747E" w:rsidP="008C1B2E"/>
    <w:p w:rsidR="00D0747E" w:rsidRDefault="00D0747E" w:rsidP="008C1B2E"/>
    <w:p w:rsidR="002A1803" w:rsidRDefault="009F30E6" w:rsidP="009F30E6">
      <w:pPr>
        <w:pStyle w:val="Heading3"/>
      </w:pPr>
      <w:r>
        <w:lastRenderedPageBreak/>
        <w:t>Holocaust Metaphors Bad</w:t>
      </w:r>
    </w:p>
    <w:p w:rsidR="00DC37D5" w:rsidRDefault="00DC37D5" w:rsidP="00DC37D5"/>
    <w:p w:rsidR="00DC37D5" w:rsidRDefault="00DC37D5" w:rsidP="00DC37D5"/>
    <w:p w:rsidR="00DC37D5" w:rsidRDefault="00DC37D5" w:rsidP="00DC37D5"/>
    <w:p w:rsidR="008059FC" w:rsidRDefault="002558FE" w:rsidP="00B06185">
      <w:pPr>
        <w:pStyle w:val="Heading4"/>
      </w:pPr>
      <w:r>
        <w:t>Holocaust metaphors treat the very real event as nothing but a tool – in the context of political discussions, these metaphors erase individuality of Holocaust victims, causing a cycle of dehumanization</w:t>
      </w:r>
    </w:p>
    <w:p w:rsidR="00DC37D5" w:rsidRDefault="008059FC" w:rsidP="00DC37D5">
      <w:r>
        <w:rPr>
          <w:rStyle w:val="Style13ptBold"/>
        </w:rPr>
        <w:t>Shachar 1/26</w:t>
      </w:r>
      <w:r>
        <w:t xml:space="preserve"> [Hila Shachar, theguardian.com, “The Holocaust is not your metaphor to use in modern political debates: Using images of those killed by the Nazis to make a point about our own government's refugee policies is demeaning to victims. They should be remembered for their individual humanity”, Sunday 26 January 2014, </w:t>
      </w:r>
      <w:hyperlink r:id="rId13" w:history="1">
        <w:r w:rsidRPr="00F30F7F">
          <w:rPr>
            <w:rStyle w:val="Hyperlink"/>
          </w:rPr>
          <w:t>http://www.theguardian.com/commentisfree/2014/jan/27/the-holocaust-is-not-your-metaphor-to-use-in-modern-political-debates</w:t>
        </w:r>
      </w:hyperlink>
      <w:r>
        <w:t>] // t-haas</w:t>
      </w:r>
    </w:p>
    <w:p w:rsidR="00DC37D5" w:rsidRPr="00D0747E" w:rsidRDefault="00DC37D5" w:rsidP="00DC37D5">
      <w:pPr>
        <w:rPr>
          <w:rStyle w:val="StyleUnderline"/>
        </w:rPr>
      </w:pPr>
      <w:r w:rsidRPr="00E03FE2">
        <w:rPr>
          <w:sz w:val="10"/>
        </w:rPr>
        <w:t>Today is International Holocaust Remembrance Day, commemorated annually on 27 January on the anniversary of the liberation of Auschwitz-Birkenau. Designated by the UN General Assembly, the day honours the victims of the Nazi era.</w:t>
      </w:r>
      <w:r w:rsidR="00F0681C" w:rsidRPr="00E03FE2">
        <w:rPr>
          <w:sz w:val="10"/>
        </w:rPr>
        <w:t xml:space="preserve"> </w:t>
      </w:r>
      <w:r w:rsidRPr="00E03FE2">
        <w:rPr>
          <w:sz w:val="10"/>
        </w:rPr>
        <w:t xml:space="preserve">In thinking about what it actually means to honour the victims, I’ve come to the conclusion that one of the best ways to do this is to continue reminding ourselves that those victims were individual human beings. This should seem obvious, right? And yet, </w:t>
      </w:r>
      <w:r w:rsidRPr="00D0747E">
        <w:rPr>
          <w:rStyle w:val="StyleUnderline"/>
        </w:rPr>
        <w:t>the victims of the Holocaust continue to be appropriated as political metaphors and dehumanised in the process</w:t>
      </w:r>
      <w:r w:rsidRPr="00E03FE2">
        <w:rPr>
          <w:sz w:val="10"/>
        </w:rPr>
        <w:t>.</w:t>
      </w:r>
      <w:r w:rsidR="00F0681C" w:rsidRPr="00E03FE2">
        <w:rPr>
          <w:sz w:val="10"/>
        </w:rPr>
        <w:t xml:space="preserve"> </w:t>
      </w:r>
      <w:r w:rsidRPr="00E03FE2">
        <w:rPr>
          <w:sz w:val="10"/>
        </w:rPr>
        <w:t xml:space="preserve">Specific </w:t>
      </w:r>
      <w:r w:rsidRPr="00D0747E">
        <w:rPr>
          <w:rStyle w:val="StyleUnderline"/>
        </w:rPr>
        <w:t>examples can be both well-meaning or purposefully disrespectful</w:t>
      </w:r>
      <w:r w:rsidRPr="00E03FE2">
        <w:rPr>
          <w:sz w:val="10"/>
        </w:rPr>
        <w:t xml:space="preserve">. Take the animal rights group </w:t>
      </w:r>
      <w:r w:rsidRPr="00D0747E">
        <w:rPr>
          <w:rStyle w:val="StyleUnderline"/>
        </w:rPr>
        <w:t>PETA</w:t>
      </w:r>
      <w:r w:rsidRPr="00E03FE2">
        <w:rPr>
          <w:sz w:val="10"/>
        </w:rPr>
        <w:t xml:space="preserve">, which is known for its insensitive shock tactics when it comes to its marketing. In 2004, the group </w:t>
      </w:r>
      <w:r w:rsidRPr="00D0747E">
        <w:rPr>
          <w:rStyle w:val="StyleUnderline"/>
        </w:rPr>
        <w:t>created the Holocaust on your plate campaign</w:t>
      </w:r>
      <w:r w:rsidRPr="00E03FE2">
        <w:rPr>
          <w:sz w:val="10"/>
        </w:rPr>
        <w:t xml:space="preserve">, using images of emaciated victims of Nazi concentration camps and comparing meat-eaters and those working in the meat-production industry to Nazis. I hope I don’t need to explain why this is wrong. But as I’ve been watching </w:t>
      </w:r>
      <w:r w:rsidRPr="00D0747E">
        <w:rPr>
          <w:rStyle w:val="StyleUnderline"/>
        </w:rPr>
        <w:t>Facebook and Twitter conversations about the Tony Abbott government’s treatment of refugees degenerate into comparisons with the Nazis</w:t>
      </w:r>
      <w:r w:rsidRPr="00E03FE2">
        <w:rPr>
          <w:sz w:val="10"/>
        </w:rPr>
        <w:t>, I have to wonder if perhaps I do.</w:t>
      </w:r>
      <w:r w:rsidR="00F0681C" w:rsidRPr="00E03FE2">
        <w:rPr>
          <w:sz w:val="10"/>
        </w:rPr>
        <w:t xml:space="preserve"> </w:t>
      </w:r>
      <w:r w:rsidRPr="00E03FE2">
        <w:rPr>
          <w:sz w:val="10"/>
        </w:rPr>
        <w:t xml:space="preserve">Recently, I came across this Facebook post that uses an image of a child who was killed in Auschwitz next to an image of a baby who was born in Christmas Island detention centre. It’s highly emotive and also, in my view, highly unethical. </w:t>
      </w:r>
      <w:r w:rsidRPr="00D0747E">
        <w:rPr>
          <w:rStyle w:val="StyleUnderline"/>
        </w:rPr>
        <w:t xml:space="preserve">Using images of those who were killed by the Nazis to make a point about </w:t>
      </w:r>
      <w:r w:rsidRPr="00E03FE2">
        <w:rPr>
          <w:sz w:val="10"/>
        </w:rPr>
        <w:t>the Australian government’s</w:t>
      </w:r>
      <w:r w:rsidRPr="00D0747E">
        <w:rPr>
          <w:rStyle w:val="StyleUnderline"/>
        </w:rPr>
        <w:t xml:space="preserve"> policies is demeaning to those who died</w:t>
      </w:r>
      <w:r w:rsidRPr="00E03FE2">
        <w:rPr>
          <w:sz w:val="10"/>
        </w:rPr>
        <w:t xml:space="preserve">. </w:t>
      </w:r>
      <w:r w:rsidRPr="00D0747E">
        <w:rPr>
          <w:rStyle w:val="StyleUnderline"/>
        </w:rPr>
        <w:t xml:space="preserve">It is essentially saying that their deaths are not to be remembered for their own sake, but rather because they are useful tools as points of reference </w:t>
      </w:r>
      <w:r w:rsidRPr="00E03FE2">
        <w:rPr>
          <w:sz w:val="10"/>
        </w:rPr>
        <w:t>and comparison</w:t>
      </w:r>
      <w:r w:rsidRPr="00D0747E">
        <w:rPr>
          <w:rStyle w:val="StyleUnderline"/>
        </w:rPr>
        <w:t xml:space="preserve"> in contemporary political debate.</w:t>
      </w:r>
      <w:r w:rsidRPr="00E03FE2">
        <w:rPr>
          <w:sz w:val="10"/>
        </w:rPr>
        <w:t xml:space="preserve"> </w:t>
      </w:r>
      <w:r w:rsidRPr="00D0747E">
        <w:rPr>
          <w:rStyle w:val="StyleUnderline"/>
        </w:rPr>
        <w:t xml:space="preserve">It turns Holocaust victims and survivors into concepts, decontexualised imagery and generalisations, and </w:t>
      </w:r>
      <w:r w:rsidRPr="002558FE">
        <w:rPr>
          <w:rStyle w:val="Emphasis"/>
        </w:rPr>
        <w:t>erases their individuality</w:t>
      </w:r>
      <w:r w:rsidRPr="00D0747E">
        <w:rPr>
          <w:rStyle w:val="StyleUnderline"/>
        </w:rPr>
        <w:t xml:space="preserve"> as human beings – </w:t>
      </w:r>
      <w:r w:rsidRPr="00E03FE2">
        <w:rPr>
          <w:sz w:val="10"/>
        </w:rPr>
        <w:t>even when the intentions behind it are sincere and well-meaning.</w:t>
      </w:r>
      <w:r w:rsidR="00F0681C" w:rsidRPr="00E03FE2">
        <w:rPr>
          <w:sz w:val="10"/>
        </w:rPr>
        <w:t xml:space="preserve"> </w:t>
      </w:r>
      <w:r w:rsidRPr="00D0747E">
        <w:rPr>
          <w:rStyle w:val="StyleUnderline"/>
        </w:rPr>
        <w:t xml:space="preserve">This approach defeats the purpose of fighting for the sanctity of human life in current ethical debates about detention centres, because it appropriates the sanctity of the lives of those who are not here to speak for themselves. </w:t>
      </w:r>
      <w:r w:rsidRPr="002558FE">
        <w:rPr>
          <w:rStyle w:val="Emphasis"/>
        </w:rPr>
        <w:t>Enough dehumanising violence was done</w:t>
      </w:r>
      <w:r w:rsidRPr="00E03FE2">
        <w:rPr>
          <w:sz w:val="10"/>
        </w:rPr>
        <w:t xml:space="preserve"> to second world war victims during their own time; </w:t>
      </w:r>
      <w:r w:rsidRPr="00D0747E">
        <w:rPr>
          <w:rStyle w:val="StyleUnderline"/>
        </w:rPr>
        <w:t>we have no right to add to that violence by further reducing them to nameless images</w:t>
      </w:r>
      <w:r w:rsidRPr="00E03FE2">
        <w:rPr>
          <w:sz w:val="10"/>
        </w:rPr>
        <w:t xml:space="preserve"> in our current advertising and social media campaigns. Their bodies and lives are not our public property.</w:t>
      </w:r>
      <w:r w:rsidR="00F0681C" w:rsidRPr="00E03FE2">
        <w:rPr>
          <w:sz w:val="10"/>
        </w:rPr>
        <w:t xml:space="preserve"> </w:t>
      </w:r>
      <w:r w:rsidRPr="00E03FE2">
        <w:rPr>
          <w:sz w:val="10"/>
        </w:rPr>
        <w:t>The child that you see in the Facebook picture referred to above wasn’t born so she could be conveniently used as imagery that simplistically compares her suffering with someone else’s. She had a name – Czesława Kwoka – and she died in Auschwitz at the age of 14 in fear and terror. This photo of her speaks of her own lost life, one that was brutally cut short in a specific context. When we remove it from this historical frame, we are appropriating her death. As Catherine Bouris points out, the government’s “treatment of refugees is visibly awful already. Comparing it to the Holocaust is unnecessarily inflammatory.” It also generalises trauma that should not be generalised.</w:t>
      </w:r>
      <w:r w:rsidR="00F0681C" w:rsidRPr="00E03FE2">
        <w:rPr>
          <w:sz w:val="10"/>
        </w:rPr>
        <w:t xml:space="preserve"> </w:t>
      </w:r>
      <w:r w:rsidRPr="00E03FE2">
        <w:rPr>
          <w:sz w:val="10"/>
        </w:rPr>
        <w:t xml:space="preserve">Perhaps because half my family was wiped by the Holocaust, </w:t>
      </w:r>
      <w:r w:rsidRPr="00D0747E">
        <w:rPr>
          <w:rStyle w:val="StyleUnderline"/>
        </w:rPr>
        <w:t>I’m unable to sit back in silence and watch people casually drop it into sentences as if it is meaningless</w:t>
      </w:r>
      <w:r w:rsidRPr="00E03FE2">
        <w:rPr>
          <w:sz w:val="10"/>
        </w:rPr>
        <w:t xml:space="preserve">. Perhaps it’s also because I’ve interviewed Holocaust survivors and touched their trembling hands as they showed me photographs of family members and friends they had lost. </w:t>
      </w:r>
      <w:r w:rsidRPr="00D0747E">
        <w:rPr>
          <w:rStyle w:val="StyleUnderline"/>
        </w:rPr>
        <w:t>You can’t see and experience that and assume that it’s okay to opportunistically use the Holocaust as an metaphorical concept.</w:t>
      </w:r>
      <w:r w:rsidR="00F0681C" w:rsidRPr="00D0747E">
        <w:rPr>
          <w:rStyle w:val="StyleUnderline"/>
        </w:rPr>
        <w:t xml:space="preserve"> </w:t>
      </w:r>
      <w:r w:rsidRPr="00D0747E">
        <w:rPr>
          <w:rStyle w:val="StyleUnderline"/>
        </w:rPr>
        <w:t xml:space="preserve">It takes a certain lack of perspective to assume that the images, bodies and murdered silence of victims of historical war and genocide exist for our own consumption and use in contemporary ethical dilemmas. We should remember the victims for themselves – it’s the least we can do for them. </w:t>
      </w:r>
    </w:p>
    <w:p w:rsidR="00DD68B9" w:rsidRDefault="00DD68B9" w:rsidP="00DC37D5"/>
    <w:p w:rsidR="00DD68B9" w:rsidRDefault="00DD68B9" w:rsidP="00DC37D5"/>
    <w:p w:rsidR="00DD68B9" w:rsidRDefault="00E03FE2" w:rsidP="00B06185">
      <w:pPr>
        <w:pStyle w:val="Heading4"/>
      </w:pPr>
      <w:r>
        <w:lastRenderedPageBreak/>
        <w:t>Self-serving politicization of the Holocaust, especially in a move for the ballot. co-opts the meaning and suffering behind the Holocaust; creates a unique form of dehumanization</w:t>
      </w:r>
    </w:p>
    <w:p w:rsidR="00DD68B9" w:rsidRDefault="00DD68B9" w:rsidP="00DC37D5">
      <w:r>
        <w:rPr>
          <w:rStyle w:val="Style13ptBold"/>
        </w:rPr>
        <w:t>Furedi 06</w:t>
      </w:r>
      <w:r>
        <w:t xml:space="preserve"> [Frank Furedi, Professor of Sociology at University of Kent, and author of Politics of Fear, Where Have All the Intellectuals Gone?, Therapy Culture, Paranoid Parenting and Culture of Fear, “The Holocaust should not be for sale”, January 23</w:t>
      </w:r>
      <w:r w:rsidRPr="00DD68B9">
        <w:rPr>
          <w:vertAlign w:val="superscript"/>
        </w:rPr>
        <w:t>rd</w:t>
      </w:r>
      <w:r>
        <w:t xml:space="preserve">, 2006, </w:t>
      </w:r>
      <w:hyperlink r:id="rId14" w:history="1">
        <w:r w:rsidRPr="00F30F7F">
          <w:rPr>
            <w:rStyle w:val="Hyperlink"/>
          </w:rPr>
          <w:t>http://www.frankfuredi.com/articles/holocaustday-20060126.shtml</w:t>
        </w:r>
      </w:hyperlink>
      <w:r>
        <w:t>] // t-haas</w:t>
      </w:r>
    </w:p>
    <w:p w:rsidR="00DD68B9" w:rsidRPr="00E03FE2" w:rsidRDefault="00DD68B9" w:rsidP="00DC37D5">
      <w:pPr>
        <w:rPr>
          <w:sz w:val="10"/>
        </w:rPr>
      </w:pPr>
      <w:r w:rsidRPr="00E03FE2">
        <w:rPr>
          <w:sz w:val="10"/>
        </w:rPr>
        <w:t xml:space="preserve">Holocaust Memorial Day will only further debase the suffering and the memories of those who survived the Nazis. As someone whose family was virtually wiped out in Nazi concentration camps and forced labour battalions, I become furious when I read that Iran's President Mahmoud Ahmadinejad dismisses the Holocaust as a myth. I cannot forget my mother's heart-wrenching account of how she was compelled to leave her younger sister to die in a ditch as two SS camp guards forced her to march on during the last week of the war in Germany. Sometimes, it is the less tragic, almost banal, events that prey on the imagination. In late 1944, my elder sister was caught by a group of Nazis near the Budapest ghetto, who decided to have some fun with her by slapping her around, before finally kicking her in the backside. Perversely, my sister was most offended by the jeering remarks these thugs made about her "Jewish squint". Her humiliation is something that I still feel with a surprising degree of intensity. I can really understand her continual determination to demonstrate that she mattered - a character trait that stayed with her throughout her life. I was made to feel lucky that I did not have to live through those desperate years. Growing up in a very, very small family, I was always conscious of missing grandparents, aunts and uncles. Sometimes an ominous silence or a nervous glance around the dinner table signalled the suspicion that bad things could happen in the future. And I still remember how my father exploded with outrage when he heard a group of scornful Hungarian anti-Semites claim that after the war, more Jews came back than went to the camps. Remembering was important to him, as it is to me. So why I do I feel so uncomfortable with the institutionalisation of Holocaust Memorial Day in Britain? Is it because the Holocaust has been turned into a bite-size moral morsel to be hawked around by dodgy peddlers of virtue? Or because the Holocaust has become the most overused metaphor, adopted by moral entrepreneurs to promote a bewildering variety of causes? I suspect that it is because remembering the Holocaust has become an official ritual that allows every sanctimonious politician and public figure to put their superior moral virtues on public display. Preaching about the horrors of the Holocaust helps society avoid working out its own moral view of the world. Its transformation into a universal symbol of evil has helped promote the simplistic moral formula: to be against it is good and to be for it is bad. That is why the Holocaust can play such a prominent role in the school curriculum. The incessant demand that we "learn the lessons of the Holocaust" has little to do with a genuine act of grieving or remembering. Nor does it have much to do with encouraging people to scrutinise the past in order to learn from it. Usually, it means appropriating the label Holocaust to attack any target we choose. Thus, </w:t>
      </w:r>
      <w:r w:rsidRPr="00E03FE2">
        <w:rPr>
          <w:rStyle w:val="StyleUnderline"/>
        </w:rPr>
        <w:t>everything from the erosion of bio-diversity to a loss of jobs can be denounced as a "Holocaust". It has become an all-purpose claim for sympathy and moral authority, a platitude trotted out in the most incongruous situations</w:t>
      </w:r>
      <w:r w:rsidRPr="00E03FE2">
        <w:rPr>
          <w:sz w:val="10"/>
        </w:rPr>
        <w:t xml:space="preserve">. When Germaine Greer bailed out of Celebrity Big Brother last year, she denounced her housemates for refusing to support her defiance of the "fascist" bullying of Big Brother. "Holocaust is what happens," she lectured, "when good people do nothing." After reading Greer's pious justification of her behaviour, I recalled my father's warning that </w:t>
      </w:r>
      <w:r w:rsidRPr="00E03FE2">
        <w:rPr>
          <w:rStyle w:val="StyleUnderline"/>
        </w:rPr>
        <w:t>the "Holocaust should not be for sale"</w:t>
      </w:r>
      <w:r w:rsidRPr="00E03FE2">
        <w:rPr>
          <w:sz w:val="10"/>
        </w:rPr>
        <w:t xml:space="preserve">. He believed that </w:t>
      </w:r>
      <w:r w:rsidRPr="00E03FE2">
        <w:rPr>
          <w:rStyle w:val="StyleUnderline"/>
        </w:rPr>
        <w:t>if the Holocaust was transformed into a universal symbol of evil, remembering it would turn into an empty ritual to be used for self-serving ends</w:t>
      </w:r>
      <w:r w:rsidRPr="00E03FE2">
        <w:rPr>
          <w:sz w:val="10"/>
        </w:rPr>
        <w:t xml:space="preserve">. He would not have been surprised by recent claims that the British bombing of Dresden constituted a "German Holocaust". Nor would he be shocked to hear animal rights activists refer to a Holocaust of seals in Canada. </w:t>
      </w:r>
      <w:r w:rsidRPr="00E03FE2">
        <w:rPr>
          <w:rStyle w:val="StyleUnderline"/>
        </w:rPr>
        <w:t>Once the Holocaust has been turned into an all-purpose claim for sympathy, it is bound to become a commodity in the moral market place</w:t>
      </w:r>
      <w:r w:rsidRPr="00E03FE2">
        <w:rPr>
          <w:sz w:val="10"/>
        </w:rPr>
        <w:t xml:space="preserve">. The more that the terrible experience of the Nazi era has become institutionalised through Holocaust Days, Holocaust memorials and museums, Holocaust curricula and Holocaust films, </w:t>
      </w:r>
      <w:r w:rsidRPr="00E03FE2">
        <w:rPr>
          <w:rStyle w:val="StyleUnderline"/>
        </w:rPr>
        <w:t>the more it has become a focus of competitive claims making</w:t>
      </w:r>
      <w:r w:rsidRPr="00E03FE2">
        <w:rPr>
          <w:sz w:val="10"/>
        </w:rPr>
        <w:t xml:space="preserve">. Is it any surprise </w:t>
      </w:r>
      <w:r w:rsidRPr="00E03FE2">
        <w:rPr>
          <w:rStyle w:val="StyleUnderline"/>
        </w:rPr>
        <w:t>its emotional power has been co-opted and transferred to other events</w:t>
      </w:r>
      <w:r w:rsidRPr="00E03FE2">
        <w:rPr>
          <w:sz w:val="10"/>
        </w:rPr>
        <w:t xml:space="preserve">, such as the African-American Holocaust, the Serbian Holocaust, the Bosnian Holocaust or the Rwandan Holocaust. Predictably, </w:t>
      </w:r>
      <w:r w:rsidRPr="00E03FE2">
        <w:rPr>
          <w:rStyle w:val="StyleUnderline"/>
        </w:rPr>
        <w:t>everyone wants a piece of the action.</w:t>
      </w:r>
      <w:r w:rsidRPr="00E03FE2">
        <w:rPr>
          <w:sz w:val="10"/>
        </w:rPr>
        <w:t xml:space="preserve"> Instead of serving as a focus of unity, Holocaust Day merely encourages different groups to develop an inflated sense of past suffering and to demand public recognition for it. It encourages different cultural groups to represent themselves as victims of historical injustices. Such a response is not surprising, since it is difficult for a single experience of barbaric violence to serve as a universal symbol of suffering. It is one thing to recognise the scale of destruction and the unique dimension of the Holocaust. It is quite another to turn it into a moral tale that can inspire all people at all times. If Holocaust Day was just another meaningless ritual, I would not be worried about it. But such initiatives actually help create an environment that encourages cynicism and scepticism about what actually happened during the Nazi era. </w:t>
      </w:r>
      <w:r w:rsidRPr="00E03FE2">
        <w:rPr>
          <w:rStyle w:val="StyleUnderline"/>
        </w:rPr>
        <w:t>False morality always incites the response of cynicism, and Holocaust-mongering is no exception.</w:t>
      </w:r>
      <w:r w:rsidRPr="00E03FE2">
        <w:rPr>
          <w:sz w:val="10"/>
        </w:rPr>
        <w:t xml:space="preserve"> Last year a poll conducted in nine European countries by the IPSO research institute indicated that 35 per cent of those interviewed stated that Jews should stop playing the role of Holocaust victims. And in a survey carried out in Britain by ICM, 15 per cent of those polled said they thought that the scale of the Holocaust has been exaggerated. At present, this mood of scepticism is still unformed. But </w:t>
      </w:r>
      <w:r w:rsidRPr="00E03FE2">
        <w:rPr>
          <w:rStyle w:val="StyleUnderline"/>
        </w:rPr>
        <w:t>the obsessive institutionalisation of the cult of the Holocaust will create a situation where scepticism will invite disbelief. When memory becomes politicised, get ready for trouble</w:t>
      </w:r>
      <w:r w:rsidRPr="00E03FE2">
        <w:rPr>
          <w:sz w:val="10"/>
        </w:rPr>
        <w:t xml:space="preserve">. </w:t>
      </w:r>
      <w:r w:rsidRPr="00E03FE2">
        <w:rPr>
          <w:rStyle w:val="StyleUnderline"/>
        </w:rPr>
        <w:t>Remembering suffering is best pursued through the genuine sentiments of people who were touched by the experience of the Holocaust. But now, even they feel alienated by the way it is portrayed as a universal icon of suffering that does not resonate with their memories.</w:t>
      </w:r>
      <w:r w:rsidRPr="00E03FE2">
        <w:rPr>
          <w:sz w:val="10"/>
        </w:rPr>
        <w:t xml:space="preserve"> Probably the single decisive event that alerted me to this was a conversation I had 15 years ago with my 89-year-old mother. After watching a television programme about "Holocaust victims", she appeared puzzled by the terminology. She said she did not realise she was a "victim", and that she did not perceive her identity in terms of victimhood. But what really upset her was the implication that she must be peculiar because, unlike the people in the programme, her entire life has not been defined by the events of the Forties. "Maybe there is something wrong with me," she said. Some therapists would concur and say she is a sick woman in denial. But to me she demonstrates an admirable human capacity to overcome adversity. And for that we do not need government-sponsored rituals.</w:t>
      </w:r>
    </w:p>
    <w:p w:rsidR="00B06185" w:rsidRDefault="00B06185" w:rsidP="00DC37D5"/>
    <w:p w:rsidR="00B06185" w:rsidRDefault="00B06185" w:rsidP="00DC37D5"/>
    <w:p w:rsidR="00B06185" w:rsidRDefault="00B06185" w:rsidP="00DC37D5"/>
    <w:p w:rsidR="00B06185" w:rsidRDefault="00045B77" w:rsidP="00FE646E">
      <w:pPr>
        <w:pStyle w:val="Heading4"/>
      </w:pPr>
      <w:r>
        <w:t>The Holocaust is unique – trivilizing it carries an independent form of violence</w:t>
      </w:r>
    </w:p>
    <w:p w:rsidR="00B06185" w:rsidRDefault="00B30938" w:rsidP="00DC37D5">
      <w:r>
        <w:rPr>
          <w:rStyle w:val="Style13ptBold"/>
        </w:rPr>
        <w:t>Steiner 06</w:t>
      </w:r>
      <w:r>
        <w:t xml:space="preserve"> [</w:t>
      </w:r>
      <w:r w:rsidR="00B06185">
        <w:t>Wendy Steiner, “On the Unspeakability Argument”, vol. XLV, no. 2, Spring 2006</w:t>
      </w:r>
      <w:r>
        <w:t xml:space="preserve">, </w:t>
      </w:r>
      <w:hyperlink r:id="rId15" w:history="1">
        <w:r w:rsidRPr="00F30F7F">
          <w:rPr>
            <w:rStyle w:val="Hyperlink"/>
          </w:rPr>
          <w:t>http://hdl.handle.net/2027/spo.act2080.0045.213]//</w:t>
        </w:r>
      </w:hyperlink>
      <w:r>
        <w:t xml:space="preserve"> t-haas</w:t>
      </w:r>
    </w:p>
    <w:p w:rsidR="00B06185" w:rsidRPr="00EE7041" w:rsidRDefault="00B06185" w:rsidP="00DC37D5">
      <w:pPr>
        <w:rPr>
          <w:rStyle w:val="StyleUnderline"/>
        </w:rPr>
      </w:pPr>
      <w:r w:rsidRPr="00045B77">
        <w:rPr>
          <w:sz w:val="10"/>
        </w:rPr>
        <w:t>Jay Ladin's thought-provoking essay asks why there is so little criticism on the subject of Holocaust poetry. After reading it, one wonders how there could be any at all. The binds he describes—and largely accepts—would undercut almost any approach to texts that could be taken. And these binds, as he reminds us, do not stop at criticism: "some would say . . . the real question [is] whether there can or should be Holocaust poetry at all." It follows that one should wonder whether there can or should be criticism of Ladin's ideas about the criticism of Holocaust poetry. I proceed, therefore, with a certain trepidation.</w:t>
      </w:r>
      <w:r w:rsidR="00EE7041" w:rsidRPr="00045B77">
        <w:rPr>
          <w:sz w:val="10"/>
        </w:rPr>
        <w:t xml:space="preserve"> </w:t>
      </w:r>
      <w:r w:rsidRPr="00045B77">
        <w:rPr>
          <w:sz w:val="10"/>
        </w:rPr>
        <w:t xml:space="preserve">At a time when anxieties about the dangers of representation run high, </w:t>
      </w:r>
      <w:r w:rsidRPr="00EE7041">
        <w:rPr>
          <w:rStyle w:val="StyleUnderline"/>
        </w:rPr>
        <w:t>the representation of the Holocaust stands in a category of fear all its own.</w:t>
      </w:r>
      <w:r w:rsidRPr="00045B77">
        <w:rPr>
          <w:sz w:val="10"/>
        </w:rPr>
        <w:t xml:space="preserve"> In the West, the only denial of a historical event punishable by public censure and in some cases by criminal prosecution is denial of the Holocaust. It is not surprising that literary critics should be wary of a subject that is at once "unspeakable" and "undeniable."</w:t>
      </w:r>
      <w:r w:rsidR="00EE7041" w:rsidRPr="00045B77">
        <w:rPr>
          <w:sz w:val="10"/>
        </w:rPr>
        <w:t xml:space="preserve"> </w:t>
      </w:r>
      <w:r w:rsidRPr="00045B77">
        <w:rPr>
          <w:sz w:val="10"/>
        </w:rPr>
        <w:t xml:space="preserve">A vast amount of cultural work has been required to surround the Holocaust in this barbed wire of taboo. Its aim has been to stop the </w:t>
      </w:r>
      <w:r w:rsidRPr="00EE7041">
        <w:rPr>
          <w:rStyle w:val="StyleUnderline"/>
        </w:rPr>
        <w:t>Holocaust</w:t>
      </w:r>
      <w:r w:rsidRPr="00045B77">
        <w:rPr>
          <w:sz w:val="10"/>
        </w:rPr>
        <w:t xml:space="preserve"> from being assimilated into the continuum of history, to keep it an untamable outrage, </w:t>
      </w:r>
      <w:r w:rsidRPr="00EE7041">
        <w:rPr>
          <w:rStyle w:val="StyleUnderline"/>
        </w:rPr>
        <w:t>incomparable</w:t>
      </w:r>
      <w:r w:rsidRPr="00045B77">
        <w:rPr>
          <w:sz w:val="10"/>
        </w:rPr>
        <w:t xml:space="preserve">, "beyond compare." In evoking the language of high romance, I may seem perverse, but the unassimilable horror of the Holocaust, like the unassailable worth of the Grail or the courtly beloved, rests </w:t>
      </w:r>
      <w:r w:rsidRPr="00045B77">
        <w:rPr>
          <w:sz w:val="10"/>
        </w:rPr>
        <w:lastRenderedPageBreak/>
        <w:t xml:space="preserve">on the claim of peerlessness. </w:t>
      </w:r>
      <w:r w:rsidRPr="00EE7041">
        <w:rPr>
          <w:rStyle w:val="StyleUnderline"/>
        </w:rPr>
        <w:t>Absolute uniqueness is uncanny, sublime</w:t>
      </w:r>
      <w:r w:rsidRPr="00045B77">
        <w:rPr>
          <w:sz w:val="10"/>
        </w:rPr>
        <w:t>; as such, it "beggars speech." At the same time, it can seem more than a bit histrionic.</w:t>
      </w:r>
      <w:r w:rsidR="00EE7041" w:rsidRPr="00045B77">
        <w:rPr>
          <w:sz w:val="10"/>
        </w:rPr>
        <w:t xml:space="preserve"> </w:t>
      </w:r>
      <w:r w:rsidRPr="00045B77">
        <w:rPr>
          <w:sz w:val="10"/>
        </w:rPr>
        <w:t>"</w:t>
      </w:r>
      <w:r w:rsidRPr="00EE7041">
        <w:rPr>
          <w:rStyle w:val="StyleUnderline"/>
        </w:rPr>
        <w:t>The Holocaust trumps every trauma," because it is held to exceed the very category of trauma</w:t>
      </w:r>
      <w:r w:rsidRPr="00045B77">
        <w:rPr>
          <w:sz w:val="10"/>
        </w:rPr>
        <w:t xml:space="preserve">, indeed to exceed all categories. When debunkers observe that Stalin killed eight million whereas Hitler killed "only" six, the comparison seems not just insensitive but irrelevant. Stalinist </w:t>
      </w:r>
      <w:r w:rsidRPr="00EE7041">
        <w:rPr>
          <w:rStyle w:val="StyleUnderline"/>
        </w:rPr>
        <w:t>terror</w:t>
      </w:r>
      <w:r w:rsidRPr="00045B77">
        <w:rPr>
          <w:sz w:val="10"/>
        </w:rPr>
        <w:t xml:space="preserve"> was </w:t>
      </w:r>
      <w:r w:rsidRPr="00EE7041">
        <w:rPr>
          <w:rStyle w:val="StyleUnderline"/>
        </w:rPr>
        <w:t>simply not the Holocaust</w:t>
      </w:r>
      <w:r w:rsidRPr="00045B77">
        <w:rPr>
          <w:sz w:val="10"/>
        </w:rPr>
        <w:t xml:space="preserve">, though what that statement means is itself unspeakable. Likewise, "Sixty Million and more," Toni Morrison's dedication in Beloved, sounds a rhetorical false note in her otherwise pitch-perfect novel. Slavery was terrible, but </w:t>
      </w:r>
      <w:r w:rsidRPr="00EE7041">
        <w:rPr>
          <w:rStyle w:val="StyleUnderline"/>
        </w:rPr>
        <w:t>if registering its horror means placing the Holocaust "in perspective," the emotional conflict involved may be too much for many readers</w:t>
      </w:r>
      <w:r w:rsidRPr="00045B77">
        <w:rPr>
          <w:sz w:val="10"/>
        </w:rPr>
        <w:t xml:space="preserve">. Some would claim that </w:t>
      </w:r>
      <w:r w:rsidRPr="00EE7041">
        <w:rPr>
          <w:rStyle w:val="StyleUnderline"/>
        </w:rPr>
        <w:t>the Holocaust cannot be used as a metaphor at all. To do so either trivializes the Holocaust or unfairly sensationalizes whatever is compared to it.</w:t>
      </w:r>
    </w:p>
    <w:p w:rsidR="00FE646E" w:rsidRDefault="00FE646E" w:rsidP="00DC37D5"/>
    <w:p w:rsidR="003E5061" w:rsidRDefault="003E5061" w:rsidP="003E5061">
      <w:pPr>
        <w:pStyle w:val="Heading4"/>
      </w:pPr>
      <w:r>
        <w:t>Environmental “Holocaust” metaphors are a form of Holocaust trivialization</w:t>
      </w:r>
    </w:p>
    <w:p w:rsidR="003E5061" w:rsidRDefault="003E5061" w:rsidP="00DC37D5">
      <w:r>
        <w:rPr>
          <w:rStyle w:val="Style13ptBold"/>
        </w:rPr>
        <w:t>Gerstenfeld 08</w:t>
      </w:r>
      <w:r>
        <w:t xml:space="preserve"> [Dr. Manfred Gerstenfeld is former Chairman of the Steering Committee of the Jerusalem Center for Public Affairs, where he founded and directed the Center's Post-Holocaust and Anti-Semitism program. Dr. Gerstenfeld is an international business and environmental strategist, “Holocaust Trivialization”, April 9, 2008, </w:t>
      </w:r>
      <w:hyperlink r:id="rId16" w:history="1">
        <w:r w:rsidRPr="00A12A9B">
          <w:rPr>
            <w:rStyle w:val="Hyperlink"/>
          </w:rPr>
          <w:t>http://jcpa.org/article/holocaust-trivialization/</w:t>
        </w:r>
      </w:hyperlink>
      <w:r>
        <w:t>] // t-haas</w:t>
      </w:r>
    </w:p>
    <w:p w:rsidR="003E5061" w:rsidRDefault="003E5061" w:rsidP="00DC37D5">
      <w:r w:rsidRPr="003E5061">
        <w:rPr>
          <w:rStyle w:val="StyleUnderline"/>
        </w:rPr>
        <w:t>Environmentalists are one group among which Holocaust trivializers are found</w:t>
      </w:r>
      <w:r>
        <w:t xml:space="preserve">. </w:t>
      </w:r>
      <w:r w:rsidRPr="003E5061">
        <w:rPr>
          <w:rStyle w:val="StyleUnderline"/>
        </w:rPr>
        <w:t>They</w:t>
      </w:r>
      <w:r>
        <w:t xml:space="preserve"> often </w:t>
      </w:r>
      <w:r w:rsidRPr="003E5061">
        <w:rPr>
          <w:rStyle w:val="StyleUnderline"/>
        </w:rPr>
        <w:t>regard global warming as the main contemporary threat to humanity</w:t>
      </w:r>
      <w:r>
        <w:t xml:space="preserve">. </w:t>
      </w:r>
      <w:r w:rsidRPr="003E5061">
        <w:rPr>
          <w:rStyle w:val="StyleUnderline"/>
        </w:rPr>
        <w:t>Ellen Goodman</w:t>
      </w:r>
      <w:r>
        <w:t xml:space="preserve">, a Boston Globe columnist, </w:t>
      </w:r>
      <w:r w:rsidRPr="003E5061">
        <w:rPr>
          <w:rStyle w:val="StyleUnderline"/>
        </w:rPr>
        <w:t>wrote that</w:t>
      </w:r>
      <w:r>
        <w:t xml:space="preserve"> it is no longer possible to deny global warming. She invoked the UN Intergovernmental Panel on Climate Change, which claimed it was 90 percent certain that global warming was the result of human activity. From there she moved on: “I would like to say we’re at a point where global warming is impossible to deny. Let’s just say that </w:t>
      </w:r>
      <w:r w:rsidRPr="003E5061">
        <w:rPr>
          <w:rStyle w:val="StyleUnderline"/>
        </w:rPr>
        <w:t>global warming deniers are now on a par with Holocaust deniers</w:t>
      </w:r>
      <w:r>
        <w:t xml:space="preserve">, though one denies the past and the other denies the present and future.”6 Well-known talk-show host Dennis Prager responded by castigating Goodman’s statement. He first noted that it reflected the fact that most people on the Left see “their ideological adversaries as bad people.” On the other hand, “those on the Right tend to view their adversaries as wrong, perhaps even dangerous, but not usually as bad.” It might be inconceivable to Goodman, Prager observed, that </w:t>
      </w:r>
      <w:r w:rsidRPr="003E5061">
        <w:rPr>
          <w:rStyle w:val="StyleUnderline"/>
        </w:rPr>
        <w:t>one could disagree with global warming forecasts without evil motives</w:t>
      </w:r>
      <w:r>
        <w:t>. He further asserted that contemporary liberalism would tend to question the moral authority of Judeo-Christian religions or of any secular conservative authority, but not of “any other authority” such as the United Nations. Prager also pointed out that “</w:t>
      </w:r>
      <w:r w:rsidRPr="003E5061">
        <w:rPr>
          <w:rStyle w:val="StyleUnderline"/>
        </w:rPr>
        <w:t xml:space="preserve">If questioning global warming is on ‘a par’ with questioning the Holocaust, how bad can questioning the Holocaust really be?” </w:t>
      </w:r>
      <w:r>
        <w:t xml:space="preserve">He added that while liberal and left-wing organizations had agreed with Goodman’s statements, none had condemned her Holocaust comparison. Prager concluded that Goodman’s assertion marked the “beginning of what is becoming one of the largest campaigns of vilification of decent people in history-the global condemnation of…anyone who questions global warming.”7 </w:t>
      </w:r>
      <w:r w:rsidRPr="003E5061">
        <w:rPr>
          <w:rStyle w:val="StyleUnderline"/>
        </w:rPr>
        <w:t>Many others abuse the Holocaust to promote environmental aims</w:t>
      </w:r>
      <w:r>
        <w:t xml:space="preserve">. Bob Burnett, who defines himself as a writer, activist, and Quaker, claimed in an attack on a televangelist who had written about the dirty politics of the “environmental movement” that “It took less than ten years for Nazi anti-Semitism to produce the death of six million European Jews. How long will it take for the effects of global climate change to result in similar loss of life?”8 </w:t>
      </w:r>
      <w:r w:rsidRPr="003E5061">
        <w:rPr>
          <w:rStyle w:val="StyleUnderline"/>
        </w:rPr>
        <w:t>It is similarly easy to claim that many people in the world die as a result of poor health, malnourishment, and inappropriate diets. Given today’s societal mood we may well read one day about the “diet Holocaust”</w:t>
      </w:r>
      <w:r>
        <w:t xml:space="preserve"> or the “hamburger Holocaust.”</w:t>
      </w:r>
    </w:p>
    <w:p w:rsidR="003E5061" w:rsidRDefault="003E5061" w:rsidP="00DC37D5"/>
    <w:p w:rsidR="003E5061" w:rsidRDefault="003E5061" w:rsidP="003E5061">
      <w:pPr>
        <w:pStyle w:val="Heading4"/>
      </w:pPr>
      <w:r>
        <w:t xml:space="preserve">“Nuclear holocaust” is trivializing </w:t>
      </w:r>
    </w:p>
    <w:p w:rsidR="003E5061" w:rsidRDefault="003E5061" w:rsidP="00DC37D5">
      <w:r>
        <w:rPr>
          <w:rStyle w:val="Style13ptBold"/>
        </w:rPr>
        <w:t>Gerstenfeld 08</w:t>
      </w:r>
      <w:r>
        <w:t xml:space="preserve"> [Dr. Manfred Gerstenfeld is former Chairman of the Steering Committee of the Jerusalem Center for Public Affairs, where he founded and directed the Center's Post-Holocaust and Anti-Semitism program. Dr. Gerstenfeld is an international business and environmental strategist, “Holocaust Trivialization”, April 9, 2008, </w:t>
      </w:r>
      <w:hyperlink r:id="rId17" w:history="1">
        <w:r w:rsidRPr="00A12A9B">
          <w:rPr>
            <w:rStyle w:val="Hyperlink"/>
          </w:rPr>
          <w:t>http://jcpa.org/article/holocaust-trivialization/</w:t>
        </w:r>
      </w:hyperlink>
      <w:r>
        <w:t>] // t-haas</w:t>
      </w:r>
    </w:p>
    <w:p w:rsidR="003E5061" w:rsidRDefault="003E5061" w:rsidP="00DC37D5">
      <w:r>
        <w:lastRenderedPageBreak/>
        <w:t xml:space="preserve">The aforementioned modes of Holocaust trivialization reflect attitudes that have permeated public discourse to some extent. Three other, less frequently mentioned categories are: the use of nuclear bombs, smoking, and alleged transgressions of international human rights laws. </w:t>
      </w:r>
      <w:r w:rsidRPr="003E5061">
        <w:rPr>
          <w:rStyle w:val="StyleUnderline"/>
        </w:rPr>
        <w:t>Nuclear bombing is probably the one threat that comes closest in its effects to the Holocaust though still lacking many of its elements. Probably the best-known use of the expression “nuclear holocaust”</w:t>
      </w:r>
      <w:r>
        <w:t xml:space="preserve"> was President George W. Bush’s statement in 2007 that Iran’s nuclear program threatened to put “a region already known for instability and violence under the shadow of a nuclear Holocaust.”30 </w:t>
      </w:r>
      <w:r w:rsidRPr="003E5061">
        <w:rPr>
          <w:rStyle w:val="StyleUnderline"/>
        </w:rPr>
        <w:t xml:space="preserve">The expression “nuclear holocaust” has long been in use. </w:t>
      </w:r>
      <w:r>
        <w:t xml:space="preserve">The </w:t>
      </w:r>
      <w:r w:rsidRPr="003E5061">
        <w:rPr>
          <w:rStyle w:val="StyleUnderline"/>
        </w:rPr>
        <w:t>BBC noted that</w:t>
      </w:r>
      <w:r>
        <w:t xml:space="preserve">, already </w:t>
      </w:r>
      <w:r w:rsidRPr="003E5061">
        <w:rPr>
          <w:rStyle w:val="StyleUnderline"/>
        </w:rPr>
        <w:t>in the 1960s</w:t>
      </w:r>
      <w:r>
        <w:t xml:space="preserve"> at the then Scottish Office, “</w:t>
      </w:r>
      <w:r w:rsidRPr="003E5061">
        <w:rPr>
          <w:rStyle w:val="StyleUnderline"/>
        </w:rPr>
        <w:t>the somewhat apocalyptic question of how to bury all the dead after a nuclear holocaust, and who would be responsible was at the centre of a flurry of memos and meetings.</w:t>
      </w:r>
      <w:r>
        <w:t>”31 In 2002, the BBC reported that during American-South Korean military exercises the North Koreans responded that “the drills were preparations to launch a ‘nuclear holocaust’ on the peninsula.”32</w:t>
      </w:r>
    </w:p>
    <w:p w:rsidR="00FE646E" w:rsidRDefault="00FE646E" w:rsidP="00DC37D5"/>
    <w:p w:rsidR="00FE646E" w:rsidRDefault="00422D2D" w:rsidP="00422D2D">
      <w:pPr>
        <w:pStyle w:val="Heading3"/>
      </w:pPr>
      <w:r>
        <w:lastRenderedPageBreak/>
        <w:t>Slavery Metaphors Bad</w:t>
      </w:r>
    </w:p>
    <w:p w:rsidR="00422D2D" w:rsidRDefault="00422D2D" w:rsidP="00422D2D"/>
    <w:p w:rsidR="00045B77" w:rsidRDefault="00045B77" w:rsidP="00422D2D"/>
    <w:p w:rsidR="00045B77" w:rsidRDefault="00045B77" w:rsidP="00045B77">
      <w:pPr>
        <w:pStyle w:val="Heading4"/>
      </w:pPr>
      <w:r>
        <w:t>Slavery metaphors, in any context, carry a connotation of enslaved black people – reduces political action and causes structural violence; that turns the aff/neg</w:t>
      </w:r>
    </w:p>
    <w:p w:rsidR="00422D2D" w:rsidRDefault="00422D2D" w:rsidP="00422D2D">
      <w:r>
        <w:rPr>
          <w:rStyle w:val="Style13ptBold"/>
        </w:rPr>
        <w:t>Cottom 5/5</w:t>
      </w:r>
      <w:r>
        <w:t xml:space="preserve">  [Tressie (McMillan) Cottom, PhD Candidate, Sociology, Emory University, Editor of “For-Profit U: The Growing Role of For-Profit Colleges in Higher Education” forthcoming from AERA Publishing, “Slavery Should Never Be a Metaphor”, May 5</w:t>
      </w:r>
      <w:r w:rsidRPr="00AD0CCC">
        <w:rPr>
          <w:vertAlign w:val="superscript"/>
        </w:rPr>
        <w:t>th</w:t>
      </w:r>
      <w:r>
        <w:t xml:space="preserve">, 2014, </w:t>
      </w:r>
      <w:hyperlink r:id="rId18" w:history="1">
        <w:r w:rsidRPr="00F30F7F">
          <w:rPr>
            <w:rStyle w:val="Hyperlink"/>
          </w:rPr>
          <w:t>http://adjunct.chronicle.com/slavery-should-never-be-a-metaphor/</w:t>
        </w:r>
      </w:hyperlink>
      <w:r>
        <w:t>] // t-haas</w:t>
      </w:r>
    </w:p>
    <w:p w:rsidR="00422D2D" w:rsidRPr="00045B77" w:rsidRDefault="00422D2D" w:rsidP="00422D2D">
      <w:pPr>
        <w:rPr>
          <w:sz w:val="10"/>
        </w:rPr>
      </w:pPr>
      <w:r w:rsidRPr="00045B77">
        <w:rPr>
          <w:sz w:val="10"/>
        </w:rPr>
        <w:t xml:space="preserve">I do not know where to begin with Victoria Hay’s argument for comparing adjunct higher education labor to “slaves.” David Perry (a twitter friend) has already offered what Hay considers a “measured and sane” rebuttal. He challenges the metaphor on its material basis. He is right to do so. Still, Hay says of her forthcoming book, entitled “Slave Labor: The New State of American Higher Education”, that the metaphor holds. Dave tried measured. For the fun of it, I’m going to take another approach. Hay’s argument may well be one of the most pernicious and poorly constructed about slavery, labor, and higher education that I have read. I said I do not know where to begin so I will start at the beginning. Hay isn’t the first person to compare adjuncts to slaves. </w:t>
      </w:r>
      <w:r w:rsidRPr="00045B77">
        <w:rPr>
          <w:rStyle w:val="StyleUnderline"/>
        </w:rPr>
        <w:t>Slavery allusions have become both a literary device and hyperbolic call to class consciousness</w:t>
      </w:r>
      <w:r w:rsidRPr="00045B77">
        <w:rPr>
          <w:sz w:val="10"/>
        </w:rPr>
        <w:t xml:space="preserve">. It is cheap and lazy in the way metaphors can be but it continues its rounds because it is somewhat effective. How do the powerless attract the attention of the powerful? Or, perhaps more importantly to organizing and social movements, how do the powerless enact mass engagement as a political tool? </w:t>
      </w:r>
      <w:r w:rsidRPr="00045B77">
        <w:rPr>
          <w:rStyle w:val="StyleUnderline"/>
        </w:rPr>
        <w:t>Attention matters to these kinds of endeavors. Thus, you lob whatever might get people’s attention. In America, race is always going to work for these purposes. And, we can talk about the historical specificity of slave systems, but it is disingenuous to play coy. In the American context you are not priming thoughts of Roman slaves when you talk about slavery but of enslaved black people. To lob the slavery grenade is to lob the racism grenade</w:t>
      </w:r>
      <w:r w:rsidRPr="00045B77">
        <w:rPr>
          <w:sz w:val="10"/>
        </w:rPr>
        <w:t>. To do it for a good cause is to call into question the goodness of your cause. And I do not doubt that Hay thinks her cause is one for good but the elision of slavery with merely alienated labor doesn’t do anyone any favors. Hay says she is going to stick with the metaphor because it works. How she argues it works makes a huge jump from theory to praxis and jumps over a lot of bodies in the process: “Adjuncts can be said to be “enslaved” by two sets of circumstances: a) their own choices; and b) the institution’s choices.” That is a willful, fundamentally unsound definition of being “enslaved”. I should not have to point this out so artlessly but slavery does not benignly constrain choice. Slavery legally, politically, and socially codifies the absolute absence of choice in bodies and lives. If U.S. slavery was merely a set of circumstances akin to degree attainment and areas of study then the Rwanda genocide was just a border dispute between neighbors. U</w:t>
      </w:r>
      <w:r w:rsidRPr="00045B77">
        <w:rPr>
          <w:rStyle w:val="StyleUnderline"/>
        </w:rPr>
        <w:t>.S. slavery went beyond Marxist wage slavery to create a violent, socio-political system of oppression that continues to reverberate across every social domain of group inequality</w:t>
      </w:r>
      <w:r w:rsidRPr="00045B77">
        <w:rPr>
          <w:sz w:val="10"/>
        </w:rPr>
        <w:t xml:space="preserve">. </w:t>
      </w:r>
      <w:r w:rsidRPr="00045B77">
        <w:rPr>
          <w:rStyle w:val="StyleUnderline"/>
        </w:rPr>
        <w:t xml:space="preserve">Reducing the ascription of enslavement </w:t>
      </w:r>
      <w:r w:rsidRPr="00045B77">
        <w:rPr>
          <w:sz w:val="10"/>
        </w:rPr>
        <w:t xml:space="preserve">to career choices, </w:t>
      </w:r>
      <w:r w:rsidRPr="00045B77">
        <w:rPr>
          <w:rStyle w:val="StyleUnderline"/>
        </w:rPr>
        <w:t xml:space="preserve">no matter how constrained does a disservice to history, political action, and common sense. </w:t>
      </w:r>
      <w:r w:rsidRPr="00045B77">
        <w:rPr>
          <w:sz w:val="10"/>
        </w:rPr>
        <w:t xml:space="preserve">Lest we make the mistake too many of my first year sociology students make, let’s do a cursory (and inadequate) survey of the “choices” available to enslaved blacks in the U.S. One could “escape” by dying, running (which also often result in death) or risk death through subversive resistance. Those were the “choices”. In what ways is the unjust system of adjunct labor similar to these “choices” as they exist empirically and not just metaphorically? I would argue that they are not even in the same universe of knowledge. The absence of tenable choices in no way compares with forced migration, reproduction, and total social enclosure. Not even close. Perhaps that is too literal a critique for the kind of metaphor massaging in which we all engage from time to time. Fair enough. I am inclined to believe that minimizing dark histories should serve far nobler purposes to set right with me but that is a personal baseline. But, I think we can all agree that serious issues like labor abuses deserve clear analysis that reveals more than it obscures. I would argue that the </w:t>
      </w:r>
      <w:r w:rsidRPr="00045B77">
        <w:rPr>
          <w:rStyle w:val="StyleUnderline"/>
        </w:rPr>
        <w:t>slave metaphor fails on that measure by erasing a reality of adjunct labor: it’s different by race (and gender and class).</w:t>
      </w:r>
      <w:r w:rsidRPr="00045B77">
        <w:rPr>
          <w:sz w:val="10"/>
        </w:rPr>
        <w:t xml:space="preserve"> If adjuncts are like slaves what are black adjuncts like? The black academic labor that is statistically more likely to be in a NTT role than their non-black comrades – what are they in Hay’s metaphorical elision of the horrors of slavery? I have said it before and I guess I will say it again: there is no labor movement without black labor. And I think a black laborer would be hard-pressed to find solidarity in a movement that so thoroughly and casually erases the history that made them less likely to attain a graduate degree and less likely to procure a tenure track job should they do so when the visible movement philosophers and organizers double down on calling a labor problem a slave problem.</w:t>
      </w:r>
    </w:p>
    <w:p w:rsidR="00422D2D" w:rsidRDefault="00422D2D" w:rsidP="00422D2D"/>
    <w:p w:rsidR="006D7BCE" w:rsidRDefault="006D7BCE" w:rsidP="00422D2D"/>
    <w:p w:rsidR="00EC4DE7" w:rsidRDefault="00EC4DE7" w:rsidP="00EC4DE7">
      <w:pPr>
        <w:pStyle w:val="Heading4"/>
      </w:pPr>
      <w:r>
        <w:t>Slavery metaphors drive social violence and exclude black participation in debate</w:t>
      </w:r>
    </w:p>
    <w:p w:rsidR="006D7BCE" w:rsidRDefault="00050C80" w:rsidP="00422D2D">
      <w:r>
        <w:rPr>
          <w:rStyle w:val="Style13ptBold"/>
        </w:rPr>
        <w:t>Herbers 07</w:t>
      </w:r>
      <w:r>
        <w:t xml:space="preserve"> [Joan M. Herbers is a professor in the Department of Evolution, Ecology, and Organismal Biology at Ohio State University, “Watch Your Language! Racially Loaded Metaphors in Scientific Research”, BioScience, Vol. 57, No. 2, February 2007, JSTOR] // t-haas</w:t>
      </w:r>
    </w:p>
    <w:p w:rsidR="00422D2D" w:rsidRPr="00EC4DE7" w:rsidRDefault="00050C80" w:rsidP="00422D2D">
      <w:pPr>
        <w:rPr>
          <w:rStyle w:val="StyleUnderline"/>
        </w:rPr>
      </w:pPr>
      <w:r w:rsidRPr="00EC4DE7">
        <w:rPr>
          <w:sz w:val="12"/>
        </w:rPr>
        <w:t xml:space="preserve">Let us apply to the slavery metaphor those arguments developed for changing the jargon of animal reproductive behavior. First, using human labels to describe animal behavior implies similarities that may be mistaken. Indeed, my experience verifies that </w:t>
      </w:r>
      <w:r w:rsidRPr="00EC4DE7">
        <w:rPr>
          <w:rStyle w:val="StyleUnderline"/>
        </w:rPr>
        <w:t>use of the slavery metaphor triggers a connection with human brutality that is hard to shake</w:t>
      </w:r>
      <w:r w:rsidRPr="00EC4DE7">
        <w:rPr>
          <w:sz w:val="12"/>
        </w:rPr>
        <w:t xml:space="preserve"> (Anonymous 2002). Second, </w:t>
      </w:r>
      <w:r w:rsidRPr="00EC4DE7">
        <w:rPr>
          <w:rStyle w:val="StyleUnderline"/>
        </w:rPr>
        <w:t>such terms are offensive because they evoke negative human experiences and can serve to reinforce the prevailing social order</w:t>
      </w:r>
      <w:r w:rsidRPr="00EC4DE7">
        <w:rPr>
          <w:sz w:val="12"/>
        </w:rPr>
        <w:t xml:space="preserve"> (Zuk 1993). More than one colleague has expressed this point of view to me concerning the slavery metaphor. Third, I assert that </w:t>
      </w:r>
      <w:r w:rsidRPr="00EC4DE7">
        <w:rPr>
          <w:rStyle w:val="StyleUnderline"/>
        </w:rPr>
        <w:t>by using such terms we may be harming the scientific enterprise itself</w:t>
      </w:r>
      <w:r w:rsidRPr="00EC4DE7">
        <w:rPr>
          <w:sz w:val="12"/>
        </w:rPr>
        <w:t xml:space="preserve">. Because science is a </w:t>
      </w:r>
      <w:r w:rsidRPr="00EC4DE7">
        <w:rPr>
          <w:rStyle w:val="StyleUnderline"/>
        </w:rPr>
        <w:t>culturally bounded human institution</w:t>
      </w:r>
      <w:r w:rsidRPr="00EC4DE7">
        <w:rPr>
          <w:sz w:val="12"/>
        </w:rPr>
        <w:t xml:space="preserve">, we scientists can </w:t>
      </w:r>
      <w:r w:rsidRPr="00EC4DE7">
        <w:rPr>
          <w:rStyle w:val="StyleUnderline"/>
        </w:rPr>
        <w:t>learn about the impact of our jargon from scholars of rhetoric</w:t>
      </w:r>
      <w:r w:rsidRPr="00EC4DE7">
        <w:rPr>
          <w:sz w:val="12"/>
        </w:rPr>
        <w:t xml:space="preserve">. For example, Toni Morrison has studied how literary interpretation has been hampered by inattention to the fact that our societies are racially charged (Morrison 1992). Similarly, we must consider how our words affect public understanding and acceptance of science. In the United States, we are technologically dependent yet scientifically illiterate, and </w:t>
      </w:r>
      <w:r w:rsidRPr="00EC4DE7">
        <w:rPr>
          <w:rStyle w:val="StyleUnderline"/>
        </w:rPr>
        <w:t>using jargon that discourages even one individual from learning</w:t>
      </w:r>
      <w:r w:rsidRPr="00EC4DE7">
        <w:rPr>
          <w:sz w:val="12"/>
        </w:rPr>
        <w:t xml:space="preserve"> more about science</w:t>
      </w:r>
      <w:r w:rsidRPr="00EC4DE7">
        <w:rPr>
          <w:rStyle w:val="StyleUnderline"/>
        </w:rPr>
        <w:t xml:space="preserve"> is simply irresponsible</w:t>
      </w:r>
      <w:r w:rsidRPr="00EC4DE7">
        <w:rPr>
          <w:sz w:val="12"/>
        </w:rPr>
        <w:t xml:space="preserve">. </w:t>
      </w:r>
      <w:r w:rsidRPr="00EC4DE7">
        <w:rPr>
          <w:rStyle w:val="StyleUnderline"/>
        </w:rPr>
        <w:t xml:space="preserve">I find it hard to imagine a young black student being attracted to a discipline that </w:t>
      </w:r>
      <w:r w:rsidRPr="00EC4DE7">
        <w:rPr>
          <w:rStyle w:val="StyleUnderline"/>
        </w:rPr>
        <w:lastRenderedPageBreak/>
        <w:t>calls</w:t>
      </w:r>
      <w:r w:rsidRPr="00EC4DE7">
        <w:rPr>
          <w:sz w:val="12"/>
        </w:rPr>
        <w:t xml:space="preserve"> parasitized insects </w:t>
      </w:r>
      <w:r w:rsidRPr="00EC4DE7">
        <w:rPr>
          <w:rStyle w:val="StyleUnderline"/>
        </w:rPr>
        <w:t>“slaves”</w:t>
      </w:r>
      <w:r w:rsidRPr="00EC4DE7">
        <w:rPr>
          <w:sz w:val="12"/>
        </w:rPr>
        <w:t xml:space="preserve"> and “negro ants.” A final argument for discarding the slavery metaphor questions its aptness to the behavior we study. Ants depart from human slave owners in much of their behavior. They neither breed nor auction off their captives. Newly fertilized parasite queens must invade and take over an established host nest in order to secure the workforce needed to tend their eggs; this invasion behavior has no counterpart in human slavery. The metaphor is, at best, imperfect. Yet discarding metaphors altogether in favor of obscure jargon is incompatible with interesting students and the public in my work. While no metaphor can be perfect, I offer an alternative. I suggest that we replace “slave-making ants” with “pirate ants.” Pirates certainly take captives when they board ships, and pirates rely on forced labor. We can replace “slave” with “captive” and “dulosis” with “leistic behavior,” from the Greek for pirated spoils, leistos. To be sure, the pirate metaphor has its own imperfections when we use it to describe ant behavior—but the social impact on audiences, if anything, might be positive. I, for one, prefer audiences to identify my work with Captain Jack Sparrow than with Simon Legree. I submit that we scientists have a responsibility to communicate effectively. To do so, we must listen to those who study the impact of words. </w:t>
      </w:r>
      <w:r w:rsidRPr="00EC4DE7">
        <w:rPr>
          <w:rStyle w:val="StyleUnderline"/>
        </w:rPr>
        <w:t>If the terminology we use is degrading or offensive, then it is time to change the terminology.</w:t>
      </w:r>
    </w:p>
    <w:p w:rsidR="003F277E" w:rsidRDefault="003F277E" w:rsidP="00422D2D"/>
    <w:p w:rsidR="003F277E" w:rsidRDefault="003F277E" w:rsidP="00422D2D"/>
    <w:p w:rsidR="00EC4DE7" w:rsidRDefault="00EC4DE7" w:rsidP="00EC4DE7">
      <w:pPr>
        <w:pStyle w:val="Heading4"/>
      </w:pPr>
      <w:r>
        <w:t>Slavery metaphors evok thoughts of violence and horror – reifies structural violence and detracts from author’s original intent</w:t>
      </w:r>
    </w:p>
    <w:p w:rsidR="00EC4DE7" w:rsidRDefault="00EC4DE7" w:rsidP="00422D2D">
      <w:r w:rsidRPr="00EC4DE7">
        <w:rPr>
          <w:rStyle w:val="Style13ptBold"/>
        </w:rPr>
        <w:t>Beck 10</w:t>
      </w:r>
      <w:r>
        <w:t xml:space="preserve"> [Daniel Beck, “Master/slave has got to go”, December 28</w:t>
      </w:r>
      <w:r w:rsidRPr="00EC4DE7">
        <w:rPr>
          <w:vertAlign w:val="superscript"/>
        </w:rPr>
        <w:t>th</w:t>
      </w:r>
      <w:r>
        <w:t xml:space="preserve">, 2010, </w:t>
      </w:r>
      <w:hyperlink r:id="rId19" w:history="1">
        <w:r w:rsidRPr="00055920">
          <w:rPr>
            <w:rStyle w:val="Hyperlink"/>
          </w:rPr>
          <w:t>http://www.hackwriting.com/2010/12/28/masterslave-has-got-to-go/</w:t>
        </w:r>
      </w:hyperlink>
      <w:r>
        <w:t>] // t-haas</w:t>
      </w:r>
    </w:p>
    <w:p w:rsidR="003F277E" w:rsidRDefault="00EC4DE7" w:rsidP="00422D2D">
      <w:pPr>
        <w:rPr>
          <w:sz w:val="12"/>
        </w:rPr>
      </w:pPr>
      <w:r w:rsidRPr="00EC4DE7">
        <w:rPr>
          <w:rStyle w:val="StyleUnderline"/>
        </w:rPr>
        <w:t>The most obvious case for avoiding master/slave is that it is offensive because the metaphor diminishes actually slavery.</w:t>
      </w:r>
      <w:r w:rsidRPr="00EC4DE7">
        <w:rPr>
          <w:sz w:val="12"/>
        </w:rPr>
        <w:t xml:space="preserve"> </w:t>
      </w:r>
      <w:r w:rsidRPr="00EC4DE7">
        <w:rPr>
          <w:rStyle w:val="StyleUnderline"/>
        </w:rPr>
        <w:t>Slavery is a horror involving compulsory labor and sex; to use it to refer to something</w:t>
      </w:r>
      <w:r w:rsidRPr="00EC4DE7">
        <w:rPr>
          <w:sz w:val="12"/>
        </w:rPr>
        <w:t xml:space="preserve"> as benign as a couple of hard drives</w:t>
      </w:r>
      <w:r w:rsidRPr="00EC4DE7">
        <w:rPr>
          <w:rStyle w:val="StyleUnderline"/>
        </w:rPr>
        <w:t xml:space="preserve"> is a misstep</w:t>
      </w:r>
      <w:r w:rsidRPr="00EC4DE7">
        <w:rPr>
          <w:sz w:val="12"/>
        </w:rPr>
        <w:t xml:space="preserve">. But I can imagine voices asking, “Isn’t that just political correctness run amok?” and “We’ve used this phrase forever; why stop now?” so I think it’s only fair to offer a more pragmatic case against the master/slave idiom. </w:t>
      </w:r>
      <w:r w:rsidRPr="00EC4DE7">
        <w:rPr>
          <w:rStyle w:val="StyleUnderline"/>
        </w:rPr>
        <w:t>Even if you don’t buy into political correctness per se, it’s still in an author’s best interest to avoid distracting the audience with references totally unrelated to the current topic</w:t>
      </w:r>
      <w:r w:rsidRPr="00EC4DE7">
        <w:rPr>
          <w:sz w:val="12"/>
        </w:rPr>
        <w:t xml:space="preserve">. While you’re busy explaining a database replication scheme, </w:t>
      </w:r>
      <w:r w:rsidRPr="00EC4DE7">
        <w:rPr>
          <w:rStyle w:val="StyleUnderline"/>
        </w:rPr>
        <w:t>you can lose your audience to disturbing thoughts about the Atlantic slave trade or the Sudanese Civil War.</w:t>
      </w:r>
      <w:r w:rsidRPr="00EC4DE7">
        <w:rPr>
          <w:sz w:val="12"/>
        </w:rPr>
        <w:t xml:space="preserve"> This becomes increasingly likely as the international character of your audience increases: while the current practice of slavery is almost unheard of in wealthy places like the United States, Canada, and Western Europe, it’s prevalence and broader societal impact is much greater elsewhere, particularly in Africa.</w:t>
      </w:r>
    </w:p>
    <w:p w:rsidR="003458A5" w:rsidRDefault="003458A5" w:rsidP="00422D2D">
      <w:pPr>
        <w:rPr>
          <w:sz w:val="12"/>
        </w:rPr>
      </w:pPr>
    </w:p>
    <w:p w:rsidR="003458A5" w:rsidRDefault="003458A5" w:rsidP="00422D2D">
      <w:pPr>
        <w:rPr>
          <w:sz w:val="12"/>
        </w:rPr>
      </w:pPr>
    </w:p>
    <w:p w:rsidR="003458A5" w:rsidRDefault="003458A5" w:rsidP="003458A5">
      <w:pPr>
        <w:pStyle w:val="Heading3"/>
      </w:pPr>
      <w:r>
        <w:lastRenderedPageBreak/>
        <w:t>Blood Metaphors Bad</w:t>
      </w:r>
    </w:p>
    <w:p w:rsidR="003458A5" w:rsidRDefault="003458A5" w:rsidP="003458A5"/>
    <w:p w:rsidR="003524FD" w:rsidRDefault="003524FD" w:rsidP="003458A5"/>
    <w:p w:rsidR="003524FD" w:rsidRDefault="003524FD" w:rsidP="003524FD">
      <w:pPr>
        <w:pStyle w:val="Heading4"/>
      </w:pPr>
      <w:r>
        <w:t>Use of blood metaphors guarantees a destruction of modern politics – this grab for power ensures violence</w:t>
      </w:r>
    </w:p>
    <w:p w:rsidR="003458A5" w:rsidRDefault="003458A5" w:rsidP="003458A5">
      <w:r>
        <w:rPr>
          <w:rStyle w:val="Style13ptBold"/>
        </w:rPr>
        <w:t>Anidjar 11</w:t>
      </w:r>
      <w:r>
        <w:t xml:space="preserve"> [Gil Anidjar is Associate Professor in the Departments of Religion and Middle Eastern, South Asian, and African Studies at Columbia University, Political Concepts, “Blood”, 2011, </w:t>
      </w:r>
      <w:hyperlink r:id="rId20" w:history="1">
        <w:r w:rsidRPr="00055920">
          <w:rPr>
            <w:rStyle w:val="Hyperlink"/>
          </w:rPr>
          <w:t>http://www.politicalconcepts.org/issue1/blood/</w:t>
        </w:r>
      </w:hyperlink>
      <w:r>
        <w:t>] // t-haas</w:t>
      </w:r>
    </w:p>
    <w:p w:rsidR="003458A5" w:rsidRDefault="003458A5" w:rsidP="003458A5">
      <w:pPr>
        <w:rPr>
          <w:sz w:val="12"/>
        </w:rPr>
      </w:pPr>
      <w:r w:rsidRPr="003524FD">
        <w:rPr>
          <w:rStyle w:val="StyleUnderline"/>
        </w:rPr>
        <w:t>The inclusion of blood in</w:t>
      </w:r>
      <w:r w:rsidRPr="003524FD">
        <w:rPr>
          <w:sz w:val="12"/>
        </w:rPr>
        <w:t xml:space="preserve"> a lexicon of </w:t>
      </w:r>
      <w:r w:rsidRPr="003524FD">
        <w:rPr>
          <w:rStyle w:val="StyleUnderline"/>
        </w:rPr>
        <w:t>political</w:t>
      </w:r>
      <w:r w:rsidRPr="003524FD">
        <w:rPr>
          <w:sz w:val="12"/>
        </w:rPr>
        <w:t xml:space="preserve"> concepts </w:t>
      </w:r>
      <w:r w:rsidRPr="003524FD">
        <w:rPr>
          <w:rStyle w:val="StyleUnderline"/>
        </w:rPr>
        <w:t>would</w:t>
      </w:r>
      <w:r w:rsidRPr="003524FD">
        <w:rPr>
          <w:sz w:val="12"/>
        </w:rPr>
        <w:t xml:space="preserve"> seem to </w:t>
      </w:r>
      <w:r w:rsidRPr="003524FD">
        <w:rPr>
          <w:rStyle w:val="StyleUnderline"/>
        </w:rPr>
        <w:t>require the removal of two quite formidable obstacles. First, blood is not a concept. And second, blood is not political</w:t>
      </w:r>
      <w:r w:rsidRPr="003524FD">
        <w:rPr>
          <w:sz w:val="12"/>
        </w:rPr>
        <w:t xml:space="preserve">.1 I shall return to the first obstacle, but I should begin by deferring to understandable reservations with regards to the removal of the second. For who, after all, would want to claim blood for the political, to make blood political and tear down the wall, close the gap that separates blood from politics? Who would wish together to have and to hold in unholy matrimony blood and politics? Are not the worst perversions, the worst exceptions, of our global political history conjured easily enough by this ominous apposition? At the most basal, as the most basal, blood functions as a liminal marker, the potent sign of politics at its recalcitrant limits. </w:t>
      </w:r>
      <w:r w:rsidRPr="003524FD">
        <w:rPr>
          <w:rStyle w:val="StyleUnderline"/>
        </w:rPr>
        <w:t>Blood operates</w:t>
      </w:r>
      <w:r w:rsidRPr="003524FD">
        <w:rPr>
          <w:sz w:val="12"/>
        </w:rPr>
        <w:t xml:space="preserve">, or, shall we say, circulates </w:t>
      </w:r>
      <w:r w:rsidRPr="003524FD">
        <w:rPr>
          <w:rStyle w:val="StyleUnderline"/>
        </w:rPr>
        <w:t>at the outer extremes of politics, there where the shedding of blood signifies the ultimate exercise of power</w:t>
      </w:r>
      <w:r w:rsidRPr="003524FD">
        <w:rPr>
          <w:sz w:val="12"/>
        </w:rPr>
        <w:t xml:space="preserve"> (ius gladii and all that), </w:t>
      </w:r>
      <w:r w:rsidRPr="003524FD">
        <w:rPr>
          <w:rStyle w:val="StyleUnderline"/>
        </w:rPr>
        <w:t xml:space="preserve">as well as the undoing of the community that </w:t>
      </w:r>
      <w:r w:rsidRPr="003524FD">
        <w:rPr>
          <w:rStyle w:val="Emphasis"/>
        </w:rPr>
        <w:t>descends into violence</w:t>
      </w:r>
      <w:r w:rsidRPr="003524FD">
        <w:rPr>
          <w:sz w:val="12"/>
        </w:rPr>
        <w:t xml:space="preserve">. As Martin Luther limpidly put it, “Let no one think that the world can be ruled without blood; the sword of the ruler must be red and bloody; for the world will and must be evil, and the sword is God’s rod and vengeance upon it.”2 </w:t>
      </w:r>
      <w:r w:rsidRPr="003524FD">
        <w:rPr>
          <w:rStyle w:val="StyleUnderline"/>
        </w:rPr>
        <w:t>Accordingly, blood figures that which, from past to present, female to male, and status to contract, politics transcends, manages, or excludes; what it should, at any rate, exclude: the archaism of blood feuds, the threat of cruel and unusual punishment</w:t>
      </w:r>
      <w:r w:rsidRPr="003524FD">
        <w:rPr>
          <w:sz w:val="12"/>
        </w:rPr>
        <w:t xml:space="preserve"> — or of menstruation — and the pertinacity of kinship, of tribalism, </w:t>
      </w:r>
      <w:r w:rsidRPr="003524FD">
        <w:rPr>
          <w:rStyle w:val="StyleUnderline"/>
        </w:rPr>
        <w:t>and</w:t>
      </w:r>
      <w:r w:rsidRPr="003524FD">
        <w:rPr>
          <w:sz w:val="12"/>
        </w:rPr>
        <w:t xml:space="preserve"> finally of </w:t>
      </w:r>
      <w:r w:rsidRPr="003524FD">
        <w:rPr>
          <w:rStyle w:val="StyleUnderline"/>
        </w:rPr>
        <w:t>race</w:t>
      </w:r>
      <w:r w:rsidRPr="003524FD">
        <w:rPr>
          <w:sz w:val="12"/>
        </w:rPr>
        <w:t xml:space="preserve">. Like Diderot, we still “are filled with indignation at the cruelties, either civil or religious, of our ferocious ancestors, and </w:t>
      </w:r>
      <w:r w:rsidRPr="003524FD">
        <w:rPr>
          <w:rStyle w:val="StyleUnderline"/>
        </w:rPr>
        <w:t>we turn away our eyes from those ages of horror and blood</w:t>
      </w:r>
      <w:r w:rsidRPr="003524FD">
        <w:rPr>
          <w:sz w:val="12"/>
        </w:rPr>
        <w:t xml:space="preserve">.”3 </w:t>
      </w:r>
      <w:r w:rsidRPr="003524FD">
        <w:rPr>
          <w:rStyle w:val="StyleUnderline"/>
        </w:rPr>
        <w:t>In this broad perspective, the inclusion of blood in a lexicon of political concepts</w:t>
      </w:r>
      <w:r w:rsidRPr="003524FD">
        <w:rPr>
          <w:sz w:val="12"/>
        </w:rPr>
        <w:t xml:space="preserve"> — the removal of the two obstacles I have mentioned — </w:t>
      </w:r>
      <w:r w:rsidRPr="003524FD">
        <w:rPr>
          <w:rStyle w:val="StyleUnderline"/>
        </w:rPr>
        <w:t>smacks of</w:t>
      </w:r>
      <w:r w:rsidRPr="003524FD">
        <w:rPr>
          <w:sz w:val="12"/>
        </w:rPr>
        <w:t xml:space="preserve"> a strange revivalism, of fundamentalism even, minimally, an </w:t>
      </w:r>
      <w:r w:rsidRPr="003524FD">
        <w:rPr>
          <w:rStyle w:val="StyleUnderline"/>
        </w:rPr>
        <w:t>archaism</w:t>
      </w:r>
      <w:r w:rsidRPr="003524FD">
        <w:rPr>
          <w:sz w:val="12"/>
        </w:rPr>
        <w:t xml:space="preserve"> of sorts. “To what extent have we escaped,” Alain Brossat recently wondered with justifiable unease, “the archaic and obscure dramaturgy of blood, this political dramaturgy evoked by Foucault?”4 The question should be answered thoughtfully, the inquiry conducted with care, for it requires the exertion of the same protective vigilance that has sought to keep the floodgates erect, which haltingly prevented blood from engulfing our political existence.</w:t>
      </w:r>
    </w:p>
    <w:p w:rsidR="004B2834" w:rsidRDefault="004B2834" w:rsidP="003458A5">
      <w:pPr>
        <w:rPr>
          <w:sz w:val="12"/>
        </w:rPr>
      </w:pPr>
    </w:p>
    <w:p w:rsidR="00E21CA5" w:rsidRDefault="00E21CA5" w:rsidP="00E21CA5">
      <w:pPr>
        <w:pStyle w:val="Heading3"/>
      </w:pPr>
      <w:r>
        <w:lastRenderedPageBreak/>
        <w:t>Nazi Metaphors Bad</w:t>
      </w:r>
    </w:p>
    <w:p w:rsidR="00E21CA5" w:rsidRDefault="00E21CA5" w:rsidP="00E21CA5"/>
    <w:p w:rsidR="00F62D54" w:rsidRDefault="00F62D54" w:rsidP="00F62D54">
      <w:pPr>
        <w:pStyle w:val="Heading4"/>
      </w:pPr>
      <w:r>
        <w:t>Envoking an analogy to “Nazis” creates violent trivialization and destroys their argumentative ethics – the burden is on them to justify their metaphor</w:t>
      </w:r>
    </w:p>
    <w:p w:rsidR="00F62D54" w:rsidRDefault="00F62D54" w:rsidP="00E21CA5">
      <w:r>
        <w:rPr>
          <w:rStyle w:val="Style13ptBold"/>
        </w:rPr>
        <w:t>Campbell 92</w:t>
      </w:r>
      <w:r>
        <w:t xml:space="preserve"> [Courtney S. Campbell, PhD, Professor of Ethics, Science, and the Environment in the Department of Philosophy at Oregon State University, Research Associate and Fellow at the Hastings Center, Editor of the Hastings Center Report, “It Never Dies: Assessing the Nazi Analogy in Bioethics”, Journal of Medical Humanities, Vol. 13, No. 1, 1992] // t-haas</w:t>
      </w:r>
    </w:p>
    <w:p w:rsidR="00E21CA5" w:rsidRPr="00F62D54" w:rsidRDefault="00E21CA5" w:rsidP="003458A5">
      <w:pPr>
        <w:rPr>
          <w:sz w:val="12"/>
        </w:rPr>
      </w:pPr>
      <w:r w:rsidRPr="00F62D54">
        <w:rPr>
          <w:rStyle w:val="StyleUnderline"/>
        </w:rPr>
        <w:t>The validity of the Nazi analogy in moral argument has also not</w:t>
      </w:r>
      <w:r w:rsidR="00F62D54" w:rsidRPr="00F62D54">
        <w:rPr>
          <w:rStyle w:val="StyleUnderline"/>
        </w:rPr>
        <w:t xml:space="preserve"> </w:t>
      </w:r>
      <w:r w:rsidRPr="00F62D54">
        <w:rPr>
          <w:rStyle w:val="StyleUnderline"/>
        </w:rPr>
        <w:t>gone unchallenged by scholars</w:t>
      </w:r>
      <w:r w:rsidRPr="00F62D54">
        <w:rPr>
          <w:sz w:val="12"/>
        </w:rPr>
        <w:t xml:space="preserve"> in bioethics. Several </w:t>
      </w:r>
      <w:r w:rsidRPr="00F62D54">
        <w:rPr>
          <w:rStyle w:val="StyleUnderline"/>
        </w:rPr>
        <w:t>utilitarians</w:t>
      </w:r>
      <w:r w:rsidRPr="00F62D54">
        <w:rPr>
          <w:sz w:val="12"/>
        </w:rPr>
        <w:t>, Peter</w:t>
      </w:r>
      <w:r w:rsidR="00F62D54" w:rsidRPr="00F62D54">
        <w:rPr>
          <w:sz w:val="12"/>
        </w:rPr>
        <w:t xml:space="preserve"> </w:t>
      </w:r>
      <w:r w:rsidRPr="00F62D54">
        <w:rPr>
          <w:rStyle w:val="StyleUnderline"/>
        </w:rPr>
        <w:t>Singer</w:t>
      </w:r>
      <w:r w:rsidRPr="00F62D54">
        <w:rPr>
          <w:sz w:val="12"/>
        </w:rPr>
        <w:t xml:space="preserve">, James </w:t>
      </w:r>
      <w:r w:rsidRPr="00F62D54">
        <w:rPr>
          <w:rStyle w:val="StyleUnderline"/>
        </w:rPr>
        <w:t>Rachels</w:t>
      </w:r>
      <w:r w:rsidRPr="00F62D54">
        <w:rPr>
          <w:sz w:val="12"/>
        </w:rPr>
        <w:t xml:space="preserve">, </w:t>
      </w:r>
      <w:r w:rsidRPr="00F62D54">
        <w:rPr>
          <w:rStyle w:val="StyleUnderline"/>
        </w:rPr>
        <w:t>and</w:t>
      </w:r>
      <w:r w:rsidRPr="00F62D54">
        <w:rPr>
          <w:sz w:val="12"/>
        </w:rPr>
        <w:t xml:space="preserve"> Joseph </w:t>
      </w:r>
      <w:r w:rsidRPr="00F62D54">
        <w:rPr>
          <w:rStyle w:val="StyleUnderline"/>
        </w:rPr>
        <w:t>Fletcher</w:t>
      </w:r>
      <w:r w:rsidRPr="00F62D54">
        <w:rPr>
          <w:sz w:val="12"/>
        </w:rPr>
        <w:t xml:space="preserve">, for example, </w:t>
      </w:r>
      <w:r w:rsidRPr="00F62D54">
        <w:rPr>
          <w:rStyle w:val="StyleUnderline"/>
        </w:rPr>
        <w:t>have dismissed</w:t>
      </w:r>
      <w:r w:rsidR="00F62D54" w:rsidRPr="00F62D54">
        <w:rPr>
          <w:rStyle w:val="StyleUnderline"/>
        </w:rPr>
        <w:t xml:space="preserve"> </w:t>
      </w:r>
      <w:r w:rsidRPr="00F62D54">
        <w:rPr>
          <w:rStyle w:val="StyleUnderline"/>
        </w:rPr>
        <w:t>the historical experience of Nazism as an aberration and the analogy as</w:t>
      </w:r>
      <w:r w:rsidR="00F62D54" w:rsidRPr="00F62D54">
        <w:rPr>
          <w:rStyle w:val="StyleUnderline"/>
        </w:rPr>
        <w:t xml:space="preserve"> </w:t>
      </w:r>
      <w:r w:rsidRPr="00F62D54">
        <w:rPr>
          <w:rStyle w:val="StyleUnderline"/>
        </w:rPr>
        <w:t>simply irrelevant</w:t>
      </w:r>
      <w:r w:rsidRPr="00F62D54">
        <w:rPr>
          <w:sz w:val="12"/>
        </w:rPr>
        <w:t>. The opposition of these writers is not difficult to</w:t>
      </w:r>
      <w:r w:rsidR="00F62D54" w:rsidRPr="00F62D54">
        <w:rPr>
          <w:sz w:val="12"/>
        </w:rPr>
        <w:t xml:space="preserve"> </w:t>
      </w:r>
      <w:r w:rsidRPr="00F62D54">
        <w:rPr>
          <w:sz w:val="12"/>
        </w:rPr>
        <w:t>understand; each has, after all, been in the forefront of rather radical</w:t>
      </w:r>
      <w:r w:rsidR="00F62D54" w:rsidRPr="00F62D54">
        <w:rPr>
          <w:sz w:val="12"/>
        </w:rPr>
        <w:t xml:space="preserve"> </w:t>
      </w:r>
      <w:r w:rsidRPr="00F62D54">
        <w:rPr>
          <w:sz w:val="12"/>
        </w:rPr>
        <w:t>proposals for both ethics and law on such controversial matters as</w:t>
      </w:r>
      <w:r w:rsidR="00F62D54" w:rsidRPr="00F62D54">
        <w:rPr>
          <w:sz w:val="12"/>
        </w:rPr>
        <w:t xml:space="preserve"> </w:t>
      </w:r>
      <w:r w:rsidRPr="00F62D54">
        <w:rPr>
          <w:sz w:val="12"/>
        </w:rPr>
        <w:t>euthanasia and infanticide. To some extent then, the credibility of their</w:t>
      </w:r>
      <w:r w:rsidR="00F62D54" w:rsidRPr="00F62D54">
        <w:rPr>
          <w:sz w:val="12"/>
        </w:rPr>
        <w:t xml:space="preserve"> </w:t>
      </w:r>
      <w:r w:rsidRPr="00F62D54">
        <w:rPr>
          <w:sz w:val="12"/>
        </w:rPr>
        <w:t>own positions is at stake in discrediting the analogy as "last-ditch</w:t>
      </w:r>
      <w:r w:rsidR="00F62D54" w:rsidRPr="00F62D54">
        <w:rPr>
          <w:sz w:val="12"/>
        </w:rPr>
        <w:t xml:space="preserve"> </w:t>
      </w:r>
      <w:r w:rsidRPr="00F62D54">
        <w:rPr>
          <w:sz w:val="12"/>
        </w:rPr>
        <w:t>mumbling" by "provitalists. ''5 For those who find the analogy valid,</w:t>
      </w:r>
      <w:r w:rsidR="00F62D54" w:rsidRPr="00F62D54">
        <w:rPr>
          <w:sz w:val="12"/>
        </w:rPr>
        <w:t xml:space="preserve"> </w:t>
      </w:r>
      <w:r w:rsidRPr="00F62D54">
        <w:rPr>
          <w:sz w:val="12"/>
        </w:rPr>
        <w:t>however, such claims hardly dispel the concerns expressed in Alexander's suspicions about the lurking dangers for medical practice of "cold-blooded</w:t>
      </w:r>
      <w:r w:rsidR="00F62D54" w:rsidRPr="00F62D54">
        <w:rPr>
          <w:sz w:val="12"/>
        </w:rPr>
        <w:t xml:space="preserve"> </w:t>
      </w:r>
      <w:r w:rsidRPr="00F62D54">
        <w:rPr>
          <w:sz w:val="12"/>
        </w:rPr>
        <w:t>utilitarianism."</w:t>
      </w:r>
      <w:r w:rsidR="00F62D54" w:rsidRPr="00F62D54">
        <w:rPr>
          <w:sz w:val="12"/>
        </w:rPr>
        <w:t xml:space="preserve"> </w:t>
      </w:r>
      <w:r w:rsidRPr="00F62D54">
        <w:rPr>
          <w:sz w:val="12"/>
        </w:rPr>
        <w:t>In addition, proponents may perceive a utilitarian-guided efficiency</w:t>
      </w:r>
      <w:r w:rsidR="00F62D54" w:rsidRPr="00F62D54">
        <w:rPr>
          <w:sz w:val="12"/>
        </w:rPr>
        <w:t xml:space="preserve"> </w:t>
      </w:r>
      <w:r w:rsidRPr="00F62D54">
        <w:rPr>
          <w:sz w:val="12"/>
        </w:rPr>
        <w:t>rationale underlying the evolving ethos of current medical practice. In par</w:t>
      </w:r>
      <w:r w:rsidR="00F62D54" w:rsidRPr="00F62D54">
        <w:rPr>
          <w:sz w:val="12"/>
        </w:rPr>
        <w:t xml:space="preserve">ticular, technological and economic imperatives can so structure and control moral decisions in medicine that such choices may ultimately reduce to determinations of social worth and utility. Such a perspective, for example, is often present in arguments that see proposals for rationing health care by age or by income as the first step in a Nazi-like policy to rid society of its unproductive or "expendable" members. </w:t>
      </w:r>
      <w:r w:rsidR="00F62D54" w:rsidRPr="00F62D54">
        <w:rPr>
          <w:rStyle w:val="StyleUnderline"/>
        </w:rPr>
        <w:t>One does not</w:t>
      </w:r>
      <w:r w:rsidR="00F62D54" w:rsidRPr="00F62D54">
        <w:rPr>
          <w:sz w:val="12"/>
        </w:rPr>
        <w:t xml:space="preserve">, to be sure, </w:t>
      </w:r>
      <w:r w:rsidR="00F62D54" w:rsidRPr="00F62D54">
        <w:rPr>
          <w:rStyle w:val="StyleUnderline"/>
        </w:rPr>
        <w:t>have to be a committed utilitarian to have reservations about appeals to the Nazi analogy in moral debate</w:t>
      </w:r>
      <w:r w:rsidR="00F62D54" w:rsidRPr="00F62D54">
        <w:rPr>
          <w:sz w:val="12"/>
        </w:rPr>
        <w:t xml:space="preserve">. </w:t>
      </w:r>
      <w:r w:rsidR="00F62D54" w:rsidRPr="00F62D54">
        <w:rPr>
          <w:rStyle w:val="StyleUnderline"/>
        </w:rPr>
        <w:t>Its occasional indiscriminate invocation constitutes a cheapening or trivializing of moral discourse</w:t>
      </w:r>
      <w:r w:rsidR="00F62D54" w:rsidRPr="00F62D54">
        <w:rPr>
          <w:sz w:val="12"/>
        </w:rPr>
        <w:t xml:space="preserve">. In some arguments, moreover, </w:t>
      </w:r>
      <w:r w:rsidR="00F62D54" w:rsidRPr="00F62D54">
        <w:rPr>
          <w:rStyle w:val="StyleUnderline"/>
        </w:rPr>
        <w:t>an appeal to the Nazi experience signals the abandonment of reliance on moral reasoning as a mode of persuasion</w:t>
      </w:r>
      <w:r w:rsidR="00F62D54" w:rsidRPr="00F62D54">
        <w:rPr>
          <w:sz w:val="12"/>
        </w:rPr>
        <w:t xml:space="preserve">. Indeed, </w:t>
      </w:r>
      <w:r w:rsidR="00F62D54" w:rsidRPr="00F62D54">
        <w:rPr>
          <w:rStyle w:val="StyleUnderline"/>
        </w:rPr>
        <w:t>in certain respects, the moral logic of the appeal requires a suspension of rational discourse, for to characterize an opponent as a "Nazi" or to accuse a person of advocating Nazi-like proposals represents a radical indictment or even a denial of his or her humanity</w:t>
      </w:r>
      <w:r w:rsidR="00F62D54" w:rsidRPr="00F62D54">
        <w:rPr>
          <w:sz w:val="12"/>
        </w:rPr>
        <w:t xml:space="preserve">. </w:t>
      </w:r>
      <w:r w:rsidR="00F62D54" w:rsidRPr="00F62D54">
        <w:rPr>
          <w:rStyle w:val="StyleUnderline"/>
        </w:rPr>
        <w:t>The accusation conveys a judgment that one has passed beyond the pate of moral community and that moral suasion is no longer possible</w:t>
      </w:r>
      <w:r w:rsidR="00F62D54" w:rsidRPr="00F62D54">
        <w:rPr>
          <w:sz w:val="12"/>
        </w:rPr>
        <w:t xml:space="preserve">. For these reasons, </w:t>
      </w:r>
      <w:r w:rsidR="00F62D54" w:rsidRPr="00F62D54">
        <w:rPr>
          <w:rStyle w:val="StyleUnderline"/>
        </w:rPr>
        <w:t>the Nazi analogy can lead to sloppy arguments and bad ethics</w:t>
      </w:r>
      <w:r w:rsidR="00F62D54" w:rsidRPr="00F62D54">
        <w:rPr>
          <w:sz w:val="12"/>
        </w:rPr>
        <w:t xml:space="preserve">. Nevertheless, it seems reasonable, because of the seriousness of the indictment, to identify and examine some of the philosophical premises and </w:t>
      </w:r>
      <w:r w:rsidR="00F62D54" w:rsidRPr="00F62D54">
        <w:rPr>
          <w:rStyle w:val="StyleUnderline"/>
        </w:rPr>
        <w:t>assumptions of the analogy that are often left unarticulated in the course of an argument</w:t>
      </w:r>
      <w:r w:rsidR="00F62D54" w:rsidRPr="00F62D54">
        <w:rPr>
          <w:sz w:val="12"/>
        </w:rPr>
        <w:t xml:space="preserve">. In so doing, I wish to </w:t>
      </w:r>
      <w:r w:rsidR="00F62D54" w:rsidRPr="00F62D54">
        <w:rPr>
          <w:rStyle w:val="StyleUnderline"/>
        </w:rPr>
        <w:t>impose a burden of proof on proponents of the relevance of the analogy to defend and substantiate these suppositions</w:t>
      </w:r>
      <w:r w:rsidR="00F62D54" w:rsidRPr="00F62D54">
        <w:rPr>
          <w:sz w:val="12"/>
        </w:rPr>
        <w:t xml:space="preserve">. </w:t>
      </w:r>
    </w:p>
    <w:p w:rsidR="00F62D54" w:rsidRDefault="00F62D54" w:rsidP="003458A5"/>
    <w:p w:rsidR="00F62D54" w:rsidRDefault="00F62D54" w:rsidP="003458A5"/>
    <w:p w:rsidR="00F62D54" w:rsidRDefault="00F62D54" w:rsidP="00F62D54">
      <w:pPr>
        <w:pStyle w:val="Heading4"/>
      </w:pPr>
      <w:r>
        <w:t>Their use of Nazi analogies rests on a flawed assumption of the world – morality should be framed around intentions, not unpredictable outcomes</w:t>
      </w:r>
    </w:p>
    <w:p w:rsidR="00F62D54" w:rsidRDefault="00F62D54" w:rsidP="003458A5">
      <w:r>
        <w:rPr>
          <w:rStyle w:val="Style13ptBold"/>
        </w:rPr>
        <w:t>Campbell 92</w:t>
      </w:r>
      <w:r>
        <w:t xml:space="preserve"> [Courtney S. Campbell, PhD, Professor of Ethics, Science, and the Environment in the Department of Philosophy at Oregon State University, Research Associate and Fellow at the Hastings Center, Editor of the Hastings Center Report, “It Never Dies: Assessing the Nazi Analogy in Bioethics”, Journal of Medical Humanities, Vol. 13, No. 1, 1992] // t-haas</w:t>
      </w:r>
    </w:p>
    <w:p w:rsidR="00F62D54" w:rsidRDefault="00F62D54" w:rsidP="003458A5">
      <w:r>
        <w:t xml:space="preserve">We can distinguish between limited and extended conceptions of moral responsibility based on whether a moral agent is held accountable for unintended outcomes of actions and policies. </w:t>
      </w:r>
      <w:r w:rsidRPr="00F62D54">
        <w:rPr>
          <w:rStyle w:val="StyleUnderline"/>
        </w:rPr>
        <w:t>Arguments invoking the Nazi analogy</w:t>
      </w:r>
      <w:r>
        <w:t xml:space="preserve"> often </w:t>
      </w:r>
      <w:r w:rsidRPr="00F62D54">
        <w:rPr>
          <w:rStyle w:val="StyleUnderline"/>
        </w:rPr>
        <w:t>rely on</w:t>
      </w:r>
      <w:r>
        <w:t xml:space="preserve"> what Max Weber called the "</w:t>
      </w:r>
      <w:r w:rsidRPr="00F62D54">
        <w:rPr>
          <w:rStyle w:val="StyleUnderline"/>
        </w:rPr>
        <w:t>ethical irrationality of the world</w:t>
      </w:r>
      <w:r>
        <w:t xml:space="preserve">, ''6 </w:t>
      </w:r>
      <w:r w:rsidRPr="00F62D54">
        <w:rPr>
          <w:rStyle w:val="StyleUnderline"/>
        </w:rPr>
        <w:t>in which intention and outcome regularly stand in contradictory relation, to contend that even the most well-intentioned of policies can result in a Nazi-like ethos</w:t>
      </w:r>
      <w:r>
        <w:t xml:space="preserve"> for medical practice. </w:t>
      </w:r>
      <w:r w:rsidRPr="00F62D54">
        <w:rPr>
          <w:rStyle w:val="StyleUnderline"/>
        </w:rPr>
        <w:t>Such a perspective assumes some account of human nature that proponents have a responsibility to</w:t>
      </w:r>
      <w:r>
        <w:t xml:space="preserve"> explicate and </w:t>
      </w:r>
      <w:r w:rsidRPr="00F62D54">
        <w:rPr>
          <w:rStyle w:val="StyleUnderline"/>
        </w:rPr>
        <w:t>defend</w:t>
      </w:r>
      <w:r>
        <w:t xml:space="preserve">. It is the case </w:t>
      </w:r>
      <w:r w:rsidRPr="00F62D54">
        <w:rPr>
          <w:rStyle w:val="StyleUnderline"/>
        </w:rPr>
        <w:t>that as finite and fallible creatures, we are limited in our capacity to predict or even control the outcomes of action that we initiate</w:t>
      </w:r>
      <w:r>
        <w:t xml:space="preserve">. </w:t>
      </w:r>
      <w:r w:rsidRPr="00F62D54">
        <w:rPr>
          <w:rStyle w:val="StyleUnderline"/>
        </w:rPr>
        <w:t>However</w:t>
      </w:r>
      <w:r>
        <w:t xml:space="preserve">, </w:t>
      </w:r>
      <w:r w:rsidRPr="00F62D54">
        <w:rPr>
          <w:rStyle w:val="StyleUnderline"/>
        </w:rPr>
        <w:t>it seems unreasonable to let matters of moral and policy deliberation be determined by an expectation of the unexpected</w:t>
      </w:r>
      <w:r>
        <w:t xml:space="preserve">. In situations of prospective uncertainty, </w:t>
      </w:r>
      <w:r w:rsidRPr="00F62D54">
        <w:rPr>
          <w:rStyle w:val="StyleUnderline"/>
        </w:rPr>
        <w:t>those who anticipate both different and worse outcomes</w:t>
      </w:r>
      <w:r>
        <w:t xml:space="preserve"> will ensue from the </w:t>
      </w:r>
      <w:r>
        <w:lastRenderedPageBreak/>
        <w:t xml:space="preserve">implementation of a proposal </w:t>
      </w:r>
      <w:r w:rsidRPr="00F62D54">
        <w:rPr>
          <w:rStyle w:val="StyleUnderline"/>
        </w:rPr>
        <w:t>would</w:t>
      </w:r>
      <w:r>
        <w:t xml:space="preserve"> seem to </w:t>
      </w:r>
      <w:r w:rsidRPr="00F62D54">
        <w:rPr>
          <w:rStyle w:val="StyleUnderline"/>
        </w:rPr>
        <w:t>have the burden of proo</w:t>
      </w:r>
      <w:r>
        <w:t xml:space="preserve">f. Moreover, </w:t>
      </w:r>
      <w:r w:rsidRPr="00F62D54">
        <w:rPr>
          <w:rStyle w:val="StyleUnderline"/>
        </w:rPr>
        <w:t>the assumption that moral responsibility can be stretched to encompass accountability for unintended outcomes needs a supporting argument</w:t>
      </w:r>
      <w:r>
        <w:t xml:space="preserve">. Some </w:t>
      </w:r>
      <w:r w:rsidRPr="00F62D54">
        <w:rPr>
          <w:rStyle w:val="StyleUnderline"/>
        </w:rPr>
        <w:t>moral traditions</w:t>
      </w:r>
      <w:r>
        <w:t xml:space="preserve">, by contrast, relying on the idea of "double effect," </w:t>
      </w:r>
      <w:r w:rsidRPr="00F62D54">
        <w:rPr>
          <w:rStyle w:val="StyleUnderline"/>
        </w:rPr>
        <w:t>are willing to limit responsibility to intentions</w:t>
      </w:r>
      <w:r>
        <w:t>, even when unintended consequences might be foreseen.</w:t>
      </w:r>
    </w:p>
    <w:p w:rsidR="00F62D54" w:rsidRDefault="00F62D54" w:rsidP="003458A5"/>
    <w:p w:rsidR="00F62D54" w:rsidRDefault="00F62D54" w:rsidP="003458A5"/>
    <w:p w:rsidR="00F62D54" w:rsidRDefault="000D064E" w:rsidP="000D064E">
      <w:pPr>
        <w:pStyle w:val="Heading4"/>
      </w:pPr>
      <w:r>
        <w:t>The only way they can win an impact is if they prove our argumentation creates an end to the slippery slope to cause Nazism</w:t>
      </w:r>
    </w:p>
    <w:p w:rsidR="00F62D54" w:rsidRDefault="00F62D54" w:rsidP="003458A5">
      <w:r>
        <w:rPr>
          <w:rStyle w:val="Style13ptBold"/>
        </w:rPr>
        <w:t>Campbell 92</w:t>
      </w:r>
      <w:r>
        <w:t xml:space="preserve"> [Courtney S. Campbell, PhD, Professor of Ethics, Science, and the Environment in the Department of Philosophy at Oregon State University, Research Associate and Fellow at the Hastings Center, Editor of the Hastings Center Report, “It Never Dies: Assessing the Nazi Analogy in Bioethics”, Journal of Medical Humanities, Vol. 13, No. 1, 1992] // t-haas</w:t>
      </w:r>
    </w:p>
    <w:p w:rsidR="00F62D54" w:rsidRDefault="00F62D54" w:rsidP="003458A5">
      <w:r>
        <w:t xml:space="preserve">In general, </w:t>
      </w:r>
      <w:r w:rsidRPr="000D064E">
        <w:rPr>
          <w:rStyle w:val="StyleUnderline"/>
        </w:rPr>
        <w:t>moral arguments that invoke the Nazi analogy turn out to be relying on the predictive or sociological version of the slippery slope</w:t>
      </w:r>
      <w:r>
        <w:t xml:space="preserve">. </w:t>
      </w:r>
      <w:r w:rsidRPr="000D064E">
        <w:rPr>
          <w:rStyle w:val="StyleUnderline"/>
        </w:rPr>
        <w:t>The problem this creates is that the moral weight of the discussion then shifts to speculation about consequences and outcomes</w:t>
      </w:r>
      <w:r>
        <w:t xml:space="preserve">. In other words, </w:t>
      </w:r>
      <w:r w:rsidRPr="000D064E">
        <w:rPr>
          <w:rStyle w:val="StyleUnderline"/>
        </w:rPr>
        <w:t>proponents of the analogy make their case on a utilitarian</w:t>
      </w:r>
      <w:r>
        <w:t xml:space="preserve"> playing field, </w:t>
      </w:r>
      <w:r w:rsidRPr="000D064E">
        <w:rPr>
          <w:rStyle w:val="StyleUnderline"/>
        </w:rPr>
        <w:t xml:space="preserve">on which confident assertions that a Nazi </w:t>
      </w:r>
      <w:r>
        <w:t>medical and</w:t>
      </w:r>
      <w:r w:rsidRPr="000D064E">
        <w:rPr>
          <w:rStyle w:val="StyleUnderline"/>
        </w:rPr>
        <w:t xml:space="preserve"> social ethos awaits will be dismissed as displaying pretensions to an omniscience for which there is little warrant in human experience</w:t>
      </w:r>
      <w:r>
        <w:t xml:space="preserve">. </w:t>
      </w:r>
      <w:r w:rsidRPr="000D064E">
        <w:rPr>
          <w:rStyle w:val="StyleUnderline"/>
        </w:rPr>
        <w:t>The burden of proof thereby lies with proponents</w:t>
      </w:r>
      <w:r>
        <w:t xml:space="preserve"> to distinguish possible outcomes from probable outcomes, and then to develop a compelling case, </w:t>
      </w:r>
      <w:r w:rsidRPr="000D064E">
        <w:rPr>
          <w:rStyle w:val="StyleUnderline"/>
        </w:rPr>
        <w:t xml:space="preserve">drawing on an intertwining of social analysis and moral values, that illustrates why the </w:t>
      </w:r>
      <w:r w:rsidRPr="000D064E">
        <w:t>feared probability</w:t>
      </w:r>
      <w:r>
        <w:t xml:space="preserve"> (</w:t>
      </w:r>
      <w:r w:rsidRPr="000D064E">
        <w:rPr>
          <w:rStyle w:val="StyleUnderline"/>
        </w:rPr>
        <w:t>sliding all the way down the slippery slope</w:t>
      </w:r>
      <w:r>
        <w:t xml:space="preserve">) </w:t>
      </w:r>
      <w:r w:rsidRPr="000D064E">
        <w:rPr>
          <w:rStyle w:val="StyleUnderline"/>
        </w:rPr>
        <w:t>is also the most likely outcome</w:t>
      </w:r>
      <w:r>
        <w:t xml:space="preserve">. </w:t>
      </w:r>
    </w:p>
    <w:p w:rsidR="00F62D54" w:rsidRDefault="00F62D54" w:rsidP="003458A5">
      <w:pPr>
        <w:rPr>
          <w:sz w:val="12"/>
        </w:rPr>
      </w:pPr>
    </w:p>
    <w:p w:rsidR="004B2834" w:rsidRDefault="004B2834" w:rsidP="004B2834">
      <w:pPr>
        <w:pStyle w:val="Heading3"/>
      </w:pPr>
      <w:r>
        <w:lastRenderedPageBreak/>
        <w:t>Body Metaphors Bad</w:t>
      </w:r>
      <w:r w:rsidR="00A03265">
        <w:t xml:space="preserve"> (Irigaray)</w:t>
      </w:r>
    </w:p>
    <w:p w:rsidR="004B2834" w:rsidRDefault="004B2834" w:rsidP="003458A5">
      <w:pPr>
        <w:rPr>
          <w:sz w:val="12"/>
        </w:rPr>
      </w:pPr>
    </w:p>
    <w:p w:rsidR="004B2834" w:rsidRDefault="004B2834" w:rsidP="003458A5">
      <w:pPr>
        <w:rPr>
          <w:sz w:val="12"/>
        </w:rPr>
      </w:pPr>
    </w:p>
    <w:p w:rsidR="004B2834" w:rsidRDefault="00B22FB6" w:rsidP="00B22FB6">
      <w:pPr>
        <w:pStyle w:val="Heading4"/>
      </w:pPr>
      <w:r>
        <w:t>Bodily metaphors rest on the assumption of a universalized male body</w:t>
      </w:r>
    </w:p>
    <w:p w:rsidR="004B2834" w:rsidRDefault="004B2834" w:rsidP="003458A5">
      <w:pPr>
        <w:rPr>
          <w:sz w:val="12"/>
        </w:rPr>
      </w:pPr>
      <w:r>
        <w:rPr>
          <w:rStyle w:val="Style13ptBold"/>
        </w:rPr>
        <w:t>Patterson &amp; Coming 97</w:t>
      </w:r>
      <w:r>
        <w:rPr>
          <w:sz w:val="12"/>
        </w:rPr>
        <w:t xml:space="preserve"> [Randi Patterson &amp; Gail Corning “Researching the body: An annotated bibliography for rhetoric”, 1997, Rhetoric Society Quarterly, 27:3, 5-29] // t-haas</w:t>
      </w:r>
    </w:p>
    <w:p w:rsidR="004B2834" w:rsidRDefault="004B2834" w:rsidP="003458A5">
      <w:pPr>
        <w:rPr>
          <w:sz w:val="12"/>
        </w:rPr>
      </w:pPr>
      <w:r w:rsidRPr="00B22FB6">
        <w:rPr>
          <w:rStyle w:val="StyleUnderline"/>
        </w:rPr>
        <w:t>A</w:t>
      </w:r>
      <w:r>
        <w:rPr>
          <w:sz w:val="12"/>
        </w:rPr>
        <w:t xml:space="preserve"> second </w:t>
      </w:r>
      <w:r w:rsidRPr="00B22FB6">
        <w:rPr>
          <w:rStyle w:val="StyleUnderline"/>
        </w:rPr>
        <w:t>reason that might prompt</w:t>
      </w:r>
      <w:r>
        <w:rPr>
          <w:sz w:val="12"/>
        </w:rPr>
        <w:t xml:space="preserve"> </w:t>
      </w:r>
      <w:r w:rsidRPr="00B22FB6">
        <w:rPr>
          <w:rStyle w:val="StyleUnderline"/>
        </w:rPr>
        <w:t>rhetoricians to consider the nature of a rhetoric of the body comes from historiographical</w:t>
      </w:r>
      <w:r>
        <w:rPr>
          <w:sz w:val="12"/>
        </w:rPr>
        <w:t xml:space="preserve"> </w:t>
      </w:r>
      <w:r w:rsidRPr="00B22FB6">
        <w:rPr>
          <w:rStyle w:val="StyleUnderline"/>
        </w:rPr>
        <w:t>concerns</w:t>
      </w:r>
      <w:r>
        <w:rPr>
          <w:sz w:val="12"/>
        </w:rPr>
        <w:t xml:space="preserve">. Just as other disciplines have constructed revisionary histories of the body, </w:t>
      </w:r>
      <w:r w:rsidRPr="00B22FB6">
        <w:rPr>
          <w:rStyle w:val="StyleUnderline"/>
        </w:rPr>
        <w:t>rhetoric as a discipline can construct a comprehensive remembering of the role of the body in its own history and theory</w:t>
      </w:r>
      <w:r>
        <w:rPr>
          <w:sz w:val="12"/>
        </w:rPr>
        <w:t xml:space="preserve">. For example, </w:t>
      </w:r>
      <w:r w:rsidRPr="00B22FB6">
        <w:rPr>
          <w:rStyle w:val="StyleUnderline"/>
        </w:rPr>
        <w:t>the mind/body split</w:t>
      </w:r>
      <w:r>
        <w:rPr>
          <w:sz w:val="12"/>
        </w:rPr>
        <w:t xml:space="preserve"> (and its implications) </w:t>
      </w:r>
      <w:r w:rsidRPr="00B22FB6">
        <w:rPr>
          <w:rStyle w:val="StyleUnderline"/>
        </w:rPr>
        <w:t>is clear in the writings of Plato and Aristotle</w:t>
      </w:r>
      <w:r>
        <w:rPr>
          <w:sz w:val="12"/>
        </w:rPr>
        <w:t xml:space="preserve"> just as it is in that of rhetoricians who privilege argument over narrative, logos over pathos, or invention and arrangement over style, memory, and delivery. </w:t>
      </w:r>
      <w:r w:rsidRPr="00B22FB6">
        <w:rPr>
          <w:rStyle w:val="StyleUnderline"/>
        </w:rPr>
        <w:t>With respect to the three kinds of persuasive appeals for example, the importance of pathos takes on a new meaning in relation to the new theories of the body</w:t>
      </w:r>
      <w:r>
        <w:rPr>
          <w:sz w:val="12"/>
        </w:rPr>
        <w:t xml:space="preserve">. </w:t>
      </w:r>
      <w:r w:rsidRPr="00B22FB6">
        <w:rPr>
          <w:rStyle w:val="StyleUnderline"/>
        </w:rPr>
        <w:t xml:space="preserve">Perhaps most important is the réévaluation of the </w:t>
      </w:r>
      <w:r w:rsidRPr="00B22FB6">
        <w:rPr>
          <w:rStyle w:val="Emphasis"/>
        </w:rPr>
        <w:t>assump</w:t>
      </w:r>
      <w:r w:rsidR="00B22FB6">
        <w:rPr>
          <w:rStyle w:val="Emphasis"/>
        </w:rPr>
        <w:t>tions underlying the use of a uni</w:t>
      </w:r>
      <w:r w:rsidRPr="00B22FB6">
        <w:rPr>
          <w:rStyle w:val="Emphasis"/>
        </w:rPr>
        <w:t>versalized body, the body of "Man,"</w:t>
      </w:r>
      <w:r w:rsidRPr="00B22FB6">
        <w:rPr>
          <w:rStyle w:val="StyleUnderline"/>
        </w:rPr>
        <w:t xml:space="preserve"> in terms of the sexual, racial, classed, and political body</w:t>
      </w:r>
      <w:r>
        <w:rPr>
          <w:sz w:val="12"/>
        </w:rPr>
        <w:t xml:space="preserve">. </w:t>
      </w:r>
    </w:p>
    <w:p w:rsidR="00FD6D55" w:rsidRDefault="00FD6D55" w:rsidP="003458A5">
      <w:pPr>
        <w:rPr>
          <w:sz w:val="12"/>
        </w:rPr>
      </w:pPr>
    </w:p>
    <w:p w:rsidR="00FD6D55" w:rsidRDefault="00FD6D55" w:rsidP="003458A5">
      <w:pPr>
        <w:rPr>
          <w:sz w:val="12"/>
        </w:rPr>
      </w:pPr>
    </w:p>
    <w:p w:rsidR="00FD6D55" w:rsidRDefault="00FD6D55" w:rsidP="00FD6D55">
      <w:pPr>
        <w:pStyle w:val="Heading4"/>
      </w:pPr>
      <w:r>
        <w:t>Universal male subject creates an erasure of the feminine from society – inclusion alone can’t solve</w:t>
      </w:r>
    </w:p>
    <w:p w:rsidR="00FD6D55" w:rsidRDefault="00FD6D55" w:rsidP="003458A5">
      <w:pPr>
        <w:rPr>
          <w:sz w:val="12"/>
        </w:rPr>
      </w:pPr>
      <w:r>
        <w:rPr>
          <w:rStyle w:val="Style13ptBold"/>
        </w:rPr>
        <w:t>Fermon 98</w:t>
      </w:r>
      <w:r>
        <w:rPr>
          <w:sz w:val="12"/>
        </w:rPr>
        <w:t xml:space="preserve"> [Nicole Fermon, teaches political theory at Fordham University, “Women on the Global Market: Irigaray and the Democratic State”, Diacritics 28.1 (1998) pg. 120-137, John Hopkings University Press] // t-haas</w:t>
      </w:r>
    </w:p>
    <w:p w:rsidR="00FD6D55" w:rsidRDefault="00FD6D55" w:rsidP="003458A5">
      <w:pPr>
        <w:rPr>
          <w:sz w:val="10"/>
        </w:rPr>
      </w:pPr>
      <w:r w:rsidRPr="00FD6D55">
        <w:rPr>
          <w:sz w:val="10"/>
        </w:rPr>
        <w:t xml:space="preserve">Best known for her subtle interrogation of philosophy and psychoanalysis, Luce </w:t>
      </w:r>
      <w:r w:rsidRPr="00FD6D55">
        <w:rPr>
          <w:rStyle w:val="StyleUnderline"/>
        </w:rPr>
        <w:t>Irigaray</w:t>
      </w:r>
      <w:r w:rsidRPr="00FD6D55">
        <w:rPr>
          <w:sz w:val="10"/>
        </w:rPr>
        <w:t xml:space="preserve"> clearly also </w:t>
      </w:r>
      <w:r w:rsidRPr="00FD6D55">
        <w:rPr>
          <w:rStyle w:val="StyleUnderline"/>
        </w:rPr>
        <w:t xml:space="preserve">conducts a dialogue with the political, proposing that </w:t>
      </w:r>
      <w:r w:rsidRPr="00FD6D55">
        <w:rPr>
          <w:rStyle w:val="Emphasis"/>
        </w:rPr>
        <w:t>women's erasure from culture and society invalidates all economies, sexual or political</w:t>
      </w:r>
      <w:r w:rsidRPr="00FD6D55">
        <w:rPr>
          <w:sz w:val="10"/>
        </w:rPr>
        <w:t xml:space="preserve">. </w:t>
      </w:r>
      <w:r w:rsidRPr="00FD6D55">
        <w:rPr>
          <w:rStyle w:val="StyleUnderline"/>
        </w:rPr>
        <w:t xml:space="preserve">Because </w:t>
      </w:r>
      <w:r w:rsidRPr="00FD6D55">
        <w:rPr>
          <w:rStyle w:val="Emphasis"/>
        </w:rPr>
        <w:t>woman has disappeared both figuratively and literally from society</w:t>
      </w:r>
      <w:r w:rsidRPr="00FD6D55">
        <w:rPr>
          <w:sz w:val="10"/>
        </w:rPr>
        <w:t xml:space="preserve"> [see Sen, "More Than 100 Million Women Are Missing"], </w:t>
      </w:r>
      <w:r w:rsidRPr="00FD6D55">
        <w:rPr>
          <w:rStyle w:val="StyleUnderline"/>
        </w:rPr>
        <w:t>Irigaray conceives the contemporary ethical project as a recall to difference rather than equality</w:t>
      </w:r>
      <w:r w:rsidRPr="00FD6D55">
        <w:rPr>
          <w:sz w:val="10"/>
        </w:rPr>
        <w:t xml:space="preserve">, to difference between women and men--that is, </w:t>
      </w:r>
      <w:r w:rsidRPr="00FD6D55">
        <w:rPr>
          <w:rStyle w:val="StyleUnderline"/>
        </w:rPr>
        <w:t>sexual difference</w:t>
      </w:r>
      <w:r w:rsidRPr="00FD6D55">
        <w:rPr>
          <w:sz w:val="10"/>
        </w:rPr>
        <w:t xml:space="preserve">. She characterizes </w:t>
      </w:r>
      <w:r w:rsidRPr="00FD6D55">
        <w:rPr>
          <w:rStyle w:val="StyleUnderline"/>
        </w:rPr>
        <w:t>relations between men and women as market relations in which women are commodities, objects, but never subjects of exchange, objects to men</w:t>
      </w:r>
      <w:r w:rsidRPr="00FD6D55">
        <w:rPr>
          <w:sz w:val="10"/>
        </w:rPr>
        <w:t xml:space="preserve"> but not to themselves: </w:t>
      </w:r>
      <w:r w:rsidRPr="00FD6D55">
        <w:rPr>
          <w:rStyle w:val="StyleUnderline"/>
        </w:rPr>
        <w:t>women do not belong to themselves but exist "to keep relationships among men running smoothly"</w:t>
      </w:r>
      <w:r w:rsidRPr="00FD6D55">
        <w:rPr>
          <w:sz w:val="10"/>
        </w:rPr>
        <w:t xml:space="preserve"> [TS 192]. </w:t>
      </w:r>
      <w:r w:rsidRPr="00FD6D55">
        <w:rPr>
          <w:rStyle w:val="StyleUnderline"/>
        </w:rPr>
        <w:t>Women</w:t>
      </w:r>
      <w:r w:rsidRPr="00FD6D55">
        <w:rPr>
          <w:sz w:val="10"/>
        </w:rPr>
        <w:t xml:space="preserve"> under these conditions </w:t>
      </w:r>
      <w:r w:rsidRPr="00FD6D55">
        <w:rPr>
          <w:rStyle w:val="StyleUnderline"/>
        </w:rPr>
        <w:t>require imaginative ways to reconfigure the self</w:t>
      </w:r>
      <w:r w:rsidRPr="00FD6D55">
        <w:rPr>
          <w:sz w:val="10"/>
        </w:rPr>
        <w:t xml:space="preserve">, to subvert the melancholy and regression of masculinist economies and envisage a future in which women would not be ashamed of the feminine, would experience it as a positivity worth emulating.Irigaray contends that after the gains of egalitarian politics are carefully examined, </w:t>
      </w:r>
      <w:r w:rsidRPr="00FD6D55">
        <w:rPr>
          <w:rStyle w:val="StyleUnderline"/>
        </w:rPr>
        <w:t>the inclusion of women in the political arena has failed to take into account women's distinct and different position from men</w:t>
      </w:r>
      <w:r w:rsidRPr="00FD6D55">
        <w:rPr>
          <w:sz w:val="10"/>
        </w:rPr>
        <w:t xml:space="preserve">, and from each other, as well as </w:t>
      </w:r>
      <w:r w:rsidRPr="00FD6D55">
        <w:rPr>
          <w:rStyle w:val="StyleUnderline"/>
        </w:rPr>
        <w:t>perpetuating the fiction of the "neutral" citizen</w:t>
      </w:r>
      <w:r w:rsidRPr="00FD6D55">
        <w:rPr>
          <w:sz w:val="10"/>
        </w:rPr>
        <w:t>, the ahistorical individual citizen of the nation-state. It is that fiction Irigaray dispels in her critique of liberal democratic politics and its creation, "</w:t>
      </w:r>
      <w:r w:rsidRPr="00FD6D55">
        <w:rPr>
          <w:rStyle w:val="StyleUnderline"/>
        </w:rPr>
        <w:t>citizens who are neuter in regard to familial singularity</w:t>
      </w:r>
      <w:r w:rsidRPr="00FD6D55">
        <w:rPr>
          <w:sz w:val="10"/>
        </w:rPr>
        <w:t>, its laws, and necessary sexual difference" [SG 112] in order to benefit the State and its laws. The subject is male; the citizen is neuter. Who is the female citizen in contemporary society? What is the ethical elaboration of the contractual relations between women and men, and between sexed individuals and the community? How do women imagine a distinct set of rights and responsibilities based on self-definition and autonomy, given the particular strictures of contemporary politics--that is, the market-driven, antidemocratic nature of the current economic national and global forces? Irigaray suggests that "the return of women to collective work, to public places, to social relations, demands linguistic mutations" and profound transformations, an embodied imagination with force and agency in civil life [TD 65].</w:t>
      </w:r>
    </w:p>
    <w:p w:rsidR="00A03265" w:rsidRDefault="00A03265" w:rsidP="003458A5">
      <w:pPr>
        <w:rPr>
          <w:sz w:val="10"/>
        </w:rPr>
      </w:pPr>
    </w:p>
    <w:p w:rsidR="006A2817" w:rsidRDefault="006A2817" w:rsidP="003458A5">
      <w:pPr>
        <w:rPr>
          <w:sz w:val="10"/>
        </w:rPr>
      </w:pPr>
    </w:p>
    <w:p w:rsidR="00A03265" w:rsidRDefault="00A03265" w:rsidP="003458A5">
      <w:pPr>
        <w:rPr>
          <w:sz w:val="10"/>
        </w:rPr>
      </w:pPr>
    </w:p>
    <w:p w:rsidR="009C36A2" w:rsidRDefault="00E35508" w:rsidP="00E35508">
      <w:pPr>
        <w:pStyle w:val="Heading4"/>
      </w:pPr>
      <w:r>
        <w:t>The impact is genocide and extinction</w:t>
      </w:r>
    </w:p>
    <w:p w:rsidR="009C36A2" w:rsidRDefault="009C36A2" w:rsidP="003458A5">
      <w:pPr>
        <w:rPr>
          <w:sz w:val="24"/>
          <w:szCs w:val="24"/>
        </w:rPr>
      </w:pPr>
      <w:r>
        <w:rPr>
          <w:rStyle w:val="Style13ptBold"/>
        </w:rPr>
        <w:t>Irigaray 91</w:t>
      </w:r>
      <w:r>
        <w:rPr>
          <w:sz w:val="24"/>
          <w:szCs w:val="24"/>
        </w:rPr>
        <w:t xml:space="preserve"> </w:t>
      </w:r>
      <w:r w:rsidRPr="009C36A2">
        <w:t>[Luce Irigaray, gender philosopher from France, “The Irigaray reader”, edited and with an introduction by Margaret Whitford, published by Basil Blackwell, 1991, pg. 32] // t-haas</w:t>
      </w:r>
    </w:p>
    <w:p w:rsidR="00A03265" w:rsidRDefault="009C36A2" w:rsidP="009C36A2">
      <w:pPr>
        <w:rPr>
          <w:sz w:val="12"/>
        </w:rPr>
      </w:pPr>
      <w:r w:rsidRPr="00E35508">
        <w:rPr>
          <w:sz w:val="12"/>
        </w:rPr>
        <w:t xml:space="preserve">Even a vaguely rigorous analysis of claims to equality shows that they are justified at the level of a cuperficial critique of culture, and utopian as a means to women’s liberation. </w:t>
      </w:r>
      <w:r w:rsidRPr="00E35508">
        <w:rPr>
          <w:rStyle w:val="StyleUnderline"/>
        </w:rPr>
        <w:t>The exploitation of women is based upon sexual difference</w:t>
      </w:r>
      <w:r w:rsidRPr="00E35508">
        <w:rPr>
          <w:sz w:val="12"/>
        </w:rPr>
        <w:t xml:space="preserve">, and can only be resolved through sexual difference. Certain tendencies of the day, certain contemporary feminists, are noisily demanding to neutralization of sex [sexe]. That </w:t>
      </w:r>
      <w:r w:rsidRPr="00E35508">
        <w:rPr>
          <w:rStyle w:val="StyleUnderline"/>
        </w:rPr>
        <w:t>neutralization</w:t>
      </w:r>
      <w:r w:rsidRPr="00E35508">
        <w:rPr>
          <w:sz w:val="12"/>
        </w:rPr>
        <w:t xml:space="preserve">, if it were possible, </w:t>
      </w:r>
      <w:r w:rsidRPr="00E35508">
        <w:rPr>
          <w:rStyle w:val="StyleUnderline"/>
        </w:rPr>
        <w:t>would correspond to the end of the human race</w:t>
      </w:r>
      <w:r w:rsidRPr="00E35508">
        <w:rPr>
          <w:sz w:val="12"/>
        </w:rPr>
        <w:t xml:space="preserve">. The human race is divided into two genres which ensure its production and reproduction. </w:t>
      </w:r>
      <w:r w:rsidRPr="00E35508">
        <w:rPr>
          <w:rStyle w:val="StyleUnderline"/>
        </w:rPr>
        <w:t>Trying to suppress sexual difference is to invite a genocide more radicatl than any destruction that has ever existed in History</w:t>
      </w:r>
      <w:r w:rsidRPr="00E35508">
        <w:rPr>
          <w:sz w:val="12"/>
        </w:rPr>
        <w:t xml:space="preserve">. </w:t>
      </w:r>
      <w:r w:rsidRPr="00E35508">
        <w:rPr>
          <w:sz w:val="12"/>
        </w:rPr>
        <w:lastRenderedPageBreak/>
        <w:t xml:space="preserve">What is important, on the other hand, is defining the values of belonging to a sex-specific genre. What is indispensable is elaborating a culture of the sexual which does not yet exist, whilst respecting both genres. Because of the historical time gaps between the gyncocratic, matriarchal, patriarchal and phallocratic eras, we are in a sexual position which is bound up with generation and not with genre as sex. This means that, whithin the family, women must be mothers and men must be fathers, but that we have no positive and ethical values that allow two sexes of the same generation of the major obstacles to the creation and recognition of such values is the more or less covert hold patriarchal and phallocratic roles have had on the whole of our civilization for centuries. </w:t>
      </w:r>
      <w:r w:rsidRPr="00E35508">
        <w:rPr>
          <w:rStyle w:val="StyleUnderline"/>
        </w:rPr>
        <w:t>It is social justice, pure and simple, to balance out the power of one sex over the other by giving, or restoring, cultural values to female sexuality. What is at stake is clearer today</w:t>
      </w:r>
      <w:r w:rsidRPr="00E35508">
        <w:rPr>
          <w:sz w:val="12"/>
        </w:rPr>
        <w:t xml:space="preserve"> than it was when The Second Sex was written.</w:t>
      </w:r>
    </w:p>
    <w:p w:rsidR="006A2817" w:rsidRDefault="006A2817" w:rsidP="009C36A2">
      <w:pPr>
        <w:rPr>
          <w:sz w:val="12"/>
        </w:rPr>
      </w:pPr>
    </w:p>
    <w:p w:rsidR="006A2817" w:rsidRDefault="006A2817" w:rsidP="006A2817">
      <w:pPr>
        <w:pStyle w:val="Heading3"/>
      </w:pPr>
      <w:r>
        <w:lastRenderedPageBreak/>
        <w:t>AT: Irigaray</w:t>
      </w:r>
    </w:p>
    <w:p w:rsidR="006A2817" w:rsidRDefault="006A2817" w:rsidP="006A2817"/>
    <w:p w:rsidR="001B6C62" w:rsidRDefault="00E21CA5" w:rsidP="00E21CA5">
      <w:pPr>
        <w:pStyle w:val="Heading4"/>
      </w:pPr>
      <w:r>
        <w:t xml:space="preserve">Irigaray’s essentialism dooms her philosophy to recreate the violent exclusion she critiques </w:t>
      </w:r>
    </w:p>
    <w:p w:rsidR="001B6C62" w:rsidRDefault="00E21CA5" w:rsidP="006A2817">
      <w:r>
        <w:rPr>
          <w:rStyle w:val="Style13ptBold"/>
        </w:rPr>
        <w:t>Nealon 94</w:t>
      </w:r>
      <w:r>
        <w:t xml:space="preserve"> [</w:t>
      </w:r>
      <w:r w:rsidR="001B6C62">
        <w:t xml:space="preserve">Jeffrey T. Nealon, Professor of English at Penn State University, </w:t>
      </w:r>
      <w:r>
        <w:t xml:space="preserve">“Theory That Matters: </w:t>
      </w:r>
      <w:r w:rsidR="001B6C62">
        <w:t xml:space="preserve">Review of Judith Butler’s “Bodies That Matter: On the Discursive Limits of "Sex"”, </w:t>
      </w:r>
      <w:r>
        <w:t>Postmodern Culture, Volume 5, Number 1, September 1994] // t-haas</w:t>
      </w:r>
    </w:p>
    <w:p w:rsidR="006A2817" w:rsidRDefault="001B6C62" w:rsidP="006A2817">
      <w:r>
        <w:t xml:space="preserve">In fact, Butler argues that feminism itself is necessarily founded on similar exclusions, and loses much critical force if it does not engage its own grounding restrictions (29). For example, Butler takes up bell hooks's thematization of the drag balls portrayed in Jennie Livingston's Paris is Burning as misogynist. Butler points out that with this charge hooks "makes male homosexuality about women." In turn, this </w:t>
      </w:r>
      <w:r w:rsidRPr="00E21CA5">
        <w:rPr>
          <w:rStyle w:val="StyleUnderline"/>
        </w:rPr>
        <w:t>reduction of the specificity</w:t>
      </w:r>
      <w:r>
        <w:t xml:space="preserve"> of drag </w:t>
      </w:r>
      <w:r w:rsidRPr="00E21CA5">
        <w:rPr>
          <w:rStyle w:val="StyleUnderline"/>
        </w:rPr>
        <w:t>offers a troubling "way for feminist women to make themselves into the center of male homosexual activity"</w:t>
      </w:r>
      <w:r>
        <w:t xml:space="preserve"> (127). In other words, such </w:t>
      </w:r>
      <w:r w:rsidRPr="00E21CA5">
        <w:rPr>
          <w:rStyle w:val="StyleUnderline"/>
        </w:rPr>
        <w:t>feminist readings</w:t>
      </w:r>
      <w:r>
        <w:t xml:space="preserve"> of Paris is Burning </w:t>
      </w:r>
      <w:r w:rsidRPr="00E21CA5">
        <w:rPr>
          <w:rStyle w:val="StyleUnderline"/>
        </w:rPr>
        <w:t>misfire when they read it solely in terms of a supposed male-identified femininity, rather than as a multiple, conflicted renegotiation</w:t>
      </w:r>
      <w:r>
        <w:t xml:space="preserve"> or "site of the phantasmatic promise of a rescue from poverty, homophobia, and racist delegitimation" (130).4 Similarly, Butler argues that </w:t>
      </w:r>
      <w:r w:rsidRPr="00E21CA5">
        <w:rPr>
          <w:rStyle w:val="StyleUnderline"/>
        </w:rPr>
        <w:t>Irigaray's work runs a parallel risk when it reads the exclusion of the feminine as the master or paradigmatic exclusion in philosophical, cultural or political life</w:t>
      </w:r>
      <w:r>
        <w:t xml:space="preserve">. While Butler affirms the importance of Irigaray's feminist reading of Plato, she nevertheless hesitates, asking after the multiple exclusions that secure normative identity in Plato's texts: </w:t>
      </w:r>
      <w:r w:rsidRPr="00E21CA5">
        <w:rPr>
          <w:rStyle w:val="StyleUnderline"/>
        </w:rPr>
        <w:t>There are good reasons</w:t>
      </w:r>
      <w:r>
        <w:t xml:space="preserve">, however, </w:t>
      </w:r>
      <w:r w:rsidRPr="00E21CA5">
        <w:rPr>
          <w:rStyle w:val="StyleUnderline"/>
        </w:rPr>
        <w:t>to reject the notion that the feminine monopolizes the sphere of the excluded</w:t>
      </w:r>
      <w:r>
        <w:t xml:space="preserve">. . . . This </w:t>
      </w:r>
      <w:r w:rsidRPr="00E21CA5">
        <w:rPr>
          <w:rStyle w:val="StyleUnderline"/>
        </w:rPr>
        <w:t>xenophobic exclusion operates through the production of racialized Others, and those whose 'natures' are considered less rational by virtue of their appointed task in the process of laboring to reproduce the conditions of private life</w:t>
      </w:r>
      <w:r>
        <w:t xml:space="preserve">. . . . </w:t>
      </w:r>
      <w:r w:rsidRPr="00E21CA5">
        <w:rPr>
          <w:rStyle w:val="StyleUnderline"/>
        </w:rPr>
        <w:t>Irigaray</w:t>
      </w:r>
      <w:r>
        <w:t xml:space="preserve"> does not always help matters here, for she </w:t>
      </w:r>
      <w:r w:rsidRPr="00E21CA5">
        <w:rPr>
          <w:rStyle w:val="StyleUnderline"/>
        </w:rPr>
        <w:t>fails to follow through the metonymic link between women and these other Others, idealizing and appropriating the 'elsewhere' as the feminine</w:t>
      </w:r>
      <w:r>
        <w:t xml:space="preserve">. But </w:t>
      </w:r>
      <w:r w:rsidRPr="00E21CA5">
        <w:rPr>
          <w:rStyle w:val="StyleUnderline"/>
        </w:rPr>
        <w:t>what is the 'elsewhere' of Irigaray's 'elsewhere'</w:t>
      </w:r>
      <w:r>
        <w:t xml:space="preserve">? (48-49) It is this "metonymic link between women and these Others" that Butler's text helps us to form. While it would seem that feminism loses critical force and focus if it concerns itself with exploring exclusions other than the exclusion of the feminine, Butler persuasively argues that the opposite is the case--that </w:t>
      </w:r>
      <w:r w:rsidRPr="00E21CA5">
        <w:rPr>
          <w:rStyle w:val="StyleUnderline"/>
        </w:rPr>
        <w:t>feminism is doomed to inefficacy unless it takes up the multiplicity of exclusions that actually form the seemingly totalized category "feminine."</w:t>
      </w:r>
      <w:r>
        <w:t xml:space="preserve"> </w:t>
      </w:r>
      <w:r w:rsidRPr="00E21CA5">
        <w:t>While such collective identifications under common-cause signifiers ("woman," "queer," "African American") are indispensible for the project of recognition within a conflicted democracy,</w:t>
      </w:r>
      <w:r>
        <w:t xml:space="preserve"> Butler argues that the persistence of disidentification is equally crucial to the rearticulation of democratic contestation. Indeed, it may be precisely through practices which underscore disidentification with those regulatory norms by which sexual difference is materialized that both feminist and queer politics are mobilized. Such </w:t>
      </w:r>
      <w:r w:rsidRPr="00E21CA5">
        <w:rPr>
          <w:rStyle w:val="StyleUnderline"/>
        </w:rPr>
        <w:t>collective disidentifications can facilitate a reconceptualization of which bodies matter, and which bodies are yet to emerge as critical matters of concern</w:t>
      </w:r>
      <w:r>
        <w:t xml:space="preserve">. (4) Again, Butler here reemphasizes the importance of a kind of double movement: </w:t>
      </w:r>
      <w:r w:rsidRPr="00E21CA5">
        <w:rPr>
          <w:rStyle w:val="StyleUnderline"/>
        </w:rPr>
        <w:t>the necessity of identification coupled with the necessity that this identificatory movement be open to reinscription</w:t>
      </w:r>
      <w:r>
        <w:t xml:space="preserve">. As she insists throughout Bodies That Matter, </w:t>
      </w:r>
      <w:r w:rsidRPr="00E21CA5">
        <w:rPr>
          <w:rStyle w:val="StyleUnderline"/>
        </w:rPr>
        <w:t>there is no stable identificatory site of "femininity" or "queerness,</w:t>
      </w:r>
      <w:r>
        <w:t xml:space="preserve">" and, in fact, </w:t>
      </w:r>
      <w:r w:rsidRPr="00E21CA5">
        <w:rPr>
          <w:rStyle w:val="StyleUnderline"/>
        </w:rPr>
        <w:t>ensuring the multiplicity of such identificatory sites is critical to feminist and queer body politics</w:t>
      </w:r>
      <w:r>
        <w:t xml:space="preserve">. I take the upshot of Butler's discussion here to be that feminism, for example, cannot protect its identificatory sites from being inhabited by drag queens, Phyllis Schlafly, James Joyce or whomever. In fact, to turn a Foucaultian phrase, Butler asks us to consider what it costs us to protect such seemingly stable sites of contestation from contestation itself? In other words, what normativizing practices are reified and extended in </w:t>
      </w:r>
      <w:r>
        <w:lastRenderedPageBreak/>
        <w:t>protecting a site of stable identificatory femininity? This is perhaps Butler's most poignant question to identity politics; as she writes, "it seems important, then, to question whether a political insistence on coherent identities can ever be the basis on which a crossing over into political alliance with other subordinated groups can take place, especially when such a conception of alliance fails to understand that the very subject-positions in question are themselves a kind of 'crossing,' are themselves the lived scene of a coalition's difficulty"</w:t>
      </w:r>
    </w:p>
    <w:p w:rsidR="00E21CA5" w:rsidRDefault="00E21CA5" w:rsidP="006A2817"/>
    <w:p w:rsidR="00E21CA5" w:rsidRPr="006A2817" w:rsidRDefault="00E21CA5" w:rsidP="006A2817"/>
    <w:sectPr w:rsidR="00E21CA5" w:rsidRPr="006A2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Tiffany Haas"/>
    <w:docVar w:name="RibbonPointer" w:val="101487044"/>
    <w:docVar w:name="VerbatimVersion" w:val="5.0"/>
  </w:docVars>
  <w:rsids>
    <w:rsidRoot w:val="00DB188E"/>
    <w:rsid w:val="000079CA"/>
    <w:rsid w:val="000139A3"/>
    <w:rsid w:val="00031033"/>
    <w:rsid w:val="00045B77"/>
    <w:rsid w:val="00050C80"/>
    <w:rsid w:val="000D064E"/>
    <w:rsid w:val="00100833"/>
    <w:rsid w:val="00104529"/>
    <w:rsid w:val="00154789"/>
    <w:rsid w:val="00177B7D"/>
    <w:rsid w:val="0018322D"/>
    <w:rsid w:val="001932AC"/>
    <w:rsid w:val="001A3257"/>
    <w:rsid w:val="001B122B"/>
    <w:rsid w:val="001B5776"/>
    <w:rsid w:val="001B6C62"/>
    <w:rsid w:val="00251FC7"/>
    <w:rsid w:val="002558FE"/>
    <w:rsid w:val="002855A7"/>
    <w:rsid w:val="002A1803"/>
    <w:rsid w:val="002D2CA6"/>
    <w:rsid w:val="002E1BAD"/>
    <w:rsid w:val="002F307C"/>
    <w:rsid w:val="002F6703"/>
    <w:rsid w:val="00315690"/>
    <w:rsid w:val="00325646"/>
    <w:rsid w:val="003458A5"/>
    <w:rsid w:val="003524FD"/>
    <w:rsid w:val="003902BA"/>
    <w:rsid w:val="003A09E2"/>
    <w:rsid w:val="003E5061"/>
    <w:rsid w:val="003F277E"/>
    <w:rsid w:val="00407037"/>
    <w:rsid w:val="0042117A"/>
    <w:rsid w:val="00422D2D"/>
    <w:rsid w:val="004605D6"/>
    <w:rsid w:val="004A05A5"/>
    <w:rsid w:val="004B2834"/>
    <w:rsid w:val="004C60E8"/>
    <w:rsid w:val="004E3579"/>
    <w:rsid w:val="004E488A"/>
    <w:rsid w:val="004F39E0"/>
    <w:rsid w:val="005028F1"/>
    <w:rsid w:val="005172B8"/>
    <w:rsid w:val="00537BD5"/>
    <w:rsid w:val="005C2119"/>
    <w:rsid w:val="00602176"/>
    <w:rsid w:val="006065BD"/>
    <w:rsid w:val="00624692"/>
    <w:rsid w:val="00665003"/>
    <w:rsid w:val="006A2817"/>
    <w:rsid w:val="006D7BCE"/>
    <w:rsid w:val="00732DC1"/>
    <w:rsid w:val="00737418"/>
    <w:rsid w:val="00746AD6"/>
    <w:rsid w:val="00772496"/>
    <w:rsid w:val="00786A4F"/>
    <w:rsid w:val="007D1BB8"/>
    <w:rsid w:val="007D2B7C"/>
    <w:rsid w:val="007F5B66"/>
    <w:rsid w:val="008059FC"/>
    <w:rsid w:val="00813F5D"/>
    <w:rsid w:val="00820DE1"/>
    <w:rsid w:val="00823A1C"/>
    <w:rsid w:val="00845B9D"/>
    <w:rsid w:val="00860984"/>
    <w:rsid w:val="00870054"/>
    <w:rsid w:val="008B3ECB"/>
    <w:rsid w:val="008B4E9E"/>
    <w:rsid w:val="008C1B2E"/>
    <w:rsid w:val="008E6E2B"/>
    <w:rsid w:val="009029EB"/>
    <w:rsid w:val="0091627E"/>
    <w:rsid w:val="009205A0"/>
    <w:rsid w:val="0098326D"/>
    <w:rsid w:val="009B0A13"/>
    <w:rsid w:val="009B5206"/>
    <w:rsid w:val="009C36A2"/>
    <w:rsid w:val="009E1922"/>
    <w:rsid w:val="009F30E6"/>
    <w:rsid w:val="00A03265"/>
    <w:rsid w:val="00A92B91"/>
    <w:rsid w:val="00A93661"/>
    <w:rsid w:val="00A95652"/>
    <w:rsid w:val="00AD0CCC"/>
    <w:rsid w:val="00B06185"/>
    <w:rsid w:val="00B068B0"/>
    <w:rsid w:val="00B06AD7"/>
    <w:rsid w:val="00B17A53"/>
    <w:rsid w:val="00B22FB6"/>
    <w:rsid w:val="00B2404F"/>
    <w:rsid w:val="00B30938"/>
    <w:rsid w:val="00B33C6D"/>
    <w:rsid w:val="00B4508F"/>
    <w:rsid w:val="00B8057C"/>
    <w:rsid w:val="00B926EB"/>
    <w:rsid w:val="00BE6F45"/>
    <w:rsid w:val="00BF593B"/>
    <w:rsid w:val="00C83417"/>
    <w:rsid w:val="00C85C30"/>
    <w:rsid w:val="00CC26A1"/>
    <w:rsid w:val="00CD736E"/>
    <w:rsid w:val="00CE161E"/>
    <w:rsid w:val="00CF59A8"/>
    <w:rsid w:val="00D01BD1"/>
    <w:rsid w:val="00D0747E"/>
    <w:rsid w:val="00D07B9F"/>
    <w:rsid w:val="00D325A9"/>
    <w:rsid w:val="00D36A8A"/>
    <w:rsid w:val="00D71170"/>
    <w:rsid w:val="00DA6538"/>
    <w:rsid w:val="00DB188E"/>
    <w:rsid w:val="00DC37D5"/>
    <w:rsid w:val="00DD68B9"/>
    <w:rsid w:val="00E03FE2"/>
    <w:rsid w:val="00E04503"/>
    <w:rsid w:val="00E21CA5"/>
    <w:rsid w:val="00E35508"/>
    <w:rsid w:val="00EC4DE7"/>
    <w:rsid w:val="00ED30CF"/>
    <w:rsid w:val="00EE7041"/>
    <w:rsid w:val="00F0681C"/>
    <w:rsid w:val="00F176EF"/>
    <w:rsid w:val="00F62D54"/>
    <w:rsid w:val="00FA7C75"/>
    <w:rsid w:val="00FD6D55"/>
    <w:rsid w:val="00FD6E1A"/>
    <w:rsid w:val="00FE646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2469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246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2469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2469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2469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246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4692"/>
  </w:style>
  <w:style w:type="character" w:customStyle="1" w:styleId="Heading1Char">
    <w:name w:val="Heading 1 Char"/>
    <w:aliases w:val="Pocket Char"/>
    <w:basedOn w:val="DefaultParagraphFont"/>
    <w:link w:val="Heading1"/>
    <w:uiPriority w:val="1"/>
    <w:rsid w:val="0062469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2469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24692"/>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24692"/>
    <w:rPr>
      <w:rFonts w:ascii="Calibri" w:eastAsiaTheme="majorEastAsia" w:hAnsi="Calibri" w:cstheme="majorBidi"/>
      <w:b/>
      <w:bCs/>
      <w:iCs/>
      <w:sz w:val="26"/>
    </w:rPr>
  </w:style>
  <w:style w:type="character" w:styleId="Emphasis">
    <w:name w:val="Emphasis"/>
    <w:basedOn w:val="DefaultParagraphFont"/>
    <w:uiPriority w:val="7"/>
    <w:qFormat/>
    <w:rsid w:val="00624692"/>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62469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624692"/>
    <w:rPr>
      <w:b/>
      <w:bCs/>
      <w:sz w:val="22"/>
      <w:u w:val="single"/>
    </w:rPr>
  </w:style>
  <w:style w:type="character" w:styleId="Hyperlink">
    <w:name w:val="Hyperlink"/>
    <w:basedOn w:val="DefaultParagraphFont"/>
    <w:uiPriority w:val="99"/>
    <w:rsid w:val="00624692"/>
    <w:rPr>
      <w:color w:val="auto"/>
      <w:u w:val="none"/>
    </w:rPr>
  </w:style>
  <w:style w:type="character" w:styleId="FollowedHyperlink">
    <w:name w:val="FollowedHyperlink"/>
    <w:basedOn w:val="DefaultParagraphFont"/>
    <w:uiPriority w:val="99"/>
    <w:semiHidden/>
    <w:rsid w:val="00624692"/>
    <w:rPr>
      <w:color w:val="auto"/>
      <w:u w:val="none"/>
    </w:rPr>
  </w:style>
  <w:style w:type="paragraph" w:customStyle="1" w:styleId="ANALYTICS">
    <w:name w:val="ANALYTICS"/>
    <w:link w:val="ANALYTICSChar"/>
    <w:uiPriority w:val="4"/>
    <w:qFormat/>
    <w:rsid w:val="00772496"/>
    <w:rPr>
      <w:rFonts w:ascii="Arial" w:eastAsiaTheme="majorEastAsia" w:hAnsi="Arial" w:cstheme="majorBidi"/>
      <w:b/>
      <w:iCs/>
      <w:sz w:val="24"/>
    </w:rPr>
  </w:style>
  <w:style w:type="character" w:customStyle="1" w:styleId="ANALYTICSChar">
    <w:name w:val="ANALYTICS Char"/>
    <w:basedOn w:val="DefaultParagraphFont"/>
    <w:link w:val="ANALYTICS"/>
    <w:uiPriority w:val="4"/>
    <w:rsid w:val="00772496"/>
    <w:rPr>
      <w:rFonts w:ascii="Arial" w:eastAsiaTheme="majorEastAsia" w:hAnsi="Arial" w:cstheme="majorBidi"/>
      <w:b/>
      <w:iCs/>
      <w:sz w:val="24"/>
    </w:rPr>
  </w:style>
  <w:style w:type="character" w:customStyle="1" w:styleId="StyleBold">
    <w:name w:val="Style Bold"/>
    <w:basedOn w:val="DefaultParagraphFont"/>
    <w:uiPriority w:val="9"/>
    <w:semiHidden/>
    <w:rsid w:val="00624692"/>
    <w:rPr>
      <w:b/>
      <w:bCs/>
    </w:rPr>
  </w:style>
  <w:style w:type="paragraph" w:styleId="Header">
    <w:name w:val="header"/>
    <w:basedOn w:val="Normal"/>
    <w:link w:val="HeaderChar"/>
    <w:uiPriority w:val="99"/>
    <w:semiHidden/>
    <w:rsid w:val="00624692"/>
    <w:pPr>
      <w:tabs>
        <w:tab w:val="center" w:pos="4680"/>
        <w:tab w:val="right" w:pos="9360"/>
      </w:tabs>
    </w:pPr>
  </w:style>
  <w:style w:type="character" w:customStyle="1" w:styleId="HeaderChar">
    <w:name w:val="Header Char"/>
    <w:basedOn w:val="DefaultParagraphFont"/>
    <w:link w:val="Header"/>
    <w:uiPriority w:val="99"/>
    <w:semiHidden/>
    <w:rsid w:val="00624692"/>
    <w:rPr>
      <w:rFonts w:ascii="Calibri" w:hAnsi="Calibri" w:cs="Calibri"/>
    </w:rPr>
  </w:style>
  <w:style w:type="paragraph" w:styleId="Footer">
    <w:name w:val="footer"/>
    <w:basedOn w:val="Normal"/>
    <w:link w:val="FooterChar"/>
    <w:uiPriority w:val="99"/>
    <w:semiHidden/>
    <w:rsid w:val="00624692"/>
    <w:pPr>
      <w:tabs>
        <w:tab w:val="center" w:pos="4680"/>
        <w:tab w:val="right" w:pos="9360"/>
      </w:tabs>
    </w:pPr>
  </w:style>
  <w:style w:type="character" w:customStyle="1" w:styleId="FooterChar">
    <w:name w:val="Footer Char"/>
    <w:basedOn w:val="DefaultParagraphFont"/>
    <w:link w:val="Footer"/>
    <w:uiPriority w:val="99"/>
    <w:semiHidden/>
    <w:rsid w:val="00624692"/>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2469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246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2469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2469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2469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246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4692"/>
  </w:style>
  <w:style w:type="character" w:customStyle="1" w:styleId="Heading1Char">
    <w:name w:val="Heading 1 Char"/>
    <w:aliases w:val="Pocket Char"/>
    <w:basedOn w:val="DefaultParagraphFont"/>
    <w:link w:val="Heading1"/>
    <w:uiPriority w:val="1"/>
    <w:rsid w:val="0062469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2469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24692"/>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24692"/>
    <w:rPr>
      <w:rFonts w:ascii="Calibri" w:eastAsiaTheme="majorEastAsia" w:hAnsi="Calibri" w:cstheme="majorBidi"/>
      <w:b/>
      <w:bCs/>
      <w:iCs/>
      <w:sz w:val="26"/>
    </w:rPr>
  </w:style>
  <w:style w:type="character" w:styleId="Emphasis">
    <w:name w:val="Emphasis"/>
    <w:basedOn w:val="DefaultParagraphFont"/>
    <w:uiPriority w:val="7"/>
    <w:qFormat/>
    <w:rsid w:val="00624692"/>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62469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624692"/>
    <w:rPr>
      <w:b/>
      <w:bCs/>
      <w:sz w:val="22"/>
      <w:u w:val="single"/>
    </w:rPr>
  </w:style>
  <w:style w:type="character" w:styleId="Hyperlink">
    <w:name w:val="Hyperlink"/>
    <w:basedOn w:val="DefaultParagraphFont"/>
    <w:uiPriority w:val="99"/>
    <w:rsid w:val="00624692"/>
    <w:rPr>
      <w:color w:val="auto"/>
      <w:u w:val="none"/>
    </w:rPr>
  </w:style>
  <w:style w:type="character" w:styleId="FollowedHyperlink">
    <w:name w:val="FollowedHyperlink"/>
    <w:basedOn w:val="DefaultParagraphFont"/>
    <w:uiPriority w:val="99"/>
    <w:semiHidden/>
    <w:rsid w:val="00624692"/>
    <w:rPr>
      <w:color w:val="auto"/>
      <w:u w:val="none"/>
    </w:rPr>
  </w:style>
  <w:style w:type="paragraph" w:customStyle="1" w:styleId="ANALYTICS">
    <w:name w:val="ANALYTICS"/>
    <w:link w:val="ANALYTICSChar"/>
    <w:uiPriority w:val="4"/>
    <w:qFormat/>
    <w:rsid w:val="00772496"/>
    <w:rPr>
      <w:rFonts w:ascii="Arial" w:eastAsiaTheme="majorEastAsia" w:hAnsi="Arial" w:cstheme="majorBidi"/>
      <w:b/>
      <w:iCs/>
      <w:sz w:val="24"/>
    </w:rPr>
  </w:style>
  <w:style w:type="character" w:customStyle="1" w:styleId="ANALYTICSChar">
    <w:name w:val="ANALYTICS Char"/>
    <w:basedOn w:val="DefaultParagraphFont"/>
    <w:link w:val="ANALYTICS"/>
    <w:uiPriority w:val="4"/>
    <w:rsid w:val="00772496"/>
    <w:rPr>
      <w:rFonts w:ascii="Arial" w:eastAsiaTheme="majorEastAsia" w:hAnsi="Arial" w:cstheme="majorBidi"/>
      <w:b/>
      <w:iCs/>
      <w:sz w:val="24"/>
    </w:rPr>
  </w:style>
  <w:style w:type="character" w:customStyle="1" w:styleId="StyleBold">
    <w:name w:val="Style Bold"/>
    <w:basedOn w:val="DefaultParagraphFont"/>
    <w:uiPriority w:val="9"/>
    <w:semiHidden/>
    <w:rsid w:val="00624692"/>
    <w:rPr>
      <w:b/>
      <w:bCs/>
    </w:rPr>
  </w:style>
  <w:style w:type="paragraph" w:styleId="Header">
    <w:name w:val="header"/>
    <w:basedOn w:val="Normal"/>
    <w:link w:val="HeaderChar"/>
    <w:uiPriority w:val="99"/>
    <w:semiHidden/>
    <w:rsid w:val="00624692"/>
    <w:pPr>
      <w:tabs>
        <w:tab w:val="center" w:pos="4680"/>
        <w:tab w:val="right" w:pos="9360"/>
      </w:tabs>
    </w:pPr>
  </w:style>
  <w:style w:type="character" w:customStyle="1" w:styleId="HeaderChar">
    <w:name w:val="Header Char"/>
    <w:basedOn w:val="DefaultParagraphFont"/>
    <w:link w:val="Header"/>
    <w:uiPriority w:val="99"/>
    <w:semiHidden/>
    <w:rsid w:val="00624692"/>
    <w:rPr>
      <w:rFonts w:ascii="Calibri" w:hAnsi="Calibri" w:cs="Calibri"/>
    </w:rPr>
  </w:style>
  <w:style w:type="paragraph" w:styleId="Footer">
    <w:name w:val="footer"/>
    <w:basedOn w:val="Normal"/>
    <w:link w:val="FooterChar"/>
    <w:uiPriority w:val="99"/>
    <w:semiHidden/>
    <w:rsid w:val="00624692"/>
    <w:pPr>
      <w:tabs>
        <w:tab w:val="center" w:pos="4680"/>
        <w:tab w:val="right" w:pos="9360"/>
      </w:tabs>
    </w:pPr>
  </w:style>
  <w:style w:type="character" w:customStyle="1" w:styleId="FooterChar">
    <w:name w:val="Footer Char"/>
    <w:basedOn w:val="DefaultParagraphFont"/>
    <w:link w:val="Footer"/>
    <w:uiPriority w:val="99"/>
    <w:semiHidden/>
    <w:rsid w:val="0062469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767336">
      <w:bodyDiv w:val="1"/>
      <w:marLeft w:val="0"/>
      <w:marRight w:val="0"/>
      <w:marTop w:val="0"/>
      <w:marBottom w:val="0"/>
      <w:divBdr>
        <w:top w:val="none" w:sz="0" w:space="0" w:color="auto"/>
        <w:left w:val="none" w:sz="0" w:space="0" w:color="auto"/>
        <w:bottom w:val="none" w:sz="0" w:space="0" w:color="auto"/>
        <w:right w:val="none" w:sz="0" w:space="0" w:color="auto"/>
      </w:divBdr>
    </w:div>
    <w:div w:id="2003461367">
      <w:bodyDiv w:val="1"/>
      <w:marLeft w:val="0"/>
      <w:marRight w:val="0"/>
      <w:marTop w:val="0"/>
      <w:marBottom w:val="0"/>
      <w:divBdr>
        <w:top w:val="none" w:sz="0" w:space="0" w:color="auto"/>
        <w:left w:val="none" w:sz="0" w:space="0" w:color="auto"/>
        <w:bottom w:val="none" w:sz="0" w:space="0" w:color="auto"/>
        <w:right w:val="none" w:sz="0" w:space="0" w:color="auto"/>
      </w:divBdr>
      <w:divsChild>
        <w:div w:id="1024788784">
          <w:blockQuote w:val="1"/>
          <w:marLeft w:val="0"/>
          <w:marRight w:val="0"/>
          <w:marTop w:val="0"/>
          <w:marBottom w:val="720"/>
          <w:divBdr>
            <w:top w:val="none" w:sz="0" w:space="0" w:color="auto"/>
            <w:left w:val="none" w:sz="0" w:space="0" w:color="auto"/>
            <w:bottom w:val="none" w:sz="0" w:space="0" w:color="auto"/>
            <w:right w:val="none" w:sz="0" w:space="0" w:color="auto"/>
          </w:divBdr>
        </w:div>
        <w:div w:id="1077703249">
          <w:blockQuote w:val="1"/>
          <w:marLeft w:val="0"/>
          <w:marRight w:val="0"/>
          <w:marTop w:val="0"/>
          <w:marBottom w:val="720"/>
          <w:divBdr>
            <w:top w:val="none" w:sz="0" w:space="0" w:color="auto"/>
            <w:left w:val="none" w:sz="0" w:space="0" w:color="auto"/>
            <w:bottom w:val="none" w:sz="0" w:space="0" w:color="auto"/>
            <w:right w:val="none" w:sz="0" w:space="0" w:color="auto"/>
          </w:divBdr>
        </w:div>
      </w:divsChild>
    </w:div>
    <w:div w:id="214303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avenuproot.com/2012/03/20/rape-is-not-a-metaphor/" TargetMode="External"/><Relationship Id="rId13" Type="http://schemas.openxmlformats.org/officeDocument/2006/relationships/hyperlink" Target="http://www.theguardian.com/commentisfree/2014/jan/27/the-holocaust-is-not-your-metaphor-to-use-in-modern-political-debates" TargetMode="External"/><Relationship Id="rId18" Type="http://schemas.openxmlformats.org/officeDocument/2006/relationships/hyperlink" Target="http://adjunct.chronicle.com/slavery-should-never-be-a-metaphor/"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www.au.af.mil/au/awc/awcgate/cst/occppr04.htm" TargetMode="External"/><Relationship Id="rId12" Type="http://schemas.openxmlformats.org/officeDocument/2006/relationships/hyperlink" Target="http://www.progressive.org/mpterrazas112210.html" TargetMode="External"/><Relationship Id="rId17" Type="http://schemas.openxmlformats.org/officeDocument/2006/relationships/hyperlink" Target="http://jcpa.org/article/holocaust-trivialization/" TargetMode="External"/><Relationship Id="rId2" Type="http://schemas.openxmlformats.org/officeDocument/2006/relationships/styles" Target="styles.xml"/><Relationship Id="rId16" Type="http://schemas.openxmlformats.org/officeDocument/2006/relationships/hyperlink" Target="http://jcpa.org/article/holocaust-trivialization/" TargetMode="External"/><Relationship Id="rId20" Type="http://schemas.openxmlformats.org/officeDocument/2006/relationships/hyperlink" Target="http://www.politicalconcepts.org/issue1/blood/" TargetMode="External"/><Relationship Id="rId1" Type="http://schemas.openxmlformats.org/officeDocument/2006/relationships/numbering" Target="numbering.xml"/><Relationship Id="rId6" Type="http://schemas.openxmlformats.org/officeDocument/2006/relationships/hyperlink" Target="http://www3.nd.edu/~dlindley/handouts/Lindley%20Flights%20of%20Fancy%20RTG%20FIN.pdf" TargetMode="External"/><Relationship Id="rId11" Type="http://schemas.openxmlformats.org/officeDocument/2006/relationships/hyperlink" Target="http://www.huffingtonpost.com/chloe-angyal/more-than-words-the-rape_b_418570.html" TargetMode="External"/><Relationship Id="rId5" Type="http://schemas.openxmlformats.org/officeDocument/2006/relationships/webSettings" Target="webSettings.xml"/><Relationship Id="rId15" Type="http://schemas.openxmlformats.org/officeDocument/2006/relationships/hyperlink" Target="http://hdl.handle.net/2027/spo.act2080.0045.213%5d//" TargetMode="External"/><Relationship Id="rId10" Type="http://schemas.openxmlformats.org/officeDocument/2006/relationships/hyperlink" Target="http://www.feministfrenzy.com/2011/12/20/rape-is-rape-not-slang/" TargetMode="External"/><Relationship Id="rId19" Type="http://schemas.openxmlformats.org/officeDocument/2006/relationships/hyperlink" Target="http://www.hackwriting.com/2010/12/28/masterslave-has-got-to-go/" TargetMode="External"/><Relationship Id="rId4" Type="http://schemas.openxmlformats.org/officeDocument/2006/relationships/settings" Target="settings.xml"/><Relationship Id="rId9" Type="http://schemas.openxmlformats.org/officeDocument/2006/relationships/hyperlink" Target="http://groupthink.jezebel.com/why-its-not-okay-to-use-the-word-rape-for-anything-e-1522352126/1522607143/+burtreynoldsismyspiritguide1" TargetMode="External"/><Relationship Id="rId14" Type="http://schemas.openxmlformats.org/officeDocument/2006/relationships/hyperlink" Target="http://www.frankfuredi.com/articles/holocaustday-20060126.s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40</Pages>
  <Words>35893</Words>
  <Characters>204593</Characters>
  <Application>Microsoft Office Word</Application>
  <DocSecurity>0</DocSecurity>
  <Lines>1704</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Haas</dc:creator>
  <cp:keywords>5.0</cp:keywords>
  <dc:description/>
  <cp:lastModifiedBy>Mimi</cp:lastModifiedBy>
  <cp:revision>3</cp:revision>
  <dcterms:created xsi:type="dcterms:W3CDTF">2014-07-26T00:20:00Z</dcterms:created>
  <dcterms:modified xsi:type="dcterms:W3CDTF">2014-07-26T13:54:00Z</dcterms:modified>
</cp:coreProperties>
</file>