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CA4A25" w:rsidP="00CA4A25">
      <w:pPr>
        <w:pStyle w:val="Heading1"/>
      </w:pPr>
      <w:r>
        <w:t xml:space="preserve">Nuclear Shipping Updates – </w:t>
      </w:r>
      <w:r w:rsidR="00583297">
        <w:t>CHHJPV</w:t>
      </w:r>
    </w:p>
    <w:p w:rsidR="00583297" w:rsidRDefault="00583297" w:rsidP="00583297">
      <w:pPr>
        <w:pStyle w:val="Heading1"/>
      </w:pPr>
    </w:p>
    <w:p w:rsidR="00583297" w:rsidRDefault="00583297" w:rsidP="00583297">
      <w:pPr>
        <w:pStyle w:val="Heading1"/>
      </w:pPr>
      <w:r>
        <w:t>***Negative</w:t>
      </w:r>
    </w:p>
    <w:p w:rsidR="00583297" w:rsidRPr="00583297" w:rsidRDefault="00583297" w:rsidP="00583297"/>
    <w:p w:rsidR="00583297" w:rsidRDefault="00583297" w:rsidP="00583297">
      <w:pPr>
        <w:pStyle w:val="Heading1"/>
      </w:pPr>
      <w:r>
        <w:t>Off-case</w:t>
      </w:r>
    </w:p>
    <w:p w:rsidR="00583297" w:rsidRDefault="00583297" w:rsidP="00583297">
      <w:pPr>
        <w:pStyle w:val="Heading2"/>
      </w:pPr>
      <w:r>
        <w:t>Oil Prices DA</w:t>
      </w:r>
    </w:p>
    <w:p w:rsidR="00583297" w:rsidRDefault="00583297" w:rsidP="00583297">
      <w:pPr>
        <w:pStyle w:val="Heading3"/>
      </w:pPr>
      <w:r>
        <w:t>Link</w:t>
      </w:r>
    </w:p>
    <w:p w:rsidR="00583297" w:rsidRPr="000A6D28" w:rsidRDefault="00583297" w:rsidP="00583297">
      <w:pPr>
        <w:pStyle w:val="Heading4"/>
      </w:pPr>
      <w:r>
        <w:t>Nuclear shipping trades off market shares with oil – Decks prices</w:t>
      </w:r>
    </w:p>
    <w:p w:rsidR="00583297" w:rsidRPr="005B762A" w:rsidRDefault="00583297" w:rsidP="00583297">
      <w:pPr>
        <w:rPr>
          <w:rStyle w:val="Style13ptBold"/>
          <w:b w:val="0"/>
        </w:rPr>
      </w:pPr>
      <w:r>
        <w:rPr>
          <w:rStyle w:val="Style13ptBold"/>
        </w:rPr>
        <w:t xml:space="preserve">Haas 14 </w:t>
      </w:r>
      <w:r w:rsidRPr="00EE50BB">
        <w:rPr>
          <w:rStyle w:val="Style13ptBold"/>
          <w:sz w:val="20"/>
          <w:szCs w:val="20"/>
        </w:rPr>
        <w:t>(Benjamin S., SUNY Maritime Department, citing multiple experts from SUNY Maritime Nuclear Ship Design Project, “Strategies for the Success of Nuclear Powered Commercial Shipping,” Paper presented to the Connecticut Maritime Association March 2014, http://atomicinsights.com/wp-content/uploads/CMA-Nuclear-Paper_Benjamin-Haas-3.pdf)</w:t>
      </w:r>
    </w:p>
    <w:p w:rsidR="00583297" w:rsidRDefault="00583297" w:rsidP="00583297">
      <w:pPr>
        <w:rPr>
          <w:sz w:val="12"/>
        </w:rPr>
      </w:pPr>
      <w:r w:rsidRPr="00173F70">
        <w:rPr>
          <w:sz w:val="12"/>
        </w:rPr>
        <w:t xml:space="preserve">The success of nuclear powered commercial shipping ultimately depends on the success of nuclear fission ¡n general; the technologies are similar, as are the economics, and the expanded use of fissile materials either on land or at sea includes the topics of radiation protection and proliferation. </w:t>
      </w:r>
      <w:r w:rsidRPr="00173F70">
        <w:rPr>
          <w:rStyle w:val="Emphasis"/>
        </w:rPr>
        <w:t>The economics are most important, however, because the success of nuclear power is also the decline in market share of oil and natural gas.</w:t>
      </w:r>
      <w:r w:rsidRPr="00173F70">
        <w:rPr>
          <w:sz w:val="12"/>
        </w:rPr>
        <w:t xml:space="preserve"> </w:t>
      </w:r>
      <w:r w:rsidRPr="00173F70">
        <w:rPr>
          <w:rStyle w:val="StyleUnderline"/>
        </w:rPr>
        <w:t xml:space="preserve">Every nuclear powered commercial ship that is built is a fossil- fueled ship that was not built, and subsequently </w:t>
      </w:r>
      <w:r w:rsidRPr="00173F70">
        <w:rPr>
          <w:rStyle w:val="Emphasis"/>
        </w:rPr>
        <w:t>large volumes of oil and gas that were not purchased</w:t>
      </w:r>
      <w:r w:rsidRPr="00173F70">
        <w:rPr>
          <w:rStyle w:val="StyleUnderline"/>
        </w:rPr>
        <w:t>.</w:t>
      </w:r>
      <w:r w:rsidRPr="00173F70">
        <w:rPr>
          <w:sz w:val="12"/>
        </w:rPr>
        <w:t xml:space="preserve"> </w:t>
      </w:r>
      <w:r w:rsidRPr="00173F70">
        <w:rPr>
          <w:rStyle w:val="StyleUnderline"/>
        </w:rPr>
        <w:t>The rise of nuclear marine propulsion, therefore, is the decline of fossil- fueled propulsion</w:t>
      </w:r>
      <w:r w:rsidRPr="00173F70">
        <w:rPr>
          <w:sz w:val="12"/>
        </w:rPr>
        <w:t xml:space="preserve">. The hydrocarbon industry is one of the most lucrative industries in the world and so has the money to pay for lobbyists and has the influence to speak to people in positions of public power. To what extent nuclear power can replace fossil-fueled propulsion remains to be determined, but ultimately, </w:t>
      </w:r>
      <w:r w:rsidRPr="00173F70">
        <w:rPr>
          <w:rStyle w:val="Emphasis"/>
        </w:rPr>
        <w:t>nuclear fission in whatever form is a direct competitor to fossil fuels. Nuclear powered shipping will face opposition from the hydrocarbon industries.</w:t>
      </w:r>
      <w:r w:rsidRPr="00173F70">
        <w:rPr>
          <w:sz w:val="12"/>
        </w:rPr>
        <w:t xml:space="preserve"> This does not imply conspiracy or “hidden dealings”</w:t>
      </w:r>
      <w:proofErr w:type="gramStart"/>
      <w:r w:rsidRPr="00173F70">
        <w:rPr>
          <w:sz w:val="12"/>
        </w:rPr>
        <w:t>,</w:t>
      </w:r>
      <w:proofErr w:type="gramEnd"/>
      <w:r w:rsidRPr="00173F70">
        <w:rPr>
          <w:sz w:val="12"/>
        </w:rPr>
        <w:t xml:space="preserve"> rather it will lobby officials, the public, and spend its resources on consistently making the case against the widespread use of fission. A clear example of this competition comes from an advertisement in a Long Island newspaper, likely from 1979 during the start of public outcry over the construction of the Shoreham nuclear power plant in Long Island, New York. A portion of the advertisement is presented below, showing an oil industry organization sponsoring an ad against nuclear power vicariously through the use of solar energy. Regardless of the factuality of the advertisement’s criticisms, which focused on emergency core cooling and inadequate insurance coverage for the plant, the advertisement represents the hydrocarbon industry (oil heating) funding public protest of nuclear power (electric heating). The operation of the Shoreham power plant would likely have allowed Long Island residents to switch over to electric heating for their homes and water instead of oil. </w:t>
      </w:r>
      <w:r w:rsidRPr="00173F70">
        <w:rPr>
          <w:rStyle w:val="StyleUnderline"/>
        </w:rPr>
        <w:t>Any reduction in market share for the hydrocarbon industry which results from the entry of a competitor is the potential for further competition.</w:t>
      </w:r>
      <w:r w:rsidRPr="00173F70">
        <w:rPr>
          <w:sz w:val="12"/>
        </w:rPr>
        <w:t xml:space="preserve"> It is not in the interest of the hydrocarbon industries to allow nuclear powered commercial shipping to become accepted, or else nuclear power will become accepted in more places. The strategy for dealing with this commercial opposition is to make people aware of ¡t. Policy makers will be influenced by their relationships with members of the hydrocarbon industries who they have become familiar, and so will be less inclined to side with their commercial competition when public opposition arises. None of this is sinister, it is just business.</w:t>
      </w:r>
    </w:p>
    <w:p w:rsidR="00583297" w:rsidRDefault="00583297" w:rsidP="00583297">
      <w:pPr>
        <w:pStyle w:val="Heading2"/>
      </w:pPr>
      <w:r>
        <w:t>Emissions Advantage CP</w:t>
      </w:r>
    </w:p>
    <w:p w:rsidR="00583297" w:rsidRPr="00583297" w:rsidRDefault="00583297" w:rsidP="00583297">
      <w:pPr>
        <w:pStyle w:val="Heading3"/>
      </w:pPr>
      <w:r>
        <w:t>1nc</w:t>
      </w:r>
    </w:p>
    <w:p w:rsidR="00583297" w:rsidRPr="003068EE" w:rsidRDefault="00583297" w:rsidP="00583297">
      <w:pPr>
        <w:pStyle w:val="Heading4"/>
      </w:pPr>
      <w:r>
        <w:t>Text: The Members of the United Nations should follow the International Maritime Organization’s policies in reducing the emissions of the shipping industry.</w:t>
      </w:r>
    </w:p>
    <w:p w:rsidR="00583297" w:rsidRDefault="00583297" w:rsidP="00583297">
      <w:pPr>
        <w:pStyle w:val="Heading4"/>
      </w:pPr>
      <w:r>
        <w:t>The Counterplan solves – It reduces comparatively more emissions</w:t>
      </w:r>
    </w:p>
    <w:p w:rsidR="00583297" w:rsidRDefault="00583297" w:rsidP="00583297">
      <w:r w:rsidRPr="00787AC4">
        <w:rPr>
          <w:rStyle w:val="Style13ptBold"/>
        </w:rPr>
        <w:t>ICS 2013</w:t>
      </w:r>
      <w:r>
        <w:t xml:space="preserve"> –International Chamber of Shipping (“Shipping, World Trade and the Reduction of CO2 Emissions, </w:t>
      </w:r>
      <w:r w:rsidRPr="009C4028">
        <w:t>United Nations Framework Convention on Climate Change International Maritime Organization</w:t>
      </w:r>
      <w:r>
        <w:t>,” ICS, PDF, pp. 2//DM)</w:t>
      </w:r>
    </w:p>
    <w:p w:rsidR="00583297" w:rsidRDefault="00583297" w:rsidP="00583297"/>
    <w:p w:rsidR="00583297" w:rsidRPr="006612D9" w:rsidRDefault="00583297" w:rsidP="00583297">
      <w:pPr>
        <w:rPr>
          <w:sz w:val="10"/>
        </w:rPr>
      </w:pPr>
      <w:r w:rsidRPr="00066B98">
        <w:rPr>
          <w:rStyle w:val="StyleUnderline"/>
        </w:rPr>
        <w:t>As already acknowledged by the Kyoto Protocol, emissions from international shipping cannot be attributed to any particular national economy.</w:t>
      </w:r>
      <w:r w:rsidRPr="00066B98">
        <w:rPr>
          <w:rStyle w:val="Emphasis"/>
        </w:rPr>
        <w:t xml:space="preserve"> Multilateral collaborative action will be the most appropriate means to address emissions from the maritime transport sector.</w:t>
      </w:r>
      <w:r w:rsidRPr="006612D9">
        <w:rPr>
          <w:rStyle w:val="Emphasis"/>
          <w:b/>
          <w:sz w:val="12"/>
          <w:u w:val="none"/>
        </w:rPr>
        <w:t>¶</w:t>
      </w:r>
      <w:r w:rsidRPr="006612D9">
        <w:rPr>
          <w:rStyle w:val="Emphasis"/>
          <w:sz w:val="12"/>
        </w:rPr>
        <w:t xml:space="preserve"> </w:t>
      </w:r>
      <w:r w:rsidRPr="00066B98">
        <w:rPr>
          <w:rStyle w:val="StyleUnderline"/>
        </w:rPr>
        <w:t>Multilateral collaborative action will be best achieved by governments at the specialist United Nations agency – the IMO − which has a successful track record in the development of global regulations governing the shipping industry’s environmental performance. For example, the International Convention on the Prevention of Pollution by Ships (MARPOL), which now contains technical regulations for the reduction of CO2, has been ratified and enforced globally through a combination of flag state and port state control by IMO Member States.</w:t>
      </w:r>
      <w:r w:rsidRPr="006612D9">
        <w:rPr>
          <w:rStyle w:val="StyleUnderline"/>
          <w:sz w:val="12"/>
          <w:u w:val="none"/>
        </w:rPr>
        <w:t>¶</w:t>
      </w:r>
      <w:r w:rsidRPr="006612D9">
        <w:rPr>
          <w:rStyle w:val="StyleUnderline"/>
          <w:sz w:val="12"/>
        </w:rPr>
        <w:t xml:space="preserve"> </w:t>
      </w:r>
      <w:r w:rsidRPr="00482A59">
        <w:rPr>
          <w:rStyle w:val="StyleUnderline"/>
        </w:rPr>
        <w:t xml:space="preserve">The delivery of significant emission reductions by the maritime sector will require that any mandatory measures adopted are applied on a uniform and </w:t>
      </w:r>
      <w:r w:rsidRPr="00482A59">
        <w:rPr>
          <w:rStyle w:val="Emphasis"/>
        </w:rPr>
        <w:t>global</w:t>
      </w:r>
      <w:r w:rsidRPr="00482A59">
        <w:rPr>
          <w:rStyle w:val="StyleUnderline"/>
        </w:rPr>
        <w:t xml:space="preserve"> basis to avoid ‘carbon leakage’.</w:t>
      </w:r>
      <w:r w:rsidRPr="006612D9">
        <w:rPr>
          <w:sz w:val="10"/>
        </w:rPr>
        <w:t xml:space="preserve"> Most shipping companies have the freedom to decide to register their ships with the ‘flag state’ of their choice including those which, under the current Kyoto Protocol, are not Annex I nations. </w:t>
      </w:r>
      <w:r w:rsidRPr="00482A59">
        <w:rPr>
          <w:rStyle w:val="StyleUnderline"/>
        </w:rPr>
        <w:t>Measures to deliver meaningful emission reductions are thus much more likely to be achieved by instruments developed by governments at IMO.</w:t>
      </w:r>
      <w:r w:rsidRPr="006612D9">
        <w:rPr>
          <w:rStyle w:val="StyleUnderline"/>
          <w:sz w:val="12"/>
          <w:u w:val="none"/>
        </w:rPr>
        <w:t>¶</w:t>
      </w:r>
      <w:r w:rsidRPr="006612D9">
        <w:rPr>
          <w:rStyle w:val="StyleUnderline"/>
          <w:sz w:val="12"/>
        </w:rPr>
        <w:t xml:space="preserve"> </w:t>
      </w:r>
      <w:r w:rsidRPr="006612D9">
        <w:rPr>
          <w:sz w:val="10"/>
        </w:rPr>
        <w:t>In 2013, only about 35% of the world merchant fleet is registered in UNFCCC Annex I countries.</w:t>
      </w:r>
      <w:r w:rsidRPr="006612D9">
        <w:rPr>
          <w:sz w:val="12"/>
        </w:rPr>
        <w:t>¶</w:t>
      </w:r>
      <w:r w:rsidRPr="006612D9">
        <w:rPr>
          <w:sz w:val="10"/>
        </w:rPr>
        <w:t xml:space="preserve"> Taking Account of CBDR</w:t>
      </w:r>
      <w:r w:rsidRPr="006612D9">
        <w:rPr>
          <w:sz w:val="12"/>
        </w:rPr>
        <w:t>¶</w:t>
      </w:r>
      <w:r w:rsidRPr="006612D9">
        <w:rPr>
          <w:sz w:val="10"/>
        </w:rPr>
        <w:t xml:space="preserve"> The UNFCCC principle of ‘Common But Differentiated Responsibility’ (CBDR) cannot be practically applied directly to individual ships without the danger of significant ‘carbon leakage’. The ‘flag state’1 with which a ship is registered, or indeed the ‘nationality’ of the entity operating the ship, can change frequently, especially when ships are bought and sold.</w:t>
      </w:r>
      <w:r w:rsidRPr="006612D9">
        <w:rPr>
          <w:sz w:val="12"/>
        </w:rPr>
        <w:t>¶</w:t>
      </w:r>
      <w:r w:rsidRPr="006612D9">
        <w:rPr>
          <w:sz w:val="10"/>
        </w:rPr>
        <w:t xml:space="preserve"> The direct application of the CBDR concept would also cause gross distortion of shipping markets, reducing the efficiency of maritime transport and thus the smooth flow of world trade.</w:t>
      </w:r>
      <w:r w:rsidRPr="006612D9">
        <w:rPr>
          <w:sz w:val="12"/>
        </w:rPr>
        <w:t>¶</w:t>
      </w:r>
      <w:r w:rsidRPr="006612D9">
        <w:rPr>
          <w:sz w:val="10"/>
        </w:rPr>
        <w:t xml:space="preserve"> </w:t>
      </w:r>
      <w:r w:rsidRPr="00482A59">
        <w:rPr>
          <w:rStyle w:val="Emphasis"/>
        </w:rPr>
        <w:t>Failure to deliver a global and uniform CO2 reduction regime for international shipping will greatly reduce the ability of the shipping sector as a whole to reduce its emissions.</w:t>
      </w:r>
      <w:r w:rsidRPr="006612D9">
        <w:rPr>
          <w:rStyle w:val="Emphasis"/>
          <w:b/>
          <w:sz w:val="12"/>
          <w:u w:val="none"/>
        </w:rPr>
        <w:t>¶</w:t>
      </w:r>
      <w:r w:rsidRPr="006612D9">
        <w:rPr>
          <w:rStyle w:val="Emphasis"/>
          <w:sz w:val="12"/>
        </w:rPr>
        <w:t xml:space="preserve"> </w:t>
      </w:r>
      <w:r w:rsidRPr="00482A59">
        <w:rPr>
          <w:rStyle w:val="StyleUnderline"/>
        </w:rPr>
        <w:t xml:space="preserve">However, the IMO principle of ‘no more </w:t>
      </w:r>
      <w:proofErr w:type="spellStart"/>
      <w:r w:rsidRPr="00482A59">
        <w:rPr>
          <w:rStyle w:val="StyleUnderline"/>
        </w:rPr>
        <w:t>favourable</w:t>
      </w:r>
      <w:proofErr w:type="spellEnd"/>
      <w:r w:rsidRPr="00482A59">
        <w:rPr>
          <w:rStyle w:val="StyleUnderline"/>
        </w:rPr>
        <w:t xml:space="preserve"> treatment’ ensures that standards adopted for shipping are applied equally throughout the world, delivering </w:t>
      </w:r>
      <w:r w:rsidRPr="00482A59">
        <w:rPr>
          <w:rStyle w:val="Emphasis"/>
        </w:rPr>
        <w:t>maximum environmental protection and improvement.</w:t>
      </w:r>
      <w:r w:rsidRPr="006612D9">
        <w:rPr>
          <w:rStyle w:val="StyleUnderline"/>
          <w:sz w:val="12"/>
          <w:u w:val="none"/>
        </w:rPr>
        <w:t>¶</w:t>
      </w:r>
      <w:r w:rsidRPr="006612D9">
        <w:rPr>
          <w:rStyle w:val="StyleUnderline"/>
          <w:sz w:val="12"/>
        </w:rPr>
        <w:t xml:space="preserve"> </w:t>
      </w:r>
      <w:r w:rsidRPr="006612D9">
        <w:rPr>
          <w:sz w:val="10"/>
        </w:rPr>
        <w:t xml:space="preserve">The international shipping industry therefore believes that </w:t>
      </w:r>
      <w:r w:rsidRPr="00482A59">
        <w:rPr>
          <w:rStyle w:val="StyleUnderline"/>
        </w:rPr>
        <w:t xml:space="preserve">the achievement of meaningful reductions in CO2 emissions will </w:t>
      </w:r>
      <w:r w:rsidRPr="00482A59">
        <w:rPr>
          <w:rStyle w:val="Emphasis"/>
        </w:rPr>
        <w:t>be best achieved</w:t>
      </w:r>
      <w:r w:rsidRPr="00482A59">
        <w:rPr>
          <w:rStyle w:val="StyleUnderline"/>
        </w:rPr>
        <w:t xml:space="preserve"> if nations agree that the development of detailed measures for the international merchant fleet should be directed by governments at IMO - while fully respecting the UNFCCC CBDR principle.</w:t>
      </w:r>
      <w:r w:rsidRPr="006612D9">
        <w:rPr>
          <w:rStyle w:val="StyleUnderline"/>
          <w:sz w:val="12"/>
          <w:u w:val="none"/>
        </w:rPr>
        <w:t>¶</w:t>
      </w:r>
      <w:r w:rsidRPr="006612D9">
        <w:rPr>
          <w:rStyle w:val="StyleUnderline"/>
          <w:sz w:val="12"/>
        </w:rPr>
        <w:t xml:space="preserve"> </w:t>
      </w:r>
      <w:r w:rsidRPr="006612D9">
        <w:rPr>
          <w:sz w:val="10"/>
        </w:rPr>
        <w:t>IMO Agreement on CO2 Technical Rules</w:t>
      </w:r>
      <w:r w:rsidRPr="006612D9">
        <w:rPr>
          <w:sz w:val="12"/>
        </w:rPr>
        <w:t>¶</w:t>
      </w:r>
      <w:r w:rsidRPr="006612D9">
        <w:rPr>
          <w:sz w:val="10"/>
        </w:rPr>
        <w:t xml:space="preserve"> In July 2011, governments at IMO agreed a comprehensive package of technical regulations for reducing shipping’s CO2 emissions which entered into force in January 2013. The amendments to the MARPOL Convention (Annex VI) include</w:t>
      </w:r>
      <w:proofErr w:type="gramStart"/>
      <w:r w:rsidRPr="006612D9">
        <w:rPr>
          <w:sz w:val="10"/>
        </w:rPr>
        <w:t>:</w:t>
      </w:r>
      <w:r w:rsidRPr="006612D9">
        <w:rPr>
          <w:sz w:val="12"/>
        </w:rPr>
        <w:t>¶</w:t>
      </w:r>
      <w:proofErr w:type="gramEnd"/>
      <w:r w:rsidRPr="006612D9">
        <w:rPr>
          <w:sz w:val="10"/>
        </w:rPr>
        <w:t xml:space="preserve"> </w:t>
      </w:r>
      <w:r w:rsidRPr="00482A59">
        <w:rPr>
          <w:rStyle w:val="StyleUnderline"/>
        </w:rPr>
        <w:t>•A system of energy efficiency design indexing for new ships (similar in concept to the ratings applied to cars and electrical appliances). The IMO EEDI will lead to approximately 25-30% emission reductions by 2030 compared to ‘business as usual’.</w:t>
      </w:r>
      <w:r w:rsidRPr="006612D9">
        <w:rPr>
          <w:rStyle w:val="StyleUnderline"/>
          <w:sz w:val="12"/>
          <w:u w:val="none"/>
        </w:rPr>
        <w:t>¶</w:t>
      </w:r>
      <w:r w:rsidRPr="006612D9">
        <w:rPr>
          <w:rStyle w:val="StyleUnderline"/>
          <w:sz w:val="12"/>
        </w:rPr>
        <w:t xml:space="preserve"> </w:t>
      </w:r>
      <w:r w:rsidRPr="00482A59">
        <w:rPr>
          <w:rStyle w:val="StyleUnderline"/>
        </w:rPr>
        <w:t xml:space="preserve">•A template for a Ship Energy Efficiency Management Plan (SEEMP) for use by all ships. The SEEMP allows companies and ships to monitor and improve performance with regard to various factors that may contribute to CO2 emissions. These include, </w:t>
      </w:r>
      <w:proofErr w:type="spellStart"/>
      <w:r w:rsidRPr="00482A59">
        <w:rPr>
          <w:rStyle w:val="StyleUnderline"/>
        </w:rPr>
        <w:t>interalia</w:t>
      </w:r>
      <w:proofErr w:type="spellEnd"/>
      <w:r w:rsidRPr="00482A59">
        <w:rPr>
          <w:rStyle w:val="StyleUnderline"/>
        </w:rPr>
        <w:t xml:space="preserve">: improved voyage planning; speed management; weather </w:t>
      </w:r>
      <w:proofErr w:type="spellStart"/>
      <w:r w:rsidRPr="00482A59">
        <w:rPr>
          <w:rStyle w:val="StyleUnderline"/>
        </w:rPr>
        <w:t>routeing</w:t>
      </w:r>
      <w:proofErr w:type="spellEnd"/>
      <w:r w:rsidRPr="00482A59">
        <w:rPr>
          <w:rStyle w:val="StyleUnderline"/>
        </w:rPr>
        <w:t xml:space="preserve">; </w:t>
      </w:r>
      <w:proofErr w:type="spellStart"/>
      <w:r w:rsidRPr="00482A59">
        <w:rPr>
          <w:rStyle w:val="StyleUnderline"/>
        </w:rPr>
        <w:t>optimising</w:t>
      </w:r>
      <w:proofErr w:type="spellEnd"/>
      <w:r w:rsidRPr="00482A59">
        <w:rPr>
          <w:rStyle w:val="StyleUnderline"/>
        </w:rPr>
        <w:t xml:space="preserve"> engine power, use of rudders and propellers; hull maintenance and use of different fuel types.</w:t>
      </w:r>
      <w:r w:rsidRPr="006612D9">
        <w:rPr>
          <w:rStyle w:val="StyleUnderline"/>
          <w:sz w:val="12"/>
          <w:u w:val="none"/>
        </w:rPr>
        <w:t>¶</w:t>
      </w:r>
      <w:r w:rsidRPr="006612D9">
        <w:rPr>
          <w:rStyle w:val="StyleUnderline"/>
          <w:sz w:val="12"/>
        </w:rPr>
        <w:t xml:space="preserve"> </w:t>
      </w:r>
      <w:r w:rsidRPr="006612D9">
        <w:rPr>
          <w:sz w:val="10"/>
        </w:rPr>
        <w:t>Recognition of CBDR</w:t>
      </w:r>
      <w:r w:rsidRPr="006612D9">
        <w:rPr>
          <w:sz w:val="12"/>
        </w:rPr>
        <w:t>¶</w:t>
      </w:r>
      <w:r w:rsidRPr="006612D9">
        <w:rPr>
          <w:sz w:val="10"/>
        </w:rPr>
        <w:t xml:space="preserve"> The July 2011 agreement demonstrates that IMO is eminently capable of delivering a global solution for shipping which can be reconciled with the principle of CBDR - without prejudice to what UNFCCC might decide with respect to other industries. To address CBDR, the IMO agreement includes a regulation for the promotion of technical co-operation and the transfer of technology relating to the improvement of energy efficiency of ships, and requires maritime administrations - in co-operation with IMO - to provide support directly to developing states that request technical assistance.</w:t>
      </w:r>
      <w:r w:rsidRPr="006612D9">
        <w:rPr>
          <w:sz w:val="12"/>
        </w:rPr>
        <w:t>¶</w:t>
      </w:r>
      <w:r w:rsidRPr="006612D9">
        <w:rPr>
          <w:sz w:val="10"/>
        </w:rPr>
        <w:t xml:space="preserve"> 3</w:t>
      </w:r>
      <w:r w:rsidRPr="006612D9">
        <w:rPr>
          <w:sz w:val="12"/>
        </w:rPr>
        <w:t>¶</w:t>
      </w:r>
      <w:r w:rsidRPr="006612D9">
        <w:rPr>
          <w:sz w:val="10"/>
        </w:rPr>
        <w:t xml:space="preserve"> IMO is also Developing Market Based Measures</w:t>
      </w:r>
      <w:r w:rsidRPr="006612D9">
        <w:rPr>
          <w:sz w:val="12"/>
        </w:rPr>
        <w:t>¶</w:t>
      </w:r>
      <w:r w:rsidRPr="006612D9">
        <w:rPr>
          <w:sz w:val="10"/>
        </w:rPr>
        <w:t xml:space="preserve"> </w:t>
      </w:r>
      <w:r w:rsidRPr="00482A59">
        <w:rPr>
          <w:rStyle w:val="StyleUnderline"/>
        </w:rPr>
        <w:t xml:space="preserve">The IMO agreement on technical measures demonstrates that there is widespread understanding amongst governments worldwide that the most effective means of reducing CO2 emissions from ships will be for COP 19 to </w:t>
      </w:r>
      <w:proofErr w:type="spellStart"/>
      <w:r w:rsidRPr="00482A59">
        <w:rPr>
          <w:rStyle w:val="StyleUnderline"/>
        </w:rPr>
        <w:t>recognise</w:t>
      </w:r>
      <w:proofErr w:type="spellEnd"/>
      <w:r w:rsidRPr="00482A59">
        <w:rPr>
          <w:rStyle w:val="StyleUnderline"/>
        </w:rPr>
        <w:t xml:space="preserve"> IMO’s ability to regulate shipping, so that it can continue its consideration of Market Based Measures (MBMs).</w:t>
      </w:r>
      <w:r w:rsidRPr="006612D9">
        <w:rPr>
          <w:rStyle w:val="StyleUnderline"/>
          <w:sz w:val="12"/>
          <w:u w:val="none"/>
        </w:rPr>
        <w:t>¶</w:t>
      </w:r>
      <w:r w:rsidRPr="006612D9">
        <w:rPr>
          <w:rStyle w:val="StyleUnderline"/>
          <w:sz w:val="12"/>
        </w:rPr>
        <w:t xml:space="preserve"> </w:t>
      </w:r>
      <w:r w:rsidRPr="006612D9">
        <w:rPr>
          <w:sz w:val="10"/>
        </w:rPr>
        <w:t>Governments have already made various detailed proposals for a shipping MBM. These have been assessed by an international panel of experts and will be taken forward by IMO Member States during 2014.</w:t>
      </w:r>
      <w:r w:rsidRPr="006612D9">
        <w:rPr>
          <w:sz w:val="12"/>
        </w:rPr>
        <w:t>¶</w:t>
      </w:r>
      <w:r w:rsidRPr="006612D9">
        <w:rPr>
          <w:sz w:val="10"/>
        </w:rPr>
        <w:t xml:space="preserve"> IMO’s Track Record on Environmental Regulation</w:t>
      </w:r>
      <w:r w:rsidRPr="006612D9">
        <w:rPr>
          <w:sz w:val="12"/>
        </w:rPr>
        <w:t>¶</w:t>
      </w:r>
      <w:r w:rsidRPr="006612D9">
        <w:rPr>
          <w:sz w:val="10"/>
        </w:rPr>
        <w:t xml:space="preserve"> The level of ratification and enforcement of IMO Conventions is very high in comparison to international regulations governing many land based industries.2</w:t>
      </w:r>
      <w:r w:rsidRPr="006612D9">
        <w:rPr>
          <w:sz w:val="12"/>
        </w:rPr>
        <w:t>¶</w:t>
      </w:r>
      <w:r w:rsidRPr="006612D9">
        <w:rPr>
          <w:sz w:val="10"/>
        </w:rPr>
        <w:t xml:space="preserve"> The impressive track record of IMO is demonstrated by the success of the MARPOL Convention (which also now includes regulations to reduce ships’ CO2) in contributing to the substantial reduction of oil pollution since it entered into force.</w:t>
      </w:r>
      <w:r w:rsidRPr="006612D9">
        <w:rPr>
          <w:sz w:val="12"/>
        </w:rPr>
        <w:t>¶</w:t>
      </w:r>
      <w:r w:rsidRPr="006612D9">
        <w:rPr>
          <w:sz w:val="10"/>
        </w:rPr>
        <w:t xml:space="preserve"> MARPOL 73/78 has helped ensure a dramatic reduction in oil spilled by shipping</w:t>
      </w:r>
      <w:r w:rsidRPr="006612D9">
        <w:rPr>
          <w:sz w:val="12"/>
        </w:rPr>
        <w:t>¶</w:t>
      </w:r>
      <w:r w:rsidRPr="006612D9">
        <w:rPr>
          <w:sz w:val="10"/>
        </w:rPr>
        <w:t xml:space="preserve"> Average number of major oil spills per year (over 700 </w:t>
      </w:r>
      <w:proofErr w:type="spellStart"/>
      <w:r w:rsidRPr="006612D9">
        <w:rPr>
          <w:sz w:val="10"/>
        </w:rPr>
        <w:t>tonnes</w:t>
      </w:r>
      <w:proofErr w:type="spellEnd"/>
      <w:r w:rsidRPr="006612D9">
        <w:rPr>
          <w:sz w:val="10"/>
        </w:rPr>
        <w:t>)</w:t>
      </w:r>
    </w:p>
    <w:p w:rsidR="00583297" w:rsidRDefault="00583297" w:rsidP="00583297"/>
    <w:p w:rsidR="00583297" w:rsidRDefault="00583297" w:rsidP="00583297">
      <w:pPr>
        <w:pStyle w:val="Heading2"/>
      </w:pPr>
      <w:proofErr w:type="spellStart"/>
      <w:r>
        <w:t>Kritik</w:t>
      </w:r>
      <w:proofErr w:type="spellEnd"/>
      <w:r w:rsidR="00327427">
        <w:t xml:space="preserve"> links</w:t>
      </w:r>
    </w:p>
    <w:p w:rsidR="00583297" w:rsidRDefault="00B718C1" w:rsidP="00583297">
      <w:pPr>
        <w:pStyle w:val="Heading3"/>
      </w:pPr>
      <w:r>
        <w:t>T</w:t>
      </w:r>
      <w:r w:rsidR="00583297">
        <w:t>rade link</w:t>
      </w:r>
    </w:p>
    <w:p w:rsidR="00583297" w:rsidRDefault="00583297" w:rsidP="00583297">
      <w:pPr>
        <w:pStyle w:val="Heading4"/>
      </w:pPr>
      <w:r>
        <w:t xml:space="preserve">The trade advantage glorifies an ideologically insulated Anglo-American system of free trade as the natural way of the world </w:t>
      </w:r>
    </w:p>
    <w:p w:rsidR="00583297" w:rsidRDefault="00583297" w:rsidP="00583297">
      <w:r w:rsidRPr="00F14B62">
        <w:rPr>
          <w:b/>
        </w:rPr>
        <w:t xml:space="preserve">Fallows, 93 </w:t>
      </w:r>
      <w:r>
        <w:t xml:space="preserve">– national correspondent for the Atlantic, BA in history and literature from Harvard and was a Rhodes Scholar at Oxford for economics (James, “How the World Works,” The Atlantic, </w:t>
      </w:r>
      <w:hyperlink r:id="rId6" w:history="1">
        <w:r w:rsidRPr="002574BF">
          <w:rPr>
            <w:rStyle w:val="Hyperlink"/>
          </w:rPr>
          <w:t>http://www.theatlantic.com/magazine/archive/1993/12/how-the-world-works/5854/</w:t>
        </w:r>
      </w:hyperlink>
      <w:r>
        <w:t>) //RGP</w:t>
      </w:r>
    </w:p>
    <w:p w:rsidR="00583297" w:rsidRPr="008A1253" w:rsidRDefault="00583297" w:rsidP="00583297">
      <w:pPr>
        <w:rPr>
          <w:sz w:val="16"/>
        </w:rPr>
      </w:pPr>
      <w:r w:rsidRPr="008A1253">
        <w:rPr>
          <w:sz w:val="16"/>
        </w:rPr>
        <w:t xml:space="preserve">WHY Friedrich List? The more I had heard about </w:t>
      </w:r>
      <w:r w:rsidRPr="008A1253">
        <w:rPr>
          <w:rStyle w:val="StyleUnderline"/>
        </w:rPr>
        <w:t>List</w:t>
      </w:r>
      <w:r w:rsidRPr="008A1253">
        <w:rPr>
          <w:sz w:val="16"/>
        </w:rPr>
        <w:t xml:space="preserve"> in the preceding five years, from economists in Seoul and Osaka and Tokyo, the more I had wondered why I had virtually never heard of him while studying economics in England and the United States. By the time I saw his books in the shop beneath the cherry trees, I had come to think of him as the dog that didn't bark. He </w:t>
      </w:r>
      <w:r w:rsidRPr="008A1253">
        <w:rPr>
          <w:rStyle w:val="StyleUnderline"/>
        </w:rPr>
        <w:t>illustrated the strange self-selectivity of Anglo-American thinking about economics</w:t>
      </w:r>
      <w:r w:rsidRPr="008A1253">
        <w:rPr>
          <w:sz w:val="16"/>
        </w:rPr>
        <w:t xml:space="preserve">. I emphasize "Anglo-American" because </w:t>
      </w:r>
      <w:r w:rsidRPr="008A1253">
        <w:rPr>
          <w:rStyle w:val="StyleUnderline"/>
        </w:rPr>
        <w:t>in this area the United Kingdom and the United States are like each other and different from most of the rest of the world</w:t>
      </w:r>
      <w:r w:rsidRPr="008A1253">
        <w:rPr>
          <w:sz w:val="16"/>
        </w:rPr>
        <w:t xml:space="preserve">. </w:t>
      </w:r>
      <w:r w:rsidRPr="008A1253">
        <w:rPr>
          <w:rStyle w:val="StyleUnderline"/>
        </w:rPr>
        <w:t>The two countries have dominated world politics</w:t>
      </w:r>
      <w:r w:rsidRPr="008A1253">
        <w:rPr>
          <w:sz w:val="16"/>
        </w:rPr>
        <w:t xml:space="preserve"> for more than a century, and </w:t>
      </w:r>
      <w:r w:rsidRPr="008A1253">
        <w:rPr>
          <w:rStyle w:val="StyleUnderline"/>
        </w:rPr>
        <w:t>the dominance of the English language lets them ignore what is being said and thought overseas</w:t>
      </w:r>
      <w:r w:rsidRPr="008A1253">
        <w:rPr>
          <w:sz w:val="16"/>
        </w:rPr>
        <w:t xml:space="preserve">—and just how isolated they have become. The difference shows up this way: </w:t>
      </w:r>
      <w:r w:rsidRPr="008A1253">
        <w:rPr>
          <w:rStyle w:val="StyleUnderline"/>
        </w:rPr>
        <w:t>The Anglo-American system of politics and economics, like any system, rests on certain principles and beliefs</w:t>
      </w:r>
      <w:r w:rsidRPr="008A1253">
        <w:rPr>
          <w:sz w:val="16"/>
        </w:rPr>
        <w:t xml:space="preserve">. But rather than acting as if these are the best principles, or the ones their societies prefer, Britons and </w:t>
      </w:r>
      <w:r w:rsidRPr="008A1253">
        <w:rPr>
          <w:rStyle w:val="Emphasis"/>
        </w:rPr>
        <w:t>Americans often act as if these were the only possible principles and no one, except in error, could choose any others</w:t>
      </w:r>
      <w:r w:rsidRPr="008A1253">
        <w:rPr>
          <w:sz w:val="16"/>
        </w:rPr>
        <w:t xml:space="preserve">. </w:t>
      </w:r>
      <w:r w:rsidRPr="008A1253">
        <w:rPr>
          <w:rStyle w:val="StyleUnderline"/>
        </w:rPr>
        <w:t>Political economics becomes an essentially religious question, subject to the standard drawback of any religion—the failure to understand why people outside the faith might act as they do</w:t>
      </w:r>
      <w:r w:rsidRPr="008A1253">
        <w:rPr>
          <w:sz w:val="16"/>
        </w:rPr>
        <w:t xml:space="preserve">. To make this more specific: </w:t>
      </w:r>
      <w:r w:rsidRPr="008A1253">
        <w:rPr>
          <w:rStyle w:val="StyleUnderline"/>
        </w:rPr>
        <w:t>Today's Anglo-American world view rests on the shoulders of</w:t>
      </w:r>
      <w:r w:rsidRPr="008A1253">
        <w:rPr>
          <w:sz w:val="16"/>
        </w:rPr>
        <w:t xml:space="preserve"> three men. One is Isaac </w:t>
      </w:r>
      <w:r w:rsidRPr="008A1253">
        <w:rPr>
          <w:rStyle w:val="StyleUnderline"/>
        </w:rPr>
        <w:t>Newton</w:t>
      </w:r>
      <w:r w:rsidRPr="008A1253">
        <w:rPr>
          <w:sz w:val="16"/>
        </w:rPr>
        <w:t xml:space="preserve">, the father of modern science. One is Jean-Jacques </w:t>
      </w:r>
      <w:r w:rsidRPr="008A1253">
        <w:rPr>
          <w:rStyle w:val="StyleUnderline"/>
        </w:rPr>
        <w:t>Rousseau</w:t>
      </w:r>
      <w:r w:rsidRPr="008A1253">
        <w:rPr>
          <w:sz w:val="16"/>
        </w:rPr>
        <w:t xml:space="preserve">, the father of liberal political theory. (If we want to keep this purely Anglo-American, John Locke can serve in his place.) </w:t>
      </w:r>
      <w:r w:rsidRPr="008A1253">
        <w:rPr>
          <w:rStyle w:val="StyleUnderline"/>
        </w:rPr>
        <w:t>And</w:t>
      </w:r>
      <w:r w:rsidRPr="008A1253">
        <w:rPr>
          <w:sz w:val="16"/>
        </w:rPr>
        <w:t xml:space="preserve"> one is Adam </w:t>
      </w:r>
      <w:r w:rsidRPr="008A1253">
        <w:rPr>
          <w:rStyle w:val="StyleUnderline"/>
        </w:rPr>
        <w:t>Smith</w:t>
      </w:r>
      <w:r w:rsidRPr="008A1253">
        <w:rPr>
          <w:sz w:val="16"/>
        </w:rPr>
        <w:t xml:space="preserve">, the father of laissez-faire economics. </w:t>
      </w:r>
      <w:r w:rsidRPr="008A1253">
        <w:rPr>
          <w:rStyle w:val="StyleUnderline"/>
        </w:rPr>
        <w:t>From these founding titans come the principles by which advanced society, in the Anglo-American view, is supposed to work</w:t>
      </w:r>
      <w:r w:rsidRPr="008A1253">
        <w:rPr>
          <w:sz w:val="16"/>
        </w:rPr>
        <w:t xml:space="preserve">. A society is supposed to understand the laws of nature as Newton outlined them. It is supposed to recognize the paramount dignity of the individual, thanks to Rousseau, Locke, and their followers. And </w:t>
      </w:r>
      <w:r w:rsidRPr="008A1253">
        <w:rPr>
          <w:rStyle w:val="StyleUnderline"/>
        </w:rPr>
        <w:t>it is supposed to recognize that the most prosperous future for the greatest number of people comes from the free workings of the market</w:t>
      </w:r>
      <w:r w:rsidRPr="008A1253">
        <w:rPr>
          <w:sz w:val="16"/>
        </w:rPr>
        <w:t xml:space="preserve">. So Adam Smith taught, with axioms that were enriched by David Ricardo, Alfred Marshall, and the other giants of neoclassical economics. </w:t>
      </w:r>
      <w:r w:rsidRPr="008A1253">
        <w:rPr>
          <w:rStyle w:val="StyleUnderline"/>
        </w:rPr>
        <w:t>The most important thing about this summary is the moral equivalence of the various principles</w:t>
      </w:r>
      <w:r w:rsidRPr="008A1253">
        <w:rPr>
          <w:sz w:val="16"/>
        </w:rPr>
        <w:t xml:space="preserve">. Isaac Newton worked in the realm of fundamental science. Without saying so explicitly, </w:t>
      </w:r>
      <w:r w:rsidRPr="008A1253">
        <w:rPr>
          <w:rStyle w:val="StyleUnderline"/>
        </w:rPr>
        <w:t>today's British and American economists act as if the economic principles they follow had a similar hard, provable, undebatable basis</w:t>
      </w:r>
      <w:r w:rsidRPr="008A1253">
        <w:rPr>
          <w:sz w:val="16"/>
        </w:rPr>
        <w:t xml:space="preserve">. If you don't believe in the laws of physics—actions create reactions, the universe tends toward greater entropy—you are by definition irrational. </w:t>
      </w:r>
      <w:proofErr w:type="gramStart"/>
      <w:r w:rsidRPr="008A1253">
        <w:rPr>
          <w:sz w:val="16"/>
        </w:rPr>
        <w:t>And so with economics.</w:t>
      </w:r>
      <w:proofErr w:type="gramEnd"/>
      <w:r w:rsidRPr="008A1253">
        <w:rPr>
          <w:sz w:val="16"/>
        </w:rPr>
        <w:t xml:space="preserve"> </w:t>
      </w:r>
      <w:r w:rsidRPr="008A1253">
        <w:rPr>
          <w:rStyle w:val="StyleUnderline"/>
        </w:rPr>
        <w:t>If you don't accept the views derived from Adam Smith—that free competition is ultimately best for all participants, that protection and interference are inherently wrong—then you are a flat-</w:t>
      </w:r>
      <w:proofErr w:type="spellStart"/>
      <w:r w:rsidRPr="008A1253">
        <w:rPr>
          <w:rStyle w:val="StyleUnderline"/>
        </w:rPr>
        <w:t>earther</w:t>
      </w:r>
      <w:proofErr w:type="spellEnd"/>
      <w:r w:rsidRPr="008A1253">
        <w:rPr>
          <w:sz w:val="16"/>
        </w:rPr>
        <w:t>.</w:t>
      </w:r>
    </w:p>
    <w:p w:rsidR="00583297" w:rsidRDefault="00B718C1" w:rsidP="00583297">
      <w:pPr>
        <w:pStyle w:val="Heading3"/>
      </w:pPr>
      <w:r>
        <w:t>F</w:t>
      </w:r>
      <w:r w:rsidR="00583297">
        <w:t>ood link</w:t>
      </w:r>
    </w:p>
    <w:p w:rsidR="00583297" w:rsidRPr="000D0D24" w:rsidRDefault="00583297" w:rsidP="00583297">
      <w:pPr>
        <w:pStyle w:val="Heading4"/>
        <w:rPr>
          <w:rFonts w:asciiTheme="minorHAnsi" w:hAnsiTheme="minorHAnsi"/>
        </w:rPr>
      </w:pPr>
      <w:r>
        <w:rPr>
          <w:rFonts w:asciiTheme="minorHAnsi" w:hAnsiTheme="minorHAnsi"/>
        </w:rPr>
        <w:t xml:space="preserve">Food management creates </w:t>
      </w:r>
      <w:proofErr w:type="spellStart"/>
      <w:r>
        <w:rPr>
          <w:rFonts w:asciiTheme="minorHAnsi" w:hAnsiTheme="minorHAnsi"/>
        </w:rPr>
        <w:t>biopolitical</w:t>
      </w:r>
      <w:proofErr w:type="spellEnd"/>
      <w:r>
        <w:rPr>
          <w:rFonts w:asciiTheme="minorHAnsi" w:hAnsiTheme="minorHAnsi"/>
        </w:rPr>
        <w:t xml:space="preserve"> control of society that justifies mass violence for the “greater good”</w:t>
      </w:r>
    </w:p>
    <w:p w:rsidR="00583297" w:rsidRDefault="00583297" w:rsidP="00583297">
      <w:pPr>
        <w:rPr>
          <w:rFonts w:asciiTheme="minorHAnsi" w:hAnsiTheme="minorHAnsi"/>
          <w:b/>
        </w:rPr>
      </w:pPr>
      <w:proofErr w:type="spellStart"/>
      <w:r w:rsidRPr="000D0D24">
        <w:rPr>
          <w:rFonts w:asciiTheme="minorHAnsi" w:hAnsiTheme="minorHAnsi"/>
          <w:b/>
        </w:rPr>
        <w:t>Nally</w:t>
      </w:r>
      <w:proofErr w:type="spellEnd"/>
      <w:r>
        <w:rPr>
          <w:rFonts w:asciiTheme="minorHAnsi" w:hAnsiTheme="minorHAnsi"/>
          <w:b/>
        </w:rPr>
        <w:t xml:space="preserve">, 11 </w:t>
      </w:r>
      <w:r w:rsidRPr="008A1253">
        <w:t xml:space="preserve">– Department of Geography at Cambridge University (David, “The </w:t>
      </w:r>
      <w:proofErr w:type="spellStart"/>
      <w:r w:rsidRPr="008A1253">
        <w:t>Biopolitics</w:t>
      </w:r>
      <w:proofErr w:type="spellEnd"/>
      <w:r w:rsidRPr="008A1253">
        <w:t xml:space="preserve"> of food provisioning”, Transactions of the Institute of British Geographers, January 2011, </w:t>
      </w:r>
      <w:hyperlink r:id="rId7" w:history="1">
        <w:r w:rsidRPr="008A1253">
          <w:rPr>
            <w:rStyle w:val="Hyperlink"/>
          </w:rPr>
          <w:t>http://www.geog.cam.ac.uk/people/nally/nally2014.pdf</w:t>
        </w:r>
      </w:hyperlink>
      <w:r w:rsidRPr="008A1253">
        <w:t>) //RGP</w:t>
      </w:r>
    </w:p>
    <w:p w:rsidR="00583297" w:rsidRPr="008A1253" w:rsidRDefault="00583297" w:rsidP="00583297">
      <w:pPr>
        <w:rPr>
          <w:rStyle w:val="Emphasis"/>
          <w:rFonts w:asciiTheme="minorHAnsi" w:hAnsiTheme="minorHAnsi"/>
        </w:rPr>
      </w:pPr>
      <w:r w:rsidRPr="008A1253">
        <w:rPr>
          <w:rFonts w:asciiTheme="minorHAnsi" w:hAnsiTheme="minorHAnsi"/>
          <w:sz w:val="16"/>
        </w:rPr>
        <w:t xml:space="preserve">Introduction In the late 1970s Michel Foucault began exploring the emergence of a new technique of government that established ‘the basic biological features of the human species’ (Foucault 2007, 1) as the primary object of political strategy. In The history of sexuality, Foucault famously outlined the significance of this development: The old power of death that symbolized </w:t>
      </w:r>
      <w:r w:rsidRPr="008A1253">
        <w:rPr>
          <w:rStyle w:val="StyleUnderline"/>
          <w:rFonts w:asciiTheme="minorHAnsi" w:hAnsiTheme="minorHAnsi"/>
        </w:rPr>
        <w:t>sovereign power</w:t>
      </w:r>
      <w:r w:rsidRPr="008A1253">
        <w:rPr>
          <w:rFonts w:asciiTheme="minorHAnsi" w:hAnsiTheme="minorHAnsi"/>
          <w:sz w:val="16"/>
        </w:rPr>
        <w:t xml:space="preserve"> was now carefully </w:t>
      </w:r>
      <w:r w:rsidRPr="008A1253">
        <w:rPr>
          <w:rStyle w:val="StyleUnderline"/>
          <w:rFonts w:asciiTheme="minorHAnsi" w:hAnsiTheme="minorHAnsi"/>
        </w:rPr>
        <w:t>supplanted</w:t>
      </w:r>
      <w:r w:rsidRPr="008A1253">
        <w:rPr>
          <w:rFonts w:asciiTheme="minorHAnsi" w:hAnsiTheme="minorHAnsi"/>
          <w:sz w:val="16"/>
        </w:rPr>
        <w:t xml:space="preserve"> by </w:t>
      </w:r>
      <w:r w:rsidRPr="008A1253">
        <w:rPr>
          <w:rStyle w:val="StyleUnderline"/>
          <w:rFonts w:asciiTheme="minorHAnsi" w:hAnsiTheme="minorHAnsi"/>
        </w:rPr>
        <w:t>the administration of bodies and the calculated management of life</w:t>
      </w:r>
      <w:r w:rsidRPr="008A1253">
        <w:rPr>
          <w:rFonts w:asciiTheme="minorHAnsi" w:hAnsiTheme="minorHAnsi"/>
          <w:sz w:val="16"/>
        </w:rPr>
        <w:t xml:space="preserve">. During the classical period, there was </w:t>
      </w:r>
      <w:r w:rsidRPr="008A1253">
        <w:rPr>
          <w:rStyle w:val="StyleUnderline"/>
          <w:rFonts w:asciiTheme="minorHAnsi" w:hAnsiTheme="minorHAnsi"/>
        </w:rPr>
        <w:t xml:space="preserve">a rapid development of various disciplines – universities, secondary schools, barracks, </w:t>
      </w:r>
      <w:proofErr w:type="gramStart"/>
      <w:r w:rsidRPr="008A1253">
        <w:rPr>
          <w:rStyle w:val="StyleUnderline"/>
          <w:rFonts w:asciiTheme="minorHAnsi" w:hAnsiTheme="minorHAnsi"/>
        </w:rPr>
        <w:t>workshops</w:t>
      </w:r>
      <w:proofErr w:type="gramEnd"/>
      <w:r w:rsidRPr="008A1253">
        <w:rPr>
          <w:rFonts w:asciiTheme="minorHAnsi" w:hAnsiTheme="minorHAnsi"/>
          <w:sz w:val="16"/>
        </w:rPr>
        <w:t xml:space="preserve">; there was also the emergence, in the field of political practices and economic observation, of the problems of birthrate, longevity, public health, housing, and migration. Hence </w:t>
      </w:r>
      <w:r w:rsidRPr="008A1253">
        <w:rPr>
          <w:rStyle w:val="StyleUnderline"/>
          <w:rFonts w:asciiTheme="minorHAnsi" w:hAnsiTheme="minorHAnsi"/>
        </w:rPr>
        <w:t>there was an explosion of numerous and diverse techniques for achieving the subjugation of bodies and the control of populations, marking the era of bio-power.</w:t>
      </w:r>
      <w:r w:rsidRPr="008A1253">
        <w:rPr>
          <w:rFonts w:asciiTheme="minorHAnsi" w:hAnsiTheme="minorHAnsi"/>
          <w:sz w:val="16"/>
        </w:rPr>
        <w:t xml:space="preserve"> (1980, 140, emphasis added) For Foucault, what distinguishes the early from the late modern period is the fact that </w:t>
      </w:r>
      <w:r w:rsidRPr="008A1253">
        <w:rPr>
          <w:rStyle w:val="StyleUnderline"/>
          <w:rFonts w:asciiTheme="minorHAnsi" w:hAnsiTheme="minorHAnsi"/>
        </w:rPr>
        <w:t>sovereign power is</w:t>
      </w:r>
      <w:r w:rsidRPr="008A1253">
        <w:rPr>
          <w:rFonts w:asciiTheme="minorHAnsi" w:hAnsiTheme="minorHAnsi"/>
          <w:sz w:val="16"/>
        </w:rPr>
        <w:t xml:space="preserve"> defined less as the ‘right to kill’ and more as </w:t>
      </w:r>
      <w:r w:rsidRPr="008A1253">
        <w:rPr>
          <w:rStyle w:val="StyleUnderline"/>
          <w:rFonts w:asciiTheme="minorHAnsi" w:hAnsiTheme="minorHAnsi"/>
        </w:rPr>
        <w:t xml:space="preserve">the ability to seize, manage and exert influence over the living conditions of individual bodies and whole populations. This does not mean that the ‘power of death’ is completely abandoned, but rather that violence must be </w:t>
      </w:r>
      <w:proofErr w:type="spellStart"/>
      <w:r w:rsidRPr="008A1253">
        <w:rPr>
          <w:rStyle w:val="StyleUnderline"/>
          <w:rFonts w:asciiTheme="minorHAnsi" w:hAnsiTheme="minorHAnsi"/>
        </w:rPr>
        <w:t>rationalised</w:t>
      </w:r>
      <w:proofErr w:type="spellEnd"/>
      <w:r w:rsidRPr="008A1253">
        <w:rPr>
          <w:rStyle w:val="StyleUnderline"/>
          <w:rFonts w:asciiTheme="minorHAnsi" w:hAnsiTheme="minorHAnsi"/>
        </w:rPr>
        <w:t xml:space="preserve"> by appealing to future improvements: the pauper will be converted into a sturdy </w:t>
      </w:r>
      <w:proofErr w:type="spellStart"/>
      <w:r w:rsidRPr="008A1253">
        <w:rPr>
          <w:rStyle w:val="StyleUnderline"/>
          <w:rFonts w:asciiTheme="minorHAnsi" w:hAnsiTheme="minorHAnsi"/>
        </w:rPr>
        <w:t>labourer</w:t>
      </w:r>
      <w:proofErr w:type="spellEnd"/>
      <w:r w:rsidRPr="008A1253">
        <w:rPr>
          <w:rStyle w:val="StyleUnderline"/>
          <w:rFonts w:asciiTheme="minorHAnsi" w:hAnsiTheme="minorHAnsi"/>
        </w:rPr>
        <w:t>; the prisoner will be rehabilitated</w:t>
      </w:r>
      <w:r w:rsidRPr="008A1253">
        <w:rPr>
          <w:rFonts w:asciiTheme="minorHAnsi" w:hAnsiTheme="minorHAnsi"/>
          <w:sz w:val="16"/>
        </w:rPr>
        <w:t xml:space="preserve">; savage populations will be </w:t>
      </w:r>
      <w:proofErr w:type="spellStart"/>
      <w:r w:rsidRPr="008A1253">
        <w:rPr>
          <w:rFonts w:asciiTheme="minorHAnsi" w:hAnsiTheme="minorHAnsi"/>
          <w:sz w:val="16"/>
        </w:rPr>
        <w:t>civilised</w:t>
      </w:r>
      <w:proofErr w:type="spellEnd"/>
      <w:r w:rsidRPr="008A1253">
        <w:rPr>
          <w:rFonts w:asciiTheme="minorHAnsi" w:hAnsiTheme="minorHAnsi"/>
          <w:sz w:val="16"/>
        </w:rPr>
        <w:t xml:space="preserve">; and wastelands will be transformed into productive environments (Darby 1973; Murray Li 2007, 13). Accordingly, </w:t>
      </w:r>
      <w:r w:rsidRPr="008A1253">
        <w:rPr>
          <w:rStyle w:val="StyleUnderline"/>
          <w:rFonts w:asciiTheme="minorHAnsi" w:hAnsiTheme="minorHAnsi"/>
        </w:rPr>
        <w:t xml:space="preserve">the ‘era of bio-power’ heralded a new taxonomy of everyday life: through administrative measures </w:t>
      </w:r>
      <w:r w:rsidRPr="008A1253">
        <w:rPr>
          <w:rStyle w:val="Emphasis"/>
          <w:rFonts w:asciiTheme="minorHAnsi" w:hAnsiTheme="minorHAnsi"/>
        </w:rPr>
        <w:t>life itself could be subjugated and managed with a view to the betterment and greater security of humankind</w:t>
      </w:r>
      <w:r w:rsidRPr="008A1253">
        <w:rPr>
          <w:rFonts w:asciiTheme="minorHAnsi" w:hAnsiTheme="minorHAnsi"/>
          <w:sz w:val="16"/>
        </w:rPr>
        <w:t xml:space="preserve"> (Foucault 1980 2008</w:t>
      </w:r>
      <w:proofErr w:type="gramStart"/>
      <w:r w:rsidRPr="008A1253">
        <w:rPr>
          <w:rFonts w:asciiTheme="minorHAnsi" w:hAnsiTheme="minorHAnsi"/>
          <w:sz w:val="16"/>
        </w:rPr>
        <w:t>;Legg</w:t>
      </w:r>
      <w:proofErr w:type="gramEnd"/>
      <w:r w:rsidRPr="008A1253">
        <w:rPr>
          <w:rFonts w:asciiTheme="minorHAnsi" w:hAnsiTheme="minorHAnsi"/>
          <w:sz w:val="16"/>
        </w:rPr>
        <w:t xml:space="preserve"> 2005; Lemke 2001). This genealogy of </w:t>
      </w:r>
      <w:proofErr w:type="spellStart"/>
      <w:r w:rsidRPr="008A1253">
        <w:rPr>
          <w:rFonts w:asciiTheme="minorHAnsi" w:hAnsiTheme="minorHAnsi"/>
          <w:sz w:val="16"/>
        </w:rPr>
        <w:t>biopolitics</w:t>
      </w:r>
      <w:proofErr w:type="spellEnd"/>
      <w:r w:rsidRPr="008A1253">
        <w:rPr>
          <w:rFonts w:asciiTheme="minorHAnsi" w:hAnsiTheme="minorHAnsi"/>
          <w:sz w:val="16"/>
        </w:rPr>
        <w:t xml:space="preserve"> is now familiar enough and hardly requires further elaboration.1 </w:t>
      </w:r>
      <w:proofErr w:type="gramStart"/>
      <w:r w:rsidRPr="008A1253">
        <w:rPr>
          <w:rFonts w:asciiTheme="minorHAnsi" w:hAnsiTheme="minorHAnsi"/>
          <w:sz w:val="16"/>
        </w:rPr>
        <w:t>This</w:t>
      </w:r>
      <w:proofErr w:type="gramEnd"/>
      <w:r w:rsidRPr="008A1253">
        <w:rPr>
          <w:rFonts w:asciiTheme="minorHAnsi" w:hAnsiTheme="minorHAnsi"/>
          <w:sz w:val="16"/>
        </w:rPr>
        <w:t xml:space="preserve"> paper instead aims to empirically develop Foucault’s conceptual history by exploring the </w:t>
      </w:r>
      <w:proofErr w:type="spellStart"/>
      <w:r w:rsidRPr="008A1253">
        <w:rPr>
          <w:rFonts w:asciiTheme="minorHAnsi" w:hAnsiTheme="minorHAnsi"/>
          <w:sz w:val="16"/>
        </w:rPr>
        <w:t>biopolitics</w:t>
      </w:r>
      <w:proofErr w:type="spellEnd"/>
      <w:r w:rsidRPr="008A1253">
        <w:rPr>
          <w:rFonts w:asciiTheme="minorHAnsi" w:hAnsiTheme="minorHAnsi"/>
          <w:sz w:val="16"/>
        </w:rPr>
        <w:t xml:space="preserve"> of the modern food economy. The focus on food provisioning is deemed appropriate for two reasons. First, the ongoing publication of Foucault’s lectures at the </w:t>
      </w:r>
      <w:proofErr w:type="spellStart"/>
      <w:r w:rsidRPr="008A1253">
        <w:rPr>
          <w:rFonts w:asciiTheme="minorHAnsi" w:hAnsiTheme="minorHAnsi"/>
          <w:sz w:val="16"/>
        </w:rPr>
        <w:t>Collège</w:t>
      </w:r>
      <w:proofErr w:type="spellEnd"/>
      <w:r w:rsidRPr="008A1253">
        <w:rPr>
          <w:rFonts w:asciiTheme="minorHAnsi" w:hAnsiTheme="minorHAnsi"/>
          <w:sz w:val="16"/>
        </w:rPr>
        <w:t xml:space="preserve"> de France, especially his lectures in 1977–1978, entitled Security, territory, and population, show that </w:t>
      </w:r>
      <w:r w:rsidRPr="008A1253">
        <w:rPr>
          <w:rStyle w:val="StyleUnderline"/>
          <w:rFonts w:asciiTheme="minorHAnsi" w:hAnsiTheme="minorHAnsi"/>
        </w:rPr>
        <w:t xml:space="preserve">Foucault placed the history of food provisioning – and especially the problem of food scarcity – at the very </w:t>
      </w:r>
      <w:proofErr w:type="spellStart"/>
      <w:r w:rsidRPr="008A1253">
        <w:rPr>
          <w:rStyle w:val="StyleUnderline"/>
          <w:rFonts w:asciiTheme="minorHAnsi" w:hAnsiTheme="minorHAnsi"/>
        </w:rPr>
        <w:t>centre</w:t>
      </w:r>
      <w:proofErr w:type="spellEnd"/>
      <w:r w:rsidRPr="008A1253">
        <w:rPr>
          <w:rStyle w:val="StyleUnderline"/>
          <w:rFonts w:asciiTheme="minorHAnsi" w:hAnsiTheme="minorHAnsi"/>
        </w:rPr>
        <w:t xml:space="preserve"> of</w:t>
      </w:r>
      <w:r w:rsidRPr="008A1253">
        <w:rPr>
          <w:rFonts w:asciiTheme="minorHAnsi" w:hAnsiTheme="minorHAnsi"/>
          <w:sz w:val="16"/>
        </w:rPr>
        <w:t xml:space="preserve"> his account of </w:t>
      </w:r>
      <w:proofErr w:type="spellStart"/>
      <w:r w:rsidRPr="008A1253">
        <w:rPr>
          <w:rStyle w:val="StyleUnderline"/>
          <w:rFonts w:asciiTheme="minorHAnsi" w:hAnsiTheme="minorHAnsi"/>
        </w:rPr>
        <w:t>biopower</w:t>
      </w:r>
      <w:proofErr w:type="spellEnd"/>
      <w:r w:rsidRPr="008A1253">
        <w:rPr>
          <w:rFonts w:asciiTheme="minorHAnsi" w:hAnsiTheme="minorHAnsi"/>
          <w:sz w:val="16"/>
        </w:rPr>
        <w:t xml:space="preserve">. But while the lecture courses have generated considerable debate, the importance of food in these discussions is generally ignored or poorly reviewed.2 Secondly, in considering food provisioning to be a material expression of </w:t>
      </w:r>
      <w:proofErr w:type="spellStart"/>
      <w:r w:rsidRPr="008A1253">
        <w:rPr>
          <w:rFonts w:asciiTheme="minorHAnsi" w:hAnsiTheme="minorHAnsi"/>
          <w:sz w:val="16"/>
        </w:rPr>
        <w:t>biopower</w:t>
      </w:r>
      <w:proofErr w:type="spellEnd"/>
      <w:r w:rsidRPr="008A1253">
        <w:rPr>
          <w:rFonts w:asciiTheme="minorHAnsi" w:hAnsiTheme="minorHAnsi"/>
          <w:sz w:val="16"/>
        </w:rPr>
        <w:t xml:space="preserve">, Foucault’s work provides a bridge between research </w:t>
      </w:r>
      <w:proofErr w:type="spellStart"/>
      <w:r w:rsidRPr="008A1253">
        <w:rPr>
          <w:rFonts w:asciiTheme="minorHAnsi" w:hAnsiTheme="minorHAnsi"/>
          <w:sz w:val="16"/>
        </w:rPr>
        <w:t>emphasising</w:t>
      </w:r>
      <w:proofErr w:type="spellEnd"/>
      <w:r w:rsidRPr="008A1253">
        <w:rPr>
          <w:rFonts w:asciiTheme="minorHAnsi" w:hAnsiTheme="minorHAnsi"/>
          <w:sz w:val="16"/>
        </w:rPr>
        <w:t xml:space="preserve"> the political economy of agro-food systems (</w:t>
      </w:r>
      <w:proofErr w:type="spellStart"/>
      <w:r w:rsidRPr="008A1253">
        <w:rPr>
          <w:rFonts w:asciiTheme="minorHAnsi" w:hAnsiTheme="minorHAnsi"/>
          <w:sz w:val="16"/>
        </w:rPr>
        <w:t>Friedmann</w:t>
      </w:r>
      <w:proofErr w:type="spellEnd"/>
      <w:r w:rsidRPr="008A1253">
        <w:rPr>
          <w:rFonts w:asciiTheme="minorHAnsi" w:hAnsiTheme="minorHAnsi"/>
          <w:sz w:val="16"/>
        </w:rPr>
        <w:t xml:space="preserve"> and McMichael 1989) and work that studies the political strategies that regulate biological life (</w:t>
      </w:r>
      <w:proofErr w:type="spellStart"/>
      <w:r w:rsidRPr="008A1253">
        <w:rPr>
          <w:rFonts w:asciiTheme="minorHAnsi" w:hAnsiTheme="minorHAnsi"/>
          <w:sz w:val="16"/>
        </w:rPr>
        <w:t>Rabinow</w:t>
      </w:r>
      <w:proofErr w:type="spellEnd"/>
      <w:r w:rsidRPr="008A1253">
        <w:rPr>
          <w:rFonts w:asciiTheme="minorHAnsi" w:hAnsiTheme="minorHAnsi"/>
          <w:sz w:val="16"/>
        </w:rPr>
        <w:t xml:space="preserve"> and Rose 2006). While the former has enhanced our understanding of the socio-economic transformations, the latter properly reminds us that the spatial dynamics of states and capital are also vital processes (Kearns and Reid-Henry 2009) that can encourage, undermine or otherwise attenuate the potential for life to replenish and flourish. </w:t>
      </w:r>
      <w:r w:rsidRPr="008A1253">
        <w:rPr>
          <w:rStyle w:val="StyleUnderline"/>
          <w:rFonts w:asciiTheme="minorHAnsi" w:hAnsiTheme="minorHAnsi"/>
        </w:rPr>
        <w:t xml:space="preserve">The </w:t>
      </w:r>
      <w:proofErr w:type="spellStart"/>
      <w:r w:rsidRPr="008A1253">
        <w:rPr>
          <w:rStyle w:val="StyleUnderline"/>
          <w:rFonts w:asciiTheme="minorHAnsi" w:hAnsiTheme="minorHAnsi"/>
        </w:rPr>
        <w:t>biopolitics</w:t>
      </w:r>
      <w:proofErr w:type="spellEnd"/>
      <w:r w:rsidRPr="008A1253">
        <w:rPr>
          <w:rStyle w:val="StyleUnderline"/>
          <w:rFonts w:asciiTheme="minorHAnsi" w:hAnsiTheme="minorHAnsi"/>
        </w:rPr>
        <w:t xml:space="preserve"> of food provisioning is</w:t>
      </w:r>
      <w:r w:rsidRPr="008A1253">
        <w:rPr>
          <w:rFonts w:asciiTheme="minorHAnsi" w:hAnsiTheme="minorHAnsi"/>
          <w:sz w:val="16"/>
        </w:rPr>
        <w:t xml:space="preserve"> therefore, a lens to think about </w:t>
      </w:r>
      <w:r w:rsidRPr="008A1253">
        <w:rPr>
          <w:rStyle w:val="StyleUnderline"/>
          <w:rFonts w:asciiTheme="minorHAnsi" w:hAnsiTheme="minorHAnsi"/>
        </w:rPr>
        <w:t>how the management of food maps onto strategies for managing life</w:t>
      </w:r>
      <w:r w:rsidRPr="008A1253">
        <w:rPr>
          <w:rFonts w:asciiTheme="minorHAnsi" w:hAnsiTheme="minorHAnsi"/>
          <w:sz w:val="16"/>
        </w:rPr>
        <w:t xml:space="preserve">, a synergy that becomes more pronounced as </w:t>
      </w:r>
      <w:r w:rsidRPr="008A1253">
        <w:rPr>
          <w:rStyle w:val="StyleUnderline"/>
          <w:rFonts w:asciiTheme="minorHAnsi" w:hAnsiTheme="minorHAnsi"/>
        </w:rPr>
        <w:t>agrarian structures are transformed to suit commercial interests rather than human needs</w:t>
      </w:r>
      <w:r w:rsidRPr="008A1253">
        <w:rPr>
          <w:rFonts w:asciiTheme="minorHAnsi" w:hAnsiTheme="minorHAnsi"/>
          <w:sz w:val="16"/>
        </w:rPr>
        <w:t xml:space="preserve">. My argument proceeds in four parts. The first part reviews Foucault’s writing on food provisioning, the problem of security and the problem of scarcity. I relate these reflections to Foucault’s concern with the ‘economic management of society’, particularly the relationship between laissez-faire economics and liberal government. The second part examines the issue of food provisioning in Europe’s colonies where in fact the drive to eliminate non-market access to food was more acute and </w:t>
      </w:r>
      <w:proofErr w:type="spellStart"/>
      <w:r w:rsidRPr="008A1253">
        <w:rPr>
          <w:rFonts w:asciiTheme="minorHAnsi" w:hAnsiTheme="minorHAnsi"/>
          <w:sz w:val="16"/>
        </w:rPr>
        <w:t>biopolitical</w:t>
      </w:r>
      <w:proofErr w:type="spellEnd"/>
      <w:r w:rsidRPr="008A1253">
        <w:rPr>
          <w:rFonts w:asciiTheme="minorHAnsi" w:hAnsiTheme="minorHAnsi"/>
          <w:sz w:val="16"/>
        </w:rPr>
        <w:t xml:space="preserve"> controls were adopted with greater </w:t>
      </w:r>
      <w:proofErr w:type="spellStart"/>
      <w:r w:rsidRPr="008A1253">
        <w:rPr>
          <w:rFonts w:asciiTheme="minorHAnsi" w:hAnsiTheme="minorHAnsi"/>
          <w:sz w:val="16"/>
        </w:rPr>
        <w:t>fervour</w:t>
      </w:r>
      <w:proofErr w:type="spellEnd"/>
      <w:r w:rsidRPr="008A1253">
        <w:rPr>
          <w:rFonts w:asciiTheme="minorHAnsi" w:hAnsiTheme="minorHAnsi"/>
          <w:sz w:val="16"/>
        </w:rPr>
        <w:t>. The final two sections of the paper use the idea of a ‘</w:t>
      </w:r>
      <w:proofErr w:type="spellStart"/>
      <w:r w:rsidRPr="008A1253">
        <w:rPr>
          <w:rFonts w:asciiTheme="minorHAnsi" w:hAnsiTheme="minorHAnsi"/>
          <w:sz w:val="16"/>
        </w:rPr>
        <w:t>biopolitics</w:t>
      </w:r>
      <w:proofErr w:type="spellEnd"/>
      <w:r w:rsidRPr="008A1253">
        <w:rPr>
          <w:rFonts w:asciiTheme="minorHAnsi" w:hAnsiTheme="minorHAnsi"/>
          <w:sz w:val="16"/>
        </w:rPr>
        <w:t xml:space="preserve"> of food provisioning' to examine corporate efforts to gain control over agricultural life and to turn agrarian systems into a vehicle for capital accumulation (Kloppenburg 2004, 8). The process of commodification through biotechnical innovation – what I term accumulation by </w:t>
      </w:r>
      <w:proofErr w:type="spellStart"/>
      <w:r w:rsidRPr="008A1253">
        <w:rPr>
          <w:rFonts w:asciiTheme="minorHAnsi" w:hAnsiTheme="minorHAnsi"/>
          <w:sz w:val="16"/>
        </w:rPr>
        <w:t>molecularisation</w:t>
      </w:r>
      <w:proofErr w:type="spellEnd"/>
      <w:r w:rsidRPr="008A1253">
        <w:rPr>
          <w:rFonts w:asciiTheme="minorHAnsi" w:hAnsiTheme="minorHAnsi"/>
          <w:sz w:val="16"/>
        </w:rPr>
        <w:t xml:space="preserve">– is profoundly transforming the evolutionary life of animals and plants, and, in some cases, </w:t>
      </w:r>
      <w:r w:rsidRPr="008A1253">
        <w:rPr>
          <w:rStyle w:val="StyleUnderline"/>
          <w:rFonts w:asciiTheme="minorHAnsi" w:hAnsiTheme="minorHAnsi"/>
        </w:rPr>
        <w:t xml:space="preserve">the very existence of the hungry poor who are finding that their access to vital provisions, and indeed their control over the means of production, is being progressively eroded. </w:t>
      </w:r>
      <w:r w:rsidRPr="008A1253">
        <w:rPr>
          <w:rFonts w:asciiTheme="minorHAnsi" w:hAnsiTheme="minorHAnsi"/>
          <w:sz w:val="16"/>
        </w:rPr>
        <w:t xml:space="preserve">Homo </w:t>
      </w:r>
      <w:proofErr w:type="spellStart"/>
      <w:r w:rsidRPr="008A1253">
        <w:rPr>
          <w:rFonts w:asciiTheme="minorHAnsi" w:hAnsiTheme="minorHAnsi"/>
          <w:sz w:val="16"/>
        </w:rPr>
        <w:t>æconomicus</w:t>
      </w:r>
      <w:proofErr w:type="spellEnd"/>
      <w:r w:rsidRPr="008A1253">
        <w:rPr>
          <w:rFonts w:asciiTheme="minorHAnsi" w:hAnsiTheme="minorHAnsi"/>
          <w:sz w:val="16"/>
        </w:rPr>
        <w:t xml:space="preserve"> and the problem of scarcity </w:t>
      </w:r>
      <w:proofErr w:type="gramStart"/>
      <w:r w:rsidRPr="008A1253">
        <w:rPr>
          <w:rFonts w:asciiTheme="minorHAnsi" w:hAnsiTheme="minorHAnsi"/>
          <w:sz w:val="16"/>
        </w:rPr>
        <w:t>The</w:t>
      </w:r>
      <w:proofErr w:type="gramEnd"/>
      <w:r w:rsidRPr="008A1253">
        <w:rPr>
          <w:rFonts w:asciiTheme="minorHAnsi" w:hAnsiTheme="minorHAnsi"/>
          <w:sz w:val="16"/>
        </w:rPr>
        <w:t xml:space="preserve"> content of the lectures delivered under the title, Security, territory, and population, might surprise some scholars who believe that Foucault’s concern with the politics of truth is developed at the expense of the vital role of political economy. In these lectures Foucault (2007, 2, 11) shows a strong interest in ‘economic transformations’, which he attempts to define in terms of a much broader history of ‘apparatuses (</w:t>
      </w:r>
      <w:proofErr w:type="spellStart"/>
      <w:r w:rsidRPr="008A1253">
        <w:rPr>
          <w:rFonts w:asciiTheme="minorHAnsi" w:hAnsiTheme="minorHAnsi"/>
          <w:sz w:val="16"/>
        </w:rPr>
        <w:t>dispositifs</w:t>
      </w:r>
      <w:proofErr w:type="spellEnd"/>
      <w:r w:rsidRPr="008A1253">
        <w:rPr>
          <w:rFonts w:asciiTheme="minorHAnsi" w:hAnsiTheme="minorHAnsi"/>
          <w:sz w:val="16"/>
        </w:rPr>
        <w:t>) of security’. This new project opens up four overlapping concerns: first what Foucault (2007, 11) outlines as ‘spaces of security’; second, the management of the uncertain or ‘</w:t>
      </w:r>
      <w:proofErr w:type="spellStart"/>
      <w:r w:rsidRPr="008A1253">
        <w:rPr>
          <w:rFonts w:asciiTheme="minorHAnsi" w:hAnsiTheme="minorHAnsi"/>
          <w:sz w:val="16"/>
        </w:rPr>
        <w:t>aleatory</w:t>
      </w:r>
      <w:proofErr w:type="spellEnd"/>
      <w:r w:rsidRPr="008A1253">
        <w:rPr>
          <w:rFonts w:asciiTheme="minorHAnsi" w:hAnsiTheme="minorHAnsi"/>
          <w:sz w:val="16"/>
        </w:rPr>
        <w:t xml:space="preserve">’; third, new mechanisms of </w:t>
      </w:r>
      <w:proofErr w:type="spellStart"/>
      <w:r w:rsidRPr="008A1253">
        <w:rPr>
          <w:rFonts w:asciiTheme="minorHAnsi" w:hAnsiTheme="minorHAnsi"/>
          <w:sz w:val="16"/>
        </w:rPr>
        <w:t>normalisation</w:t>
      </w:r>
      <w:proofErr w:type="spellEnd"/>
      <w:r w:rsidRPr="008A1253">
        <w:rPr>
          <w:rFonts w:asciiTheme="minorHAnsi" w:hAnsiTheme="minorHAnsi"/>
          <w:sz w:val="16"/>
        </w:rPr>
        <w:t>; and finally, the emergence of the population as a political-economic problem, and later as a problem of ‘conduct’. To begin, Foucault shows how these ‘</w:t>
      </w:r>
      <w:r w:rsidRPr="008A1253">
        <w:rPr>
          <w:rStyle w:val="StyleUnderline"/>
          <w:rFonts w:asciiTheme="minorHAnsi" w:hAnsiTheme="minorHAnsi"/>
        </w:rPr>
        <w:t xml:space="preserve">apparatuses of security’ are </w:t>
      </w:r>
      <w:proofErr w:type="spellStart"/>
      <w:r w:rsidRPr="008A1253">
        <w:rPr>
          <w:rStyle w:val="StyleUnderline"/>
          <w:rFonts w:asciiTheme="minorHAnsi" w:hAnsiTheme="minorHAnsi"/>
        </w:rPr>
        <w:t>materialised</w:t>
      </w:r>
      <w:proofErr w:type="spellEnd"/>
      <w:r w:rsidRPr="008A1253">
        <w:rPr>
          <w:rStyle w:val="StyleUnderline"/>
          <w:rFonts w:asciiTheme="minorHAnsi" w:hAnsiTheme="minorHAnsi"/>
        </w:rPr>
        <w:t xml:space="preserve"> in the changing morphology of cities</w:t>
      </w:r>
      <w:r w:rsidRPr="008A1253">
        <w:rPr>
          <w:rFonts w:asciiTheme="minorHAnsi" w:hAnsiTheme="minorHAnsi"/>
          <w:sz w:val="16"/>
        </w:rPr>
        <w:t xml:space="preserve"> in the 17th and 18th centuries. Through </w:t>
      </w:r>
      <w:r w:rsidRPr="008A1253">
        <w:rPr>
          <w:rStyle w:val="StyleUnderline"/>
          <w:rFonts w:asciiTheme="minorHAnsi" w:hAnsiTheme="minorHAnsi"/>
        </w:rPr>
        <w:t xml:space="preserve">the construction of the ‘disciplinary town’, hazards like theft and disease could be </w:t>
      </w:r>
      <w:proofErr w:type="spellStart"/>
      <w:r w:rsidRPr="008A1253">
        <w:rPr>
          <w:rStyle w:val="StyleUnderline"/>
          <w:rFonts w:asciiTheme="minorHAnsi" w:hAnsiTheme="minorHAnsi"/>
        </w:rPr>
        <w:t>minimised</w:t>
      </w:r>
      <w:proofErr w:type="spellEnd"/>
      <w:r w:rsidRPr="008A1253">
        <w:rPr>
          <w:rStyle w:val="StyleUnderline"/>
          <w:rFonts w:asciiTheme="minorHAnsi" w:hAnsiTheme="minorHAnsi"/>
        </w:rPr>
        <w:t xml:space="preserve"> and positive elements like the circulation of capital could be reinforced and </w:t>
      </w:r>
      <w:proofErr w:type="spellStart"/>
      <w:r w:rsidRPr="008A1253">
        <w:rPr>
          <w:rStyle w:val="StyleUnderline"/>
          <w:rFonts w:asciiTheme="minorHAnsi" w:hAnsiTheme="minorHAnsi"/>
        </w:rPr>
        <w:t>optimised</w:t>
      </w:r>
      <w:proofErr w:type="spellEnd"/>
      <w:r w:rsidRPr="008A1253">
        <w:rPr>
          <w:rFonts w:asciiTheme="minorHAnsi" w:hAnsiTheme="minorHAnsi"/>
          <w:sz w:val="16"/>
        </w:rPr>
        <w:t xml:space="preserve">. Gradually, </w:t>
      </w:r>
      <w:r w:rsidRPr="008A1253">
        <w:rPr>
          <w:rStyle w:val="Emphasis"/>
          <w:rFonts w:asciiTheme="minorHAnsi" w:hAnsiTheme="minorHAnsi"/>
        </w:rPr>
        <w:t>the spatial fabric of the town</w:t>
      </w:r>
      <w:r w:rsidRPr="008A1253">
        <w:rPr>
          <w:rStyle w:val="StyleUnderline"/>
          <w:rFonts w:asciiTheme="minorHAnsi" w:hAnsiTheme="minorHAnsi"/>
        </w:rPr>
        <w:t xml:space="preserve"> – the construction of quays, the partitioning of streets and the spacing of workshops – </w:t>
      </w:r>
      <w:r w:rsidRPr="008A1253">
        <w:rPr>
          <w:rStyle w:val="Emphasis"/>
          <w:rFonts w:asciiTheme="minorHAnsi" w:hAnsiTheme="minorHAnsi"/>
        </w:rPr>
        <w:t xml:space="preserve">becomes ordered in such </w:t>
      </w:r>
      <w:proofErr w:type="spellStart"/>
      <w:r w:rsidRPr="008A1253">
        <w:rPr>
          <w:rStyle w:val="Emphasis"/>
          <w:rFonts w:asciiTheme="minorHAnsi" w:hAnsiTheme="minorHAnsi"/>
        </w:rPr>
        <w:t>as</w:t>
      </w:r>
      <w:proofErr w:type="spellEnd"/>
      <w:r w:rsidRPr="008A1253">
        <w:rPr>
          <w:rStyle w:val="Emphasis"/>
          <w:rFonts w:asciiTheme="minorHAnsi" w:hAnsiTheme="minorHAnsi"/>
        </w:rPr>
        <w:t xml:space="preserve"> way as to better manage the population</w:t>
      </w:r>
      <w:r w:rsidRPr="008A1253">
        <w:rPr>
          <w:rStyle w:val="StyleUnderline"/>
          <w:rFonts w:asciiTheme="minorHAnsi" w:hAnsiTheme="minorHAnsi"/>
        </w:rPr>
        <w:t xml:space="preserve"> in relation to ‘natural’ and ‘artificial’ occurrences. Focusing on town plans and key urban texts, Foucault shows how the territorial sovereign became an architect of the disciplined space, but also, and almost at the same time, the regulator</w:t>
      </w:r>
      <w:r w:rsidRPr="008A1253">
        <w:rPr>
          <w:rFonts w:asciiTheme="minorHAnsi" w:hAnsiTheme="minorHAnsi"/>
          <w:sz w:val="16"/>
        </w:rPr>
        <w:t xml:space="preserve"> of the milieu, which involved </w:t>
      </w:r>
      <w:r w:rsidRPr="008A1253">
        <w:rPr>
          <w:rStyle w:val="StyleUnderline"/>
          <w:rFonts w:asciiTheme="minorHAnsi" w:hAnsiTheme="minorHAnsi"/>
        </w:rPr>
        <w:t>establishing</w:t>
      </w:r>
      <w:r w:rsidRPr="008A1253">
        <w:rPr>
          <w:rFonts w:asciiTheme="minorHAnsi" w:hAnsiTheme="minorHAnsi"/>
          <w:sz w:val="16"/>
        </w:rPr>
        <w:t xml:space="preserve"> not so much limits and </w:t>
      </w:r>
      <w:r w:rsidRPr="008A1253">
        <w:rPr>
          <w:rStyle w:val="StyleUnderline"/>
          <w:rFonts w:asciiTheme="minorHAnsi" w:hAnsiTheme="minorHAnsi"/>
        </w:rPr>
        <w:t>frontiers</w:t>
      </w:r>
      <w:r w:rsidRPr="008A1253">
        <w:rPr>
          <w:rFonts w:asciiTheme="minorHAnsi" w:hAnsiTheme="minorHAnsi"/>
          <w:sz w:val="16"/>
        </w:rPr>
        <w:t xml:space="preserve">, or fixing locations, as, above all and essentially, </w:t>
      </w:r>
      <w:r w:rsidRPr="008A1253">
        <w:rPr>
          <w:rStyle w:val="StyleUnderline"/>
          <w:rFonts w:asciiTheme="minorHAnsi" w:hAnsiTheme="minorHAnsi"/>
        </w:rPr>
        <w:t>making possible, guaranteeing, and ensuring circulations</w:t>
      </w:r>
      <w:r w:rsidRPr="008A1253">
        <w:rPr>
          <w:rFonts w:asciiTheme="minorHAnsi" w:hAnsiTheme="minorHAnsi"/>
          <w:sz w:val="16"/>
        </w:rPr>
        <w:t xml:space="preserve">. (2007, 29) This emphasis on the city as a site of circulation, and the sovereign as the ‘regulator of the milieu’, forms the background to </w:t>
      </w:r>
      <w:r w:rsidRPr="008A1253">
        <w:rPr>
          <w:rStyle w:val="StyleUnderline"/>
          <w:rFonts w:asciiTheme="minorHAnsi" w:hAnsiTheme="minorHAnsi"/>
        </w:rPr>
        <w:t>Foucault’s longer discussion of scarcity</w:t>
      </w:r>
      <w:r w:rsidRPr="008A1253">
        <w:rPr>
          <w:rFonts w:asciiTheme="minorHAnsi" w:hAnsiTheme="minorHAnsi"/>
          <w:sz w:val="16"/>
        </w:rPr>
        <w:t xml:space="preserve"> (la </w:t>
      </w:r>
      <w:proofErr w:type="spellStart"/>
      <w:r w:rsidRPr="008A1253">
        <w:rPr>
          <w:rFonts w:asciiTheme="minorHAnsi" w:hAnsiTheme="minorHAnsi"/>
          <w:sz w:val="16"/>
        </w:rPr>
        <w:t>disette</w:t>
      </w:r>
      <w:proofErr w:type="spellEnd"/>
      <w:r w:rsidRPr="008A1253">
        <w:rPr>
          <w:rFonts w:asciiTheme="minorHAnsi" w:hAnsiTheme="minorHAnsi"/>
          <w:sz w:val="16"/>
        </w:rPr>
        <w:t xml:space="preserve">) </w:t>
      </w:r>
      <w:r w:rsidRPr="008A1253">
        <w:rPr>
          <w:rStyle w:val="StyleUnderline"/>
          <w:rFonts w:asciiTheme="minorHAnsi" w:hAnsiTheme="minorHAnsi"/>
        </w:rPr>
        <w:t>and the policing of grain</w:t>
      </w:r>
      <w:r w:rsidRPr="008A1253">
        <w:rPr>
          <w:rFonts w:asciiTheme="minorHAnsi" w:hAnsiTheme="minorHAnsi"/>
          <w:sz w:val="16"/>
        </w:rPr>
        <w:t xml:space="preserve">. The supply and provisioning of food, </w:t>
      </w:r>
      <w:r w:rsidRPr="008A1253">
        <w:rPr>
          <w:rStyle w:val="StyleUnderline"/>
          <w:rFonts w:asciiTheme="minorHAnsi" w:hAnsiTheme="minorHAnsi"/>
        </w:rPr>
        <w:t>particularly the threat posed by urban food shortages, brings</w:t>
      </w:r>
      <w:r w:rsidRPr="008A1253">
        <w:rPr>
          <w:rFonts w:asciiTheme="minorHAnsi" w:hAnsiTheme="minorHAnsi"/>
          <w:sz w:val="16"/>
        </w:rPr>
        <w:t xml:space="preserve"> into sharp relief the concerns highlighted by Foucault earlier in the course. On the one hand, there is </w:t>
      </w:r>
      <w:r w:rsidRPr="008A1253">
        <w:rPr>
          <w:rStyle w:val="StyleUnderline"/>
          <w:rFonts w:asciiTheme="minorHAnsi" w:hAnsiTheme="minorHAnsi"/>
        </w:rPr>
        <w:t xml:space="preserve">the priority of upholding the people’s subsistence rights </w:t>
      </w:r>
      <w:r w:rsidRPr="008A1253">
        <w:rPr>
          <w:rFonts w:asciiTheme="minorHAnsi" w:hAnsiTheme="minorHAnsi"/>
          <w:sz w:val="16"/>
        </w:rPr>
        <w:t xml:space="preserve">(what peasants viewed as ‘laws of necessity’) </w:t>
      </w:r>
      <w:r w:rsidRPr="008A1253">
        <w:rPr>
          <w:rStyle w:val="StyleUnderline"/>
          <w:rFonts w:asciiTheme="minorHAnsi" w:hAnsiTheme="minorHAnsi"/>
        </w:rPr>
        <w:t>in order to prevent future convulsions and civil disorder</w:t>
      </w:r>
      <w:r w:rsidRPr="008A1253">
        <w:rPr>
          <w:rFonts w:asciiTheme="minorHAnsi" w:hAnsiTheme="minorHAnsi"/>
          <w:sz w:val="16"/>
        </w:rPr>
        <w:t xml:space="preserve">. Against this is the emergence of commercial pressures to ensure the optimal circulation of capital and goods. </w:t>
      </w:r>
      <w:r w:rsidRPr="008A1253">
        <w:rPr>
          <w:rStyle w:val="StyleUnderline"/>
          <w:rFonts w:asciiTheme="minorHAnsi" w:hAnsiTheme="minorHAnsi"/>
        </w:rPr>
        <w:t xml:space="preserve">The latter is presented first as a case for </w:t>
      </w:r>
      <w:r w:rsidRPr="008A1253">
        <w:rPr>
          <w:rStyle w:val="Emphasis"/>
          <w:rFonts w:asciiTheme="minorHAnsi" w:hAnsiTheme="minorHAnsi"/>
        </w:rPr>
        <w:t>purging bad conduct</w:t>
      </w:r>
      <w:r w:rsidRPr="008A1253">
        <w:rPr>
          <w:rFonts w:asciiTheme="minorHAnsi" w:hAnsiTheme="minorHAnsi"/>
          <w:sz w:val="16"/>
        </w:rPr>
        <w:t xml:space="preserve"> (such as eradicating hoarding, </w:t>
      </w:r>
      <w:proofErr w:type="spellStart"/>
      <w:r w:rsidRPr="008A1253">
        <w:rPr>
          <w:rFonts w:asciiTheme="minorHAnsi" w:hAnsiTheme="minorHAnsi"/>
          <w:sz w:val="16"/>
        </w:rPr>
        <w:t>regrating</w:t>
      </w:r>
      <w:proofErr w:type="spellEnd"/>
      <w:r w:rsidRPr="008A1253">
        <w:rPr>
          <w:rFonts w:asciiTheme="minorHAnsi" w:hAnsiTheme="minorHAnsi"/>
          <w:sz w:val="16"/>
        </w:rPr>
        <w:t xml:space="preserve"> and forestalling practices), </w:t>
      </w:r>
      <w:r w:rsidRPr="008A1253">
        <w:rPr>
          <w:rStyle w:val="StyleUnderline"/>
          <w:rFonts w:asciiTheme="minorHAnsi" w:hAnsiTheme="minorHAnsi"/>
        </w:rPr>
        <w:t>but is</w:t>
      </w:r>
      <w:r w:rsidRPr="008A1253">
        <w:rPr>
          <w:rFonts w:asciiTheme="minorHAnsi" w:hAnsiTheme="minorHAnsi"/>
          <w:sz w:val="16"/>
        </w:rPr>
        <w:t xml:space="preserve"> subsequently </w:t>
      </w:r>
      <w:proofErr w:type="spellStart"/>
      <w:r w:rsidRPr="008A1253">
        <w:rPr>
          <w:rStyle w:val="StyleUnderline"/>
          <w:rFonts w:asciiTheme="minorHAnsi" w:hAnsiTheme="minorHAnsi"/>
        </w:rPr>
        <w:t>theorised</w:t>
      </w:r>
      <w:proofErr w:type="spellEnd"/>
      <w:r w:rsidRPr="008A1253">
        <w:rPr>
          <w:rStyle w:val="Emphasis"/>
          <w:rFonts w:asciiTheme="minorHAnsi" w:hAnsiTheme="minorHAnsi"/>
        </w:rPr>
        <w:t xml:space="preserve"> as a case for promoting the freedom of trade as a public good in itself.</w:t>
      </w:r>
    </w:p>
    <w:p w:rsidR="00583297" w:rsidRPr="000D0D24" w:rsidRDefault="00583297" w:rsidP="00583297">
      <w:pPr>
        <w:pStyle w:val="Heading3"/>
      </w:pPr>
      <w:bookmarkStart w:id="0" w:name="_GoBack"/>
      <w:bookmarkEnd w:id="0"/>
      <w:r>
        <w:t>Cuomo</w:t>
      </w:r>
    </w:p>
    <w:p w:rsidR="00583297" w:rsidRPr="000D0D24" w:rsidRDefault="00583297" w:rsidP="00583297">
      <w:pPr>
        <w:rPr>
          <w:rFonts w:asciiTheme="minorHAnsi" w:hAnsiTheme="minorHAnsi"/>
          <w:sz w:val="14"/>
        </w:rPr>
      </w:pPr>
    </w:p>
    <w:p w:rsidR="00583297" w:rsidRPr="00B25C76" w:rsidRDefault="00583297" w:rsidP="00583297">
      <w:pPr>
        <w:pStyle w:val="Heading4"/>
      </w:pPr>
      <w:r>
        <w:t>Positive peace</w:t>
      </w:r>
    </w:p>
    <w:p w:rsidR="00583297" w:rsidRPr="00B25C76" w:rsidRDefault="00583297" w:rsidP="00583297">
      <w:r w:rsidRPr="00B25C76">
        <w:rPr>
          <w:b/>
        </w:rPr>
        <w:t>Cuomo</w:t>
      </w:r>
      <w:r>
        <w:rPr>
          <w:b/>
        </w:rPr>
        <w:t>,</w:t>
      </w:r>
      <w:r w:rsidRPr="00B25C76">
        <w:rPr>
          <w:b/>
        </w:rPr>
        <w:t xml:space="preserve"> 96</w:t>
      </w:r>
      <w:r w:rsidRPr="00B25C76">
        <w:t xml:space="preserve"> – PhD, University of Wisconsin-Madison, Department of Philosophy, University of Cincinnati (Chris, </w:t>
      </w:r>
      <w:proofErr w:type="spellStart"/>
      <w:r w:rsidRPr="00B25C76">
        <w:t>Hypatia</w:t>
      </w:r>
      <w:proofErr w:type="spellEnd"/>
      <w:r w:rsidRPr="00B25C76">
        <w:t xml:space="preserve"> Fall 1996. Vol. 11, Issue 3, </w:t>
      </w:r>
      <w:proofErr w:type="spellStart"/>
      <w:r w:rsidRPr="00B25C76">
        <w:t>pg</w:t>
      </w:r>
      <w:proofErr w:type="spellEnd"/>
      <w:r w:rsidRPr="00B25C76">
        <w:t xml:space="preserve"> 30)</w:t>
      </w:r>
    </w:p>
    <w:p w:rsidR="00583297" w:rsidRPr="008A1253" w:rsidRDefault="00583297" w:rsidP="00583297">
      <w:pPr>
        <w:rPr>
          <w:rFonts w:asciiTheme="minorHAnsi" w:hAnsiTheme="minorHAnsi"/>
          <w:color w:val="000000"/>
          <w:u w:val="single"/>
        </w:rPr>
      </w:pPr>
      <w:r w:rsidRPr="008A1253">
        <w:rPr>
          <w:rFonts w:asciiTheme="minorHAnsi" w:hAnsiTheme="minorHAnsi"/>
          <w:sz w:val="16"/>
        </w:rPr>
        <w:t xml:space="preserve">In "Gender and `Postmodern' War," Robin Schott introduces some of the ways in which </w:t>
      </w:r>
      <w:r w:rsidRPr="008A1253">
        <w:rPr>
          <w:rFonts w:asciiTheme="minorHAnsi" w:hAnsiTheme="minorHAnsi"/>
          <w:color w:val="000000"/>
          <w:u w:val="single"/>
        </w:rPr>
        <w:t>war is</w:t>
      </w:r>
      <w:r w:rsidRPr="008A1253">
        <w:rPr>
          <w:rFonts w:asciiTheme="minorHAnsi" w:hAnsiTheme="minorHAnsi"/>
          <w:sz w:val="16"/>
        </w:rPr>
        <w:t xml:space="preserve"> currently </w:t>
      </w:r>
      <w:r w:rsidRPr="008A1253">
        <w:rPr>
          <w:rFonts w:asciiTheme="minorHAnsi" w:hAnsiTheme="minorHAnsi"/>
          <w:color w:val="000000"/>
          <w:u w:val="single"/>
        </w:rPr>
        <w:t>best seen not as an event but as a presence</w:t>
      </w:r>
      <w:r w:rsidRPr="008A1253">
        <w:rPr>
          <w:rFonts w:asciiTheme="minorHAnsi" w:hAnsiTheme="minorHAnsi"/>
          <w:sz w:val="16"/>
        </w:rPr>
        <w:t xml:space="preserve"> (Schott 1995). Schott argues that postmodern understandings of persons, states, and politics, as well as the high-tech nature of much contemporary warfare and the preponderance of civil and nationalist wars, render an </w:t>
      </w:r>
      <w:proofErr w:type="spellStart"/>
      <w:r w:rsidRPr="008A1253">
        <w:rPr>
          <w:rFonts w:asciiTheme="minorHAnsi" w:hAnsiTheme="minorHAnsi"/>
          <w:sz w:val="16"/>
        </w:rPr>
        <w:t>eventbased</w:t>
      </w:r>
      <w:proofErr w:type="spellEnd"/>
      <w:r w:rsidRPr="008A1253">
        <w:rPr>
          <w:rFonts w:asciiTheme="minorHAnsi" w:hAnsiTheme="minorHAnsi"/>
          <w:sz w:val="16"/>
        </w:rPr>
        <w:t xml:space="preserve">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w:t>
      </w:r>
      <w:r w:rsidRPr="008A1253">
        <w:rPr>
          <w:rStyle w:val="StyleUnderline"/>
          <w:rFonts w:asciiTheme="minorHAnsi" w:hAnsiTheme="minorHAnsi"/>
        </w:rPr>
        <w:t>an event-based account of war</w:t>
      </w:r>
      <w:r w:rsidRPr="008A1253">
        <w:rPr>
          <w:rFonts w:asciiTheme="minorHAnsi" w:hAnsiTheme="minorHAnsi"/>
          <w:sz w:val="16"/>
        </w:rPr>
        <w:t xml:space="preserve"> are exclusive to contemporary postmodern or postcolonial circumstances.(1)    </w:t>
      </w:r>
      <w:r w:rsidRPr="008A1253">
        <w:rPr>
          <w:rFonts w:asciiTheme="minorHAnsi" w:hAnsiTheme="minorHAnsi"/>
          <w:color w:val="000000"/>
          <w:u w:val="single"/>
        </w:rPr>
        <w:t xml:space="preserve">Theory that does not investigate or even notice the </w:t>
      </w:r>
      <w:r w:rsidRPr="008A1253">
        <w:rPr>
          <w:rStyle w:val="Emphasis"/>
          <w:rFonts w:asciiTheme="minorHAnsi" w:hAnsiTheme="minorHAnsi"/>
        </w:rPr>
        <w:t>omnipresence of militarism</w:t>
      </w:r>
      <w:r w:rsidRPr="008A1253">
        <w:rPr>
          <w:rFonts w:asciiTheme="minorHAnsi" w:hAnsiTheme="minorHAnsi"/>
          <w:color w:val="000000"/>
          <w:u w:val="single"/>
        </w:rPr>
        <w:t xml:space="preserve"> cannot represent or address the depth and specificity of the everyday effects of militarism on women, on people living in occupied territories, on members of military institutions, and on the environment.</w:t>
      </w:r>
      <w:r w:rsidRPr="008A1253">
        <w:rPr>
          <w:rFonts w:asciiTheme="minorHAnsi" w:hAnsiTheme="minorHAnsi"/>
          <w:sz w:val="16"/>
        </w:rPr>
        <w:t xml:space="preserve"> These effects are relevant to feminists in a number of ways because </w:t>
      </w:r>
      <w:r w:rsidRPr="008A1253">
        <w:rPr>
          <w:rFonts w:asciiTheme="minorHAnsi" w:hAnsiTheme="minorHAnsi"/>
          <w:color w:val="000000"/>
          <w:u w:val="single"/>
        </w:rPr>
        <w:t>military practices</w:t>
      </w:r>
      <w:r w:rsidRPr="008A1253">
        <w:rPr>
          <w:rFonts w:asciiTheme="minorHAnsi" w:hAnsiTheme="minorHAnsi"/>
          <w:sz w:val="16"/>
        </w:rPr>
        <w:t xml:space="preserve"> and institutions help </w:t>
      </w:r>
      <w:r w:rsidRPr="008A1253">
        <w:rPr>
          <w:rFonts w:asciiTheme="minorHAnsi" w:hAnsiTheme="minorHAnsi"/>
          <w:color w:val="000000"/>
          <w:u w:val="single"/>
        </w:rPr>
        <w:t xml:space="preserve">construct gendered and national identity, and because they justify the destruction of natural nonhuman entities and communities </w:t>
      </w:r>
      <w:r w:rsidRPr="008A1253">
        <w:rPr>
          <w:rStyle w:val="Emphasis"/>
          <w:rFonts w:asciiTheme="minorHAnsi" w:hAnsiTheme="minorHAnsi"/>
        </w:rPr>
        <w:t>during peacetime.</w:t>
      </w:r>
      <w:r w:rsidRPr="008A1253">
        <w:rPr>
          <w:rFonts w:asciiTheme="minorHAnsi" w:hAnsiTheme="minorHAnsi"/>
          <w:sz w:val="16"/>
        </w:rPr>
        <w:t xml:space="preserve"> </w:t>
      </w:r>
      <w:proofErr w:type="gramStart"/>
      <w:r w:rsidRPr="008A1253">
        <w:rPr>
          <w:rFonts w:asciiTheme="minorHAnsi" w:hAnsiTheme="minorHAnsi"/>
          <w:color w:val="000000"/>
          <w:u w:val="single"/>
        </w:rPr>
        <w:t xml:space="preserve">Lack of attention to these aspects of the business of making or preventing military violence in an extremely technologized world </w:t>
      </w:r>
      <w:r w:rsidRPr="008A1253">
        <w:rPr>
          <w:rStyle w:val="Emphasis"/>
          <w:rFonts w:asciiTheme="minorHAnsi" w:hAnsiTheme="minorHAnsi"/>
        </w:rPr>
        <w:t>results in theory that cannot accommodate the connections</w:t>
      </w:r>
      <w:r w:rsidRPr="008A1253">
        <w:rPr>
          <w:rFonts w:asciiTheme="minorHAnsi" w:hAnsiTheme="minorHAnsi"/>
          <w:color w:val="000000"/>
          <w:u w:val="single"/>
        </w:rPr>
        <w:t xml:space="preserve"> among the constant presence of militarism, declared wars, and other closely related social phenomena, such as nationalistic glorifications of motherhood, media violence, and current ideological gravitations to military solutions for social problems.</w:t>
      </w:r>
      <w:proofErr w:type="gramEnd"/>
      <w:r w:rsidRPr="008A1253">
        <w:rPr>
          <w:rFonts w:asciiTheme="minorHAnsi" w:hAnsiTheme="minorHAnsi"/>
          <w:color w:val="000000"/>
          <w:u w:val="single"/>
        </w:rPr>
        <w:t xml:space="preserve"> Ethical approaches that do not attend to the ways in which warfare and military practices are woven into the very fabric of life in twenty-first century technological states </w:t>
      </w:r>
      <w:r w:rsidRPr="008A1253">
        <w:rPr>
          <w:rStyle w:val="Emphasis"/>
          <w:rFonts w:asciiTheme="minorHAnsi" w:hAnsiTheme="minorHAnsi"/>
        </w:rPr>
        <w:t>lead to crisis-based politics and analyses</w:t>
      </w:r>
      <w:r w:rsidRPr="008A1253">
        <w:rPr>
          <w:rFonts w:asciiTheme="minorHAnsi" w:hAnsiTheme="minorHAnsi"/>
          <w:sz w:val="16"/>
        </w:rPr>
        <w:t xml:space="preserve">. For any feminism that aims to resist oppression and create alternative social and political options, </w:t>
      </w:r>
      <w:r w:rsidRPr="008A1253">
        <w:rPr>
          <w:rFonts w:asciiTheme="minorHAnsi" w:hAnsiTheme="minorHAnsi"/>
          <w:color w:val="000000"/>
          <w:u w:val="single"/>
        </w:rPr>
        <w:t xml:space="preserve">crisis-based ethics and politics are problematic because they </w:t>
      </w:r>
      <w:r w:rsidRPr="008A1253">
        <w:rPr>
          <w:rStyle w:val="Emphasis"/>
          <w:rFonts w:asciiTheme="minorHAnsi" w:hAnsiTheme="minorHAnsi"/>
        </w:rPr>
        <w:t>distract attention</w:t>
      </w:r>
      <w:r w:rsidRPr="008A1253">
        <w:rPr>
          <w:rFonts w:asciiTheme="minorHAnsi" w:hAnsiTheme="minorHAnsi"/>
          <w:color w:val="000000"/>
          <w:u w:val="single"/>
        </w:rPr>
        <w:t xml:space="preserve"> from the need for sustained resistance to the enmeshed, omnipresent systems of domination and oppression that so often function as givens in most people's lives</w:t>
      </w:r>
      <w:r w:rsidRPr="008A1253">
        <w:rPr>
          <w:rFonts w:asciiTheme="minorHAnsi" w:hAnsiTheme="minorHAnsi"/>
          <w:sz w:val="16"/>
        </w:rPr>
        <w:t xml:space="preserve">. </w:t>
      </w:r>
      <w:r w:rsidRPr="008A1253">
        <w:rPr>
          <w:rFonts w:asciiTheme="minorHAnsi" w:hAnsiTheme="minorHAnsi"/>
          <w:color w:val="000000"/>
          <w:u w:val="single"/>
        </w:rPr>
        <w:t xml:space="preserve">Neglecting the omnipresence of militarism allows the </w:t>
      </w:r>
      <w:r w:rsidRPr="008A1253">
        <w:rPr>
          <w:rStyle w:val="Emphasis"/>
          <w:rFonts w:asciiTheme="minorHAnsi" w:hAnsiTheme="minorHAnsi"/>
        </w:rPr>
        <w:t>false belief</w:t>
      </w:r>
      <w:r w:rsidRPr="008A1253">
        <w:rPr>
          <w:rFonts w:asciiTheme="minorHAnsi" w:hAnsiTheme="minorHAnsi"/>
          <w:color w:val="000000"/>
          <w:u w:val="single"/>
        </w:rPr>
        <w:t xml:space="preserve"> that the </w:t>
      </w:r>
      <w:r w:rsidRPr="008A1253">
        <w:rPr>
          <w:rStyle w:val="Emphasis"/>
          <w:rFonts w:asciiTheme="minorHAnsi" w:hAnsiTheme="minorHAnsi"/>
        </w:rPr>
        <w:t>absence of declared armed conflicts is peace</w:t>
      </w:r>
      <w:r w:rsidRPr="008A1253">
        <w:rPr>
          <w:rFonts w:asciiTheme="minorHAnsi" w:hAnsiTheme="minorHAnsi"/>
          <w:color w:val="000000"/>
          <w:u w:val="single"/>
        </w:rPr>
        <w:t>, the polar opposite of war.</w:t>
      </w:r>
      <w:r w:rsidRPr="008A1253">
        <w:rPr>
          <w:rFonts w:asciiTheme="minorHAnsi" w:hAnsiTheme="minorHAnsi"/>
          <w:sz w:val="16"/>
        </w:rPr>
        <w:t xml:space="preserve"> It is particularly easy for those whose lives are shaped by the safety of privilege, and who do not regularly encounter the realities of militarism, to maintain this false belief. </w:t>
      </w:r>
      <w:r w:rsidRPr="008A1253">
        <w:rPr>
          <w:rFonts w:asciiTheme="minorHAnsi" w:hAnsiTheme="minorHAnsi"/>
          <w:color w:val="000000"/>
          <w:u w:val="single"/>
        </w:rPr>
        <w:t xml:space="preserve">The belief that militarism is an ethical, political concern only regarding armed conflict, </w:t>
      </w:r>
      <w:r w:rsidRPr="008A1253">
        <w:rPr>
          <w:rStyle w:val="Emphasis"/>
          <w:rFonts w:asciiTheme="minorHAnsi" w:hAnsiTheme="minorHAnsi"/>
        </w:rPr>
        <w:t>creates forms of resistance</w:t>
      </w:r>
      <w:r w:rsidRPr="008A1253">
        <w:rPr>
          <w:rFonts w:asciiTheme="minorHAnsi" w:hAnsiTheme="minorHAnsi"/>
          <w:color w:val="000000"/>
          <w:u w:val="single"/>
        </w:rPr>
        <w:t xml:space="preserve"> to militarism that are merely e</w:t>
      </w:r>
      <w:r w:rsidRPr="008A1253">
        <w:rPr>
          <w:rStyle w:val="Emphasis"/>
          <w:rFonts w:asciiTheme="minorHAnsi" w:hAnsiTheme="minorHAnsi"/>
        </w:rPr>
        <w:t>xercises in crisis control.</w:t>
      </w:r>
      <w:r w:rsidRPr="008A1253">
        <w:rPr>
          <w:rFonts w:asciiTheme="minorHAnsi" w:hAnsiTheme="minorHAnsi"/>
          <w:color w:val="000000"/>
          <w:u w:val="single"/>
        </w:rPr>
        <w:t xml:space="preserve">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w:t>
      </w:r>
      <w:r w:rsidRPr="008A1253">
        <w:rPr>
          <w:rStyle w:val="Emphasis"/>
          <w:rFonts w:asciiTheme="minorHAnsi" w:hAnsiTheme="minorHAnsi"/>
        </w:rPr>
        <w:t xml:space="preserve">keep resisters complacent about and </w:t>
      </w:r>
      <w:proofErr w:type="spellStart"/>
      <w:r w:rsidRPr="008A1253">
        <w:rPr>
          <w:rStyle w:val="Emphasis"/>
          <w:rFonts w:asciiTheme="minorHAnsi" w:hAnsiTheme="minorHAnsi"/>
        </w:rPr>
        <w:t>complicitous</w:t>
      </w:r>
      <w:proofErr w:type="spellEnd"/>
      <w:r w:rsidRPr="008A1253">
        <w:rPr>
          <w:rStyle w:val="Emphasis"/>
          <w:rFonts w:asciiTheme="minorHAnsi" w:hAnsiTheme="minorHAnsi"/>
        </w:rPr>
        <w:t xml:space="preserve"> in the general presence of global militarism</w:t>
      </w:r>
      <w:r w:rsidRPr="008A1253">
        <w:rPr>
          <w:rFonts w:asciiTheme="minorHAnsi" w:hAnsiTheme="minorHAnsi"/>
          <w:color w:val="000000"/>
          <w:u w:val="single"/>
        </w:rPr>
        <w:t xml:space="preserve">. </w:t>
      </w:r>
      <w:proofErr w:type="gramStart"/>
      <w:r w:rsidRPr="008A1253">
        <w:rPr>
          <w:rFonts w:asciiTheme="minorHAnsi" w:hAnsiTheme="minorHAnsi"/>
          <w:color w:val="000000"/>
          <w:u w:val="singl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roofErr w:type="gramEnd"/>
      <w:r w:rsidRPr="008A1253">
        <w:rPr>
          <w:rFonts w:asciiTheme="minorHAnsi" w:hAnsiTheme="minorHAnsi"/>
          <w:color w:val="000000"/>
          <w:u w:val="single"/>
        </w:rPr>
        <w:t xml:space="preserve">  </w:t>
      </w:r>
      <w:r w:rsidRPr="008A1253">
        <w:rPr>
          <w:rFonts w:asciiTheme="minorHAnsi" w:hAnsiTheme="minorHAnsi"/>
          <w:sz w:val="16"/>
        </w:rPr>
        <w:t xml:space="preserve">  </w:t>
      </w:r>
      <w:r w:rsidRPr="008A1253">
        <w:rPr>
          <w:rStyle w:val="Emphasis"/>
          <w:rFonts w:asciiTheme="minorHAnsi" w:hAnsiTheme="minorHAnsi"/>
        </w:rPr>
        <w:t xml:space="preserve">Moving away from crisis-driven politics and ontologies </w:t>
      </w:r>
      <w:r w:rsidRPr="008A1253">
        <w:rPr>
          <w:rFonts w:asciiTheme="minorHAnsi" w:hAnsiTheme="minorHAnsi"/>
          <w:color w:val="000000"/>
          <w:u w:val="single"/>
        </w:rPr>
        <w:t xml:space="preserve">concerning war and military violence also </w:t>
      </w:r>
      <w:r w:rsidRPr="008A1253">
        <w:rPr>
          <w:rStyle w:val="Emphasis"/>
          <w:rFonts w:asciiTheme="minorHAnsi" w:hAnsiTheme="minorHAnsi"/>
        </w:rPr>
        <w:t>enables consideration</w:t>
      </w:r>
      <w:r w:rsidRPr="008A1253">
        <w:rPr>
          <w:rFonts w:asciiTheme="minorHAnsi" w:hAnsiTheme="minorHAnsi"/>
          <w:color w:val="000000"/>
          <w:u w:val="single"/>
        </w:rPr>
        <w:t xml:space="preserve"> of relationships among seemingly disparate phenomena, and therefore can shape more nuanced theoretical and practical forms of resistance</w:t>
      </w:r>
      <w:r w:rsidRPr="008A1253">
        <w:rPr>
          <w:rFonts w:asciiTheme="minorHAnsi" w:hAnsiTheme="minorHAnsi"/>
          <w:sz w:val="16"/>
        </w:rPr>
        <w:t>. For example, i</w:t>
      </w:r>
      <w:r w:rsidRPr="008A1253">
        <w:rPr>
          <w:rFonts w:asciiTheme="minorHAnsi" w:hAnsiTheme="minorHAnsi"/>
          <w:color w:val="000000"/>
          <w:u w:val="singl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8A1253">
        <w:rPr>
          <w:rFonts w:asciiTheme="minorHAnsi" w:hAnsiTheme="minorHAnsi"/>
          <w:sz w:val="16"/>
        </w:rPr>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8A1253">
        <w:rPr>
          <w:rFonts w:asciiTheme="minorHAnsi" w:hAnsiTheme="minorHAnsi"/>
          <w:color w:val="000000"/>
          <w:u w:val="single"/>
        </w:rPr>
        <w:t xml:space="preserve">the dramatic nature of declared, large-scale conflicts should not obfuscate the ways in which military violence pervades most societies in increasingly technologically sophisticated ways and the significance of military institutions and everyday </w:t>
      </w:r>
      <w:r w:rsidRPr="008A1253">
        <w:rPr>
          <w:rStyle w:val="Emphasis"/>
          <w:rFonts w:asciiTheme="minorHAnsi" w:hAnsiTheme="minorHAnsi"/>
        </w:rPr>
        <w:t>practices in shaping reality.</w:t>
      </w:r>
      <w:r w:rsidRPr="008A1253">
        <w:rPr>
          <w:rFonts w:asciiTheme="minorHAnsi" w:hAnsiTheme="minorHAnsi"/>
          <w:sz w:val="16"/>
        </w:rPr>
        <w:t xml:space="preserve"> </w:t>
      </w:r>
      <w:proofErr w:type="gramStart"/>
      <w:r w:rsidRPr="008A1253">
        <w:rPr>
          <w:rFonts w:asciiTheme="minorHAnsi" w:hAnsiTheme="minorHAnsi"/>
          <w:color w:val="000000"/>
          <w:u w:val="single"/>
        </w:rPr>
        <w:t>Philosophical discussions that focus only on the ethics of declaring and fighting wars miss these connections, and also miss the ways in which even declared military conflicts are often experienced as omnipresent horrors.</w:t>
      </w:r>
      <w:proofErr w:type="gramEnd"/>
      <w:r w:rsidRPr="008A1253">
        <w:rPr>
          <w:rFonts w:asciiTheme="minorHAnsi" w:hAnsiTheme="minorHAnsi"/>
          <w:color w:val="000000"/>
          <w:u w:val="single"/>
        </w:rPr>
        <w:t xml:space="preserve"> These approaches also leave unquestioned tendencies to </w:t>
      </w:r>
      <w:r w:rsidRPr="008A1253">
        <w:rPr>
          <w:rStyle w:val="Emphasis"/>
          <w:rFonts w:asciiTheme="minorHAnsi" w:hAnsiTheme="minorHAnsi"/>
        </w:rPr>
        <w:t xml:space="preserve">suspend or distort moral </w:t>
      </w:r>
      <w:proofErr w:type="spellStart"/>
      <w:r w:rsidRPr="008A1253">
        <w:rPr>
          <w:rStyle w:val="Emphasis"/>
          <w:rFonts w:asciiTheme="minorHAnsi" w:hAnsiTheme="minorHAnsi"/>
        </w:rPr>
        <w:t>judgement</w:t>
      </w:r>
      <w:proofErr w:type="spellEnd"/>
      <w:r w:rsidRPr="008A1253">
        <w:rPr>
          <w:rFonts w:asciiTheme="minorHAnsi" w:hAnsiTheme="minorHAnsi"/>
          <w:color w:val="000000"/>
          <w:u w:val="single"/>
        </w:rPr>
        <w:t xml:space="preserve"> in the face of what appears to be the inevitability of war and militarism.</w:t>
      </w:r>
    </w:p>
    <w:p w:rsidR="00583297" w:rsidRPr="00F14B62" w:rsidRDefault="00583297" w:rsidP="00583297"/>
    <w:p w:rsidR="00583297" w:rsidRDefault="00583297" w:rsidP="00583297">
      <w:pPr>
        <w:pStyle w:val="Heading1"/>
      </w:pPr>
      <w:r>
        <w:t>Case</w:t>
      </w:r>
    </w:p>
    <w:p w:rsidR="00583297" w:rsidRDefault="00583297" w:rsidP="00583297">
      <w:pPr>
        <w:pStyle w:val="Heading2"/>
      </w:pPr>
      <w:r>
        <w:t>General</w:t>
      </w:r>
    </w:p>
    <w:p w:rsidR="00583297" w:rsidRPr="00583297" w:rsidRDefault="00583297" w:rsidP="00583297">
      <w:pPr>
        <w:pStyle w:val="Heading3"/>
      </w:pPr>
      <w:r>
        <w:t>Status quo solves</w:t>
      </w:r>
    </w:p>
    <w:p w:rsidR="00583297" w:rsidRPr="009C4028" w:rsidRDefault="00583297" w:rsidP="00583297">
      <w:pPr>
        <w:pStyle w:val="Heading4"/>
      </w:pPr>
      <w:r>
        <w:t>Status quo solves shipping emissions</w:t>
      </w:r>
    </w:p>
    <w:p w:rsidR="00583297" w:rsidRDefault="00583297" w:rsidP="00583297">
      <w:r w:rsidRPr="00787AC4">
        <w:rPr>
          <w:rStyle w:val="Style13ptBold"/>
        </w:rPr>
        <w:t>ICS 2013</w:t>
      </w:r>
      <w:r>
        <w:t xml:space="preserve"> –International Chamber of Shipping (“Shipping, World Trade and the Reduction of CO2 Emissions, </w:t>
      </w:r>
      <w:r w:rsidRPr="009C4028">
        <w:t>United Nations Framework Convention on Climate Change International Maritime Organization</w:t>
      </w:r>
      <w:r>
        <w:t>,” ICS, PDF, pp. 2//DM)</w:t>
      </w:r>
    </w:p>
    <w:p w:rsidR="00583297" w:rsidRPr="009C4028" w:rsidRDefault="00583297" w:rsidP="00583297"/>
    <w:p w:rsidR="00583297" w:rsidRDefault="00583297" w:rsidP="00583297">
      <w:r w:rsidRPr="00604FA0">
        <w:rPr>
          <w:rStyle w:val="Emphasis"/>
        </w:rPr>
        <w:t>The international shipping industry</w:t>
      </w:r>
      <w:r w:rsidRPr="00604FA0">
        <w:rPr>
          <w:rStyle w:val="Emphasis"/>
          <w:b/>
          <w:sz w:val="12"/>
          <w:u w:val="none"/>
        </w:rPr>
        <w:t>¶</w:t>
      </w:r>
      <w:r w:rsidRPr="00604FA0">
        <w:rPr>
          <w:rStyle w:val="Emphasis"/>
        </w:rPr>
        <w:t xml:space="preserve"> is firmly on track to reduce its CO2 emissions by 20% by 2020</w:t>
      </w:r>
      <w:proofErr w:type="gramStart"/>
      <w:r w:rsidRPr="00604FA0">
        <w:rPr>
          <w:rStyle w:val="StyleUnderline"/>
        </w:rPr>
        <w:t>,</w:t>
      </w:r>
      <w:r w:rsidRPr="00604FA0">
        <w:rPr>
          <w:rStyle w:val="StyleUnderline"/>
          <w:sz w:val="12"/>
          <w:u w:val="none"/>
        </w:rPr>
        <w:t>¶</w:t>
      </w:r>
      <w:proofErr w:type="gramEnd"/>
      <w:r w:rsidRPr="00604FA0">
        <w:rPr>
          <w:rStyle w:val="StyleUnderline"/>
        </w:rPr>
        <w:t xml:space="preserve"> with significant further reductions thereafter.</w:t>
      </w:r>
      <w:r w:rsidRPr="00604FA0">
        <w:rPr>
          <w:sz w:val="10"/>
        </w:rPr>
        <w:t xml:space="preserve"> However, the next United Nations Climate Change</w:t>
      </w:r>
      <w:r w:rsidRPr="00604FA0">
        <w:rPr>
          <w:sz w:val="12"/>
        </w:rPr>
        <w:t>¶</w:t>
      </w:r>
      <w:r w:rsidRPr="00604FA0">
        <w:rPr>
          <w:sz w:val="10"/>
        </w:rPr>
        <w:t xml:space="preserve"> Conference (COP 19) needs to support the International Maritime Organization (IMO) as it continues its vital work to help deliver meaningful CO2 emission reductions by international shipping, including the development of ‘Market Based Measures’.</w:t>
      </w:r>
      <w:r w:rsidRPr="005C6AF6">
        <w:t xml:space="preserve"> </w:t>
      </w:r>
    </w:p>
    <w:p w:rsidR="00583297" w:rsidRDefault="00583297" w:rsidP="00583297"/>
    <w:p w:rsidR="00583297" w:rsidRDefault="00583297" w:rsidP="00583297">
      <w:pPr>
        <w:pStyle w:val="Heading3"/>
      </w:pPr>
      <w:r>
        <w:t>Environment turn</w:t>
      </w:r>
    </w:p>
    <w:p w:rsidR="00583297" w:rsidRDefault="00583297" w:rsidP="00583297">
      <w:pPr>
        <w:pStyle w:val="Heading4"/>
      </w:pPr>
      <w:r>
        <w:t xml:space="preserve">Nuclear shipping fail and hurts the environment—radiation and </w:t>
      </w:r>
      <w:proofErr w:type="spellStart"/>
      <w:r>
        <w:t>sheilding</w:t>
      </w:r>
      <w:proofErr w:type="spellEnd"/>
    </w:p>
    <w:p w:rsidR="00583297" w:rsidRDefault="00583297" w:rsidP="00583297">
      <w:r w:rsidRPr="00AF5651">
        <w:rPr>
          <w:rStyle w:val="Style13ptBold"/>
        </w:rPr>
        <w:t>Anthony, 7/25</w:t>
      </w:r>
      <w:r>
        <w:t>—(Sebastian, July 25</w:t>
      </w:r>
      <w:r w:rsidRPr="00AF5651">
        <w:rPr>
          <w:vertAlign w:val="superscript"/>
        </w:rPr>
        <w:t>th</w:t>
      </w:r>
      <w:r>
        <w:t>, 2014, “Where are all the clean, infinite-range nuclear-powered cars, ships, and planes</w:t>
      </w:r>
      <w:proofErr w:type="gramStart"/>
      <w:r>
        <w:t>?,</w:t>
      </w:r>
      <w:proofErr w:type="gramEnd"/>
      <w:r>
        <w:t xml:space="preserve"> http://www.extremetech.com/extreme/186907-where-are-all-the-clean-infinite-range-nuclear-powered-cars-ships-and-planes)//IK</w:t>
      </w:r>
    </w:p>
    <w:p w:rsidR="00583297" w:rsidRPr="00AF5651" w:rsidRDefault="00583297" w:rsidP="00583297">
      <w:pPr>
        <w:rPr>
          <w:sz w:val="16"/>
        </w:rPr>
      </w:pPr>
      <w:r w:rsidRPr="00AF5651">
        <w:rPr>
          <w:rStyle w:val="StyleUnderline"/>
        </w:rPr>
        <w:t>The disadvantages of nuclear powered vehicles</w:t>
      </w:r>
      <w:r w:rsidRPr="00AF5651">
        <w:rPr>
          <w:sz w:val="16"/>
        </w:rPr>
        <w:t xml:space="preserve"> With all that said, </w:t>
      </w:r>
      <w:r w:rsidRPr="00AF5651">
        <w:rPr>
          <w:rStyle w:val="StyleUnderline"/>
        </w:rPr>
        <w:t xml:space="preserve">nuclear power isn’t without its issues </w:t>
      </w:r>
      <w:r w:rsidRPr="00AF5651">
        <w:rPr>
          <w:sz w:val="16"/>
        </w:rPr>
        <w:t xml:space="preserve">— and yes, there have been attempts in the past to make nuclear cars, planes, and ships. </w:t>
      </w:r>
      <w:r w:rsidRPr="00AF5651">
        <w:rPr>
          <w:rStyle w:val="StyleUnderline"/>
        </w:rPr>
        <w:t>The main problem</w:t>
      </w:r>
      <w:r w:rsidRPr="00AF5651">
        <w:rPr>
          <w:sz w:val="16"/>
        </w:rPr>
        <w:t>, as you can probably guess</w:t>
      </w:r>
      <w:r w:rsidRPr="00AF5651">
        <w:rPr>
          <w:rStyle w:val="StyleUnderline"/>
        </w:rPr>
        <w:t>, is radiation</w:t>
      </w:r>
      <w:r w:rsidRPr="00AF5651">
        <w:rPr>
          <w:sz w:val="16"/>
        </w:rPr>
        <w:t xml:space="preserve">. </w:t>
      </w:r>
      <w:r w:rsidRPr="00AF5651">
        <w:rPr>
          <w:rStyle w:val="StyleUnderline"/>
        </w:rPr>
        <w:t>Poor shielding could result in a messy end for the occupants of a nuclear vehicle, and any kind of containment leak would be bad news for the environment.</w:t>
      </w:r>
      <w:r w:rsidRPr="00AF5651">
        <w:rPr>
          <w:sz w:val="16"/>
        </w:rPr>
        <w:t xml:space="preserve"> Generally, </w:t>
      </w:r>
      <w:r w:rsidRPr="00AF5651">
        <w:rPr>
          <w:rStyle w:val="StyleUnderline"/>
        </w:rPr>
        <w:t>the problem with good-enough shielding is that it tends to be heavy — and planes and cars aren’t fans of extra weight</w:t>
      </w:r>
      <w:r w:rsidRPr="00AF5651">
        <w:rPr>
          <w:sz w:val="16"/>
        </w:rPr>
        <w:t>.</w:t>
      </w:r>
      <w:r w:rsidRPr="00AF5651">
        <w:rPr>
          <w:rStyle w:val="StyleUnderline"/>
        </w:rPr>
        <w:t xml:space="preserve"> </w:t>
      </w:r>
      <w:r w:rsidRPr="00AF5651">
        <w:rPr>
          <w:sz w:val="16"/>
        </w:rPr>
        <w:t xml:space="preserve">Both the US and Soviet Union researched the possibility of nuclear-powered bombers during the Cold War. These bombers would carry thermonuclear bombs and would act as the perfect omnipresent nuclear deterrents. </w:t>
      </w:r>
      <w:r w:rsidRPr="00AF5651">
        <w:rPr>
          <w:rStyle w:val="StyleUnderline"/>
        </w:rPr>
        <w:t xml:space="preserve">The heavy shielding requirement, plus the development of thermonuclear ICBMs and nuclear submarines in the 1960s, meant that these nuclear aircraft never took off. The NS Savannah, one of the few nuclear-powered passenger ships ever built (by the US of course), dumped low-level radioactive waste into the ocean — </w:t>
      </w:r>
      <w:r w:rsidRPr="00AF5651">
        <w:rPr>
          <w:sz w:val="16"/>
        </w:rPr>
        <w:t>the waste didn’t actually harm the environment very much, but as you’ve probably realized by now, the media and public (and thus politicians) are hyper-sensitive when it comes to any kind of nuclear-related mishap.</w:t>
      </w:r>
    </w:p>
    <w:p w:rsidR="00583297" w:rsidRPr="005C6AF6" w:rsidRDefault="00583297" w:rsidP="00583297"/>
    <w:p w:rsidR="00583297" w:rsidRPr="00CA4A25" w:rsidRDefault="00583297" w:rsidP="00CA4A25"/>
    <w:sectPr w:rsidR="00583297" w:rsidRPr="00CA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ish Dayal"/>
    <w:docVar w:name="RibbonPointer" w:val="148602888"/>
    <w:docVar w:name="VerbatimVersion" w:val="5.0"/>
  </w:docVars>
  <w:rsids>
    <w:rsidRoot w:val="00CA4A25"/>
    <w:rsid w:val="000139A3"/>
    <w:rsid w:val="00100833"/>
    <w:rsid w:val="00104529"/>
    <w:rsid w:val="00177B7D"/>
    <w:rsid w:val="0018322D"/>
    <w:rsid w:val="001B5776"/>
    <w:rsid w:val="00251FC7"/>
    <w:rsid w:val="002855A7"/>
    <w:rsid w:val="002E690B"/>
    <w:rsid w:val="00315690"/>
    <w:rsid w:val="00325646"/>
    <w:rsid w:val="00327427"/>
    <w:rsid w:val="003902BA"/>
    <w:rsid w:val="003A09E2"/>
    <w:rsid w:val="00407037"/>
    <w:rsid w:val="004605D6"/>
    <w:rsid w:val="004769A9"/>
    <w:rsid w:val="004A3623"/>
    <w:rsid w:val="004C60E8"/>
    <w:rsid w:val="004E3579"/>
    <w:rsid w:val="004F39E0"/>
    <w:rsid w:val="00537BD5"/>
    <w:rsid w:val="00583297"/>
    <w:rsid w:val="006065BD"/>
    <w:rsid w:val="00665003"/>
    <w:rsid w:val="006F51A7"/>
    <w:rsid w:val="007F5B66"/>
    <w:rsid w:val="00823A1C"/>
    <w:rsid w:val="00845B9D"/>
    <w:rsid w:val="00857797"/>
    <w:rsid w:val="00860984"/>
    <w:rsid w:val="00895C7B"/>
    <w:rsid w:val="008B3ECB"/>
    <w:rsid w:val="008C1B2E"/>
    <w:rsid w:val="0091627E"/>
    <w:rsid w:val="009E1922"/>
    <w:rsid w:val="00A93661"/>
    <w:rsid w:val="00A95652"/>
    <w:rsid w:val="00B25F8A"/>
    <w:rsid w:val="00B33C6D"/>
    <w:rsid w:val="00B4508F"/>
    <w:rsid w:val="00B718C1"/>
    <w:rsid w:val="00B8057C"/>
    <w:rsid w:val="00BF593B"/>
    <w:rsid w:val="00C4723E"/>
    <w:rsid w:val="00C83417"/>
    <w:rsid w:val="00CA4A25"/>
    <w:rsid w:val="00CD736E"/>
    <w:rsid w:val="00CE161E"/>
    <w:rsid w:val="00CF59A8"/>
    <w:rsid w:val="00D325A9"/>
    <w:rsid w:val="00D36A8A"/>
    <w:rsid w:val="00D71170"/>
    <w:rsid w:val="00DA6538"/>
    <w:rsid w:val="00E270C0"/>
    <w:rsid w:val="00ED30CF"/>
    <w:rsid w:val="00F176EF"/>
    <w:rsid w:val="00F82175"/>
    <w:rsid w:val="00FE39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A4A25"/>
    <w:pPr>
      <w:spacing w:line="240" w:lineRule="auto"/>
    </w:pPr>
    <w:rPr>
      <w:rFonts w:ascii="Georgia" w:hAnsi="Georgia"/>
    </w:rPr>
  </w:style>
  <w:style w:type="paragraph" w:styleId="Heading1">
    <w:name w:val="heading 1"/>
    <w:aliases w:val="Pocket"/>
    <w:basedOn w:val="Normal"/>
    <w:next w:val="Normal"/>
    <w:link w:val="Heading1Char"/>
    <w:autoRedefine/>
    <w:qFormat/>
    <w:rsid w:val="00CA4A2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4A2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4A2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A4A25"/>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CA4A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A25"/>
  </w:style>
  <w:style w:type="character" w:customStyle="1" w:styleId="Heading1Char">
    <w:name w:val="Heading 1 Char"/>
    <w:aliases w:val="Pocket Char"/>
    <w:basedOn w:val="DefaultParagraphFont"/>
    <w:link w:val="Heading1"/>
    <w:rsid w:val="00CA4A2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4A2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A4A2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A4A25"/>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CA4A25"/>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CA4A25"/>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Heading 3 Char1 Char Char Char,Intense Emphasis11"/>
    <w:basedOn w:val="DefaultParagraphFont"/>
    <w:uiPriority w:val="6"/>
    <w:qFormat/>
    <w:rsid w:val="00CA4A25"/>
    <w:rPr>
      <w:b w:val="0"/>
      <w:sz w:val="22"/>
      <w:u w:val="single"/>
    </w:rPr>
  </w:style>
  <w:style w:type="character" w:styleId="Hyperlink">
    <w:name w:val="Hyperlink"/>
    <w:basedOn w:val="DefaultParagraphFont"/>
    <w:uiPriority w:val="99"/>
    <w:unhideWhenUsed/>
    <w:rsid w:val="00CA4A25"/>
    <w:rPr>
      <w:color w:val="auto"/>
      <w:u w:val="none"/>
    </w:rPr>
  </w:style>
  <w:style w:type="character" w:styleId="FollowedHyperlink">
    <w:name w:val="FollowedHyperlink"/>
    <w:basedOn w:val="DefaultParagraphFont"/>
    <w:uiPriority w:val="99"/>
    <w:semiHidden/>
    <w:unhideWhenUsed/>
    <w:rsid w:val="00CA4A25"/>
    <w:rPr>
      <w:color w:val="auto"/>
      <w:u w:val="none"/>
    </w:rPr>
  </w:style>
  <w:style w:type="paragraph" w:customStyle="1" w:styleId="Analytics">
    <w:name w:val="Analytics"/>
    <w:basedOn w:val="Heading4"/>
    <w:uiPriority w:val="4"/>
    <w:qFormat/>
    <w:rsid w:val="00CA4A25"/>
    <w:rPr>
      <w:sz w:val="26"/>
      <w:szCs w:val="26"/>
    </w:rPr>
  </w:style>
  <w:style w:type="paragraph" w:customStyle="1" w:styleId="textbold">
    <w:name w:val="text bold"/>
    <w:basedOn w:val="Normal"/>
    <w:link w:val="Emphasis"/>
    <w:uiPriority w:val="7"/>
    <w:qFormat/>
    <w:rsid w:val="00583297"/>
    <w:pPr>
      <w:ind w:left="720"/>
      <w:jc w:val="both"/>
    </w:pPr>
    <w:rPr>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A4A25"/>
    <w:pPr>
      <w:spacing w:line="240" w:lineRule="auto"/>
    </w:pPr>
    <w:rPr>
      <w:rFonts w:ascii="Georgia" w:hAnsi="Georgia"/>
    </w:rPr>
  </w:style>
  <w:style w:type="paragraph" w:styleId="Heading1">
    <w:name w:val="heading 1"/>
    <w:aliases w:val="Pocket"/>
    <w:basedOn w:val="Normal"/>
    <w:next w:val="Normal"/>
    <w:link w:val="Heading1Char"/>
    <w:autoRedefine/>
    <w:qFormat/>
    <w:rsid w:val="00CA4A2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4A2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4A2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A4A25"/>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CA4A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A25"/>
  </w:style>
  <w:style w:type="character" w:customStyle="1" w:styleId="Heading1Char">
    <w:name w:val="Heading 1 Char"/>
    <w:aliases w:val="Pocket Char"/>
    <w:basedOn w:val="DefaultParagraphFont"/>
    <w:link w:val="Heading1"/>
    <w:rsid w:val="00CA4A2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4A2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A4A2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A4A25"/>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CA4A25"/>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CA4A25"/>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Heading 3 Char1 Char Char Char,Intense Emphasis11"/>
    <w:basedOn w:val="DefaultParagraphFont"/>
    <w:uiPriority w:val="6"/>
    <w:qFormat/>
    <w:rsid w:val="00CA4A25"/>
    <w:rPr>
      <w:b w:val="0"/>
      <w:sz w:val="22"/>
      <w:u w:val="single"/>
    </w:rPr>
  </w:style>
  <w:style w:type="character" w:styleId="Hyperlink">
    <w:name w:val="Hyperlink"/>
    <w:basedOn w:val="DefaultParagraphFont"/>
    <w:uiPriority w:val="99"/>
    <w:unhideWhenUsed/>
    <w:rsid w:val="00CA4A25"/>
    <w:rPr>
      <w:color w:val="auto"/>
      <w:u w:val="none"/>
    </w:rPr>
  </w:style>
  <w:style w:type="character" w:styleId="FollowedHyperlink">
    <w:name w:val="FollowedHyperlink"/>
    <w:basedOn w:val="DefaultParagraphFont"/>
    <w:uiPriority w:val="99"/>
    <w:semiHidden/>
    <w:unhideWhenUsed/>
    <w:rsid w:val="00CA4A25"/>
    <w:rPr>
      <w:color w:val="auto"/>
      <w:u w:val="none"/>
    </w:rPr>
  </w:style>
  <w:style w:type="paragraph" w:customStyle="1" w:styleId="Analytics">
    <w:name w:val="Analytics"/>
    <w:basedOn w:val="Heading4"/>
    <w:uiPriority w:val="4"/>
    <w:qFormat/>
    <w:rsid w:val="00CA4A25"/>
    <w:rPr>
      <w:sz w:val="26"/>
      <w:szCs w:val="26"/>
    </w:rPr>
  </w:style>
  <w:style w:type="paragraph" w:customStyle="1" w:styleId="textbold">
    <w:name w:val="text bold"/>
    <w:basedOn w:val="Normal"/>
    <w:link w:val="Emphasis"/>
    <w:uiPriority w:val="7"/>
    <w:qFormat/>
    <w:rsid w:val="00583297"/>
    <w:pP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geog.cam.ac.uk/people/nally/nally201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atlantic.com/magazine/archive/1993/12/how-the-world-works/585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3</Pages>
  <Words>4457</Words>
  <Characters>25407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keywords>5.0</cp:keywords>
  <cp:lastModifiedBy>Student</cp:lastModifiedBy>
  <cp:revision>5</cp:revision>
  <dcterms:created xsi:type="dcterms:W3CDTF">2014-08-01T05:07:00Z</dcterms:created>
  <dcterms:modified xsi:type="dcterms:W3CDTF">2014-08-01T05:14:00Z</dcterms:modified>
</cp:coreProperties>
</file>