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F60A2" w:rsidRPr="00DE4849" w:rsidRDefault="004F60A2" w:rsidP="004F60A2"/>
    <w:p w:rsidR="004F60A2" w:rsidRPr="004F60A2" w:rsidRDefault="004F60A2" w:rsidP="004F60A2">
      <w:pPr>
        <w:pStyle w:val="Heading1"/>
        <w:rPr>
          <w:rFonts w:cs="Arial"/>
        </w:rPr>
      </w:pPr>
      <w:r w:rsidRPr="004F60A2">
        <w:rPr>
          <w:rFonts w:cs="Arial"/>
        </w:rPr>
        <w:lastRenderedPageBreak/>
        <w:t>Stuff</w:t>
      </w:r>
    </w:p>
    <w:p w:rsidR="004F60A2" w:rsidRPr="004F60A2" w:rsidRDefault="004F60A2" w:rsidP="004F60A2">
      <w:pPr>
        <w:pStyle w:val="Heading2"/>
        <w:rPr>
          <w:rFonts w:cs="Arial"/>
        </w:rPr>
      </w:pPr>
      <w:r w:rsidRPr="004F60A2">
        <w:rPr>
          <w:rFonts w:cs="Arial"/>
        </w:rPr>
        <w:lastRenderedPageBreak/>
        <w:t>Politics cards</w:t>
      </w:r>
    </w:p>
    <w:p w:rsidR="004F60A2" w:rsidRPr="004F60A2" w:rsidRDefault="004F60A2" w:rsidP="004F60A2">
      <w:pPr>
        <w:pStyle w:val="Heading4"/>
      </w:pPr>
      <w:r w:rsidRPr="004F60A2">
        <w:t xml:space="preserve">Ocean regulations are unpopular – </w:t>
      </w:r>
    </w:p>
    <w:p w:rsidR="004F60A2" w:rsidRPr="004F60A2" w:rsidRDefault="004F60A2" w:rsidP="004F60A2">
      <w:pPr>
        <w:rPr>
          <w:rStyle w:val="Style13ptBold"/>
        </w:rPr>
      </w:pPr>
      <w:r w:rsidRPr="004F60A2">
        <w:rPr>
          <w:rStyle w:val="Style13ptBold"/>
        </w:rPr>
        <w:t xml:space="preserve">Hastings 12 </w:t>
      </w:r>
      <w:r w:rsidRPr="004F60A2">
        <w:rPr>
          <w:rStyle w:val="Style13ptBold"/>
          <w:b w:val="0"/>
          <w:sz w:val="16"/>
        </w:rPr>
        <w:t>(</w:t>
      </w:r>
      <w:r w:rsidRPr="004F60A2">
        <w:rPr>
          <w:rStyle w:val="Style13ptBold"/>
          <w:b w:val="0"/>
          <w:sz w:val="16"/>
          <w:szCs w:val="16"/>
        </w:rPr>
        <w:t>Richard Hastings –</w:t>
      </w:r>
      <w:r w:rsidRPr="004F60A2">
        <w:rPr>
          <w:rStyle w:val="Style13ptBold"/>
          <w:sz w:val="16"/>
          <w:szCs w:val="16"/>
        </w:rPr>
        <w:t xml:space="preserve"> </w:t>
      </w:r>
      <w:r w:rsidRPr="004F60A2">
        <w:rPr>
          <w:color w:val="333333"/>
          <w:sz w:val="16"/>
          <w:szCs w:val="16"/>
        </w:rPr>
        <w:t>represents Washington's 4th congressional district in the US House of Representatives) [Obama's national ocean policy threatens jobs and economic activities onshore and off] (</w:t>
      </w:r>
      <w:hyperlink r:id="rId5" w:history="1">
        <w:r w:rsidRPr="004F60A2">
          <w:rPr>
            <w:rStyle w:val="Hyperlink"/>
            <w:sz w:val="16"/>
            <w:szCs w:val="16"/>
          </w:rPr>
          <w:t>http://www.foxnews.com/opinion/2012/06/19/obama-national-ocean-policy-threatens-jobs-and-economic-activites-onshore-and/</w:t>
        </w:r>
      </w:hyperlink>
      <w:r w:rsidRPr="004F60A2">
        <w:rPr>
          <w:color w:val="333333"/>
          <w:sz w:val="16"/>
          <w:szCs w:val="16"/>
        </w:rPr>
        <w:t>) //MC</w:t>
      </w:r>
    </w:p>
    <w:p w:rsidR="004F60A2" w:rsidRPr="004F60A2" w:rsidRDefault="004F60A2" w:rsidP="004F60A2">
      <w:pPr>
        <w:rPr>
          <w:sz w:val="16"/>
        </w:rPr>
      </w:pPr>
      <w:r w:rsidRPr="004F60A2">
        <w:rPr>
          <w:sz w:val="16"/>
        </w:rPr>
        <w:t>In the famous poem “Paul Revere’s Ride,” Revere instructs his fellow patriots to use lanterns to signal whether there’s an attack coming by land or sea. While we may no longer have to fear the British, Americans should be warned of a new threat coming by sea in the form of President Obama’s National Ocean Policy and ocean zoning initiative.</w:t>
      </w:r>
    </w:p>
    <w:p w:rsidR="004F60A2" w:rsidRPr="004F60A2" w:rsidRDefault="004F60A2" w:rsidP="004F60A2">
      <w:pPr>
        <w:rPr>
          <w:rStyle w:val="StyleUnderline"/>
        </w:rPr>
      </w:pPr>
      <w:r w:rsidRPr="004F60A2">
        <w:rPr>
          <w:sz w:val="16"/>
        </w:rPr>
        <w:t xml:space="preserve">President </w:t>
      </w:r>
      <w:r w:rsidRPr="004F60A2">
        <w:rPr>
          <w:rStyle w:val="StyleUnderline"/>
        </w:rPr>
        <w:t>Obama is using the ocean as his latest regulatory weapon to impose new bureaucratic restrictions on nearly every sector of our economy.</w:t>
      </w:r>
      <w:r w:rsidRPr="004F60A2">
        <w:rPr>
          <w:sz w:val="16"/>
        </w:rPr>
        <w:t xml:space="preserve"> While marketed as a common sense plan for the development and protection of our oceans, </w:t>
      </w:r>
      <w:r w:rsidRPr="004F60A2">
        <w:rPr>
          <w:rStyle w:val="StyleUnderline"/>
        </w:rPr>
        <w:t>it is instead being used to create a massive new bureaucracy that would harm our economy.</w:t>
      </w:r>
    </w:p>
    <w:p w:rsidR="004F60A2" w:rsidRPr="004F60A2" w:rsidRDefault="004F60A2" w:rsidP="004F60A2">
      <w:pPr>
        <w:rPr>
          <w:sz w:val="16"/>
        </w:rPr>
      </w:pPr>
      <w:r w:rsidRPr="004F60A2">
        <w:t>Established through</w:t>
      </w:r>
      <w:r w:rsidRPr="004F60A2">
        <w:rPr>
          <w:sz w:val="16"/>
        </w:rPr>
        <w:t xml:space="preserve"> Executive Order, Mr. Obama with a simple stroke of a pen took unilateral action to impose a massive top-down federal bureaucracy with broad regulatory control over our oceans, Great Lakes, rivers, tributaries and watersheds.</w:t>
      </w:r>
    </w:p>
    <w:p w:rsidR="004F60A2" w:rsidRPr="004F60A2" w:rsidRDefault="004F60A2" w:rsidP="004F60A2">
      <w:pPr>
        <w:rPr>
          <w:sz w:val="16"/>
        </w:rPr>
      </w:pPr>
      <w:r w:rsidRPr="004F60A2">
        <w:rPr>
          <w:sz w:val="16"/>
        </w:rPr>
        <w:t>The Executive Order creates a tangled web of regulatory layers that includes: 10 National Policies; a 27-member National Ocean Council; an 18-member Governance Coordinating Committee; and 9 Regional Planning Bodies. This has led to an additional: 9 National Priority Objectives; 9 Strategic Action Plans; 7 National Goals for Coastal Marine Spatial Planning; and 12 Guiding Principles for Coastal Marine Spatial Planning.</w:t>
      </w:r>
    </w:p>
    <w:p w:rsidR="004F60A2" w:rsidRPr="004F60A2" w:rsidRDefault="004F60A2" w:rsidP="004F60A2">
      <w:pPr>
        <w:rPr>
          <w:sz w:val="16"/>
        </w:rPr>
      </w:pPr>
      <w:r w:rsidRPr="004F60A2">
        <w:rPr>
          <w:sz w:val="16"/>
        </w:rPr>
        <w:t>Imposing m</w:t>
      </w:r>
      <w:r w:rsidRPr="004F60A2">
        <w:rPr>
          <w:rStyle w:val="StyleUnderline"/>
        </w:rPr>
        <w:t>andatory ocean zoning could place huge portions of our oceans and coasts off-limits, seriously curtailing recreational activities, commercial fishing, and all types of energy development – including</w:t>
      </w:r>
      <w:r w:rsidRPr="004F60A2">
        <w:rPr>
          <w:sz w:val="16"/>
        </w:rPr>
        <w:t xml:space="preserve"> renewable energy such as </w:t>
      </w:r>
      <w:r w:rsidRPr="004F60A2">
        <w:rPr>
          <w:rStyle w:val="StyleUnderline"/>
        </w:rPr>
        <w:t>offshore wind farms.</w:t>
      </w:r>
    </w:p>
    <w:p w:rsidR="004F60A2" w:rsidRPr="004F60A2" w:rsidRDefault="004F60A2" w:rsidP="004F60A2">
      <w:pPr>
        <w:rPr>
          <w:sz w:val="16"/>
        </w:rPr>
      </w:pPr>
      <w:r w:rsidRPr="004F60A2">
        <w:rPr>
          <w:sz w:val="16"/>
        </w:rPr>
        <w:t>What’s even more alarming is that the impact of this Executive Order is not limited to just our oceans. It establishes regional planning bodies with the authority to regulate as far inland as necessary. All rivers eventually drain into the ocean, which gives this policy the justification it needs to reach far inland.</w:t>
      </w:r>
    </w:p>
    <w:p w:rsidR="004F60A2" w:rsidRPr="004F60A2" w:rsidRDefault="004F60A2" w:rsidP="004F60A2">
      <w:pPr>
        <w:rPr>
          <w:sz w:val="16"/>
        </w:rPr>
      </w:pPr>
      <w:r w:rsidRPr="004F60A2">
        <w:rPr>
          <w:sz w:val="16"/>
        </w:rPr>
        <w:t>For example, the Gulf of Mexico Regional Planning Body will make decisions to regulate activities throughout the entire Mississippi River watershed if those activities have the potential to affect the Gulf of Mexico. This means a policy billed as protecting our oceans will have the ability to regulate inland activities that occur as far north as Minnesota. If farmers and ranchers thought having the EPA in their backyard was bad, wait until the National Ocean Council comes sailing upstream for a visit too.</w:t>
      </w:r>
    </w:p>
    <w:p w:rsidR="004F60A2" w:rsidRPr="004F60A2" w:rsidRDefault="004F60A2" w:rsidP="004F60A2">
      <w:pPr>
        <w:rPr>
          <w:sz w:val="16"/>
        </w:rPr>
      </w:pPr>
      <w:r w:rsidRPr="004F60A2">
        <w:rPr>
          <w:sz w:val="16"/>
        </w:rPr>
        <w:t>The American Farm Bureau Federation has raised serious concerns, stating that “it could extend to the regulation of every farm and ranch in the United States.”</w:t>
      </w:r>
    </w:p>
    <w:p w:rsidR="004F60A2" w:rsidRPr="004F60A2" w:rsidRDefault="004F60A2" w:rsidP="004F60A2">
      <w:pPr>
        <w:rPr>
          <w:rStyle w:val="StyleUnderline"/>
        </w:rPr>
      </w:pPr>
      <w:r w:rsidRPr="004F60A2">
        <w:rPr>
          <w:sz w:val="16"/>
        </w:rPr>
        <w:t xml:space="preserve">To make matters worse, </w:t>
      </w:r>
      <w:r w:rsidRPr="004F60A2">
        <w:rPr>
          <w:rStyle w:val="StyleUnderline"/>
        </w:rPr>
        <w:t>taxpayers will be stuck with the considerable financial costs of implementing this Executive Order and the vague and undefined objectives will no doubt be used as fuel for costly frivolous lawsuits to stop or delay federally-permitted activities.</w:t>
      </w:r>
      <w:r w:rsidRPr="004F60A2">
        <w:rPr>
          <w:sz w:val="16"/>
        </w:rPr>
        <w:t xml:space="preserve"> Adding to these costs is the lost economic activity and stifled job </w:t>
      </w:r>
      <w:r w:rsidRPr="004F60A2">
        <w:rPr>
          <w:rStyle w:val="StyleUnderline"/>
        </w:rPr>
        <w:t>creation that will result from new restrictions and regulatory uncertainly brought on by the policy.</w:t>
      </w:r>
    </w:p>
    <w:p w:rsidR="004F60A2" w:rsidRPr="004F60A2" w:rsidRDefault="004F60A2" w:rsidP="004F60A2">
      <w:pPr>
        <w:rPr>
          <w:rStyle w:val="StyleUnderline"/>
        </w:rPr>
      </w:pPr>
    </w:p>
    <w:p w:rsidR="004F60A2" w:rsidRPr="004F60A2" w:rsidRDefault="004F60A2" w:rsidP="004F60A2">
      <w:pPr>
        <w:pStyle w:val="Heading4"/>
      </w:pPr>
      <w:r w:rsidRPr="004F60A2">
        <w:t>Regulatory control over marine actions unpopular – especially election year</w:t>
      </w:r>
    </w:p>
    <w:p w:rsidR="004F60A2" w:rsidRPr="004F60A2" w:rsidRDefault="004F60A2" w:rsidP="004F60A2">
      <w:pPr>
        <w:rPr>
          <w:rStyle w:val="Style13ptBold"/>
          <w:b w:val="0"/>
          <w:sz w:val="16"/>
        </w:rPr>
      </w:pPr>
      <w:r w:rsidRPr="004F60A2">
        <w:rPr>
          <w:rStyle w:val="Style13ptBold"/>
        </w:rPr>
        <w:t xml:space="preserve">Eilperin 12, </w:t>
      </w:r>
      <w:r w:rsidRPr="004F60A2">
        <w:rPr>
          <w:rStyle w:val="Style13ptBold"/>
          <w:b w:val="0"/>
          <w:sz w:val="16"/>
        </w:rPr>
        <w:t>(Juliet Elperin – joined The Washington Post as the House of Representatives reporter) [National ocean policy sparks partisan fight] (</w:t>
      </w:r>
      <w:hyperlink r:id="rId6" w:history="1">
        <w:r w:rsidRPr="004F60A2">
          <w:rPr>
            <w:rStyle w:val="Hyperlink"/>
            <w:sz w:val="16"/>
          </w:rPr>
          <w:t>http://www.washingtonpost.com/national/health-science/national-ocean-policy-sparks-partisan-fight/2012/10/28/af73e464-17a7-11e2-a55c-39408fbe6a4b_story.html</w:t>
        </w:r>
      </w:hyperlink>
      <w:r w:rsidRPr="004F60A2">
        <w:rPr>
          <w:rStyle w:val="Style13ptBold"/>
          <w:b w:val="0"/>
          <w:sz w:val="16"/>
        </w:rPr>
        <w:t>) //MC</w:t>
      </w:r>
    </w:p>
    <w:p w:rsidR="004F60A2" w:rsidRPr="004F60A2" w:rsidRDefault="004F60A2" w:rsidP="004F60A2">
      <w:pPr>
        <w:rPr>
          <w:sz w:val="16"/>
        </w:rPr>
      </w:pPr>
      <w:r w:rsidRPr="004F60A2">
        <w:rPr>
          <w:rStyle w:val="StyleUnderline"/>
        </w:rPr>
        <w:t>Partisan battles are engulfing the nation’s ocean policy</w:t>
      </w:r>
      <w:r w:rsidRPr="004F60A2">
        <w:rPr>
          <w:sz w:val="16"/>
        </w:rPr>
        <w:t>, showing that polarization over environmental issues doesn’t stop at the water’s edge.</w:t>
      </w:r>
    </w:p>
    <w:p w:rsidR="004F60A2" w:rsidRPr="004F60A2" w:rsidRDefault="004F60A2" w:rsidP="004F60A2">
      <w:pPr>
        <w:rPr>
          <w:sz w:val="16"/>
        </w:rPr>
      </w:pPr>
      <w:r w:rsidRPr="004F60A2">
        <w:rPr>
          <w:sz w:val="16"/>
        </w:rPr>
        <w:t xml:space="preserve">For years, </w:t>
      </w:r>
      <w:r w:rsidRPr="004F60A2">
        <w:rPr>
          <w:rStyle w:val="StyleUnderline"/>
        </w:rPr>
        <w:t>ocean policy was the preserve of wonks</w:t>
      </w:r>
      <w:r w:rsidRPr="004F60A2">
        <w:rPr>
          <w:sz w:val="16"/>
        </w:rPr>
        <w:t xml:space="preserve">. </w:t>
      </w:r>
      <w:r w:rsidRPr="004F60A2">
        <w:rPr>
          <w:rStyle w:val="StyleUnderline"/>
        </w:rPr>
        <w:t xml:space="preserve">But President Obama created the first national ocean policy, with a tiny White House staff, and with that set off some </w:t>
      </w:r>
      <w:r w:rsidRPr="004F60A2">
        <w:rPr>
          <w:rStyle w:val="Emphasis"/>
        </w:rPr>
        <w:t>fierce election-year fights</w:t>
      </w:r>
      <w:r w:rsidRPr="004F60A2">
        <w:rPr>
          <w:sz w:val="16"/>
        </w:rPr>
        <w:t>.</w:t>
      </w:r>
    </w:p>
    <w:p w:rsidR="004F60A2" w:rsidRPr="004F60A2" w:rsidRDefault="004F60A2" w:rsidP="004F60A2">
      <w:pPr>
        <w:rPr>
          <w:sz w:val="16"/>
        </w:rPr>
      </w:pPr>
      <w:r w:rsidRPr="004F60A2">
        <w:rPr>
          <w:rStyle w:val="StyleUnderline"/>
        </w:rPr>
        <w:t>Conservative Republicans warn</w:t>
      </w:r>
      <w:r w:rsidRPr="004F60A2">
        <w:rPr>
          <w:sz w:val="16"/>
        </w:rPr>
        <w:t xml:space="preserve"> that </w:t>
      </w:r>
      <w:r w:rsidRPr="004F60A2">
        <w:rPr>
          <w:rStyle w:val="StyleUnderline"/>
        </w:rPr>
        <w:t>the administration is determined to expand its regulatory reach and curb the extraction of valuable energy resources</w:t>
      </w:r>
      <w:r w:rsidRPr="004F60A2">
        <w:rPr>
          <w:sz w:val="16"/>
        </w:rPr>
        <w:t>, while many Democrats, and their environmentalist allies, argue that the policy will keep the ocean healthy and reduce conflicts over its use.</w:t>
      </w:r>
    </w:p>
    <w:p w:rsidR="004F60A2" w:rsidRPr="004F60A2" w:rsidRDefault="004F60A2" w:rsidP="004F60A2"/>
    <w:p w:rsidR="004F60A2" w:rsidRPr="004F60A2" w:rsidRDefault="004F60A2" w:rsidP="004F60A2">
      <w:pPr>
        <w:pStyle w:val="Heading1"/>
        <w:rPr>
          <w:rFonts w:cs="Arial"/>
        </w:rPr>
      </w:pPr>
      <w:r w:rsidRPr="004F60A2">
        <w:rPr>
          <w:rFonts w:cs="Arial"/>
        </w:rPr>
        <w:lastRenderedPageBreak/>
        <w:t>Neg CP</w:t>
      </w:r>
    </w:p>
    <w:p w:rsidR="004F60A2" w:rsidRPr="004F60A2" w:rsidRDefault="004F60A2" w:rsidP="004F60A2">
      <w:pPr>
        <w:pStyle w:val="Heading2"/>
        <w:rPr>
          <w:rFonts w:cs="Arial"/>
        </w:rPr>
      </w:pPr>
      <w:r w:rsidRPr="004F60A2">
        <w:rPr>
          <w:rFonts w:cs="Arial"/>
        </w:rPr>
        <w:lastRenderedPageBreak/>
        <w:t>1nc</w:t>
      </w:r>
    </w:p>
    <w:p w:rsidR="004F60A2" w:rsidRPr="004F60A2" w:rsidRDefault="004F60A2" w:rsidP="004F60A2">
      <w:pPr>
        <w:pStyle w:val="Heading3"/>
        <w:rPr>
          <w:rFonts w:cs="Arial"/>
        </w:rPr>
      </w:pPr>
      <w:r w:rsidRPr="004F60A2">
        <w:rPr>
          <w:rFonts w:cs="Arial"/>
        </w:rPr>
        <w:lastRenderedPageBreak/>
        <w:t>1nc – Offshore wind</w:t>
      </w:r>
    </w:p>
    <w:p w:rsidR="004F60A2" w:rsidRPr="004F60A2" w:rsidRDefault="004F60A2" w:rsidP="004F60A2">
      <w:pPr>
        <w:pStyle w:val="Heading4"/>
        <w:rPr>
          <w:rFonts w:cs="Arial"/>
        </w:rPr>
      </w:pPr>
      <w:r w:rsidRPr="004F60A2">
        <w:rPr>
          <w:rFonts w:cs="Arial"/>
        </w:rPr>
        <w:t xml:space="preserve">CP Text: The relevant United States’ states and territories should form power authorities to competitively award concessionary contracts for the development of offshore wind energy through a Power-Purchase Agreement. </w:t>
      </w:r>
    </w:p>
    <w:p w:rsidR="004F60A2" w:rsidRPr="004F60A2" w:rsidRDefault="004F60A2" w:rsidP="004F60A2"/>
    <w:p w:rsidR="004F60A2" w:rsidRPr="004F60A2" w:rsidRDefault="004F60A2" w:rsidP="004F60A2">
      <w:pPr>
        <w:pStyle w:val="Heading4"/>
        <w:rPr>
          <w:rFonts w:cs="Arial"/>
        </w:rPr>
      </w:pPr>
      <w:r w:rsidRPr="004F60A2">
        <w:rPr>
          <w:rFonts w:cs="Arial"/>
        </w:rPr>
        <w:t>State PPA’s solve offshore development</w:t>
      </w:r>
    </w:p>
    <w:p w:rsidR="004F60A2" w:rsidRPr="004F60A2" w:rsidRDefault="004F60A2" w:rsidP="004F60A2">
      <w:pPr>
        <w:rPr>
          <w:bCs/>
          <w:sz w:val="16"/>
        </w:rPr>
      </w:pPr>
      <w:r w:rsidRPr="004F60A2">
        <w:rPr>
          <w:rStyle w:val="Style13ptBold"/>
        </w:rPr>
        <w:t>Sinclair et al. 3</w:t>
      </w:r>
      <w:r w:rsidRPr="004F60A2">
        <w:rPr>
          <w:rStyle w:val="Style13ptBold"/>
          <w:b w:val="0"/>
          <w:sz w:val="16"/>
        </w:rPr>
        <w:t xml:space="preserve"> (Mark Sinclair – Executive Director @ Clean Energy States Alliance, Melissa Haugh – @ Pace Global, Baird Brown – Drinker Biddle &amp; Reath LLP, Carolyn Elefant – @ Law Offices of Carolyn Elefant) [Collaborative Procurement of Offshore Wind Energy A Buyers Network: Assessment of Merits and Approaches] (</w:t>
      </w:r>
      <w:hyperlink r:id="rId7" w:history="1">
        <w:r w:rsidRPr="004F60A2">
          <w:rPr>
            <w:rStyle w:val="Hyperlink"/>
            <w:sz w:val="16"/>
          </w:rPr>
          <w:t>http://www.cesa.org/assets/2012-Files/OSW/OWAP-Collaborative-Procurement-Report-September-2012.pdf</w:t>
        </w:r>
      </w:hyperlink>
      <w:r w:rsidRPr="004F60A2">
        <w:rPr>
          <w:rStyle w:val="Style13ptBold"/>
          <w:b w:val="0"/>
          <w:sz w:val="16"/>
        </w:rPr>
        <w:t>) (pg.32)//MC</w:t>
      </w:r>
    </w:p>
    <w:p w:rsidR="004F60A2" w:rsidRPr="004F60A2" w:rsidRDefault="004F60A2" w:rsidP="004F60A2">
      <w:pPr>
        <w:spacing w:line="240" w:lineRule="auto"/>
        <w:rPr>
          <w:sz w:val="16"/>
        </w:rPr>
      </w:pPr>
      <w:r w:rsidRPr="004F60A2">
        <w:rPr>
          <w:rStyle w:val="StyleUnderline"/>
        </w:rPr>
        <w:t>The need for state law revisions to implement a buyers network for OSW will vary with the network’s structure</w:t>
      </w:r>
      <w:r w:rsidRPr="004F60A2">
        <w:rPr>
          <w:sz w:val="16"/>
        </w:rPr>
        <w:t xml:space="preserve">, including the extent of collaboration that takes place in the network. </w:t>
      </w:r>
      <w:r w:rsidRPr="004F60A2">
        <w:rPr>
          <w:rStyle w:val="StyleUnderline"/>
        </w:rPr>
        <w:t>A straight-forward, non-binding agreement among several states to cooperate in procuring offshore wind</w:t>
      </w:r>
      <w:r w:rsidRPr="004F60A2">
        <w:rPr>
          <w:sz w:val="16"/>
        </w:rPr>
        <w:t xml:space="preserve"> (MOU-Approach) </w:t>
      </w:r>
      <w:r w:rsidRPr="004F60A2">
        <w:rPr>
          <w:rStyle w:val="StyleUnderline"/>
        </w:rPr>
        <w:t xml:space="preserve">is </w:t>
      </w:r>
      <w:r w:rsidRPr="004F60A2">
        <w:rPr>
          <w:rStyle w:val="Emphasis"/>
        </w:rPr>
        <w:t>unlikely to require any changes in state law</w:t>
      </w:r>
      <w:r w:rsidRPr="004F60A2">
        <w:rPr>
          <w:rStyle w:val="StyleUnderline"/>
        </w:rPr>
        <w:t xml:space="preserve"> to authorize participation since no state entity is relinquishing its authority</w:t>
      </w:r>
      <w:r w:rsidRPr="004F60A2">
        <w:rPr>
          <w:sz w:val="16"/>
        </w:rPr>
        <w:t xml:space="preserve"> to a larger, regional purchasing entity.</w:t>
      </w:r>
      <w:r w:rsidRPr="004F60A2">
        <w:t xml:space="preserve"> </w:t>
      </w:r>
      <w:r w:rsidRPr="004F60A2">
        <w:rPr>
          <w:sz w:val="16"/>
        </w:rPr>
        <w:t xml:space="preserve">However, revisions to state law may be desirable even for this “less coordinated” model. </w:t>
      </w:r>
    </w:p>
    <w:p w:rsidR="004F60A2" w:rsidRPr="004F60A2" w:rsidRDefault="004F60A2" w:rsidP="004F60A2">
      <w:pPr>
        <w:spacing w:line="240" w:lineRule="auto"/>
      </w:pPr>
      <w:r w:rsidRPr="004F60A2">
        <w:rPr>
          <w:rStyle w:val="StyleUnderline"/>
        </w:rPr>
        <w:t>An aggregated purchase</w:t>
      </w:r>
      <w:r w:rsidRPr="004F60A2">
        <w:rPr>
          <w:sz w:val="16"/>
        </w:rPr>
        <w:t xml:space="preserve"> that is primarily </w:t>
      </w:r>
      <w:r w:rsidRPr="004F60A2">
        <w:rPr>
          <w:rStyle w:val="StyleUnderline"/>
        </w:rPr>
        <w:t>composed of long-term PPAs will be necessary to permit financing</w:t>
      </w:r>
      <w:r w:rsidRPr="004F60A2">
        <w:rPr>
          <w:sz w:val="16"/>
        </w:rPr>
        <w:t xml:space="preserve">. Therefore, state laws and regulatory policies that direct off-takers to enter into long-term renewable contracts (such as in Massachusetts under the Green Communities Act), or that encourage long-term commitments by utilities by assuring cost recovery, will increase the benefits achieved even under a less coordinated model. If, however, the network takes the form of a regional power authority that purchases power on behalf of several participating states, changes to state law would be needed. </w:t>
      </w:r>
      <w:r w:rsidRPr="004F60A2">
        <w:rPr>
          <w:rStyle w:val="StyleUnderline"/>
        </w:rPr>
        <w:t>Reasonably uniform state enabling legislation would be necessary to ensure that a regional power authority, if used for collaborative procurement, can recover its offshore wind energy costs under PPAs from the LSEs in each participating state. This would help to ensure that the authority has high credit quality</w:t>
      </w:r>
      <w:r w:rsidRPr="004F60A2">
        <w:rPr>
          <w:sz w:val="16"/>
        </w:rPr>
        <w:t xml:space="preserve">. </w:t>
      </w:r>
      <w:r w:rsidRPr="004F60A2">
        <w:rPr>
          <w:rStyle w:val="StyleUnderline"/>
        </w:rPr>
        <w:t>Various states have formed power authorities and some have passed legislation to promote offshore wind, which could inform the process of preparing model legislation</w:t>
      </w:r>
      <w:r w:rsidRPr="004F60A2">
        <w:rPr>
          <w:sz w:val="16"/>
        </w:rPr>
        <w:t>. For example, the Texas legislature created the Lower Colorado River Authority (LCRA) to deliver electricity, manage water supply, and support community</w:t>
      </w:r>
      <w:r w:rsidRPr="004F60A2">
        <w:t xml:space="preserve"> </w:t>
      </w:r>
      <w:r w:rsidRPr="004F60A2">
        <w:rPr>
          <w:sz w:val="16"/>
        </w:rPr>
        <w:t>and economic development in central Texas. (Lower Colorado River Authority, October 19, 2009).</w:t>
      </w:r>
    </w:p>
    <w:p w:rsidR="004F60A2" w:rsidRPr="004F60A2" w:rsidRDefault="004F60A2" w:rsidP="004F60A2"/>
    <w:p w:rsidR="004F60A2" w:rsidRPr="004F60A2" w:rsidRDefault="004F60A2" w:rsidP="004F60A2"/>
    <w:p w:rsidR="004F60A2" w:rsidRPr="004F60A2" w:rsidRDefault="004F60A2" w:rsidP="004F60A2">
      <w:pPr>
        <w:pStyle w:val="Heading4"/>
        <w:rPr>
          <w:rFonts w:cs="Arial"/>
        </w:rPr>
      </w:pPr>
      <w:r w:rsidRPr="004F60A2">
        <w:rPr>
          <w:rFonts w:cs="Arial"/>
        </w:rPr>
        <w:t>Concession agreements means companies front the bill and are efficient</w:t>
      </w:r>
    </w:p>
    <w:p w:rsidR="004F60A2" w:rsidRPr="004F60A2" w:rsidRDefault="004F60A2" w:rsidP="004F60A2">
      <w:pPr>
        <w:spacing w:line="240" w:lineRule="auto"/>
        <w:rPr>
          <w:rStyle w:val="Style13ptBold"/>
          <w:b w:val="0"/>
          <w:sz w:val="16"/>
        </w:rPr>
      </w:pPr>
      <w:r w:rsidRPr="004F60A2">
        <w:rPr>
          <w:rStyle w:val="Style13ptBold"/>
        </w:rPr>
        <w:t xml:space="preserve">Turina and Car-Pušić 06, </w:t>
      </w:r>
      <w:r w:rsidRPr="004F60A2">
        <w:rPr>
          <w:rStyle w:val="Style13ptBold"/>
          <w:b w:val="0"/>
          <w:sz w:val="16"/>
        </w:rPr>
        <w:t xml:space="preserve">(Natasa Turina – assistant, Diana Car-Pušić – PhD Assistant Professor </w:t>
      </w:r>
    </w:p>
    <w:p w:rsidR="004F60A2" w:rsidRPr="004F60A2" w:rsidRDefault="004F60A2" w:rsidP="004F60A2">
      <w:pPr>
        <w:spacing w:line="240" w:lineRule="auto"/>
        <w:rPr>
          <w:rStyle w:val="Style13ptBold"/>
          <w:b w:val="0"/>
          <w:sz w:val="16"/>
        </w:rPr>
      </w:pPr>
      <w:r w:rsidRPr="004F60A2">
        <w:rPr>
          <w:rStyle w:val="Style13ptBold"/>
          <w:b w:val="0"/>
          <w:sz w:val="16"/>
        </w:rPr>
        <w:t xml:space="preserve">University of Rijeka of Civil Engineering) [OVERVIEW OF PPP MODELS AND THE ANALYSIS OF THE </w:t>
      </w:r>
    </w:p>
    <w:p w:rsidR="004F60A2" w:rsidRPr="004F60A2" w:rsidRDefault="004F60A2" w:rsidP="004F60A2">
      <w:pPr>
        <w:spacing w:line="240" w:lineRule="auto"/>
        <w:rPr>
          <w:rStyle w:val="Style13ptBold"/>
          <w:b w:val="0"/>
          <w:sz w:val="16"/>
        </w:rPr>
      </w:pPr>
      <w:r w:rsidRPr="004F60A2">
        <w:rPr>
          <w:rStyle w:val="Style13ptBold"/>
          <w:b w:val="0"/>
          <w:sz w:val="16"/>
        </w:rPr>
        <w:t>OPPORTUNITIES FOR THEIR APPLICATION] (</w:t>
      </w:r>
      <w:hyperlink r:id="rId8" w:history="1">
        <w:r w:rsidRPr="004F60A2">
          <w:rPr>
            <w:rStyle w:val="Hyperlink"/>
            <w:sz w:val="16"/>
          </w:rPr>
          <w:t>https://bib.irb.hr/datoteka/254546.Turina_car-pusic.pdf</w:t>
        </w:r>
      </w:hyperlink>
      <w:r w:rsidRPr="004F60A2">
        <w:rPr>
          <w:rStyle w:val="Style13ptBold"/>
          <w:b w:val="0"/>
          <w:sz w:val="16"/>
        </w:rPr>
        <w:t>) //MC</w:t>
      </w:r>
    </w:p>
    <w:p w:rsidR="004F60A2" w:rsidRPr="004F60A2" w:rsidRDefault="004F60A2" w:rsidP="004F60A2">
      <w:pPr>
        <w:rPr>
          <w:sz w:val="16"/>
        </w:rPr>
      </w:pPr>
      <w:r w:rsidRPr="004F60A2">
        <w:rPr>
          <w:rStyle w:val="StyleUnderline"/>
        </w:rPr>
        <w:t>Under a concession, the private partner</w:t>
      </w:r>
      <w:r w:rsidRPr="004F60A2">
        <w:rPr>
          <w:sz w:val="16"/>
        </w:rPr>
        <w:t xml:space="preserve"> (Concessionaire) </w:t>
      </w:r>
      <w:r w:rsidRPr="004F60A2">
        <w:rPr>
          <w:rStyle w:val="StyleUnderline"/>
        </w:rPr>
        <w:t xml:space="preserve">bears </w:t>
      </w:r>
      <w:r w:rsidRPr="004F60A2">
        <w:rPr>
          <w:rStyle w:val="Emphasis"/>
        </w:rPr>
        <w:t>overall responsibility for the services</w:t>
      </w:r>
      <w:r w:rsidRPr="004F60A2">
        <w:rPr>
          <w:rStyle w:val="StyleUnderline"/>
        </w:rPr>
        <w:t>, including operation, maintenance, and management, as well as capital investments</w:t>
      </w:r>
      <w:r w:rsidRPr="004F60A2">
        <w:rPr>
          <w:sz w:val="16"/>
        </w:rPr>
        <w:t xml:space="preserve"> for rehabilitation and renewal of assets, and the expansion of services. </w:t>
      </w:r>
      <w:r w:rsidRPr="004F60A2">
        <w:rPr>
          <w:rStyle w:val="StyleUnderline"/>
        </w:rPr>
        <w:t>Concession can be contracted for an existing facility or for new one. The fixed assets either remain the property of the public authority or revert to public ownership at the end of the concession period</w:t>
      </w:r>
      <w:r w:rsidRPr="004F60A2">
        <w:rPr>
          <w:sz w:val="16"/>
        </w:rPr>
        <w:t xml:space="preserve">. Concession contracts </w:t>
      </w:r>
      <w:r w:rsidRPr="004F60A2">
        <w:rPr>
          <w:rStyle w:val="StyleUnderline"/>
        </w:rPr>
        <w:t>usually last for between twenty to thirty years</w:t>
      </w:r>
      <w:r w:rsidRPr="004F60A2">
        <w:rPr>
          <w:sz w:val="16"/>
        </w:rPr>
        <w:t>,</w:t>
      </w:r>
      <w:r w:rsidRPr="004F60A2">
        <w:rPr>
          <w:rStyle w:val="StyleUnderline"/>
        </w:rPr>
        <w:t xml:space="preserve"> depending on the level of investments and the period required</w:t>
      </w:r>
      <w:r w:rsidRPr="004F60A2">
        <w:rPr>
          <w:sz w:val="16"/>
        </w:rPr>
        <w:t xml:space="preserve"> for the Concessionaire to recover its investments plus a reasonable rate of return. The Concessionaire is paid for its services directly by the consumer, based on the contractually set fee or tariff, which is adjustable over the life of the contract. The main advantage of a concession is that it passes full responsibility for operations, maintenance, rehabilitation, renewal and service expansion to the private partner and so </w:t>
      </w:r>
      <w:r w:rsidRPr="004F60A2">
        <w:rPr>
          <w:rStyle w:val="Emphasis"/>
        </w:rPr>
        <w:t>creates incentives for efficiency</w:t>
      </w:r>
      <w:r w:rsidRPr="004F60A2">
        <w:rPr>
          <w:rStyle w:val="StyleUnderline"/>
        </w:rPr>
        <w:t xml:space="preserve"> in all the utility’s activities. Therefore, concessions are an attractive option where large investments are required.</w:t>
      </w:r>
      <w:r w:rsidRPr="004F60A2">
        <w:rPr>
          <w:sz w:val="16"/>
        </w:rPr>
        <w:t xml:space="preserve"> Concessions are administratively complex undertakings for governments, because they confer a long-term monopoly on the Concessionaire and thus require rigorous monitoring and enforcement. </w:t>
      </w:r>
    </w:p>
    <w:p w:rsidR="004F60A2" w:rsidRPr="004F60A2" w:rsidRDefault="004F60A2" w:rsidP="004F60A2"/>
    <w:p w:rsidR="004F60A2" w:rsidRPr="004F60A2" w:rsidRDefault="004F60A2" w:rsidP="004F60A2">
      <w:pPr>
        <w:pStyle w:val="Heading4"/>
        <w:rPr>
          <w:rFonts w:cs="Arial"/>
        </w:rPr>
      </w:pPr>
      <w:r w:rsidRPr="004F60A2">
        <w:rPr>
          <w:rFonts w:cs="Arial"/>
        </w:rPr>
        <w:t xml:space="preserve">Normal means projects fail –delays and cost-overruns. Public Private Partnerships solve </w:t>
      </w:r>
    </w:p>
    <w:p w:rsidR="004F60A2" w:rsidRPr="004F60A2" w:rsidRDefault="004F60A2" w:rsidP="004F60A2">
      <w:pPr>
        <w:rPr>
          <w:rStyle w:val="Style13ptBold"/>
          <w:b w:val="0"/>
          <w:sz w:val="16"/>
        </w:rPr>
      </w:pPr>
      <w:r w:rsidRPr="004F60A2">
        <w:rPr>
          <w:rStyle w:val="Style13ptBold"/>
        </w:rPr>
        <w:t xml:space="preserve">Shen, Platten and Deng 06, </w:t>
      </w:r>
      <w:r w:rsidRPr="004F60A2">
        <w:rPr>
          <w:rStyle w:val="Style13ptBold"/>
          <w:b w:val="0"/>
          <w:sz w:val="16"/>
        </w:rPr>
        <w:t>(Li-Yin Shen – Department of Building and Real Estate, The Hong Kong Polytechnic University, Andrew Platten – Elevate East Lancashire, X.P. Deng – School of Civil Engineering) [Role of public private partnerships to manage risks in public sector projects in Hong Kong @ International Journal of Project Management Volume 24, Issue 7] (</w:t>
      </w:r>
      <w:hyperlink r:id="rId9" w:history="1">
        <w:r w:rsidRPr="004F60A2">
          <w:rPr>
            <w:rStyle w:val="Hyperlink"/>
            <w:sz w:val="16"/>
          </w:rPr>
          <w:t>http://www.sciencedirect.com/science/article/pii/S0263786306000937</w:t>
        </w:r>
      </w:hyperlink>
      <w:r w:rsidRPr="004F60A2">
        <w:rPr>
          <w:rStyle w:val="Style13ptBold"/>
          <w:b w:val="0"/>
          <w:sz w:val="16"/>
        </w:rPr>
        <w:t>) //MC</w:t>
      </w:r>
    </w:p>
    <w:p w:rsidR="004F60A2" w:rsidRPr="004F60A2" w:rsidRDefault="004F60A2" w:rsidP="004F60A2">
      <w:pPr>
        <w:rPr>
          <w:rStyle w:val="Style13ptBold"/>
          <w:b w:val="0"/>
          <w:bCs w:val="0"/>
          <w:sz w:val="20"/>
        </w:rPr>
      </w:pPr>
      <w:r w:rsidRPr="004F60A2">
        <w:rPr>
          <w:sz w:val="20"/>
        </w:rPr>
        <w:t>*PSP – Public Sector Projects</w:t>
      </w:r>
    </w:p>
    <w:p w:rsidR="004F60A2" w:rsidRPr="004F60A2" w:rsidRDefault="004F60A2" w:rsidP="004F60A2">
      <w:pPr>
        <w:rPr>
          <w:sz w:val="16"/>
        </w:rPr>
      </w:pPr>
      <w:r w:rsidRPr="004F60A2">
        <w:rPr>
          <w:sz w:val="16"/>
        </w:rPr>
        <w:lastRenderedPageBreak/>
        <w:t xml:space="preserve">The process of </w:t>
      </w:r>
      <w:r w:rsidRPr="004F60A2">
        <w:rPr>
          <w:rStyle w:val="StyleUnderline"/>
        </w:rPr>
        <w:t>delivering PSPs</w:t>
      </w:r>
      <w:r w:rsidRPr="004F60A2">
        <w:rPr>
          <w:sz w:val="16"/>
        </w:rPr>
        <w:t xml:space="preserve"> involves distribution of responsibility and authority across a broad range of participants. This process </w:t>
      </w:r>
      <w:r w:rsidRPr="004F60A2">
        <w:rPr>
          <w:rStyle w:val="StyleUnderline"/>
        </w:rPr>
        <w:t>has been</w:t>
      </w:r>
      <w:r w:rsidRPr="004F60A2">
        <w:rPr>
          <w:sz w:val="16"/>
        </w:rPr>
        <w:t xml:space="preserve"> generally </w:t>
      </w:r>
      <w:r w:rsidRPr="004F60A2">
        <w:rPr>
          <w:rStyle w:val="StyleUnderline"/>
        </w:rPr>
        <w:t>characterised by the review of</w:t>
      </w:r>
      <w:r w:rsidRPr="004F60A2">
        <w:rPr>
          <w:sz w:val="16"/>
        </w:rPr>
        <w:t xml:space="preserve"> multiple objectives including </w:t>
      </w:r>
      <w:r w:rsidRPr="004F60A2">
        <w:rPr>
          <w:rStyle w:val="StyleUnderline"/>
        </w:rPr>
        <w:t>quality performance</w:t>
      </w:r>
      <w:r w:rsidRPr="004F60A2">
        <w:rPr>
          <w:sz w:val="16"/>
        </w:rPr>
        <w:t xml:space="preserve">, public </w:t>
      </w:r>
      <w:r w:rsidRPr="004F60A2">
        <w:rPr>
          <w:rStyle w:val="StyleUnderline"/>
        </w:rPr>
        <w:t>satisfaction</w:t>
      </w:r>
      <w:r w:rsidRPr="004F60A2">
        <w:rPr>
          <w:sz w:val="16"/>
        </w:rPr>
        <w:t xml:space="preserve">, </w:t>
      </w:r>
      <w:r w:rsidRPr="004F60A2">
        <w:rPr>
          <w:rStyle w:val="StyleUnderline"/>
        </w:rPr>
        <w:t>financial return</w:t>
      </w:r>
      <w:r w:rsidRPr="004F60A2">
        <w:rPr>
          <w:sz w:val="16"/>
        </w:rPr>
        <w:t xml:space="preserve">, </w:t>
      </w:r>
      <w:r w:rsidRPr="004F60A2">
        <w:rPr>
          <w:rStyle w:val="StyleUnderline"/>
        </w:rPr>
        <w:t>environmental performance</w:t>
      </w:r>
      <w:r w:rsidRPr="004F60A2">
        <w:rPr>
          <w:sz w:val="16"/>
        </w:rPr>
        <w:t xml:space="preserve"> </w:t>
      </w:r>
      <w:r w:rsidRPr="004F60A2">
        <w:rPr>
          <w:rStyle w:val="StyleUnderline"/>
        </w:rPr>
        <w:t>and safety</w:t>
      </w:r>
      <w:r w:rsidRPr="004F60A2">
        <w:rPr>
          <w:sz w:val="16"/>
        </w:rPr>
        <w:t xml:space="preserve"> performance</w:t>
      </w:r>
      <w:r w:rsidRPr="004F60A2">
        <w:t xml:space="preserve">. </w:t>
      </w:r>
      <w:r w:rsidRPr="004F60A2">
        <w:rPr>
          <w:rStyle w:val="StyleUnderline"/>
        </w:rPr>
        <w:t>Baldry</w:t>
      </w:r>
      <w:r w:rsidRPr="004F60A2">
        <w:rPr>
          <w:sz w:val="16"/>
        </w:rPr>
        <w:t xml:space="preserve"> [19] </w:t>
      </w:r>
      <w:r w:rsidRPr="004F60A2">
        <w:rPr>
          <w:rStyle w:val="StyleUnderline"/>
        </w:rPr>
        <w:t>identified a number of features embodied in committing to public sector projects</w:t>
      </w:r>
      <w:r w:rsidRPr="004F60A2">
        <w:rPr>
          <w:sz w:val="16"/>
        </w:rPr>
        <w:t xml:space="preserve">, such as that the execution of the projects </w:t>
      </w:r>
      <w:r w:rsidRPr="004F60A2">
        <w:rPr>
          <w:rStyle w:val="StyleUnderline"/>
        </w:rPr>
        <w:t>is rarely intended as a mean to realise a pure financial reward or speculative gain</w:t>
      </w:r>
      <w:r w:rsidRPr="004F60A2">
        <w:rPr>
          <w:sz w:val="16"/>
        </w:rPr>
        <w:t xml:space="preserve">; </w:t>
      </w:r>
      <w:r w:rsidRPr="004F60A2">
        <w:rPr>
          <w:rStyle w:val="StyleUnderline"/>
        </w:rPr>
        <w:t>that project function is invariably to support an operational activity or to meet a service</w:t>
      </w:r>
      <w:r w:rsidRPr="004F60A2">
        <w:rPr>
          <w:sz w:val="16"/>
        </w:rPr>
        <w:t xml:space="preserve"> of benefit to a large body of consumers. Baldry [19] further states that </w:t>
      </w:r>
      <w:r w:rsidRPr="004F60A2">
        <w:rPr>
          <w:rStyle w:val="StyleUnderline"/>
        </w:rPr>
        <w:t>the risk impacts extend beyond straightforward financial damage into operational disturbance</w:t>
      </w:r>
      <w:r w:rsidRPr="004F60A2">
        <w:rPr>
          <w:sz w:val="16"/>
        </w:rPr>
        <w:t xml:space="preserve">, loss of service or amenity, user dissatisfaction, and disruption of strategic planning processes; and that success criteria are many and varied. These features indicate that the </w:t>
      </w:r>
      <w:r w:rsidRPr="004F60A2">
        <w:rPr>
          <w:rStyle w:val="StyleUnderline"/>
        </w:rPr>
        <w:t>multiple objectives in implementing a public sector project are affected by a wide range of risks that exist in different dimensions and at different stages in project life cycle. Thus, the risk</w:t>
      </w:r>
      <w:r w:rsidRPr="004F60A2">
        <w:rPr>
          <w:sz w:val="16"/>
        </w:rPr>
        <w:t xml:space="preserve"> outcomes </w:t>
      </w:r>
      <w:r w:rsidRPr="004F60A2">
        <w:rPr>
          <w:rStyle w:val="StyleUnderline"/>
        </w:rPr>
        <w:t>are beyond the scope of the project itsel</w:t>
      </w:r>
      <w:r w:rsidRPr="004F60A2">
        <w:rPr>
          <w:sz w:val="16"/>
        </w:rPr>
        <w:t xml:space="preserve">f. These risks are typically grouped into various categories such as contractual, environmental, financial, economic, market, logistical, design, construction and operational risks. </w:t>
      </w:r>
      <w:r w:rsidRPr="004F60A2">
        <w:rPr>
          <w:rStyle w:val="StyleUnderline"/>
        </w:rPr>
        <w:t>The failure</w:t>
      </w:r>
      <w:r w:rsidRPr="004F60A2">
        <w:rPr>
          <w:sz w:val="16"/>
        </w:rPr>
        <w:t xml:space="preserve"> to manage these risks effectively may </w:t>
      </w:r>
      <w:r w:rsidRPr="004F60A2">
        <w:rPr>
          <w:rStyle w:val="StyleUnderline"/>
        </w:rPr>
        <w:t>lead to</w:t>
      </w:r>
      <w:r w:rsidRPr="004F60A2">
        <w:rPr>
          <w:sz w:val="16"/>
        </w:rPr>
        <w:t xml:space="preserve"> serious consequences including poor quality, </w:t>
      </w:r>
      <w:r w:rsidRPr="004F60A2">
        <w:rPr>
          <w:rStyle w:val="StyleUnderline"/>
        </w:rPr>
        <w:t>programming delays</w:t>
      </w:r>
      <w:r w:rsidRPr="004F60A2">
        <w:rPr>
          <w:sz w:val="16"/>
        </w:rPr>
        <w:t xml:space="preserve">, </w:t>
      </w:r>
      <w:r w:rsidRPr="004F60A2">
        <w:rPr>
          <w:rStyle w:val="StyleUnderline"/>
        </w:rPr>
        <w:t>budget over-runs</w:t>
      </w:r>
      <w:r w:rsidRPr="004F60A2">
        <w:rPr>
          <w:sz w:val="16"/>
        </w:rPr>
        <w:t xml:space="preserve">, </w:t>
      </w:r>
      <w:r w:rsidRPr="004F60A2">
        <w:rPr>
          <w:rStyle w:val="StyleUnderline"/>
        </w:rPr>
        <w:t>environmental pollution</w:t>
      </w:r>
      <w:r w:rsidRPr="004F60A2">
        <w:rPr>
          <w:sz w:val="16"/>
        </w:rPr>
        <w:t xml:space="preserve"> and </w:t>
      </w:r>
      <w:r w:rsidRPr="004F60A2">
        <w:rPr>
          <w:rStyle w:val="StyleUnderline"/>
        </w:rPr>
        <w:t>prolonged contractual disputes</w:t>
      </w:r>
      <w:r w:rsidRPr="004F60A2">
        <w:rPr>
          <w:sz w:val="16"/>
        </w:rPr>
        <w:t>. Therefore, efforts have been devoted to studies to investigate various methods for mitigating the impact arising from these risks [20], [19], [21] and [22].</w:t>
      </w:r>
    </w:p>
    <w:p w:rsidR="004F60A2" w:rsidRPr="004F60A2" w:rsidRDefault="004F60A2" w:rsidP="004F60A2">
      <w:pPr>
        <w:rPr>
          <w:sz w:val="16"/>
        </w:rPr>
      </w:pPr>
      <w:r w:rsidRPr="004F60A2">
        <w:rPr>
          <w:rStyle w:val="StyleUnderline"/>
        </w:rPr>
        <w:t>A number of studies have been undertaken worldwide</w:t>
      </w:r>
      <w:r w:rsidRPr="004F60A2">
        <w:rPr>
          <w:sz w:val="16"/>
        </w:rPr>
        <w:t xml:space="preserve"> to identify the risks that affect the performance of public sector projects for example, [23], [24], [25], [26], [27], [28], [29], [30], [31], [32], [33] and [34]. </w:t>
      </w:r>
      <w:r w:rsidRPr="004F60A2">
        <w:rPr>
          <w:rStyle w:val="StyleUnderline"/>
        </w:rPr>
        <w:t xml:space="preserve">According to these studies, risks affecting public sector projects </w:t>
      </w:r>
      <w:r w:rsidRPr="004F60A2">
        <w:rPr>
          <w:sz w:val="16"/>
        </w:rPr>
        <w:t>can be grouped</w:t>
      </w:r>
      <w:r w:rsidRPr="004F60A2">
        <w:rPr>
          <w:rStyle w:val="StyleUnderline"/>
        </w:rPr>
        <w:t xml:space="preserve"> </w:t>
      </w:r>
      <w:r w:rsidRPr="004F60A2">
        <w:rPr>
          <w:sz w:val="16"/>
        </w:rPr>
        <w:t>into the following major categories:</w:t>
      </w:r>
    </w:p>
    <w:p w:rsidR="004F60A2" w:rsidRPr="004F60A2" w:rsidRDefault="004F60A2" w:rsidP="004F60A2">
      <w:pPr>
        <w:rPr>
          <w:sz w:val="16"/>
        </w:rPr>
      </w:pPr>
      <w:r w:rsidRPr="004F60A2">
        <w:rPr>
          <w:sz w:val="16"/>
        </w:rPr>
        <w:t xml:space="preserve">•Project-related risks: </w:t>
      </w:r>
      <w:r w:rsidRPr="004F60A2">
        <w:rPr>
          <w:rStyle w:val="StyleUnderline"/>
        </w:rPr>
        <w:t>These risks include cost and time overruns</w:t>
      </w:r>
      <w:r w:rsidRPr="004F60A2">
        <w:rPr>
          <w:sz w:val="16"/>
        </w:rPr>
        <w:t xml:space="preserve">, poor contract management, contractual disputes, </w:t>
      </w:r>
      <w:r w:rsidRPr="004F60A2">
        <w:rPr>
          <w:rStyle w:val="StyleUnderline"/>
        </w:rPr>
        <w:t>delays of tendering and selection procedures</w:t>
      </w:r>
      <w:r w:rsidRPr="004F60A2">
        <w:rPr>
          <w:sz w:val="16"/>
        </w:rPr>
        <w:t xml:space="preserve">, </w:t>
      </w:r>
      <w:r w:rsidRPr="004F60A2">
        <w:rPr>
          <w:rStyle w:val="StyleUnderline"/>
        </w:rPr>
        <w:t>poor communication</w:t>
      </w:r>
      <w:r w:rsidRPr="004F60A2">
        <w:rPr>
          <w:sz w:val="16"/>
        </w:rPr>
        <w:t xml:space="preserve"> between project parties.</w:t>
      </w:r>
    </w:p>
    <w:p w:rsidR="004F60A2" w:rsidRPr="004F60A2" w:rsidRDefault="004F60A2" w:rsidP="004F60A2">
      <w:pPr>
        <w:rPr>
          <w:sz w:val="16"/>
        </w:rPr>
      </w:pPr>
      <w:r w:rsidRPr="004F60A2">
        <w:rPr>
          <w:sz w:val="16"/>
        </w:rPr>
        <w:t xml:space="preserve">•Government-related risks: These risks consist of </w:t>
      </w:r>
      <w:r w:rsidRPr="004F60A2">
        <w:rPr>
          <w:rStyle w:val="StyleUnderline"/>
        </w:rPr>
        <w:t>inadequate approved project budgets</w:t>
      </w:r>
      <w:r w:rsidRPr="004F60A2">
        <w:rPr>
          <w:sz w:val="16"/>
        </w:rPr>
        <w:t xml:space="preserve">, </w:t>
      </w:r>
      <w:r w:rsidRPr="004F60A2">
        <w:rPr>
          <w:rStyle w:val="StyleUnderline"/>
        </w:rPr>
        <w:t>delays in obtaining permissions</w:t>
      </w:r>
      <w:r w:rsidRPr="004F60A2">
        <w:rPr>
          <w:sz w:val="16"/>
        </w:rPr>
        <w:t xml:space="preserve">, changes in Government regulations and laws, </w:t>
      </w:r>
      <w:r w:rsidRPr="004F60A2">
        <w:rPr>
          <w:rStyle w:val="StyleUnderline"/>
        </w:rPr>
        <w:t>lack of project</w:t>
      </w:r>
      <w:r w:rsidRPr="004F60A2">
        <w:rPr>
          <w:sz w:val="16"/>
        </w:rPr>
        <w:t xml:space="preserve"> </w:t>
      </w:r>
      <w:r w:rsidRPr="004F60A2">
        <w:rPr>
          <w:rStyle w:val="StyleUnderline"/>
        </w:rPr>
        <w:t>controls</w:t>
      </w:r>
      <w:r w:rsidRPr="004F60A2">
        <w:rPr>
          <w:sz w:val="16"/>
        </w:rPr>
        <w:t>, administrative interference.</w:t>
      </w:r>
    </w:p>
    <w:p w:rsidR="004F60A2" w:rsidRPr="004F60A2" w:rsidRDefault="004F60A2" w:rsidP="004F60A2">
      <w:pPr>
        <w:rPr>
          <w:sz w:val="16"/>
        </w:rPr>
      </w:pPr>
      <w:r w:rsidRPr="004F60A2">
        <w:rPr>
          <w:sz w:val="16"/>
        </w:rPr>
        <w:t>•Client-related risks: These risks include inadequate project budgets, poor project brief, variations in project specifications, delays in the settlement of contractor’s claims, lack of project control.</w:t>
      </w:r>
    </w:p>
    <w:p w:rsidR="004F60A2" w:rsidRPr="004F60A2" w:rsidRDefault="004F60A2" w:rsidP="004F60A2">
      <w:pPr>
        <w:rPr>
          <w:sz w:val="16"/>
        </w:rPr>
      </w:pPr>
      <w:r w:rsidRPr="004F60A2">
        <w:rPr>
          <w:sz w:val="16"/>
        </w:rPr>
        <w:t xml:space="preserve">•Design-related risks: These risks represent </w:t>
      </w:r>
      <w:r w:rsidRPr="004F60A2">
        <w:rPr>
          <w:rStyle w:val="StyleUnderline"/>
        </w:rPr>
        <w:t>inadequate soil investigation</w:t>
      </w:r>
      <w:r w:rsidRPr="004F60A2">
        <w:rPr>
          <w:sz w:val="16"/>
        </w:rPr>
        <w:t xml:space="preserve">, </w:t>
      </w:r>
      <w:r w:rsidRPr="004F60A2">
        <w:rPr>
          <w:rStyle w:val="StyleUnderline"/>
        </w:rPr>
        <w:t>delays in design</w:t>
      </w:r>
      <w:r w:rsidRPr="004F60A2">
        <w:rPr>
          <w:sz w:val="16"/>
        </w:rPr>
        <w:t>, ambiguities and inconsistencies in design and design changes.</w:t>
      </w:r>
    </w:p>
    <w:p w:rsidR="004F60A2" w:rsidRPr="004F60A2" w:rsidRDefault="004F60A2" w:rsidP="004F60A2">
      <w:pPr>
        <w:rPr>
          <w:sz w:val="16"/>
        </w:rPr>
      </w:pPr>
      <w:r w:rsidRPr="004F60A2">
        <w:rPr>
          <w:sz w:val="16"/>
        </w:rPr>
        <w:t xml:space="preserve">•Contractor-related risks: These risks include inadequate estimates, </w:t>
      </w:r>
      <w:r w:rsidRPr="004F60A2">
        <w:rPr>
          <w:rStyle w:val="StyleUnderline"/>
        </w:rPr>
        <w:t>financial difficulties</w:t>
      </w:r>
      <w:r w:rsidRPr="004F60A2">
        <w:rPr>
          <w:sz w:val="16"/>
        </w:rPr>
        <w:t xml:space="preserve">, </w:t>
      </w:r>
      <w:r w:rsidRPr="004F60A2">
        <w:rPr>
          <w:rStyle w:val="StyleUnderline"/>
        </w:rPr>
        <w:t>lack of experience</w:t>
      </w:r>
      <w:r w:rsidRPr="004F60A2">
        <w:rPr>
          <w:sz w:val="16"/>
        </w:rPr>
        <w:t>, poor management, difficult in controlling nominated subcontractors.</w:t>
      </w:r>
    </w:p>
    <w:p w:rsidR="004F60A2" w:rsidRPr="004F60A2" w:rsidRDefault="004F60A2" w:rsidP="004F60A2">
      <w:pPr>
        <w:rPr>
          <w:sz w:val="16"/>
        </w:rPr>
      </w:pPr>
      <w:r w:rsidRPr="004F60A2">
        <w:rPr>
          <w:sz w:val="16"/>
        </w:rPr>
        <w:t>•Consultant-related risks: These risks represent lack of experience, performance delays, poor communication with other project parties.</w:t>
      </w:r>
    </w:p>
    <w:p w:rsidR="004F60A2" w:rsidRPr="004F60A2" w:rsidRDefault="004F60A2" w:rsidP="004F60A2">
      <w:pPr>
        <w:rPr>
          <w:sz w:val="16"/>
        </w:rPr>
      </w:pPr>
      <w:r w:rsidRPr="004F60A2">
        <w:rPr>
          <w:sz w:val="16"/>
        </w:rPr>
        <w:t xml:space="preserve">•Market-related risks: These risks include increase in wages, </w:t>
      </w:r>
      <w:r w:rsidRPr="004F60A2">
        <w:rPr>
          <w:rStyle w:val="StyleUnderline"/>
        </w:rPr>
        <w:t>shortages of technical personnel</w:t>
      </w:r>
      <w:r w:rsidRPr="004F60A2">
        <w:rPr>
          <w:sz w:val="16"/>
        </w:rPr>
        <w:t xml:space="preserve">, materials inflation, </w:t>
      </w:r>
      <w:r w:rsidRPr="004F60A2">
        <w:rPr>
          <w:rStyle w:val="StyleUnderline"/>
        </w:rPr>
        <w:t>shortage of materials</w:t>
      </w:r>
      <w:r w:rsidRPr="004F60A2">
        <w:rPr>
          <w:sz w:val="16"/>
        </w:rPr>
        <w:t xml:space="preserve">, </w:t>
      </w:r>
      <w:r w:rsidRPr="004F60A2">
        <w:rPr>
          <w:rStyle w:val="StyleUnderline"/>
        </w:rPr>
        <w:t>shortage of equipments required</w:t>
      </w:r>
      <w:r w:rsidRPr="004F60A2">
        <w:rPr>
          <w:sz w:val="16"/>
        </w:rPr>
        <w:t>.</w:t>
      </w:r>
    </w:p>
    <w:p w:rsidR="004F60A2" w:rsidRPr="004F60A2" w:rsidRDefault="004F60A2" w:rsidP="004F60A2">
      <w:pPr>
        <w:rPr>
          <w:sz w:val="16"/>
        </w:rPr>
      </w:pPr>
      <w:r w:rsidRPr="004F60A2">
        <w:rPr>
          <w:sz w:val="16"/>
        </w:rPr>
        <w:t xml:space="preserve">It can be seen that many of </w:t>
      </w:r>
      <w:r w:rsidRPr="004F60A2">
        <w:rPr>
          <w:rStyle w:val="StyleUnderline"/>
        </w:rPr>
        <w:t>these risks exist in the early stages of project implementation when project planning and designing are undertaken.</w:t>
      </w:r>
      <w:r w:rsidRPr="004F60A2">
        <w:rPr>
          <w:sz w:val="16"/>
        </w:rPr>
        <w:t xml:space="preserve"> This is because of the consequences that could possibly arise from improper planning and designing. Consequences will be much more costly to resolve in later stages of the project than those errors which arise solely from construction activities. </w:t>
      </w:r>
      <w:r w:rsidRPr="004F60A2">
        <w:rPr>
          <w:rStyle w:val="StyleUnderline"/>
        </w:rPr>
        <w:t xml:space="preserve">It is in this </w:t>
      </w:r>
      <w:r w:rsidRPr="004F60A2">
        <w:rPr>
          <w:sz w:val="16"/>
        </w:rPr>
        <w:t xml:space="preserve">light that the paper proceeds to establish a framework </w:t>
      </w:r>
      <w:r w:rsidRPr="004F60A2">
        <w:rPr>
          <w:rStyle w:val="StyleUnderline"/>
        </w:rPr>
        <w:t>for PPPs in risk mitigation in public sector projects</w:t>
      </w:r>
      <w:r w:rsidRPr="004F60A2">
        <w:rPr>
          <w:sz w:val="16"/>
        </w:rPr>
        <w:t>.</w:t>
      </w:r>
    </w:p>
    <w:p w:rsidR="004F60A2" w:rsidRPr="004F60A2" w:rsidRDefault="004F60A2" w:rsidP="004F60A2"/>
    <w:p w:rsidR="004F60A2" w:rsidRPr="004F60A2" w:rsidRDefault="004F60A2" w:rsidP="004F60A2">
      <w:pPr>
        <w:pStyle w:val="Heading3"/>
        <w:rPr>
          <w:rFonts w:cs="Arial"/>
        </w:rPr>
      </w:pPr>
      <w:r w:rsidRPr="004F60A2">
        <w:rPr>
          <w:rFonts w:cs="Arial"/>
        </w:rPr>
        <w:lastRenderedPageBreak/>
        <w:t>1nc – Exploration</w:t>
      </w:r>
    </w:p>
    <w:p w:rsidR="004F60A2" w:rsidRPr="004F60A2" w:rsidRDefault="004F60A2" w:rsidP="004F60A2">
      <w:pPr>
        <w:pStyle w:val="Heading4"/>
        <w:rPr>
          <w:rFonts w:cs="Arial"/>
        </w:rPr>
      </w:pPr>
      <w:r w:rsidRPr="004F60A2">
        <w:rPr>
          <w:rFonts w:cs="Arial"/>
        </w:rPr>
        <w:t>CP Text: The United States federal government should competitively award concessionary contracts for ocean exploration through a concessionary Public-Private Partnership.</w:t>
      </w:r>
    </w:p>
    <w:p w:rsidR="004F60A2" w:rsidRPr="004F60A2" w:rsidRDefault="004F60A2" w:rsidP="004F60A2"/>
    <w:p w:rsidR="004F60A2" w:rsidRPr="004F60A2" w:rsidRDefault="004F60A2" w:rsidP="004F60A2">
      <w:pPr>
        <w:pStyle w:val="Heading4"/>
        <w:rPr>
          <w:rFonts w:cs="Arial"/>
        </w:rPr>
      </w:pPr>
      <w:r w:rsidRPr="004F60A2">
        <w:rPr>
          <w:rFonts w:cs="Arial"/>
        </w:rPr>
        <w:t xml:space="preserve">Contracting out exploration solves </w:t>
      </w:r>
    </w:p>
    <w:p w:rsidR="004F60A2" w:rsidRPr="004F60A2" w:rsidRDefault="004F60A2" w:rsidP="004F60A2">
      <w:pPr>
        <w:rPr>
          <w:bCs/>
          <w:sz w:val="16"/>
        </w:rPr>
      </w:pPr>
      <w:r w:rsidRPr="004F60A2">
        <w:rPr>
          <w:rStyle w:val="Style13ptBold"/>
        </w:rPr>
        <w:t xml:space="preserve">Orcutt et al. 03, - </w:t>
      </w:r>
      <w:r w:rsidRPr="004F60A2">
        <w:rPr>
          <w:rStyle w:val="Style13ptBold"/>
          <w:b w:val="0"/>
          <w:sz w:val="16"/>
        </w:rPr>
        <w:t>(John Orcutt – Chair @ Scripps Institution of Oceanography, SHIRLEY A. POMPONI – Vice-Chair @ Harbor Branch Oceanographic Institution, TUNDI AGARDY – Sound Seas, GEORGE F. BASS – Texas A&amp;M University, EARL H. DOYLE – retired shell oil, TERRY GARCIA – National Geographic Society, BRUCE GILMAN – retired Sonsub Inc., SUSAN HUMPHRIS – Woods Hole Oceanographic Institution, PAULA KEENER-CHAVIS – College of Charleston, ISAO KOIKE – University of Tokyo, RICHARD LUTZ – Rutgers University, MARCIA MCNUTT – Monterey Bay Aquarium Research Institute, JOHN NORTON MOORE – University of Virginia School of Law, WALTER PITMAN III – Lamont-Doherty Earth Observatory, JÖRN THIEDE – Alfred Wegener Institute, VICTOR M. VICENTE-VIDAL LORANDI – Instituto Politecnico Nacional) (National Research Council - is the working arm of the United States National Academies, which produces reports that shape policies, inform public opinion, and advance the pursuit of science, engineering, and medicine) [Exploration of the Seas Voyage Into The Unknown] (</w:t>
      </w:r>
      <w:hyperlink r:id="rId10" w:history="1">
        <w:r w:rsidRPr="004F60A2">
          <w:rPr>
            <w:rStyle w:val="Hyperlink"/>
            <w:sz w:val="16"/>
          </w:rPr>
          <w:t>http://explore.noaa.gov/sites/OER/Documents/national-research-council-voyage.pdf</w:t>
        </w:r>
      </w:hyperlink>
      <w:r w:rsidRPr="004F60A2">
        <w:rPr>
          <w:rStyle w:val="Style13ptBold"/>
          <w:b w:val="0"/>
          <w:sz w:val="16"/>
        </w:rPr>
        <w:t>) (pg.92) //MC</w:t>
      </w:r>
    </w:p>
    <w:p w:rsidR="004F60A2" w:rsidRPr="004F60A2" w:rsidRDefault="004F60A2" w:rsidP="004F60A2">
      <w:pPr>
        <w:rPr>
          <w:sz w:val="16"/>
        </w:rPr>
      </w:pPr>
      <w:r w:rsidRPr="004F60A2">
        <w:rPr>
          <w:sz w:val="16"/>
        </w:rPr>
        <w:t xml:space="preserve">Finding: </w:t>
      </w:r>
      <w:r w:rsidRPr="004F60A2">
        <w:rPr>
          <w:rStyle w:val="StyleUnderline"/>
        </w:rPr>
        <w:t>Management of large-scale ocean research programs can be effectively and efficiently operated through the use of independent contractors.</w:t>
      </w:r>
      <w:r w:rsidRPr="004F60A2">
        <w:rPr>
          <w:sz w:val="16"/>
        </w:rPr>
        <w:t xml:space="preserve"> Nonfederal operators can receive support from multiple government agencies </w:t>
      </w:r>
      <w:r w:rsidRPr="004F60A2">
        <w:rPr>
          <w:rStyle w:val="StyleUnderline"/>
        </w:rPr>
        <w:t>and receive financial support from private sponsors</w:t>
      </w:r>
      <w:r w:rsidRPr="004F60A2">
        <w:rPr>
          <w:sz w:val="16"/>
        </w:rPr>
        <w:t xml:space="preserve">. Independent audits of program performance can be used to ensure the program is achieving the desired outcomes. </w:t>
      </w:r>
    </w:p>
    <w:p w:rsidR="004F60A2" w:rsidRPr="004F60A2" w:rsidRDefault="004F60A2" w:rsidP="004F60A2">
      <w:pPr>
        <w:rPr>
          <w:rStyle w:val="StyleUnderline"/>
        </w:rPr>
      </w:pPr>
      <w:r w:rsidRPr="004F60A2">
        <w:rPr>
          <w:rStyle w:val="StyleUnderline"/>
        </w:rPr>
        <w:t xml:space="preserve">Recommendation: A nonfederal contractor should be used to operate the proposed U.S. ocean exploration program. The original contract should be awarded following a competitive bidding process. The program should be reviewed periodically and should seek to leverage federal resources for additional private contributions. </w:t>
      </w:r>
    </w:p>
    <w:p w:rsidR="004F60A2" w:rsidRPr="004F60A2" w:rsidRDefault="004F60A2" w:rsidP="004F60A2">
      <w:pPr>
        <w:rPr>
          <w:sz w:val="16"/>
        </w:rPr>
      </w:pPr>
      <w:r w:rsidRPr="004F60A2">
        <w:rPr>
          <w:sz w:val="16"/>
        </w:rPr>
        <w:t xml:space="preserve">SUGGESTIONS FOR THE OPERATION OF AN EXPLORATION OFFICE </w:t>
      </w:r>
    </w:p>
    <w:p w:rsidR="004F60A2" w:rsidRPr="004F60A2" w:rsidRDefault="004F60A2" w:rsidP="004F60A2">
      <w:pPr>
        <w:rPr>
          <w:sz w:val="16"/>
        </w:rPr>
      </w:pPr>
      <w:r w:rsidRPr="004F60A2">
        <w:rPr>
          <w:sz w:val="16"/>
        </w:rPr>
        <w:t xml:space="preserve">The committee believes that </w:t>
      </w:r>
      <w:r w:rsidRPr="004F60A2">
        <w:rPr>
          <w:rStyle w:val="StyleUnderline"/>
        </w:rPr>
        <w:t>the arguments</w:t>
      </w:r>
      <w:r w:rsidRPr="004F60A2">
        <w:rPr>
          <w:sz w:val="16"/>
        </w:rPr>
        <w:t xml:space="preserve"> </w:t>
      </w:r>
      <w:r w:rsidRPr="004F60A2">
        <w:rPr>
          <w:rStyle w:val="StyleUnderline"/>
        </w:rPr>
        <w:t xml:space="preserve">in favor of managing ocean exploration through a nonfederal contractor are compelling, </w:t>
      </w:r>
      <w:r w:rsidRPr="004F60A2">
        <w:rPr>
          <w:rStyle w:val="Emphasis"/>
        </w:rPr>
        <w:t>regardless of which organization sponsors the program</w:t>
      </w:r>
      <w:r w:rsidRPr="004F60A2">
        <w:rPr>
          <w:sz w:val="16"/>
        </w:rPr>
        <w:t xml:space="preserve">. The management of an independent </w:t>
      </w:r>
      <w:r w:rsidRPr="004F60A2">
        <w:rPr>
          <w:rStyle w:val="StyleUnderline"/>
        </w:rPr>
        <w:t>Exploration Program for the Oceans (</w:t>
      </w:r>
      <w:r w:rsidRPr="004F60A2">
        <w:rPr>
          <w:sz w:val="16"/>
        </w:rPr>
        <w:t xml:space="preserve">ExPO) office </w:t>
      </w:r>
      <w:r w:rsidRPr="004F60A2">
        <w:rPr>
          <w:rStyle w:val="StyleUnderline"/>
        </w:rPr>
        <w:t>should be competitively awarded</w:t>
      </w:r>
      <w:r w:rsidRPr="004F60A2">
        <w:rPr>
          <w:sz w:val="16"/>
        </w:rPr>
        <w:t xml:space="preserve">. EXPO would establish science committees to formulate program plans, manage program assets, award competitive grants for exploration proposals consistent with planning, and award other grants and con- tracts. </w:t>
      </w:r>
      <w:r w:rsidRPr="004F60A2">
        <w:rPr>
          <w:rStyle w:val="StyleUnderline"/>
        </w:rPr>
        <w:t>The contracts could include support for important infrastructure, such as data management.</w:t>
      </w:r>
      <w:r w:rsidRPr="004F60A2">
        <w:rPr>
          <w:sz w:val="16"/>
        </w:rPr>
        <w:t xml:space="preserve"> International expertise in the form of an Inter- national Global Ocean Exploration (IGOE) committee would provide the national program with advice from respected ocean explorers worldwide. </w:t>
      </w:r>
      <w:r w:rsidRPr="004F60A2">
        <w:rPr>
          <w:rStyle w:val="StyleUnderline"/>
        </w:rPr>
        <w:t>Because ExPO would be chosen competitively and evaluated periodically, it would be subject to rigorous scrutiny and held to a high standard of accountability</w:t>
      </w:r>
      <w:r w:rsidRPr="004F60A2">
        <w:rPr>
          <w:sz w:val="16"/>
        </w:rPr>
        <w:t xml:space="preserve">. The oversight of ExPO would be critical to ensure proper management and should include a board of governors, science committees, and an IGOE committee participants from the private sector, the academic community, and government would participate in those groups with the exception of the Board of Governors (Figure 5.3). </w:t>
      </w:r>
    </w:p>
    <w:p w:rsidR="004F60A2" w:rsidRPr="004F60A2" w:rsidRDefault="004F60A2" w:rsidP="004F60A2"/>
    <w:p w:rsidR="004F60A2" w:rsidRPr="004F60A2" w:rsidRDefault="004F60A2" w:rsidP="004F60A2">
      <w:pPr>
        <w:pStyle w:val="Heading4"/>
        <w:rPr>
          <w:rFonts w:cs="Arial"/>
        </w:rPr>
      </w:pPr>
      <w:r w:rsidRPr="004F60A2">
        <w:rPr>
          <w:rFonts w:cs="Arial"/>
        </w:rPr>
        <w:t>Concession agreements means companies front the bill and are efficient</w:t>
      </w:r>
    </w:p>
    <w:p w:rsidR="004F60A2" w:rsidRPr="004F60A2" w:rsidRDefault="004F60A2" w:rsidP="004F60A2">
      <w:pPr>
        <w:spacing w:line="240" w:lineRule="auto"/>
        <w:rPr>
          <w:rStyle w:val="Style13ptBold"/>
          <w:b w:val="0"/>
          <w:sz w:val="16"/>
        </w:rPr>
      </w:pPr>
      <w:r w:rsidRPr="004F60A2">
        <w:rPr>
          <w:rStyle w:val="Style13ptBold"/>
        </w:rPr>
        <w:t xml:space="preserve">Turina and Car-Pušić 06, </w:t>
      </w:r>
      <w:r w:rsidRPr="004F60A2">
        <w:rPr>
          <w:rStyle w:val="Style13ptBold"/>
          <w:b w:val="0"/>
          <w:sz w:val="16"/>
        </w:rPr>
        <w:t xml:space="preserve">(Natasa Turina – assistant, Diana Car-Pušić – PhD Assistant Professor </w:t>
      </w:r>
    </w:p>
    <w:p w:rsidR="004F60A2" w:rsidRPr="004F60A2" w:rsidRDefault="004F60A2" w:rsidP="004F60A2">
      <w:pPr>
        <w:spacing w:line="240" w:lineRule="auto"/>
        <w:rPr>
          <w:rStyle w:val="Style13ptBold"/>
          <w:b w:val="0"/>
          <w:sz w:val="16"/>
        </w:rPr>
      </w:pPr>
      <w:r w:rsidRPr="004F60A2">
        <w:rPr>
          <w:rStyle w:val="Style13ptBold"/>
          <w:b w:val="0"/>
          <w:sz w:val="16"/>
        </w:rPr>
        <w:t xml:space="preserve">University of Rijeka of Civil Engineering) [OVERVIEW OF PPP MODELS AND THE ANALYSIS OF THE </w:t>
      </w:r>
    </w:p>
    <w:p w:rsidR="004F60A2" w:rsidRPr="004F60A2" w:rsidRDefault="004F60A2" w:rsidP="004F60A2">
      <w:pPr>
        <w:spacing w:line="240" w:lineRule="auto"/>
        <w:rPr>
          <w:rStyle w:val="Style13ptBold"/>
          <w:b w:val="0"/>
          <w:sz w:val="16"/>
        </w:rPr>
      </w:pPr>
      <w:r w:rsidRPr="004F60A2">
        <w:rPr>
          <w:rStyle w:val="Style13ptBold"/>
          <w:b w:val="0"/>
          <w:sz w:val="16"/>
        </w:rPr>
        <w:t>OPPORTUNITIES FOR THEIR APPLICATION] (</w:t>
      </w:r>
      <w:hyperlink r:id="rId11" w:history="1">
        <w:r w:rsidRPr="004F60A2">
          <w:rPr>
            <w:rStyle w:val="Hyperlink"/>
            <w:sz w:val="16"/>
          </w:rPr>
          <w:t>https://bib.irb.hr/datoteka/254546.Turina_car-pusic.pdf</w:t>
        </w:r>
      </w:hyperlink>
      <w:r w:rsidRPr="004F60A2">
        <w:rPr>
          <w:rStyle w:val="Style13ptBold"/>
          <w:b w:val="0"/>
          <w:sz w:val="16"/>
        </w:rPr>
        <w:t>) //MC</w:t>
      </w:r>
    </w:p>
    <w:p w:rsidR="004F60A2" w:rsidRPr="004F60A2" w:rsidRDefault="004F60A2" w:rsidP="004F60A2">
      <w:pPr>
        <w:rPr>
          <w:sz w:val="16"/>
        </w:rPr>
      </w:pPr>
      <w:r w:rsidRPr="004F60A2">
        <w:rPr>
          <w:rStyle w:val="StyleUnderline"/>
        </w:rPr>
        <w:t>Under a concession, the private partner</w:t>
      </w:r>
      <w:r w:rsidRPr="004F60A2">
        <w:rPr>
          <w:sz w:val="16"/>
        </w:rPr>
        <w:t xml:space="preserve"> (Concessionaire) </w:t>
      </w:r>
      <w:r w:rsidRPr="004F60A2">
        <w:rPr>
          <w:rStyle w:val="StyleUnderline"/>
        </w:rPr>
        <w:t xml:space="preserve">bears </w:t>
      </w:r>
      <w:r w:rsidRPr="004F60A2">
        <w:rPr>
          <w:rStyle w:val="Emphasis"/>
        </w:rPr>
        <w:t>overall responsibility for the services</w:t>
      </w:r>
      <w:r w:rsidRPr="004F60A2">
        <w:rPr>
          <w:rStyle w:val="StyleUnderline"/>
        </w:rPr>
        <w:t>, including operation, maintenance, and management, as well as capital investments</w:t>
      </w:r>
      <w:r w:rsidRPr="004F60A2">
        <w:rPr>
          <w:sz w:val="16"/>
        </w:rPr>
        <w:t xml:space="preserve"> for rehabilitation and renewal of assets, and the expansion of services. </w:t>
      </w:r>
      <w:r w:rsidRPr="004F60A2">
        <w:rPr>
          <w:rStyle w:val="StyleUnderline"/>
        </w:rPr>
        <w:t>Concession can be contracted for an existing facility or for new one. The fixed assets either remain the property of the public authority or revert to public ownership at the end of the concession period</w:t>
      </w:r>
      <w:r w:rsidRPr="004F60A2">
        <w:rPr>
          <w:sz w:val="16"/>
        </w:rPr>
        <w:t xml:space="preserve">. Concession contracts </w:t>
      </w:r>
      <w:r w:rsidRPr="004F60A2">
        <w:rPr>
          <w:rStyle w:val="StyleUnderline"/>
        </w:rPr>
        <w:t>usually last for between twenty to thirty years</w:t>
      </w:r>
      <w:r w:rsidRPr="004F60A2">
        <w:rPr>
          <w:sz w:val="16"/>
        </w:rPr>
        <w:t>,</w:t>
      </w:r>
      <w:r w:rsidRPr="004F60A2">
        <w:rPr>
          <w:rStyle w:val="StyleUnderline"/>
        </w:rPr>
        <w:t xml:space="preserve"> depending on the level of investments and the period required</w:t>
      </w:r>
      <w:r w:rsidRPr="004F60A2">
        <w:rPr>
          <w:sz w:val="16"/>
        </w:rPr>
        <w:t xml:space="preserve"> for the Concessionaire to recover its investments plus a reasonable rate of return. The Concessionaire is paid for its services directly by the consumer, based on the contractually set fee or tariff, which is adjustable over the life of the contract. The main advantage of a concession is that it passes full responsibility for operations, maintenance, rehabilitation, renewal and service expansion to the private partner and so </w:t>
      </w:r>
      <w:r w:rsidRPr="004F60A2">
        <w:rPr>
          <w:rStyle w:val="Emphasis"/>
        </w:rPr>
        <w:t>creates incentives for efficiency</w:t>
      </w:r>
      <w:r w:rsidRPr="004F60A2">
        <w:rPr>
          <w:rStyle w:val="StyleUnderline"/>
        </w:rPr>
        <w:t xml:space="preserve"> in all the utility’s activities. Therefore, concessions are an attractive option where large investments are required.</w:t>
      </w:r>
      <w:r w:rsidRPr="004F60A2">
        <w:rPr>
          <w:sz w:val="16"/>
        </w:rPr>
        <w:t xml:space="preserve"> Concessions are administratively complex undertakings </w:t>
      </w:r>
      <w:r w:rsidRPr="004F60A2">
        <w:rPr>
          <w:sz w:val="16"/>
        </w:rPr>
        <w:lastRenderedPageBreak/>
        <w:t xml:space="preserve">for governments, because they confer a long-term monopoly on the Concessionaire and thus require rigorous monitoring and enforcement. </w:t>
      </w:r>
    </w:p>
    <w:p w:rsidR="004F60A2" w:rsidRPr="004F60A2" w:rsidRDefault="004F60A2" w:rsidP="004F60A2"/>
    <w:p w:rsidR="004F60A2" w:rsidRPr="004F60A2" w:rsidRDefault="004F60A2" w:rsidP="004F60A2">
      <w:pPr>
        <w:pStyle w:val="Heading4"/>
        <w:rPr>
          <w:rFonts w:cs="Arial"/>
        </w:rPr>
      </w:pPr>
      <w:r w:rsidRPr="004F60A2">
        <w:rPr>
          <w:rFonts w:cs="Arial"/>
        </w:rPr>
        <w:t xml:space="preserve">Normal means projects fail –delays and cost-overruns. Public Private Partnerships solve </w:t>
      </w:r>
    </w:p>
    <w:p w:rsidR="004F60A2" w:rsidRPr="004F60A2" w:rsidRDefault="004F60A2" w:rsidP="004F60A2">
      <w:pPr>
        <w:rPr>
          <w:rStyle w:val="Style13ptBold"/>
          <w:b w:val="0"/>
          <w:sz w:val="16"/>
        </w:rPr>
      </w:pPr>
      <w:r w:rsidRPr="004F60A2">
        <w:rPr>
          <w:rStyle w:val="Style13ptBold"/>
        </w:rPr>
        <w:t xml:space="preserve">Shen, Platten and Deng 06, </w:t>
      </w:r>
      <w:r w:rsidRPr="004F60A2">
        <w:rPr>
          <w:rStyle w:val="Style13ptBold"/>
          <w:b w:val="0"/>
          <w:sz w:val="16"/>
        </w:rPr>
        <w:t>(Li-Yin Shen – Department of Building and Real Estate, The Hong Kong Polytechnic University, Andrew Platten – Elevate East Lancashire, X.P. Deng – School of Civil Engineering) [Role of public private partnerships to manage risks in public sector projects in Hong Kong @ International Journal of Project Management Volume 24, Issue 7] (</w:t>
      </w:r>
      <w:hyperlink r:id="rId12" w:history="1">
        <w:r w:rsidRPr="004F60A2">
          <w:rPr>
            <w:rStyle w:val="Hyperlink"/>
            <w:sz w:val="16"/>
          </w:rPr>
          <w:t>http://www.sciencedirect.com/science/article/pii/S0263786306000937</w:t>
        </w:r>
      </w:hyperlink>
      <w:r w:rsidRPr="004F60A2">
        <w:rPr>
          <w:rStyle w:val="Style13ptBold"/>
          <w:b w:val="0"/>
          <w:sz w:val="16"/>
        </w:rPr>
        <w:t>) //MC</w:t>
      </w:r>
    </w:p>
    <w:p w:rsidR="004F60A2" w:rsidRPr="004F60A2" w:rsidRDefault="004F60A2" w:rsidP="004F60A2">
      <w:pPr>
        <w:rPr>
          <w:rStyle w:val="Style13ptBold"/>
          <w:b w:val="0"/>
          <w:bCs w:val="0"/>
          <w:sz w:val="20"/>
        </w:rPr>
      </w:pPr>
      <w:r w:rsidRPr="004F60A2">
        <w:rPr>
          <w:sz w:val="20"/>
        </w:rPr>
        <w:t>*PSP – Public Sector Projects</w:t>
      </w:r>
    </w:p>
    <w:p w:rsidR="004F60A2" w:rsidRPr="004F60A2" w:rsidRDefault="004F60A2" w:rsidP="004F60A2">
      <w:pPr>
        <w:rPr>
          <w:sz w:val="16"/>
        </w:rPr>
      </w:pPr>
      <w:r w:rsidRPr="004F60A2">
        <w:rPr>
          <w:sz w:val="16"/>
        </w:rPr>
        <w:t xml:space="preserve">The process of </w:t>
      </w:r>
      <w:r w:rsidRPr="004F60A2">
        <w:rPr>
          <w:rStyle w:val="StyleUnderline"/>
        </w:rPr>
        <w:t>delivering PSPs</w:t>
      </w:r>
      <w:r w:rsidRPr="004F60A2">
        <w:rPr>
          <w:sz w:val="16"/>
        </w:rPr>
        <w:t xml:space="preserve"> involves distribution of responsibility and authority across a broad range of participants. This process </w:t>
      </w:r>
      <w:r w:rsidRPr="004F60A2">
        <w:rPr>
          <w:rStyle w:val="StyleUnderline"/>
        </w:rPr>
        <w:t>has been</w:t>
      </w:r>
      <w:r w:rsidRPr="004F60A2">
        <w:rPr>
          <w:sz w:val="16"/>
        </w:rPr>
        <w:t xml:space="preserve"> generally </w:t>
      </w:r>
      <w:r w:rsidRPr="004F60A2">
        <w:rPr>
          <w:rStyle w:val="StyleUnderline"/>
        </w:rPr>
        <w:t>characterised by the review of</w:t>
      </w:r>
      <w:r w:rsidRPr="004F60A2">
        <w:rPr>
          <w:sz w:val="16"/>
        </w:rPr>
        <w:t xml:space="preserve"> multiple objectives including </w:t>
      </w:r>
      <w:r w:rsidRPr="004F60A2">
        <w:rPr>
          <w:rStyle w:val="StyleUnderline"/>
        </w:rPr>
        <w:t>quality performance</w:t>
      </w:r>
      <w:r w:rsidRPr="004F60A2">
        <w:rPr>
          <w:sz w:val="16"/>
        </w:rPr>
        <w:t xml:space="preserve">, public </w:t>
      </w:r>
      <w:r w:rsidRPr="004F60A2">
        <w:rPr>
          <w:rStyle w:val="StyleUnderline"/>
        </w:rPr>
        <w:t>satisfaction</w:t>
      </w:r>
      <w:r w:rsidRPr="004F60A2">
        <w:rPr>
          <w:sz w:val="16"/>
        </w:rPr>
        <w:t xml:space="preserve">, </w:t>
      </w:r>
      <w:r w:rsidRPr="004F60A2">
        <w:rPr>
          <w:rStyle w:val="StyleUnderline"/>
        </w:rPr>
        <w:t>financial return</w:t>
      </w:r>
      <w:r w:rsidRPr="004F60A2">
        <w:rPr>
          <w:sz w:val="16"/>
        </w:rPr>
        <w:t xml:space="preserve">, </w:t>
      </w:r>
      <w:r w:rsidRPr="004F60A2">
        <w:rPr>
          <w:rStyle w:val="StyleUnderline"/>
        </w:rPr>
        <w:t>environmental performance</w:t>
      </w:r>
      <w:r w:rsidRPr="004F60A2">
        <w:rPr>
          <w:sz w:val="16"/>
        </w:rPr>
        <w:t xml:space="preserve"> </w:t>
      </w:r>
      <w:r w:rsidRPr="004F60A2">
        <w:rPr>
          <w:rStyle w:val="StyleUnderline"/>
        </w:rPr>
        <w:t>and safety</w:t>
      </w:r>
      <w:r w:rsidRPr="004F60A2">
        <w:rPr>
          <w:sz w:val="16"/>
        </w:rPr>
        <w:t xml:space="preserve"> performance</w:t>
      </w:r>
      <w:r w:rsidRPr="004F60A2">
        <w:t xml:space="preserve">. </w:t>
      </w:r>
      <w:r w:rsidRPr="004F60A2">
        <w:rPr>
          <w:rStyle w:val="StyleUnderline"/>
        </w:rPr>
        <w:t>Baldry</w:t>
      </w:r>
      <w:r w:rsidRPr="004F60A2">
        <w:rPr>
          <w:sz w:val="16"/>
        </w:rPr>
        <w:t xml:space="preserve"> [19] </w:t>
      </w:r>
      <w:r w:rsidRPr="004F60A2">
        <w:rPr>
          <w:rStyle w:val="StyleUnderline"/>
        </w:rPr>
        <w:t>identified a number of features embodied in committing to public sector projects</w:t>
      </w:r>
      <w:r w:rsidRPr="004F60A2">
        <w:rPr>
          <w:sz w:val="16"/>
        </w:rPr>
        <w:t xml:space="preserve">, such as that the execution of the projects </w:t>
      </w:r>
      <w:r w:rsidRPr="004F60A2">
        <w:rPr>
          <w:rStyle w:val="StyleUnderline"/>
        </w:rPr>
        <w:t>is rarely intended as a mean to realise a pure financial reward or speculative gain</w:t>
      </w:r>
      <w:r w:rsidRPr="004F60A2">
        <w:rPr>
          <w:sz w:val="16"/>
        </w:rPr>
        <w:t xml:space="preserve">; </w:t>
      </w:r>
      <w:r w:rsidRPr="004F60A2">
        <w:rPr>
          <w:rStyle w:val="StyleUnderline"/>
        </w:rPr>
        <w:t>that project function is invariably to support an operational activity or to meet a service</w:t>
      </w:r>
      <w:r w:rsidRPr="004F60A2">
        <w:rPr>
          <w:sz w:val="16"/>
        </w:rPr>
        <w:t xml:space="preserve"> of benefit to a large body of consumers. Baldry [19] further states that </w:t>
      </w:r>
      <w:r w:rsidRPr="004F60A2">
        <w:rPr>
          <w:rStyle w:val="StyleUnderline"/>
        </w:rPr>
        <w:t>the risk impacts extend beyond straightforward financial damage into operational disturbance</w:t>
      </w:r>
      <w:r w:rsidRPr="004F60A2">
        <w:rPr>
          <w:sz w:val="16"/>
        </w:rPr>
        <w:t xml:space="preserve">, loss of service or amenity, user dissatisfaction, and disruption of strategic planning processes; and that success criteria are many and varied. These features indicate that the </w:t>
      </w:r>
      <w:r w:rsidRPr="004F60A2">
        <w:rPr>
          <w:rStyle w:val="StyleUnderline"/>
        </w:rPr>
        <w:t>multiple objectives in implementing a public sector project are affected by a wide range of risks that exist in different dimensions and at different stages in project life cycle. Thus, the risk</w:t>
      </w:r>
      <w:r w:rsidRPr="004F60A2">
        <w:rPr>
          <w:sz w:val="16"/>
        </w:rPr>
        <w:t xml:space="preserve"> outcomes </w:t>
      </w:r>
      <w:r w:rsidRPr="004F60A2">
        <w:rPr>
          <w:rStyle w:val="StyleUnderline"/>
        </w:rPr>
        <w:t>are beyond the scope of the project itsel</w:t>
      </w:r>
      <w:r w:rsidRPr="004F60A2">
        <w:rPr>
          <w:sz w:val="16"/>
        </w:rPr>
        <w:t xml:space="preserve">f. These risks are typically grouped into various categories such as contractual, environmental, financial, economic, market, logistical, design, construction and operational risks. </w:t>
      </w:r>
      <w:r w:rsidRPr="004F60A2">
        <w:rPr>
          <w:rStyle w:val="StyleUnderline"/>
        </w:rPr>
        <w:t>The failure</w:t>
      </w:r>
      <w:r w:rsidRPr="004F60A2">
        <w:rPr>
          <w:sz w:val="16"/>
        </w:rPr>
        <w:t xml:space="preserve"> to manage these risks effectively may </w:t>
      </w:r>
      <w:r w:rsidRPr="004F60A2">
        <w:rPr>
          <w:rStyle w:val="StyleUnderline"/>
        </w:rPr>
        <w:t>lead to</w:t>
      </w:r>
      <w:r w:rsidRPr="004F60A2">
        <w:rPr>
          <w:sz w:val="16"/>
        </w:rPr>
        <w:t xml:space="preserve"> serious consequences including poor quality, </w:t>
      </w:r>
      <w:r w:rsidRPr="004F60A2">
        <w:rPr>
          <w:rStyle w:val="StyleUnderline"/>
        </w:rPr>
        <w:t>programming delays</w:t>
      </w:r>
      <w:r w:rsidRPr="004F60A2">
        <w:rPr>
          <w:sz w:val="16"/>
        </w:rPr>
        <w:t xml:space="preserve">, </w:t>
      </w:r>
      <w:r w:rsidRPr="004F60A2">
        <w:rPr>
          <w:rStyle w:val="StyleUnderline"/>
        </w:rPr>
        <w:t>budget over-runs</w:t>
      </w:r>
      <w:r w:rsidRPr="004F60A2">
        <w:rPr>
          <w:sz w:val="16"/>
        </w:rPr>
        <w:t xml:space="preserve">, </w:t>
      </w:r>
      <w:r w:rsidRPr="004F60A2">
        <w:rPr>
          <w:rStyle w:val="StyleUnderline"/>
        </w:rPr>
        <w:t>environmental pollution</w:t>
      </w:r>
      <w:r w:rsidRPr="004F60A2">
        <w:rPr>
          <w:sz w:val="16"/>
        </w:rPr>
        <w:t xml:space="preserve"> and </w:t>
      </w:r>
      <w:r w:rsidRPr="004F60A2">
        <w:rPr>
          <w:rStyle w:val="StyleUnderline"/>
        </w:rPr>
        <w:t>prolonged contractual disputes</w:t>
      </w:r>
      <w:r w:rsidRPr="004F60A2">
        <w:rPr>
          <w:sz w:val="16"/>
        </w:rPr>
        <w:t>. Therefore, efforts have been devoted to studies to investigate various methods for mitigating the impact arising from these risks [20], [19], [21] and [22].</w:t>
      </w:r>
    </w:p>
    <w:p w:rsidR="004F60A2" w:rsidRPr="004F60A2" w:rsidRDefault="004F60A2" w:rsidP="004F60A2">
      <w:pPr>
        <w:rPr>
          <w:sz w:val="16"/>
        </w:rPr>
      </w:pPr>
      <w:r w:rsidRPr="004F60A2">
        <w:rPr>
          <w:rStyle w:val="StyleUnderline"/>
        </w:rPr>
        <w:t>A number of studies have been undertaken worldwide</w:t>
      </w:r>
      <w:r w:rsidRPr="004F60A2">
        <w:rPr>
          <w:sz w:val="16"/>
        </w:rPr>
        <w:t xml:space="preserve"> to identify the risks that affect the performance of public sector projects for example, [23], [24], [25], [26], [27], [28], [29], [30], [31], [32], [33] and [34]. </w:t>
      </w:r>
      <w:r w:rsidRPr="004F60A2">
        <w:rPr>
          <w:rStyle w:val="StyleUnderline"/>
        </w:rPr>
        <w:t xml:space="preserve">According to these studies, risks affecting public sector projects </w:t>
      </w:r>
      <w:r w:rsidRPr="004F60A2">
        <w:rPr>
          <w:sz w:val="16"/>
        </w:rPr>
        <w:t>can be grouped</w:t>
      </w:r>
      <w:r w:rsidRPr="004F60A2">
        <w:rPr>
          <w:rStyle w:val="StyleUnderline"/>
        </w:rPr>
        <w:t xml:space="preserve"> </w:t>
      </w:r>
      <w:r w:rsidRPr="004F60A2">
        <w:rPr>
          <w:sz w:val="16"/>
        </w:rPr>
        <w:t>into the following major categories:</w:t>
      </w:r>
    </w:p>
    <w:p w:rsidR="004F60A2" w:rsidRPr="004F60A2" w:rsidRDefault="004F60A2" w:rsidP="004F60A2">
      <w:pPr>
        <w:rPr>
          <w:sz w:val="16"/>
        </w:rPr>
      </w:pPr>
      <w:r w:rsidRPr="004F60A2">
        <w:rPr>
          <w:sz w:val="16"/>
        </w:rPr>
        <w:t xml:space="preserve">•Project-related risks: </w:t>
      </w:r>
      <w:r w:rsidRPr="004F60A2">
        <w:rPr>
          <w:rStyle w:val="StyleUnderline"/>
        </w:rPr>
        <w:t>These risks include cost and time overruns</w:t>
      </w:r>
      <w:r w:rsidRPr="004F60A2">
        <w:rPr>
          <w:sz w:val="16"/>
        </w:rPr>
        <w:t xml:space="preserve">, poor contract management, contractual disputes, </w:t>
      </w:r>
      <w:r w:rsidRPr="004F60A2">
        <w:rPr>
          <w:rStyle w:val="StyleUnderline"/>
        </w:rPr>
        <w:t>delays of tendering and selection procedures</w:t>
      </w:r>
      <w:r w:rsidRPr="004F60A2">
        <w:rPr>
          <w:sz w:val="16"/>
        </w:rPr>
        <w:t xml:space="preserve">, </w:t>
      </w:r>
      <w:r w:rsidRPr="004F60A2">
        <w:rPr>
          <w:rStyle w:val="StyleUnderline"/>
        </w:rPr>
        <w:t>poor communication</w:t>
      </w:r>
      <w:r w:rsidRPr="004F60A2">
        <w:rPr>
          <w:sz w:val="16"/>
        </w:rPr>
        <w:t xml:space="preserve"> between project parties.</w:t>
      </w:r>
    </w:p>
    <w:p w:rsidR="004F60A2" w:rsidRPr="004F60A2" w:rsidRDefault="004F60A2" w:rsidP="004F60A2">
      <w:pPr>
        <w:rPr>
          <w:sz w:val="16"/>
        </w:rPr>
      </w:pPr>
      <w:r w:rsidRPr="004F60A2">
        <w:rPr>
          <w:sz w:val="16"/>
        </w:rPr>
        <w:t xml:space="preserve">•Government-related risks: These risks consist of </w:t>
      </w:r>
      <w:r w:rsidRPr="004F60A2">
        <w:rPr>
          <w:rStyle w:val="StyleUnderline"/>
        </w:rPr>
        <w:t>inadequate approved project budgets</w:t>
      </w:r>
      <w:r w:rsidRPr="004F60A2">
        <w:rPr>
          <w:sz w:val="16"/>
        </w:rPr>
        <w:t xml:space="preserve">, </w:t>
      </w:r>
      <w:r w:rsidRPr="004F60A2">
        <w:rPr>
          <w:rStyle w:val="StyleUnderline"/>
        </w:rPr>
        <w:t>delays in obtaining permissions</w:t>
      </w:r>
      <w:r w:rsidRPr="004F60A2">
        <w:rPr>
          <w:sz w:val="16"/>
        </w:rPr>
        <w:t xml:space="preserve">, changes in Government regulations and laws, </w:t>
      </w:r>
      <w:r w:rsidRPr="004F60A2">
        <w:rPr>
          <w:rStyle w:val="StyleUnderline"/>
        </w:rPr>
        <w:t>lack of project</w:t>
      </w:r>
      <w:r w:rsidRPr="004F60A2">
        <w:rPr>
          <w:sz w:val="16"/>
        </w:rPr>
        <w:t xml:space="preserve"> </w:t>
      </w:r>
      <w:r w:rsidRPr="004F60A2">
        <w:rPr>
          <w:rStyle w:val="StyleUnderline"/>
        </w:rPr>
        <w:t>controls</w:t>
      </w:r>
      <w:r w:rsidRPr="004F60A2">
        <w:rPr>
          <w:sz w:val="16"/>
        </w:rPr>
        <w:t>, administrative interference.</w:t>
      </w:r>
    </w:p>
    <w:p w:rsidR="004F60A2" w:rsidRPr="004F60A2" w:rsidRDefault="004F60A2" w:rsidP="004F60A2">
      <w:pPr>
        <w:rPr>
          <w:sz w:val="16"/>
        </w:rPr>
      </w:pPr>
      <w:r w:rsidRPr="004F60A2">
        <w:rPr>
          <w:sz w:val="16"/>
        </w:rPr>
        <w:t>•Client-related risks: These risks include inadequate project budgets, poor project brief, variations in project specifications, delays in the settlement of contractor’s claims, lack of project control.</w:t>
      </w:r>
    </w:p>
    <w:p w:rsidR="004F60A2" w:rsidRPr="004F60A2" w:rsidRDefault="004F60A2" w:rsidP="004F60A2">
      <w:pPr>
        <w:rPr>
          <w:sz w:val="16"/>
        </w:rPr>
      </w:pPr>
      <w:r w:rsidRPr="004F60A2">
        <w:rPr>
          <w:sz w:val="16"/>
        </w:rPr>
        <w:t xml:space="preserve">•Design-related risks: These risks represent </w:t>
      </w:r>
      <w:r w:rsidRPr="004F60A2">
        <w:rPr>
          <w:rStyle w:val="StyleUnderline"/>
        </w:rPr>
        <w:t>inadequate soil investigation</w:t>
      </w:r>
      <w:r w:rsidRPr="004F60A2">
        <w:rPr>
          <w:sz w:val="16"/>
        </w:rPr>
        <w:t xml:space="preserve">, </w:t>
      </w:r>
      <w:r w:rsidRPr="004F60A2">
        <w:rPr>
          <w:rStyle w:val="StyleUnderline"/>
        </w:rPr>
        <w:t>delays in design</w:t>
      </w:r>
      <w:r w:rsidRPr="004F60A2">
        <w:rPr>
          <w:sz w:val="16"/>
        </w:rPr>
        <w:t>, ambiguities and inconsistencies in design and design changes.</w:t>
      </w:r>
    </w:p>
    <w:p w:rsidR="004F60A2" w:rsidRPr="004F60A2" w:rsidRDefault="004F60A2" w:rsidP="004F60A2">
      <w:pPr>
        <w:rPr>
          <w:sz w:val="16"/>
        </w:rPr>
      </w:pPr>
      <w:r w:rsidRPr="004F60A2">
        <w:rPr>
          <w:sz w:val="16"/>
        </w:rPr>
        <w:t xml:space="preserve">•Contractor-related risks: These risks include inadequate estimates, </w:t>
      </w:r>
      <w:r w:rsidRPr="004F60A2">
        <w:rPr>
          <w:rStyle w:val="StyleUnderline"/>
        </w:rPr>
        <w:t>financial difficulties</w:t>
      </w:r>
      <w:r w:rsidRPr="004F60A2">
        <w:rPr>
          <w:sz w:val="16"/>
        </w:rPr>
        <w:t xml:space="preserve">, </w:t>
      </w:r>
      <w:r w:rsidRPr="004F60A2">
        <w:rPr>
          <w:rStyle w:val="StyleUnderline"/>
        </w:rPr>
        <w:t>lack of experience</w:t>
      </w:r>
      <w:r w:rsidRPr="004F60A2">
        <w:rPr>
          <w:sz w:val="16"/>
        </w:rPr>
        <w:t>, poor management, difficult in controlling nominated subcontractors.</w:t>
      </w:r>
    </w:p>
    <w:p w:rsidR="004F60A2" w:rsidRPr="004F60A2" w:rsidRDefault="004F60A2" w:rsidP="004F60A2">
      <w:pPr>
        <w:rPr>
          <w:sz w:val="16"/>
        </w:rPr>
      </w:pPr>
      <w:r w:rsidRPr="004F60A2">
        <w:rPr>
          <w:sz w:val="16"/>
        </w:rPr>
        <w:t>•Consultant-related risks: These risks represent lack of experience, performance delays, poor communication with other project parties.</w:t>
      </w:r>
    </w:p>
    <w:p w:rsidR="004F60A2" w:rsidRPr="004F60A2" w:rsidRDefault="004F60A2" w:rsidP="004F60A2">
      <w:pPr>
        <w:rPr>
          <w:sz w:val="16"/>
        </w:rPr>
      </w:pPr>
      <w:r w:rsidRPr="004F60A2">
        <w:rPr>
          <w:sz w:val="16"/>
        </w:rPr>
        <w:t xml:space="preserve">•Market-related risks: These risks include increase in wages, </w:t>
      </w:r>
      <w:r w:rsidRPr="004F60A2">
        <w:rPr>
          <w:rStyle w:val="StyleUnderline"/>
        </w:rPr>
        <w:t>shortages of technical personnel</w:t>
      </w:r>
      <w:r w:rsidRPr="004F60A2">
        <w:rPr>
          <w:sz w:val="16"/>
        </w:rPr>
        <w:t xml:space="preserve">, materials inflation, </w:t>
      </w:r>
      <w:r w:rsidRPr="004F60A2">
        <w:rPr>
          <w:rStyle w:val="StyleUnderline"/>
        </w:rPr>
        <w:t>shortage of materials</w:t>
      </w:r>
      <w:r w:rsidRPr="004F60A2">
        <w:rPr>
          <w:sz w:val="16"/>
        </w:rPr>
        <w:t xml:space="preserve">, </w:t>
      </w:r>
      <w:r w:rsidRPr="004F60A2">
        <w:rPr>
          <w:rStyle w:val="StyleUnderline"/>
        </w:rPr>
        <w:t>shortage of equipments required</w:t>
      </w:r>
      <w:r w:rsidRPr="004F60A2">
        <w:rPr>
          <w:sz w:val="16"/>
        </w:rPr>
        <w:t>.</w:t>
      </w:r>
    </w:p>
    <w:p w:rsidR="004F60A2" w:rsidRPr="004F60A2" w:rsidRDefault="004F60A2" w:rsidP="004F60A2">
      <w:pPr>
        <w:rPr>
          <w:sz w:val="16"/>
        </w:rPr>
      </w:pPr>
      <w:r w:rsidRPr="004F60A2">
        <w:rPr>
          <w:sz w:val="16"/>
        </w:rPr>
        <w:t xml:space="preserve">It can be seen that many of </w:t>
      </w:r>
      <w:r w:rsidRPr="004F60A2">
        <w:rPr>
          <w:rStyle w:val="StyleUnderline"/>
        </w:rPr>
        <w:t>these risks exist in the early stages of project implementation when project planning and designing are undertaken.</w:t>
      </w:r>
      <w:r w:rsidRPr="004F60A2">
        <w:rPr>
          <w:sz w:val="16"/>
        </w:rPr>
        <w:t xml:space="preserve"> This is because of the consequences that could possibly arise from improper planning and designing. Consequences will be much more costly to resolve in later stages of the project than those errors which arise solely from construction activities. </w:t>
      </w:r>
      <w:r w:rsidRPr="004F60A2">
        <w:rPr>
          <w:rStyle w:val="StyleUnderline"/>
        </w:rPr>
        <w:t xml:space="preserve">It is in this </w:t>
      </w:r>
      <w:r w:rsidRPr="004F60A2">
        <w:rPr>
          <w:sz w:val="16"/>
        </w:rPr>
        <w:t xml:space="preserve">light that the paper proceeds to establish a framework </w:t>
      </w:r>
      <w:r w:rsidRPr="004F60A2">
        <w:rPr>
          <w:rStyle w:val="StyleUnderline"/>
        </w:rPr>
        <w:t>for PPPs in risk mitigation in public sector projects</w:t>
      </w:r>
      <w:r w:rsidRPr="004F60A2">
        <w:rPr>
          <w:sz w:val="16"/>
        </w:rPr>
        <w:t>.</w:t>
      </w:r>
    </w:p>
    <w:p w:rsidR="004F60A2" w:rsidRPr="004F60A2" w:rsidRDefault="004F60A2" w:rsidP="004F60A2"/>
    <w:p w:rsidR="004F60A2" w:rsidRPr="004F60A2" w:rsidRDefault="004F60A2" w:rsidP="004F60A2">
      <w:pPr>
        <w:pStyle w:val="Heading3"/>
        <w:rPr>
          <w:rFonts w:cs="Arial"/>
        </w:rPr>
      </w:pPr>
      <w:bookmarkStart w:id="0" w:name="_GoBack"/>
      <w:bookmarkEnd w:id="0"/>
      <w:r w:rsidRPr="004F60A2">
        <w:rPr>
          <w:rFonts w:cs="Arial"/>
        </w:rPr>
        <w:lastRenderedPageBreak/>
        <w:t>Generic PPA</w:t>
      </w:r>
    </w:p>
    <w:p w:rsidR="004F60A2" w:rsidRPr="004F60A2" w:rsidRDefault="004F60A2" w:rsidP="004F60A2">
      <w:pPr>
        <w:pStyle w:val="Heading4"/>
        <w:rPr>
          <w:rFonts w:cs="Arial"/>
        </w:rPr>
      </w:pPr>
      <w:r w:rsidRPr="004F60A2">
        <w:rPr>
          <w:rFonts w:cs="Arial"/>
        </w:rPr>
        <w:t xml:space="preserve">States PPA’s create demand for renewables </w:t>
      </w:r>
    </w:p>
    <w:p w:rsidR="004F60A2" w:rsidRPr="004F60A2" w:rsidRDefault="004F60A2" w:rsidP="004F60A2">
      <w:pPr>
        <w:rPr>
          <w:bCs/>
          <w:sz w:val="16"/>
        </w:rPr>
      </w:pPr>
      <w:r w:rsidRPr="004F60A2">
        <w:rPr>
          <w:rStyle w:val="Style13ptBold"/>
        </w:rPr>
        <w:t xml:space="preserve">Harmon 11, </w:t>
      </w:r>
      <w:r w:rsidRPr="004F60A2">
        <w:rPr>
          <w:rStyle w:val="Style13ptBold"/>
          <w:b w:val="0"/>
          <w:sz w:val="16"/>
        </w:rPr>
        <w:t>(Robert K. – member of the Oregon Wave Energy Trust (OWET) is a nonprofit public-private partnership funded by the Oregon Innovation Council.) [Incentivizing Ocean Energy] (</w:t>
      </w:r>
      <w:hyperlink r:id="rId13" w:history="1">
        <w:r w:rsidRPr="004F60A2">
          <w:rPr>
            <w:rStyle w:val="Hyperlink"/>
            <w:sz w:val="16"/>
          </w:rPr>
          <w:t>http://oregonwave.org/oceanic/wp-content/uploads/2013/05/Incentivizing-Ocean-Energy-%E2%80%93-July-2011.pdf</w:t>
        </w:r>
      </w:hyperlink>
      <w:r w:rsidRPr="004F60A2">
        <w:rPr>
          <w:rStyle w:val="Style13ptBold"/>
          <w:b w:val="0"/>
          <w:sz w:val="16"/>
        </w:rPr>
        <w:t>) (pg.45-46) //MC</w:t>
      </w:r>
    </w:p>
    <w:p w:rsidR="004F60A2" w:rsidRPr="004F60A2" w:rsidRDefault="004F60A2" w:rsidP="004F60A2">
      <w:pPr>
        <w:rPr>
          <w:sz w:val="16"/>
          <w:szCs w:val="16"/>
        </w:rPr>
      </w:pPr>
      <w:r w:rsidRPr="004F60A2">
        <w:rPr>
          <w:rStyle w:val="StyleUnderline"/>
        </w:rPr>
        <w:t>PPAs are a contractual mechanism</w:t>
      </w:r>
      <w:r w:rsidRPr="004F60A2">
        <w:rPr>
          <w:sz w:val="16"/>
          <w:szCs w:val="16"/>
        </w:rPr>
        <w:t xml:space="preserve">, not a law or regulation, and as such are different than feed-in tariffs (FITs) or RPSs. Where a FIT and RPS both provide an economic incentive to purchase ocean energy, </w:t>
      </w:r>
      <w:r w:rsidRPr="004F60A2">
        <w:rPr>
          <w:rStyle w:val="StyleUnderline"/>
        </w:rPr>
        <w:t>PPAs are merely a market mechanism through which renewable energy developers sell their power to a buyer. Policy and incentives provide the financial justification for the developer and buyer to sign a PPA. By reducing ocean energy’s above-market costs through grants and tax or financing incentives, these policies can help shift ocean technologies toward a competitive starting point where they can begin to negotiate a PPA at reasonable prices</w:t>
      </w:r>
      <w:r w:rsidRPr="004F60A2">
        <w:rPr>
          <w:sz w:val="16"/>
          <w:szCs w:val="16"/>
        </w:rPr>
        <w:t xml:space="preserve">. On top of reducing costs, </w:t>
      </w:r>
      <w:r w:rsidRPr="004F60A2">
        <w:rPr>
          <w:rStyle w:val="StyleUnderline"/>
        </w:rPr>
        <w:t>demand-based policies can add additional value streams</w:t>
      </w:r>
      <w:r w:rsidRPr="004F60A2">
        <w:rPr>
          <w:sz w:val="16"/>
          <w:szCs w:val="16"/>
        </w:rPr>
        <w:t xml:space="preserve">, such as REC generation, </w:t>
      </w:r>
      <w:r w:rsidRPr="004F60A2">
        <w:rPr>
          <w:rStyle w:val="StyleUnderline"/>
        </w:rPr>
        <w:t>to raise the value of ocean energy</w:t>
      </w:r>
      <w:r w:rsidRPr="004F60A2">
        <w:rPr>
          <w:sz w:val="16"/>
          <w:szCs w:val="16"/>
        </w:rPr>
        <w:t xml:space="preserve"> and attract PPA partners. </w:t>
      </w:r>
    </w:p>
    <w:p w:rsidR="004F60A2" w:rsidRPr="004F60A2" w:rsidRDefault="004F60A2" w:rsidP="004F60A2">
      <w:pPr>
        <w:rPr>
          <w:sz w:val="16"/>
          <w:szCs w:val="16"/>
        </w:rPr>
      </w:pPr>
      <w:r w:rsidRPr="004F60A2">
        <w:rPr>
          <w:rStyle w:val="StyleUnderline"/>
        </w:rPr>
        <w:t>In the case of technologies with risks and costs</w:t>
      </w:r>
      <w:r w:rsidRPr="004F60A2">
        <w:rPr>
          <w:sz w:val="16"/>
          <w:szCs w:val="16"/>
        </w:rPr>
        <w:t>—actual or perceived—</w:t>
      </w:r>
      <w:r w:rsidRPr="004F60A2">
        <w:rPr>
          <w:rStyle w:val="StyleUnderline"/>
        </w:rPr>
        <w:t>that are</w:t>
      </w:r>
      <w:r w:rsidRPr="004F60A2">
        <w:rPr>
          <w:sz w:val="16"/>
          <w:szCs w:val="16"/>
        </w:rPr>
        <w:t xml:space="preserve"> simply </w:t>
      </w:r>
      <w:r w:rsidRPr="004F60A2">
        <w:rPr>
          <w:rStyle w:val="StyleUnderline"/>
        </w:rPr>
        <w:t>too high to attract a buyer, demand can be created legislatively by mandating the construction of a specified quantity of ocean energy capacity or the purchase of a certain amount of renewable ocean energy</w:t>
      </w:r>
      <w:r w:rsidRPr="004F60A2">
        <w:rPr>
          <w:sz w:val="16"/>
          <w:szCs w:val="16"/>
        </w:rPr>
        <w:t xml:space="preserve">. While this sort of action is typically accomplished through an RPS carve-out, some states have solicited for applications from specific technologies. </w:t>
      </w:r>
      <w:r w:rsidRPr="004F60A2">
        <w:rPr>
          <w:rStyle w:val="StyleUnderline"/>
          <w:b w:val="0"/>
          <w:sz w:val="16"/>
          <w:u w:val="none"/>
        </w:rPr>
        <w:t>This is the case for offshore wind generation</w:t>
      </w:r>
      <w:r w:rsidRPr="004F60A2">
        <w:rPr>
          <w:sz w:val="16"/>
          <w:szCs w:val="16"/>
        </w:rPr>
        <w:t xml:space="preserve"> in Delaware, 130 Rhode Island, 131 and potentially Maryland, where proposed legislation would produce a similar outcome. 132 For offshore wind, Delaware has a planned installation of 450 megawatts (MW) and Rhode Island has a planned installation of 1,000 MW. Maryland is seeking to build between 400 and 600 MW. These non-RPS strategies can involve the state Public Utility Commission (PUC) mandating utilities to purchase the energy produced by the solicited capacity. </w:t>
      </w:r>
    </w:p>
    <w:p w:rsidR="004F60A2" w:rsidRPr="004F60A2" w:rsidRDefault="004F60A2" w:rsidP="004F60A2">
      <w:r w:rsidRPr="004F60A2">
        <w:rPr>
          <w:rStyle w:val="StyleUnderline"/>
        </w:rPr>
        <w:t>An alternative</w:t>
      </w:r>
      <w:r w:rsidRPr="004F60A2">
        <w:rPr>
          <w:sz w:val="16"/>
          <w:szCs w:val="16"/>
        </w:rPr>
        <w:t xml:space="preserve"> to utility purchase mandates—whether they come in the form of RPS carve-outs or capacity targets—</w:t>
      </w:r>
      <w:r w:rsidRPr="004F60A2">
        <w:rPr>
          <w:rStyle w:val="StyleUnderline"/>
        </w:rPr>
        <w:t>is for the state itself to become the buyer. A state would sign a PPA with a project developer to purchase renewable energy, which would be used to power government buildings and operations. This is occurring at the federal level, where the first green-energy supply contract for 120,000 MWH was recently signed by Constellation Energy and the U.S. Department of State.</w:t>
      </w:r>
      <w:r w:rsidRPr="004F60A2">
        <w:rPr>
          <w:sz w:val="16"/>
          <w:szCs w:val="16"/>
        </w:rPr>
        <w:t xml:space="preserve">133 If a similar proposal were to be executed at the state level, </w:t>
      </w:r>
      <w:r w:rsidRPr="004F60A2">
        <w:rPr>
          <w:rStyle w:val="StyleUnderline"/>
        </w:rPr>
        <w:t>it would</w:t>
      </w:r>
      <w:r w:rsidRPr="004F60A2">
        <w:rPr>
          <w:sz w:val="16"/>
          <w:szCs w:val="16"/>
        </w:rPr>
        <w:t xml:space="preserve"> most likely </w:t>
      </w:r>
      <w:r w:rsidRPr="004F60A2">
        <w:rPr>
          <w:rStyle w:val="StyleUnderline"/>
        </w:rPr>
        <w:t>take the form of a competitive solicitation for renewable energy.</w:t>
      </w:r>
      <w:r w:rsidRPr="004F60A2">
        <w:rPr>
          <w:sz w:val="16"/>
          <w:szCs w:val="16"/>
        </w:rPr>
        <w:t xml:space="preserve"> Given the existing above-market cost, ocean energy would either need to be the sole technology under consideration, or be included as a power purchase carve-out wherein the state would seek a certain amount of ocean energy within its overall renewable energy goals.</w:t>
      </w:r>
    </w:p>
    <w:p w:rsidR="004F60A2" w:rsidRPr="004F60A2" w:rsidRDefault="004F60A2" w:rsidP="004F60A2"/>
    <w:p w:rsidR="004F60A2" w:rsidRPr="004F60A2" w:rsidRDefault="004F60A2" w:rsidP="004F60A2">
      <w:pPr>
        <w:pStyle w:val="Heading2"/>
        <w:rPr>
          <w:rFonts w:cs="Arial"/>
        </w:rPr>
      </w:pPr>
      <w:r w:rsidRPr="004F60A2">
        <w:rPr>
          <w:rFonts w:cs="Arial"/>
        </w:rPr>
        <w:lastRenderedPageBreak/>
        <w:t xml:space="preserve">2nc </w:t>
      </w:r>
    </w:p>
    <w:p w:rsidR="004F60A2" w:rsidRPr="004F60A2" w:rsidRDefault="004F60A2" w:rsidP="004F60A2">
      <w:pPr>
        <w:pStyle w:val="Heading3"/>
        <w:rPr>
          <w:rFonts w:cs="Arial"/>
        </w:rPr>
      </w:pPr>
      <w:r w:rsidRPr="004F60A2">
        <w:rPr>
          <w:rFonts w:cs="Arial"/>
        </w:rPr>
        <w:lastRenderedPageBreak/>
        <w:t xml:space="preserve">PPP necessary </w:t>
      </w:r>
    </w:p>
    <w:p w:rsidR="004F60A2" w:rsidRPr="004F60A2" w:rsidRDefault="004F60A2" w:rsidP="004F60A2">
      <w:pPr>
        <w:pStyle w:val="Heading4"/>
        <w:rPr>
          <w:rFonts w:cs="Arial"/>
        </w:rPr>
      </w:pPr>
      <w:r w:rsidRPr="004F60A2">
        <w:rPr>
          <w:rFonts w:cs="Arial"/>
        </w:rPr>
        <w:t>Ocean policies need PPP otherwise plan fails</w:t>
      </w:r>
    </w:p>
    <w:p w:rsidR="004F60A2" w:rsidRPr="004F60A2" w:rsidRDefault="004F60A2" w:rsidP="004F60A2">
      <w:pPr>
        <w:pStyle w:val="NoSpacing"/>
        <w:rPr>
          <w:rFonts w:cs="Arial"/>
        </w:rPr>
      </w:pPr>
      <w:r w:rsidRPr="004F60A2">
        <w:rPr>
          <w:rStyle w:val="Style13ptBold"/>
          <w:rFonts w:cs="Arial"/>
        </w:rPr>
        <w:t>Guldberg et al. 13</w:t>
      </w:r>
      <w:r w:rsidRPr="004F60A2">
        <w:rPr>
          <w:rStyle w:val="Style13ptBold"/>
          <w:rFonts w:cs="Arial"/>
          <w:szCs w:val="16"/>
        </w:rPr>
        <w:t xml:space="preserve">, </w:t>
      </w:r>
      <w:r w:rsidRPr="004F60A2">
        <w:rPr>
          <w:rStyle w:val="Style13ptBold"/>
          <w:rFonts w:cs="Arial"/>
          <w:b w:val="0"/>
          <w:szCs w:val="16"/>
        </w:rPr>
        <w:t>(</w:t>
      </w:r>
      <w:r w:rsidRPr="004F60A2">
        <w:rPr>
          <w:rFonts w:cs="Arial"/>
        </w:rPr>
        <w:t>Ove Hoegh-Guldberg, Panel Chair, Director of Global Change Institute, University of Queensland, Australia Transform Aqorau, Chief Executive Officer, Parties to the Nauru Agreement Office Ragnar Arnason, Professor of Fisheries Economics, University of Iceland, Iceland Thiraphong Chansiri, President, Thai Union Frozen Products PCL, Thailand Nelson Del Rio, Chairman, Emergent Intelligence Solutions, United States Henry Demone, CEO, High Liner Foods Inc, Canada Sylvia Earle, Founder, Mission Blue/Sylvia Earle Alliance, United States Mary H. Feeley, Chief Geoscientist, ExxonMobil Corporation, United States Dimitri Gutierrez, Director of Investigations on Oceanography and Climate Change, Peruvian Institute of Marine Research (IMARPE), Peru Ray Hilborn, Professor of Aquatic and Fisheries Science, University of Washington, United States Naoko Ishii, CEO and Chairperson, Global Environment Facility Chris Lischewski, President and CEO, Bumble Bee Foods, United States Jane Lubchenco, Professor of Marine Biology, Oregon State University, United States Kim Anh Nguyen, Director, NOMAFAME Program, Professor of Fisheries Economics, Nha Trang University, Vietnam David Obura, Director, CORDIO East Africa, Kenya H.E. Rolph Payet, Minister for Environment and Energy, Pro- Chancellor University of Seychelles, Seychelles Tuiloma Neroni Slade, Secretary General, Pacific Islands Forum Secretariat John Tanzer, Director, Global Marine Programme, WWF International Johán H. Williams, Specialist Director, Department for Fisheries and Aquaculture, Ministry of Fisheries and Coastal Affairs, Norway Dawn J. Wright, Chief Scientist, Esri, United States Jintao Xu, Professor of Natural Resource Economics, Peking University, China)</w:t>
      </w:r>
    </w:p>
    <w:p w:rsidR="004F60A2" w:rsidRPr="004F60A2" w:rsidRDefault="004F60A2" w:rsidP="004F60A2">
      <w:pPr>
        <w:pStyle w:val="NoSpacing"/>
        <w:rPr>
          <w:rStyle w:val="Style13ptBold"/>
          <w:rFonts w:cs="Arial"/>
          <w:b w:val="0"/>
          <w:sz w:val="12"/>
          <w:szCs w:val="12"/>
        </w:rPr>
      </w:pPr>
      <w:r w:rsidRPr="004F60A2">
        <w:rPr>
          <w:rStyle w:val="Style13ptBold"/>
          <w:rFonts w:cs="Arial"/>
          <w:b w:val="0"/>
          <w:sz w:val="12"/>
          <w:szCs w:val="12"/>
        </w:rPr>
        <w:t>(</w:t>
      </w:r>
      <w:hyperlink r:id="rId14" w:history="1">
        <w:r w:rsidRPr="004F60A2">
          <w:rPr>
            <w:rStyle w:val="Hyperlink"/>
            <w:rFonts w:cs="Arial"/>
            <w:sz w:val="12"/>
            <w:szCs w:val="12"/>
          </w:rPr>
          <w:t>http://www.globalpartnershipforoceans.org/sites/oceans/files/images/Indispensable_Ocean.pdf</w:t>
        </w:r>
      </w:hyperlink>
      <w:r w:rsidRPr="004F60A2">
        <w:rPr>
          <w:rStyle w:val="Style13ptBold"/>
          <w:rFonts w:cs="Arial"/>
          <w:b w:val="0"/>
          <w:sz w:val="12"/>
          <w:szCs w:val="12"/>
        </w:rPr>
        <w:t>) //mc</w:t>
      </w:r>
    </w:p>
    <w:p w:rsidR="004F60A2" w:rsidRPr="004F60A2" w:rsidRDefault="004F60A2" w:rsidP="004F60A2">
      <w:pPr>
        <w:pStyle w:val="NoSpacing"/>
        <w:rPr>
          <w:rFonts w:cs="Arial"/>
        </w:rPr>
      </w:pPr>
      <w:r w:rsidRPr="004F60A2">
        <w:rPr>
          <w:rFonts w:cs="Arial"/>
        </w:rPr>
        <w:t>[Indispensable Ocean Aligning Ocean Health And Human Well-Being Guidance from the Blue Ribbon Panel to the Global Partnership for Oceans] (pg. 27) //MC</w:t>
      </w:r>
    </w:p>
    <w:p w:rsidR="004F60A2" w:rsidRPr="004F60A2" w:rsidRDefault="004F60A2" w:rsidP="004F60A2">
      <w:pPr>
        <w:pStyle w:val="NoSpacing"/>
        <w:rPr>
          <w:rFonts w:cs="Arial"/>
        </w:rPr>
      </w:pPr>
      <w:r w:rsidRPr="004F60A2">
        <w:rPr>
          <w:rFonts w:cs="Arial"/>
        </w:rPr>
        <w:t xml:space="preserve">In general, </w:t>
      </w:r>
      <w:r w:rsidRPr="004F60A2">
        <w:rPr>
          <w:rStyle w:val="StyleUnderline"/>
          <w:rFonts w:cs="Arial"/>
        </w:rPr>
        <w:t>effective solutions</w:t>
      </w:r>
      <w:r w:rsidRPr="004F60A2">
        <w:rPr>
          <w:rFonts w:cs="Arial"/>
        </w:rPr>
        <w:t xml:space="preserve"> will </w:t>
      </w:r>
      <w:r w:rsidRPr="004F60A2">
        <w:rPr>
          <w:rStyle w:val="StyleUnderline"/>
          <w:rFonts w:cs="Arial"/>
        </w:rPr>
        <w:t>require a range of stakeholders from the public and private sectors to share responsibilities and rights in using and protecting ocean resources</w:t>
      </w:r>
      <w:r w:rsidRPr="004F60A2">
        <w:rPr>
          <w:rFonts w:cs="Arial"/>
        </w:rPr>
        <w:t xml:space="preserve">. For example, the public sector may provide the physical market place, facilitate community engagement, ensure transparency, inspect goods for safety, detect violations, provide enforcement and compliance, and prosecute violations. </w:t>
      </w:r>
      <w:r w:rsidRPr="004F60A2">
        <w:rPr>
          <w:rStyle w:val="StyleUnderline"/>
          <w:rFonts w:cs="Arial"/>
        </w:rPr>
        <w:t>The private sector can execute the trade and exchange of goods, while open access to information can create the pricing structure and incentives that inform the market system</w:t>
      </w:r>
      <w:r w:rsidRPr="004F60A2">
        <w:rPr>
          <w:rFonts w:cs="Arial"/>
        </w:rPr>
        <w:t>.</w:t>
      </w:r>
    </w:p>
    <w:p w:rsidR="004F60A2" w:rsidRPr="004F60A2" w:rsidRDefault="004F60A2" w:rsidP="004F60A2">
      <w:pPr>
        <w:pStyle w:val="NoSpacing"/>
        <w:rPr>
          <w:rFonts w:cs="Arial"/>
        </w:rPr>
      </w:pPr>
      <w:r w:rsidRPr="004F60A2">
        <w:rPr>
          <w:rFonts w:cs="Arial"/>
        </w:rPr>
        <w:t>Design of holistic solutions through public-private partnerships</w:t>
      </w:r>
    </w:p>
    <w:p w:rsidR="004F60A2" w:rsidRPr="004F60A2" w:rsidRDefault="004F60A2" w:rsidP="004F60A2">
      <w:pPr>
        <w:pStyle w:val="NoSpacing"/>
        <w:rPr>
          <w:rFonts w:cs="Arial"/>
        </w:rPr>
      </w:pPr>
      <w:r w:rsidRPr="004F60A2">
        <w:rPr>
          <w:rStyle w:val="StyleUnderline"/>
          <w:rFonts w:cs="Arial"/>
        </w:rPr>
        <w:t>Approaches to ocean resource development, management, maintenance, and utilization must be structured and implemented to guarantee</w:t>
      </w:r>
      <w:r w:rsidRPr="004F60A2">
        <w:rPr>
          <w:rFonts w:cs="Arial"/>
        </w:rPr>
        <w:t xml:space="preserve"> that communities, </w:t>
      </w:r>
      <w:r w:rsidRPr="004F60A2">
        <w:rPr>
          <w:rStyle w:val="StyleUnderline"/>
          <w:rFonts w:cs="Arial"/>
        </w:rPr>
        <w:t>economies, and ecosystems thrive</w:t>
      </w:r>
      <w:r w:rsidRPr="004F60A2">
        <w:rPr>
          <w:rFonts w:cs="Arial"/>
        </w:rPr>
        <w:t xml:space="preserve">. In the past, flaws in the design of instruments such as public-private partnerships, design of userrights allocation, and management structures have led to a vast array of problems around the world. </w:t>
      </w:r>
      <w:r w:rsidRPr="004F60A2">
        <w:rPr>
          <w:rStyle w:val="StyleUnderline"/>
          <w:rFonts w:cs="Arial"/>
        </w:rPr>
        <w:t>Many of the shortcomings result from insufficient integration across the sectors and inconsideration of all elements of the socio-ecological system. The GPO has significant potential to catalyze the creation, or support of, holistic approaches that integrate across the socio-ecological system.</w:t>
      </w:r>
    </w:p>
    <w:p w:rsidR="004F60A2" w:rsidRPr="004F60A2" w:rsidRDefault="004F60A2" w:rsidP="004F60A2">
      <w:pPr>
        <w:pStyle w:val="NoSpacing"/>
        <w:rPr>
          <w:rStyle w:val="StyleUnderline"/>
          <w:rFonts w:cs="Arial"/>
        </w:rPr>
      </w:pPr>
      <w:r w:rsidRPr="004F60A2">
        <w:rPr>
          <w:rStyle w:val="StyleUnderline"/>
          <w:rFonts w:cs="Arial"/>
        </w:rPr>
        <w:t>One instrument</w:t>
      </w:r>
      <w:r w:rsidRPr="004F60A2">
        <w:rPr>
          <w:rFonts w:cs="Arial"/>
        </w:rPr>
        <w:t xml:space="preserve"> in the design of such holistic solutions </w:t>
      </w:r>
      <w:r w:rsidRPr="004F60A2">
        <w:rPr>
          <w:rStyle w:val="StyleUnderline"/>
          <w:rFonts w:cs="Arial"/>
        </w:rPr>
        <w:t>is a well-structured public-private partnership</w:t>
      </w:r>
      <w:r w:rsidRPr="004F60A2">
        <w:rPr>
          <w:rFonts w:cs="Arial"/>
        </w:rPr>
        <w:t xml:space="preserve"> (P3) </w:t>
      </w:r>
      <w:r w:rsidRPr="004F60A2">
        <w:rPr>
          <w:rStyle w:val="StyleUnderline"/>
          <w:rFonts w:cs="Arial"/>
        </w:rPr>
        <w:t>that resolves pressing ocean issues by incorporating all five principles</w:t>
      </w:r>
      <w:r w:rsidRPr="004F60A2">
        <w:rPr>
          <w:rFonts w:cs="Arial"/>
        </w:rPr>
        <w:t xml:space="preserve">. P3s can </w:t>
      </w:r>
      <w:r w:rsidRPr="004F60A2">
        <w:rPr>
          <w:rStyle w:val="StyleUnderline"/>
          <w:rFonts w:cs="Arial"/>
        </w:rPr>
        <w:t>be envisioned at both the larger sectoral level, where governments, industries, and relevant stakeholders would be the drivers</w:t>
      </w:r>
      <w:r w:rsidRPr="004F60A2">
        <w:rPr>
          <w:rFonts w:cs="Arial"/>
        </w:rPr>
        <w:t xml:space="preserve">, and at the coastal community level. A P3 should be based on a holistic strategy </w:t>
      </w:r>
      <w:r w:rsidRPr="004F60A2">
        <w:rPr>
          <w:rStyle w:val="StyleUnderline"/>
          <w:rFonts w:cs="Arial"/>
        </w:rPr>
        <w:t>that addresses specific community or social needs in the context of sustainable socio-ecological systems</w:t>
      </w:r>
      <w:r w:rsidRPr="004F60A2">
        <w:rPr>
          <w:rFonts w:cs="Arial"/>
        </w:rPr>
        <w:t xml:space="preserve">. A wellstructured P3 aims to optimize the yield of common goods utilized, </w:t>
      </w:r>
      <w:r w:rsidRPr="004F60A2">
        <w:rPr>
          <w:rStyle w:val="StyleUnderline"/>
          <w:rFonts w:cs="Arial"/>
        </w:rPr>
        <w:t>minimize the cost to the public of such activity through the leveraging of opportunities and assets, and incentivize responsible behavior in a transparent and synergistic fashion that promotes long-term sustainability. These strategies should be optimized for scale and tailored to local conditions and culture.</w:t>
      </w:r>
    </w:p>
    <w:p w:rsidR="004F60A2" w:rsidRPr="004F60A2" w:rsidRDefault="004F60A2" w:rsidP="004F60A2">
      <w:pPr>
        <w:pStyle w:val="NoSpacing"/>
        <w:rPr>
          <w:rStyle w:val="StyleUnderline"/>
          <w:rFonts w:cs="Arial"/>
        </w:rPr>
      </w:pPr>
    </w:p>
    <w:p w:rsidR="004F60A2" w:rsidRPr="004F60A2" w:rsidRDefault="004F60A2" w:rsidP="004F60A2">
      <w:pPr>
        <w:pStyle w:val="Heading4"/>
        <w:rPr>
          <w:rFonts w:cs="Arial"/>
        </w:rPr>
      </w:pPr>
      <w:r w:rsidRPr="004F60A2">
        <w:rPr>
          <w:rFonts w:cs="Arial"/>
        </w:rPr>
        <w:t>Public-private partnership ensures healthy industry growth</w:t>
      </w:r>
    </w:p>
    <w:p w:rsidR="004F60A2" w:rsidRPr="004F60A2" w:rsidRDefault="004F60A2" w:rsidP="004F60A2">
      <w:pPr>
        <w:rPr>
          <w:rStyle w:val="Style13ptBold"/>
          <w:b w:val="0"/>
          <w:sz w:val="16"/>
        </w:rPr>
      </w:pPr>
      <w:r w:rsidRPr="004F60A2">
        <w:rPr>
          <w:rStyle w:val="Style13ptBold"/>
        </w:rPr>
        <w:t xml:space="preserve">Painuly 01- </w:t>
      </w:r>
      <w:r w:rsidRPr="004F60A2">
        <w:rPr>
          <w:rStyle w:val="Style13ptBold"/>
          <w:b w:val="0"/>
          <w:sz w:val="16"/>
        </w:rPr>
        <w:t>J. P. Painuly, Indira Gandhi Institute of Development Research, September 2001, [“Barriers to renewable energy penetration; a framework for analysis”]</w:t>
      </w:r>
      <w:r w:rsidRPr="004F60A2">
        <w:t xml:space="preserve"> </w:t>
      </w:r>
      <w:hyperlink r:id="rId15" w:history="1">
        <w:r w:rsidRPr="004F60A2">
          <w:rPr>
            <w:rStyle w:val="Hyperlink"/>
            <w:sz w:val="16"/>
          </w:rPr>
          <w:t>http://www.sciencedirect.com/science/journal/09601481/24/1</w:t>
        </w:r>
      </w:hyperlink>
      <w:r w:rsidRPr="004F60A2">
        <w:rPr>
          <w:rStyle w:val="Style13ptBold"/>
          <w:b w:val="0"/>
          <w:sz w:val="16"/>
        </w:rPr>
        <w:t xml:space="preserve"> - Chapter 9 //MD</w:t>
      </w:r>
    </w:p>
    <w:p w:rsidR="004F60A2" w:rsidRPr="004F60A2" w:rsidRDefault="004F60A2" w:rsidP="004F60A2">
      <w:pPr>
        <w:rPr>
          <w:sz w:val="16"/>
        </w:rPr>
      </w:pPr>
      <w:r w:rsidRPr="004F60A2">
        <w:rPr>
          <w:rStyle w:val="StyleUnderline"/>
        </w:rPr>
        <w:t>This is a broad term encompassing several policy measures such as restructuring of the energy sector, opening up to introduce competition and removing other controls. Some examples of the specific policies are; creating separate entities for generation and distribution in the electricity sector, allowing private sector entry and diluting or removing controls on energy pricing, fuel use, fuel import, and capacity expansion etc.</w:t>
      </w:r>
      <w:r w:rsidRPr="004F60A2">
        <w:rPr>
          <w:sz w:val="16"/>
        </w:rPr>
        <w:t xml:space="preserve"> Institutional measures such as setting up independent regulatory bodies may be needed for success of these policy actions. </w:t>
      </w:r>
      <w:r w:rsidRPr="004F60A2">
        <w:rPr>
          <w:rStyle w:val="StyleUnderline"/>
        </w:rPr>
        <w:t xml:space="preserve">The basic purpose of liberalization is to increase efficiency of the energy sector through facilitating market competition. The initial impact of such measures may be unfavorable to REI's due to increased competitiveness. However, </w:t>
      </w:r>
      <w:r w:rsidRPr="004F60A2">
        <w:rPr>
          <w:rStyle w:val="Emphasis"/>
        </w:rPr>
        <w:t>in the long term a liberalized energy market may provide a better environment for the healthy growth of REI's.</w:t>
      </w:r>
      <w:r w:rsidRPr="004F60A2">
        <w:rPr>
          <w:sz w:val="16"/>
        </w:rPr>
        <w:t xml:space="preserve"> </w:t>
      </w:r>
    </w:p>
    <w:p w:rsidR="004F60A2" w:rsidRPr="004F60A2" w:rsidRDefault="004F60A2" w:rsidP="004F60A2"/>
    <w:p w:rsidR="004F60A2" w:rsidRPr="004F60A2" w:rsidRDefault="004F60A2" w:rsidP="004F60A2">
      <w:pPr>
        <w:pStyle w:val="Heading3"/>
        <w:rPr>
          <w:rFonts w:cs="Arial"/>
        </w:rPr>
      </w:pPr>
      <w:r w:rsidRPr="004F60A2">
        <w:rPr>
          <w:rFonts w:cs="Arial"/>
        </w:rPr>
        <w:lastRenderedPageBreak/>
        <w:t>Ext – Solves OSW</w:t>
      </w:r>
    </w:p>
    <w:p w:rsidR="004F60A2" w:rsidRPr="004F60A2" w:rsidRDefault="004F60A2" w:rsidP="004F60A2">
      <w:pPr>
        <w:pStyle w:val="Heading4"/>
        <w:rPr>
          <w:rFonts w:cs="Arial"/>
        </w:rPr>
      </w:pPr>
      <w:r w:rsidRPr="004F60A2">
        <w:rPr>
          <w:rFonts w:cs="Arial"/>
        </w:rPr>
        <w:t xml:space="preserve">States PPA’s create demand for renewables </w:t>
      </w:r>
    </w:p>
    <w:p w:rsidR="004F60A2" w:rsidRPr="004F60A2" w:rsidRDefault="004F60A2" w:rsidP="004F60A2">
      <w:pPr>
        <w:rPr>
          <w:bCs/>
          <w:sz w:val="16"/>
        </w:rPr>
      </w:pPr>
      <w:r w:rsidRPr="004F60A2">
        <w:rPr>
          <w:rStyle w:val="Style13ptBold"/>
        </w:rPr>
        <w:t xml:space="preserve">Harmon 11, </w:t>
      </w:r>
      <w:r w:rsidRPr="004F60A2">
        <w:rPr>
          <w:rStyle w:val="Style13ptBold"/>
          <w:b w:val="0"/>
          <w:sz w:val="16"/>
        </w:rPr>
        <w:t>(Robert K. – member of the Oregon Wave Energy Trust (OWET) is a nonprofit public-private partnership funded by the Oregon Innovation Council.) [Incentivizing Ocean Energy] (</w:t>
      </w:r>
      <w:hyperlink r:id="rId16" w:history="1">
        <w:r w:rsidRPr="004F60A2">
          <w:rPr>
            <w:rStyle w:val="Hyperlink"/>
            <w:sz w:val="16"/>
          </w:rPr>
          <w:t>http://oregonwave.org/oceanic/wp-content/uploads/2013/05/Incentivizing-Ocean-Energy-%E2%80%93-July-2011.pdf</w:t>
        </w:r>
      </w:hyperlink>
      <w:r w:rsidRPr="004F60A2">
        <w:rPr>
          <w:rStyle w:val="Style13ptBold"/>
          <w:b w:val="0"/>
          <w:sz w:val="16"/>
        </w:rPr>
        <w:t>) (pg.45-46) //MC</w:t>
      </w:r>
    </w:p>
    <w:p w:rsidR="004F60A2" w:rsidRPr="004F60A2" w:rsidRDefault="004F60A2" w:rsidP="004F60A2">
      <w:pPr>
        <w:rPr>
          <w:sz w:val="16"/>
          <w:szCs w:val="16"/>
        </w:rPr>
      </w:pPr>
      <w:r w:rsidRPr="004F60A2">
        <w:rPr>
          <w:rStyle w:val="StyleUnderline"/>
        </w:rPr>
        <w:t>PPAs are a contractual mechanism</w:t>
      </w:r>
      <w:r w:rsidRPr="004F60A2">
        <w:rPr>
          <w:sz w:val="16"/>
          <w:szCs w:val="16"/>
        </w:rPr>
        <w:t xml:space="preserve">, not a law or regulation, and as such are different than feed-in tariffs (FITs) or RPSs. Where a FIT and RPS both provide an economic incentive to purchase ocean energy, </w:t>
      </w:r>
      <w:r w:rsidRPr="004F60A2">
        <w:rPr>
          <w:rStyle w:val="StyleUnderline"/>
        </w:rPr>
        <w:t>PPAs are merely a market mechanism through which renewable energy developers sell their power to a buyer. Policy and incentives provide the financial justification for the developer and buyer to sign a PPA. By reducing ocean energy’s above-market costs through grants and tax or financing incentives, these policies can help shift ocean technologies toward a competitive starting point where they can begin to negotiate a PPA at reasonable prices</w:t>
      </w:r>
      <w:r w:rsidRPr="004F60A2">
        <w:rPr>
          <w:sz w:val="16"/>
          <w:szCs w:val="16"/>
        </w:rPr>
        <w:t xml:space="preserve">. On top of reducing costs, </w:t>
      </w:r>
      <w:r w:rsidRPr="004F60A2">
        <w:rPr>
          <w:rStyle w:val="StyleUnderline"/>
        </w:rPr>
        <w:t>demand-based policies can add additional value streams</w:t>
      </w:r>
      <w:r w:rsidRPr="004F60A2">
        <w:rPr>
          <w:sz w:val="16"/>
          <w:szCs w:val="16"/>
        </w:rPr>
        <w:t xml:space="preserve">, such as REC generation, </w:t>
      </w:r>
      <w:r w:rsidRPr="004F60A2">
        <w:rPr>
          <w:rStyle w:val="StyleUnderline"/>
        </w:rPr>
        <w:t>to raise the value of ocean energy</w:t>
      </w:r>
      <w:r w:rsidRPr="004F60A2">
        <w:rPr>
          <w:sz w:val="16"/>
          <w:szCs w:val="16"/>
        </w:rPr>
        <w:t xml:space="preserve"> and attract PPA partners. </w:t>
      </w:r>
    </w:p>
    <w:p w:rsidR="004F60A2" w:rsidRPr="004F60A2" w:rsidRDefault="004F60A2" w:rsidP="004F60A2">
      <w:pPr>
        <w:rPr>
          <w:sz w:val="16"/>
          <w:szCs w:val="16"/>
        </w:rPr>
      </w:pPr>
      <w:r w:rsidRPr="004F60A2">
        <w:rPr>
          <w:rStyle w:val="StyleUnderline"/>
        </w:rPr>
        <w:t>In the case of technologies with risks and costs</w:t>
      </w:r>
      <w:r w:rsidRPr="004F60A2">
        <w:rPr>
          <w:sz w:val="16"/>
          <w:szCs w:val="16"/>
        </w:rPr>
        <w:t>—actual or perceived—</w:t>
      </w:r>
      <w:r w:rsidRPr="004F60A2">
        <w:rPr>
          <w:rStyle w:val="StyleUnderline"/>
        </w:rPr>
        <w:t>that are</w:t>
      </w:r>
      <w:r w:rsidRPr="004F60A2">
        <w:rPr>
          <w:sz w:val="16"/>
          <w:szCs w:val="16"/>
        </w:rPr>
        <w:t xml:space="preserve"> simply </w:t>
      </w:r>
      <w:r w:rsidRPr="004F60A2">
        <w:rPr>
          <w:rStyle w:val="StyleUnderline"/>
        </w:rPr>
        <w:t>too high to attract a buyer, demand can be created legislatively by mandating the construction of a specified quantity of ocean energy capacity or the purchase of a certain amount of renewable ocean energy</w:t>
      </w:r>
      <w:r w:rsidRPr="004F60A2">
        <w:rPr>
          <w:sz w:val="16"/>
          <w:szCs w:val="16"/>
        </w:rPr>
        <w:t xml:space="preserve">. While this sort of action is typically accomplished through an RPS carve-out, some states have solicited for applications from specific technologies. </w:t>
      </w:r>
      <w:r w:rsidRPr="004F60A2">
        <w:rPr>
          <w:rStyle w:val="StyleUnderline"/>
        </w:rPr>
        <w:t>This is the case for offshore wind generation</w:t>
      </w:r>
      <w:r w:rsidRPr="004F60A2">
        <w:rPr>
          <w:sz w:val="16"/>
          <w:szCs w:val="16"/>
        </w:rPr>
        <w:t xml:space="preserve"> in Delaware, 130 Rhode Island, 131 and potentially Maryland, where proposed legislation would produce a similar outcome. 132 For offshore wind, Delaware has a planned installation of 450 megawatts (MW) and Rhode Island has a planned installation of 1,000 MW. Maryland is seeking to build between 400 and 600 MW. These non-RPS strategies can involve the state Public Utility Commission (PUC) mandating utilities to purchase the energy produced by the solicited capacity. </w:t>
      </w:r>
    </w:p>
    <w:p w:rsidR="004F60A2" w:rsidRPr="004F60A2" w:rsidRDefault="004F60A2" w:rsidP="004F60A2">
      <w:pPr>
        <w:rPr>
          <w:sz w:val="16"/>
          <w:szCs w:val="16"/>
        </w:rPr>
      </w:pPr>
      <w:r w:rsidRPr="004F60A2">
        <w:rPr>
          <w:rStyle w:val="StyleUnderline"/>
        </w:rPr>
        <w:t>An alternative</w:t>
      </w:r>
      <w:r w:rsidRPr="004F60A2">
        <w:rPr>
          <w:sz w:val="16"/>
          <w:szCs w:val="16"/>
        </w:rPr>
        <w:t xml:space="preserve"> to utility purchase mandates—whether they come in the form of RPS carve-outs or capacity targets—</w:t>
      </w:r>
      <w:r w:rsidRPr="004F60A2">
        <w:rPr>
          <w:rStyle w:val="StyleUnderline"/>
        </w:rPr>
        <w:t>is for the state itself to become the buyer. A state would sign a PPA with a project developer to purchase renewable energy, which would be used to power government buildings and operations. This is occurring at the federal level, where the first green-energy supply contract for 120,000 MWH was recently signed by Constellation Energy and the U.S. Department of State.</w:t>
      </w:r>
      <w:r w:rsidRPr="004F60A2">
        <w:rPr>
          <w:sz w:val="16"/>
          <w:szCs w:val="16"/>
        </w:rPr>
        <w:t xml:space="preserve">133 If a similar proposal were to be executed at the state level, </w:t>
      </w:r>
      <w:r w:rsidRPr="004F60A2">
        <w:rPr>
          <w:rStyle w:val="StyleUnderline"/>
        </w:rPr>
        <w:t>it would</w:t>
      </w:r>
      <w:r w:rsidRPr="004F60A2">
        <w:rPr>
          <w:sz w:val="16"/>
          <w:szCs w:val="16"/>
        </w:rPr>
        <w:t xml:space="preserve"> most likely </w:t>
      </w:r>
      <w:r w:rsidRPr="004F60A2">
        <w:rPr>
          <w:rStyle w:val="StyleUnderline"/>
        </w:rPr>
        <w:t>take the form of a competitive solicitation for renewable energy.</w:t>
      </w:r>
      <w:r w:rsidRPr="004F60A2">
        <w:rPr>
          <w:sz w:val="16"/>
          <w:szCs w:val="16"/>
        </w:rPr>
        <w:t xml:space="preserve"> Given the existing above-market cost, ocean energy would either need to be the sole technology under consideration, or be included as a power purchase carve-out wherein the state would seek a certain amount of ocean energy within its overall renewable energy goals.</w:t>
      </w:r>
    </w:p>
    <w:p w:rsidR="004F60A2" w:rsidRPr="004F60A2" w:rsidRDefault="004F60A2" w:rsidP="004F60A2">
      <w:pPr>
        <w:rPr>
          <w:sz w:val="16"/>
          <w:szCs w:val="16"/>
        </w:rPr>
      </w:pPr>
    </w:p>
    <w:p w:rsidR="004F60A2" w:rsidRPr="004F60A2" w:rsidRDefault="004F60A2" w:rsidP="004F60A2">
      <w:pPr>
        <w:pStyle w:val="Heading4"/>
      </w:pPr>
      <w:r w:rsidRPr="004F60A2">
        <w:t>Networking solves</w:t>
      </w:r>
    </w:p>
    <w:p w:rsidR="004F60A2" w:rsidRPr="004F60A2" w:rsidRDefault="004F60A2" w:rsidP="004F60A2">
      <w:r w:rsidRPr="004F60A2">
        <w:rPr>
          <w:rStyle w:val="Style13ptBold"/>
        </w:rPr>
        <w:t>Sinclair et al. 3</w:t>
      </w:r>
      <w:r w:rsidRPr="004F60A2">
        <w:rPr>
          <w:rStyle w:val="Style13ptBold"/>
          <w:b w:val="0"/>
          <w:sz w:val="16"/>
        </w:rPr>
        <w:t xml:space="preserve"> (Mark Sinclair – Executive Director @ Clean Energy States Alliance, Melissa Haugh – @ Pace Global, Baird Brown – Drinker Biddle &amp; Reath LLP, Carolyn Elefant – @ Law Offices of Carolyn Elefant) [Collaborative Procurement of Offshore Wind Energy A Buyers Network: Assessment of Merits and Approaches] (</w:t>
      </w:r>
      <w:hyperlink r:id="rId17" w:history="1">
        <w:r w:rsidRPr="004F60A2">
          <w:rPr>
            <w:rStyle w:val="Hyperlink"/>
            <w:sz w:val="16"/>
          </w:rPr>
          <w:t>http://www.cesa.org/assets/2012-Files/OSW/OWAP-Collaborative-Procurement-Report-September-2012.pdf</w:t>
        </w:r>
      </w:hyperlink>
      <w:r w:rsidRPr="004F60A2">
        <w:rPr>
          <w:rStyle w:val="Style13ptBold"/>
          <w:b w:val="0"/>
          <w:sz w:val="16"/>
        </w:rPr>
        <w:t>) //MC</w:t>
      </w:r>
    </w:p>
    <w:p w:rsidR="004F60A2" w:rsidRPr="004F60A2" w:rsidRDefault="004F60A2" w:rsidP="004F60A2">
      <w:pPr>
        <w:rPr>
          <w:sz w:val="16"/>
        </w:rPr>
      </w:pPr>
      <w:r w:rsidRPr="004F60A2">
        <w:rPr>
          <w:rStyle w:val="StyleUnderline"/>
        </w:rPr>
        <w:t>A network can take advantage of innovative</w:t>
      </w:r>
      <w:r w:rsidRPr="004F60A2">
        <w:rPr>
          <w:sz w:val="16"/>
        </w:rPr>
        <w:t xml:space="preserve">, </w:t>
      </w:r>
      <w:r w:rsidRPr="004F60A2">
        <w:rPr>
          <w:rStyle w:val="StyleUnderline"/>
        </w:rPr>
        <w:t>effective financing tools</w:t>
      </w:r>
      <w:r w:rsidRPr="004F60A2">
        <w:rPr>
          <w:sz w:val="16"/>
        </w:rPr>
        <w:t xml:space="preserve"> that could </w:t>
      </w:r>
      <w:r w:rsidRPr="004F60A2">
        <w:rPr>
          <w:rStyle w:val="StyleUnderline"/>
        </w:rPr>
        <w:t>result in lower-cost debt cost</w:t>
      </w:r>
      <w:r w:rsidRPr="004F60A2">
        <w:rPr>
          <w:sz w:val="16"/>
        </w:rPr>
        <w:t xml:space="preserve">. For example, if the network includes municipal utilities, </w:t>
      </w:r>
      <w:r w:rsidRPr="004F60A2">
        <w:rPr>
          <w:rStyle w:val="StyleUnderline"/>
        </w:rPr>
        <w:t xml:space="preserve">municipalities that have elected community choice aggregation, and/or state power authorities, those entities can sell tax-exempt bonds and use the proceeds to prepay for their power purchase </w:t>
      </w:r>
      <w:r w:rsidRPr="004F60A2">
        <w:rPr>
          <w:sz w:val="16"/>
        </w:rPr>
        <w:t xml:space="preserve">as a mechanism for financing all or a part of a project. </w:t>
      </w:r>
    </w:p>
    <w:p w:rsidR="004F60A2" w:rsidRPr="004F60A2" w:rsidRDefault="004F60A2" w:rsidP="004F60A2">
      <w:pPr>
        <w:rPr>
          <w:rStyle w:val="StyleUnderline"/>
        </w:rPr>
      </w:pPr>
      <w:r w:rsidRPr="004F60A2">
        <w:rPr>
          <w:sz w:val="16"/>
        </w:rPr>
        <w:t xml:space="preserve">A network will allow for the creation of a diverse procurement portfolio </w:t>
      </w:r>
      <w:r w:rsidRPr="004F60A2">
        <w:rPr>
          <w:rStyle w:val="StyleUnderline"/>
        </w:rPr>
        <w:t>that includes predominantly long-term contracts but may allow some purchasers to use shorter con-tracts</w:t>
      </w:r>
      <w:r w:rsidRPr="004F60A2">
        <w:rPr>
          <w:sz w:val="16"/>
        </w:rPr>
        <w:t xml:space="preserve"> (while some purchasers will be able to get internal approval for 20-year contracts, some will not). In particular, for reasons discussed below, this structure may allow the Department of Defense (DOD) (and other federal agencies) to participate in the aggregated procurement effort because it will produce a more competitive price and provide a structure under which the DOD may be able to limit its purchase to a 10-year term. DOD and other governmental entities are beneficial to the network because they are retail rather than wholesale buyers. In general, </w:t>
      </w:r>
      <w:r w:rsidRPr="004F60A2">
        <w:rPr>
          <w:rStyle w:val="StyleUnderline"/>
        </w:rPr>
        <w:t xml:space="preserve">the use of longer-term purchases will provide lower per-MWh pricing. </w:t>
      </w:r>
    </w:p>
    <w:p w:rsidR="004F60A2" w:rsidRPr="004F60A2" w:rsidRDefault="004F60A2" w:rsidP="004F60A2"/>
    <w:p w:rsidR="004F60A2" w:rsidRPr="004F60A2" w:rsidRDefault="004F60A2" w:rsidP="004F60A2">
      <w:pPr>
        <w:pStyle w:val="Heading3"/>
        <w:rPr>
          <w:rFonts w:cs="Arial"/>
        </w:rPr>
      </w:pPr>
      <w:r w:rsidRPr="004F60A2">
        <w:rPr>
          <w:rFonts w:cs="Arial"/>
        </w:rPr>
        <w:lastRenderedPageBreak/>
        <w:t>Ext – Solves Exploration/Mapping</w:t>
      </w:r>
    </w:p>
    <w:p w:rsidR="004F60A2" w:rsidRPr="004F60A2" w:rsidRDefault="004F60A2" w:rsidP="004F60A2"/>
    <w:p w:rsidR="004F60A2" w:rsidRPr="004F60A2" w:rsidRDefault="004F60A2" w:rsidP="004F60A2">
      <w:pPr>
        <w:pStyle w:val="Heading4"/>
      </w:pPr>
      <w:r w:rsidRPr="004F60A2">
        <w:t xml:space="preserve">Counter-plan solves mapping and is distinct from the plan </w:t>
      </w:r>
    </w:p>
    <w:p w:rsidR="004F60A2" w:rsidRPr="004F60A2" w:rsidRDefault="004F60A2" w:rsidP="004F60A2">
      <w:pPr>
        <w:rPr>
          <w:sz w:val="16"/>
        </w:rPr>
      </w:pPr>
      <w:r w:rsidRPr="004F60A2">
        <w:rPr>
          <w:b/>
        </w:rPr>
        <w:t xml:space="preserve">LISS no date </w:t>
      </w:r>
      <w:r w:rsidRPr="004F60A2">
        <w:rPr>
          <w:sz w:val="16"/>
        </w:rPr>
        <w:t>(Long Island Study Sound – involved in Nitrogen (Hypoxia) Management, Habitat Restoration, Public Involvement and Education, Water Quality Monitoring) [NOAA Ocean and Coastal Mapping Contracting Policy] (</w:t>
      </w:r>
      <w:hyperlink r:id="rId18" w:history="1">
        <w:r w:rsidRPr="004F60A2">
          <w:rPr>
            <w:rStyle w:val="Hyperlink"/>
            <w:sz w:val="16"/>
          </w:rPr>
          <w:t>http://longislandsoundstudy.net/wp-content/uploads/2010/02/NOAA-Ocean-and-Coastal-Mapping-Contracting-Policy-Final.pdf</w:t>
        </w:r>
      </w:hyperlink>
      <w:r w:rsidRPr="004F60A2">
        <w:rPr>
          <w:sz w:val="16"/>
        </w:rPr>
        <w:t>) //MC</w:t>
      </w:r>
    </w:p>
    <w:p w:rsidR="004F60A2" w:rsidRPr="004F60A2" w:rsidRDefault="004F60A2" w:rsidP="004F60A2">
      <w:pPr>
        <w:rPr>
          <w:sz w:val="16"/>
        </w:rPr>
      </w:pPr>
      <w:r w:rsidRPr="004F60A2">
        <w:rPr>
          <w:rStyle w:val="StyleUnderline"/>
        </w:rPr>
        <w:t>It is the intent of NOAA to contract for ocean and coastal mapping services when such contracts are determined to be a cost-effective method</w:t>
      </w:r>
      <w:r w:rsidRPr="004F60A2">
        <w:rPr>
          <w:sz w:val="16"/>
        </w:rPr>
        <w:t xml:space="preserve"> of obtaining these services and to the extent funding is available. NOAA will </w:t>
      </w:r>
      <w:r w:rsidRPr="004F60A2">
        <w:rPr>
          <w:rStyle w:val="StyleUnderline"/>
        </w:rPr>
        <w:t>procure ocean and coastal mapping services from qualified sources</w:t>
      </w:r>
      <w:r w:rsidRPr="004F60A2">
        <w:rPr>
          <w:sz w:val="16"/>
        </w:rPr>
        <w:t xml:space="preserve"> in accordance with its legal authorities, the Federal Acquisition Regulations (FAR), and the Federal Property and Administrative Services Act of 1949 (40 U.S.C. 101 et seq.). Where required by law or where otherwise deemed appropriate, NOAA will procure the acquisition of hydrographic data1 in accordance with Title IX of the Federal Property and Administrative Services Act (40 U.S.C. 1101 et seq.) .</w:t>
      </w:r>
    </w:p>
    <w:p w:rsidR="004F60A2" w:rsidRPr="004F60A2" w:rsidRDefault="004F60A2" w:rsidP="004F60A2">
      <w:pPr>
        <w:rPr>
          <w:rStyle w:val="StyleUnderline"/>
        </w:rPr>
      </w:pPr>
      <w:r w:rsidRPr="004F60A2">
        <w:rPr>
          <w:rStyle w:val="StyleUnderline"/>
        </w:rPr>
        <w:t>NOAA may determine that a particular ocean and coastal mapping activity is inherently governmental or</w:t>
      </w:r>
      <w:r w:rsidRPr="004F60A2">
        <w:rPr>
          <w:sz w:val="16"/>
        </w:rPr>
        <w:t xml:space="preserve"> otherwise </w:t>
      </w:r>
      <w:r w:rsidRPr="004F60A2">
        <w:rPr>
          <w:rStyle w:val="StyleUnderline"/>
        </w:rPr>
        <w:t>not subject to contracting</w:t>
      </w:r>
      <w:r w:rsidRPr="004F60A2">
        <w:rPr>
          <w:sz w:val="16"/>
        </w:rPr>
        <w:t xml:space="preserve">. NOAA </w:t>
      </w:r>
      <w:r w:rsidRPr="004F60A2">
        <w:rPr>
          <w:rStyle w:val="StyleUnderline"/>
        </w:rPr>
        <w:t>ocean and coastal mapping activities not subject to contracting may include</w:t>
      </w:r>
      <w:r w:rsidRPr="004F60A2">
        <w:rPr>
          <w:sz w:val="16"/>
        </w:rPr>
        <w:t>, but are not limited to, services necessary to: (1) m</w:t>
      </w:r>
      <w:r w:rsidRPr="004F60A2">
        <w:rPr>
          <w:rStyle w:val="StyleUnderline"/>
        </w:rPr>
        <w:t>onitor the quality of NOAA products</w:t>
      </w:r>
      <w:r w:rsidRPr="004F60A2">
        <w:rPr>
          <w:sz w:val="16"/>
        </w:rPr>
        <w:t xml:space="preserve">; (2) </w:t>
      </w:r>
      <w:r w:rsidRPr="004F60A2">
        <w:rPr>
          <w:rStyle w:val="StyleUnderline"/>
        </w:rPr>
        <w:t>promulgate and promote national and international technical standards and specifications</w:t>
      </w:r>
      <w:r w:rsidRPr="004F60A2">
        <w:rPr>
          <w:sz w:val="16"/>
        </w:rPr>
        <w:t xml:space="preserve">; (3) </w:t>
      </w:r>
      <w:r w:rsidRPr="004F60A2">
        <w:rPr>
          <w:rStyle w:val="StyleUnderline"/>
        </w:rPr>
        <w:t>conduct basic research and</w:t>
      </w:r>
      <w:r w:rsidRPr="004F60A2">
        <w:rPr>
          <w:sz w:val="16"/>
        </w:rPr>
        <w:t xml:space="preserve"> </w:t>
      </w:r>
      <w:r w:rsidRPr="004F60A2">
        <w:rPr>
          <w:rStyle w:val="StyleUnderline"/>
        </w:rPr>
        <w:t>developmen</w:t>
      </w:r>
      <w:r w:rsidRPr="004F60A2">
        <w:t xml:space="preserve">t </w:t>
      </w:r>
      <w:r w:rsidRPr="004F60A2">
        <w:rPr>
          <w:rStyle w:val="StyleUnderline"/>
        </w:rPr>
        <w:t xml:space="preserve">and ensure the rapid transfer of derived technologies to the private </w:t>
      </w:r>
      <w:r w:rsidRPr="004F60A2">
        <w:t>sector</w:t>
      </w:r>
      <w:r w:rsidRPr="004F60A2">
        <w:rPr>
          <w:sz w:val="16"/>
        </w:rPr>
        <w:t xml:space="preserve">; and (4) </w:t>
      </w:r>
      <w:r w:rsidRPr="004F60A2">
        <w:rPr>
          <w:rStyle w:val="StyleUnderline"/>
        </w:rPr>
        <w:t xml:space="preserve">maintain the integrity and accuracy of Federal geodetic, navigational and other databases. </w:t>
      </w:r>
    </w:p>
    <w:p w:rsidR="004F60A2" w:rsidRPr="004F60A2" w:rsidRDefault="004F60A2" w:rsidP="004F60A2">
      <w:pPr>
        <w:rPr>
          <w:sz w:val="16"/>
        </w:rPr>
      </w:pPr>
      <w:r w:rsidRPr="004F60A2">
        <w:rPr>
          <w:rStyle w:val="StyleUnderline"/>
        </w:rPr>
        <w:t>To facilitate the leveraging of government mapping resources</w:t>
      </w:r>
      <w:r w:rsidRPr="004F60A2">
        <w:rPr>
          <w:sz w:val="16"/>
        </w:rPr>
        <w:t xml:space="preserve">, NOAA will continue to make its coastal geospatial and hydrographic services </w:t>
      </w:r>
      <w:r w:rsidRPr="004F60A2">
        <w:rPr>
          <w:rStyle w:val="StyleUnderline"/>
        </w:rPr>
        <w:t>contracts with private-sector companies available to State and local government entities</w:t>
      </w:r>
      <w:r w:rsidRPr="004F60A2">
        <w:rPr>
          <w:sz w:val="16"/>
        </w:rPr>
        <w:t xml:space="preserve"> </w:t>
      </w:r>
      <w:r w:rsidRPr="004F60A2">
        <w:rPr>
          <w:rStyle w:val="StyleUnderline"/>
        </w:rPr>
        <w:t>that have a need for the services provided by these contracts</w:t>
      </w:r>
      <w:r w:rsidRPr="004F60A2">
        <w:rPr>
          <w:sz w:val="16"/>
        </w:rPr>
        <w:t xml:space="preserve"> and can provide adequate funding. </w:t>
      </w:r>
    </w:p>
    <w:p w:rsidR="004F60A2" w:rsidRPr="004F60A2" w:rsidRDefault="004F60A2" w:rsidP="004F60A2">
      <w:pPr>
        <w:rPr>
          <w:sz w:val="16"/>
        </w:rPr>
      </w:pPr>
      <w:r w:rsidRPr="004F60A2">
        <w:rPr>
          <w:rStyle w:val="StyleUnderline"/>
        </w:rPr>
        <w:t>NOAA may task qualified commercial sources with ocean and coastal mapping services in any part of the U.S. Exclusive Economic Zone</w:t>
      </w:r>
      <w:r w:rsidRPr="004F60A2">
        <w:rPr>
          <w:sz w:val="16"/>
        </w:rPr>
        <w:t xml:space="preserve">, territorial sea, Great Lakes, inland waters and coastal watersheds for any mission-related purpose. The government's interests in and responsibilities for mapping vary broadly and experience has shown that maintaining flexibility is key to responding to the nation's changing needs for geospatial data. </w:t>
      </w:r>
    </w:p>
    <w:p w:rsidR="004F60A2" w:rsidRPr="004F60A2" w:rsidRDefault="004F60A2" w:rsidP="004F60A2"/>
    <w:p w:rsidR="004F60A2" w:rsidRPr="004F60A2" w:rsidRDefault="004F60A2" w:rsidP="004F60A2">
      <w:pPr>
        <w:pStyle w:val="Heading4"/>
        <w:rPr>
          <w:rFonts w:cs="Arial"/>
        </w:rPr>
      </w:pPr>
      <w:r w:rsidRPr="004F60A2">
        <w:rPr>
          <w:rFonts w:cs="Arial"/>
        </w:rPr>
        <w:t>Solves Hydrate development</w:t>
      </w:r>
    </w:p>
    <w:p w:rsidR="004F60A2" w:rsidRPr="004F60A2" w:rsidRDefault="004F60A2" w:rsidP="004F60A2">
      <w:pPr>
        <w:rPr>
          <w:rStyle w:val="Style13ptBold"/>
          <w:b w:val="0"/>
          <w:bCs w:val="0"/>
        </w:rPr>
      </w:pPr>
      <w:r w:rsidRPr="004F60A2">
        <w:rPr>
          <w:rStyle w:val="Style13ptBold"/>
        </w:rPr>
        <w:t>Moniz et al 11</w:t>
      </w:r>
      <w:r w:rsidRPr="004F60A2">
        <w:t>—Professor of Physics and Engineering Systems at MIT and the Director of the MIT Energy Initiative. [“The Future of Natural Gas: AN INTERDISCIPLINARY MIT STUDY,” Ernest J. Moinz, Chair, June 6, 2011, pp 161-162, accessed through Emory] // AG</w:t>
      </w:r>
    </w:p>
    <w:p w:rsidR="004F60A2" w:rsidRPr="004F60A2" w:rsidRDefault="004F60A2" w:rsidP="004F60A2">
      <w:pPr>
        <w:rPr>
          <w:rStyle w:val="StyleUnderline"/>
        </w:rPr>
      </w:pPr>
      <w:r w:rsidRPr="004F60A2">
        <w:rPr>
          <w:sz w:val="16"/>
        </w:rPr>
        <w:t xml:space="preserve">Methane Hydrates. The Chapter 2 discussion also indicates the potential for major methane resources from economic hydrates production. </w:t>
      </w:r>
      <w:r w:rsidRPr="004F60A2">
        <w:rPr>
          <w:rStyle w:val="StyleUnderline"/>
        </w:rPr>
        <w:t xml:space="preserve">More basic research issues need to be resolved for methane hydrates than for other natural gas sources. RD&amp;D might usefully focus on: </w:t>
      </w:r>
      <w:r w:rsidRPr="004F60A2">
        <w:rPr>
          <w:rStyle w:val="Emphasis"/>
        </w:rPr>
        <w:t>the systematic remote detection of highly concentrated deposits</w:t>
      </w:r>
      <w:r w:rsidRPr="004F60A2">
        <w:rPr>
          <w:rStyle w:val="StyleUnderline"/>
        </w:rPr>
        <w:t>; long-term production tests, particularly in permafrost-associated hydrates; and geo-hazard modeling to determine the impact of extracting free natural gas on the stability of associated hydrate-bearing sediments.</w:t>
      </w:r>
    </w:p>
    <w:p w:rsidR="004F60A2" w:rsidRPr="004F60A2" w:rsidRDefault="004F60A2" w:rsidP="004F60A2">
      <w:pPr>
        <w:rPr>
          <w:sz w:val="16"/>
        </w:rPr>
      </w:pPr>
      <w:r w:rsidRPr="004F60A2">
        <w:rPr>
          <w:sz w:val="16"/>
        </w:rPr>
        <w:t xml:space="preserve">The longest production test to produce natural gas from forced dissociation of methane hydrate deposits had only a six-day duration due to the nature of the experiment, financial concerns and other issues. The technology and expertise to conduct a long-term production test exist today. </w:t>
      </w:r>
      <w:r w:rsidRPr="004F60A2">
        <w:rPr>
          <w:rStyle w:val="StyleUnderline"/>
        </w:rPr>
        <w:t>Financial and logistical barriers have been the major impediments to completing such a test in permafrost-associated hydrates. Determining the degree of safety and environmental risk associated with production from natural gas hydrates will require that appropriate data be collected during and after long-term production tests that are conducted over the next few years</w:t>
      </w:r>
      <w:r w:rsidRPr="004F60A2">
        <w:rPr>
          <w:sz w:val="16"/>
        </w:rPr>
        <w:t>. Many of the safety and environmental issues will have to be addressed by modeling that takes into account a range of potential risks, including blowouts; co-production of CO2, water and gasses; borehole, formation and/or seafloor destabilization; and warming and potential thawing of permafrost.</w:t>
      </w:r>
    </w:p>
    <w:p w:rsidR="004F60A2" w:rsidRPr="004F60A2" w:rsidRDefault="004F60A2" w:rsidP="004F60A2">
      <w:pPr>
        <w:rPr>
          <w:sz w:val="16"/>
        </w:rPr>
      </w:pPr>
      <w:r w:rsidRPr="004F60A2">
        <w:rPr>
          <w:rStyle w:val="StyleUnderline"/>
        </w:rPr>
        <w:t>Methane hydrates are a good candidate, sometime in the future, for another public-private success story</w:t>
      </w:r>
      <w:r w:rsidRPr="004F60A2">
        <w:rPr>
          <w:sz w:val="16"/>
        </w:rPr>
        <w:t xml:space="preserve"> of the type illustrated in Box 8.1 for coalbed methane (CBM), i.e., </w:t>
      </w:r>
      <w:r w:rsidRPr="004F60A2">
        <w:rPr>
          <w:rStyle w:val="StyleUnderline"/>
        </w:rPr>
        <w:t xml:space="preserve">a combination of government funding for resource characterization, public-private partnership for technology transfer and synergistic, timelimited financial incentives to advance commercial deployment. </w:t>
      </w:r>
      <w:r w:rsidRPr="004F60A2">
        <w:rPr>
          <w:sz w:val="16"/>
        </w:rPr>
        <w:t xml:space="preserve">As the majors move </w:t>
      </w:r>
      <w:r w:rsidRPr="004F60A2">
        <w:rPr>
          <w:sz w:val="16"/>
        </w:rPr>
        <w:lastRenderedPageBreak/>
        <w:t>into today’s unconventional resources and apply their research capacity, methane hydrates could be thought of as “tomorrow’s unconventional resource.”</w:t>
      </w:r>
    </w:p>
    <w:p w:rsidR="004F60A2" w:rsidRPr="004F60A2" w:rsidRDefault="004F60A2" w:rsidP="004F60A2"/>
    <w:p w:rsidR="004F60A2" w:rsidRPr="004F60A2" w:rsidRDefault="004F60A2" w:rsidP="004F60A2"/>
    <w:p w:rsidR="004F60A2" w:rsidRPr="004F60A2" w:rsidRDefault="004F60A2" w:rsidP="004F60A2">
      <w:pPr>
        <w:pStyle w:val="Heading3"/>
        <w:rPr>
          <w:rFonts w:cs="Arial"/>
        </w:rPr>
      </w:pPr>
      <w:r w:rsidRPr="004F60A2">
        <w:rPr>
          <w:rFonts w:cs="Arial"/>
        </w:rPr>
        <w:lastRenderedPageBreak/>
        <w:t>Ext – Cost Overruns/Delays</w:t>
      </w:r>
    </w:p>
    <w:p w:rsidR="004F60A2" w:rsidRPr="004F60A2" w:rsidRDefault="004F60A2" w:rsidP="004F60A2">
      <w:pPr>
        <w:pStyle w:val="Heading4"/>
        <w:rPr>
          <w:rFonts w:cs="Arial"/>
        </w:rPr>
      </w:pPr>
      <w:r w:rsidRPr="004F60A2">
        <w:rPr>
          <w:rFonts w:cs="Arial"/>
        </w:rPr>
        <w:t>Government energy projects get delayed and cost-overrun</w:t>
      </w:r>
    </w:p>
    <w:p w:rsidR="004F60A2" w:rsidRPr="004F60A2" w:rsidRDefault="004F60A2" w:rsidP="004F60A2">
      <w:pPr>
        <w:rPr>
          <w:b/>
          <w:bCs/>
        </w:rPr>
      </w:pPr>
      <w:r w:rsidRPr="004F60A2">
        <w:rPr>
          <w:rStyle w:val="Style13ptBold"/>
        </w:rPr>
        <w:t xml:space="preserve">Edwards 09, </w:t>
      </w:r>
      <w:r w:rsidRPr="004F60A2">
        <w:rPr>
          <w:rStyle w:val="Style13ptBold"/>
          <w:b w:val="0"/>
          <w:sz w:val="16"/>
        </w:rPr>
        <w:t>(Chris Edwards – a senior economist on the congressional Joint Economic Committee, a manager with PricewaterhouseCoopers, an economist with the Tax Foundation, overall Badass.) [Government Cost Overruns] (http://www.downsizinggovernment.org/government-cost-overruns) //MC</w:t>
      </w:r>
    </w:p>
    <w:p w:rsidR="004F60A2" w:rsidRPr="004F60A2" w:rsidRDefault="004F60A2" w:rsidP="004F60A2">
      <w:pPr>
        <w:rPr>
          <w:sz w:val="16"/>
        </w:rPr>
      </w:pPr>
      <w:r w:rsidRPr="004F60A2">
        <w:rPr>
          <w:sz w:val="16"/>
        </w:rPr>
        <w:t xml:space="preserve">Energy. For decades, </w:t>
      </w:r>
      <w:r w:rsidRPr="004F60A2">
        <w:rPr>
          <w:rStyle w:val="StyleUnderline"/>
        </w:rPr>
        <w:t>the federal government's management of large energy projects has been abysmal</w:t>
      </w:r>
      <w:r w:rsidRPr="004F60A2">
        <w:rPr>
          <w:sz w:val="16"/>
        </w:rPr>
        <w:t xml:space="preserve">. A good example was the Clinch River Breeder Reactor, which was an experimental nuclear fission plant in Oak Ridge, Tennessee. In 1971, </w:t>
      </w:r>
      <w:r w:rsidRPr="004F60A2">
        <w:rPr>
          <w:rStyle w:val="StyleUnderline"/>
        </w:rPr>
        <w:t>the Atomic Energy Commission, which pushed the project, estimated that it would cost $400 million. But the project's estimated cost rose steadily during the 1970s, and by 1983 it had ballooned to $4 billion.8 The project was finally cancelled, but only after $1.7 billion had been spent</w:t>
      </w:r>
      <w:r w:rsidRPr="004F60A2">
        <w:rPr>
          <w:sz w:val="16"/>
        </w:rPr>
        <w:t>, which was a lot of hard-earned taxpayer dollars to send down a black hole.</w:t>
      </w:r>
    </w:p>
    <w:p w:rsidR="004F60A2" w:rsidRPr="004F60A2" w:rsidRDefault="004F60A2" w:rsidP="004F60A2">
      <w:pPr>
        <w:rPr>
          <w:sz w:val="16"/>
        </w:rPr>
      </w:pPr>
      <w:r w:rsidRPr="004F60A2">
        <w:rPr>
          <w:sz w:val="16"/>
        </w:rPr>
        <w:t xml:space="preserve">One huge and </w:t>
      </w:r>
      <w:r w:rsidRPr="004F60A2">
        <w:rPr>
          <w:rStyle w:val="StyleUnderline"/>
        </w:rPr>
        <w:t>ongoing black hole for taxpayer dollars is the Department of Energy</w:t>
      </w:r>
      <w:r w:rsidRPr="004F60A2">
        <w:rPr>
          <w:sz w:val="16"/>
        </w:rPr>
        <w:t>'s project to clean up radioactive waste at its nuclear facilities. The GAO noted: "DOE's efforts to treat and dispose of high-level waste have been plagued with false starts and failures."9 The GAO figures that the total estimated costs of DOE's clean-ups jumped from $63 billion in 1996 to $105 billion in 2003.</w:t>
      </w:r>
    </w:p>
    <w:p w:rsidR="004F60A2" w:rsidRPr="004F60A2" w:rsidRDefault="004F60A2" w:rsidP="004F60A2">
      <w:pPr>
        <w:rPr>
          <w:sz w:val="16"/>
        </w:rPr>
      </w:pPr>
      <w:r w:rsidRPr="004F60A2">
        <w:rPr>
          <w:rStyle w:val="StyleUnderline"/>
        </w:rPr>
        <w:t>Another</w:t>
      </w:r>
      <w:r w:rsidRPr="004F60A2">
        <w:rPr>
          <w:sz w:val="16"/>
        </w:rPr>
        <w:t xml:space="preserve"> ongoing financial </w:t>
      </w:r>
      <w:r w:rsidRPr="004F60A2">
        <w:rPr>
          <w:rStyle w:val="StyleUnderline"/>
        </w:rPr>
        <w:t xml:space="preserve">drain </w:t>
      </w:r>
      <w:r w:rsidRPr="004F60A2">
        <w:rPr>
          <w:sz w:val="16"/>
        </w:rPr>
        <w:t xml:space="preserve">in the DOE </w:t>
      </w:r>
      <w:r w:rsidRPr="004F60A2">
        <w:rPr>
          <w:rStyle w:val="StyleUnderline"/>
        </w:rPr>
        <w:t>is the National Ignition Facility</w:t>
      </w:r>
      <w:r w:rsidRPr="004F60A2">
        <w:rPr>
          <w:sz w:val="16"/>
        </w:rPr>
        <w:t xml:space="preserve">. In 1993, Congress approved construction of the NIF to research nuclear fusion. When completed, the NIF is supposed to focus about 200 high-power lasers at a small point to generate a big release of energy. The stadium-sized project is housed at the federal Lawrence Livermore National Laboratory. The NIF has been horribly managed: </w:t>
      </w:r>
      <w:r w:rsidRPr="004F60A2">
        <w:rPr>
          <w:rStyle w:val="StyleUnderline"/>
        </w:rPr>
        <w:t>It is at least seven years behind schedule</w:t>
      </w:r>
      <w:r w:rsidRPr="004F60A2">
        <w:rPr>
          <w:sz w:val="16"/>
        </w:rPr>
        <w:t xml:space="preserve">, and the </w:t>
      </w:r>
      <w:r w:rsidRPr="004F60A2">
        <w:rPr>
          <w:rStyle w:val="StyleUnderline"/>
        </w:rPr>
        <w:t>total estimated cost has ballooned from $2.1 billion to $4.2 billion</w:t>
      </w:r>
      <w:r w:rsidRPr="004F60A2">
        <w:rPr>
          <w:sz w:val="16"/>
        </w:rPr>
        <w:t>.10</w:t>
      </w:r>
    </w:p>
    <w:p w:rsidR="004F60A2" w:rsidRPr="004F60A2" w:rsidRDefault="004F60A2" w:rsidP="004F60A2">
      <w:pPr>
        <w:rPr>
          <w:sz w:val="16"/>
        </w:rPr>
      </w:pPr>
      <w:r w:rsidRPr="004F60A2">
        <w:rPr>
          <w:sz w:val="16"/>
        </w:rPr>
        <w:t>FutureGen is another boondoggle. The project was launched in 2003 by President Bush with the goal of building a low-emission coal power plant and demonstrating carbon capture technologies. A single site at Mattoon, Illinois was chosen for the project. It was budgeted at $1 billion, but the cost has increased to at least $1.8 billion.11 In 2008, after $176 million had been spent, the Department of Energy decided to change course and cancel the Mattoon project. Alas, Congress would not allow it, and members from Illinois successfully secured new funding for the project in 2009.</w:t>
      </w:r>
    </w:p>
    <w:p w:rsidR="004F60A2" w:rsidRPr="004F60A2" w:rsidRDefault="004F60A2" w:rsidP="004F60A2">
      <w:pPr>
        <w:rPr>
          <w:sz w:val="16"/>
        </w:rPr>
      </w:pPr>
      <w:r w:rsidRPr="004F60A2">
        <w:rPr>
          <w:rStyle w:val="StyleUnderline"/>
        </w:rPr>
        <w:t>These energy boondoggles are not isolated examples. The GAO has tracked dozens of major energy projects</w:t>
      </w:r>
      <w:r w:rsidRPr="004F60A2">
        <w:rPr>
          <w:sz w:val="16"/>
        </w:rPr>
        <w:t xml:space="preserve">, and it reports that about </w:t>
      </w:r>
      <w:r w:rsidRPr="004F60A2">
        <w:rPr>
          <w:rStyle w:val="StyleUnderline"/>
        </w:rPr>
        <w:t>one-third</w:t>
      </w:r>
      <w:r w:rsidRPr="004F60A2">
        <w:rPr>
          <w:sz w:val="16"/>
        </w:rPr>
        <w:t xml:space="preserve"> of them </w:t>
      </w:r>
      <w:r w:rsidRPr="004F60A2">
        <w:rPr>
          <w:rStyle w:val="StyleUnderline"/>
        </w:rPr>
        <w:t>have costs that have at least doubled from initial estimates</w:t>
      </w:r>
      <w:r w:rsidRPr="004F60A2">
        <w:rPr>
          <w:sz w:val="16"/>
        </w:rPr>
        <w:t>.12</w:t>
      </w:r>
    </w:p>
    <w:p w:rsidR="004F60A2" w:rsidRPr="004F60A2" w:rsidRDefault="004F60A2" w:rsidP="004F60A2">
      <w:pPr>
        <w:rPr>
          <w:sz w:val="16"/>
        </w:rPr>
      </w:pPr>
    </w:p>
    <w:p w:rsidR="004F60A2" w:rsidRPr="004F60A2" w:rsidRDefault="004F60A2" w:rsidP="004F60A2">
      <w:pPr>
        <w:pStyle w:val="Heading4"/>
        <w:rPr>
          <w:rFonts w:cs="Arial"/>
        </w:rPr>
      </w:pPr>
      <w:r w:rsidRPr="004F60A2">
        <w:rPr>
          <w:rFonts w:cs="Arial"/>
        </w:rPr>
        <w:t>Technology development faces delays and cost overruns – prefer statistical analysis</w:t>
      </w:r>
    </w:p>
    <w:p w:rsidR="004F60A2" w:rsidRPr="004F60A2" w:rsidRDefault="004F60A2" w:rsidP="004F60A2">
      <w:pPr>
        <w:rPr>
          <w:b/>
          <w:bCs/>
        </w:rPr>
      </w:pPr>
      <w:r w:rsidRPr="004F60A2">
        <w:rPr>
          <w:rStyle w:val="Style13ptBold"/>
        </w:rPr>
        <w:t xml:space="preserve">Edwards 09, </w:t>
      </w:r>
      <w:r w:rsidRPr="004F60A2">
        <w:rPr>
          <w:rStyle w:val="Style13ptBold"/>
          <w:b w:val="0"/>
          <w:sz w:val="16"/>
        </w:rPr>
        <w:t>(Chris Edwards – a senior economist on the congressional Joint Economic Committee, a manager with PricewaterhouseCoopers, an economist with the Tax Foundation, overall Badass.) [Government Cost Overruns] (http://www.downsizinggovernment.org/government-cost-overruns) //MC</w:t>
      </w:r>
    </w:p>
    <w:p w:rsidR="004F60A2" w:rsidRPr="004F60A2" w:rsidRDefault="004F60A2" w:rsidP="004F60A2">
      <w:pPr>
        <w:rPr>
          <w:sz w:val="16"/>
        </w:rPr>
      </w:pPr>
      <w:r w:rsidRPr="004F60A2">
        <w:rPr>
          <w:sz w:val="16"/>
        </w:rPr>
        <w:t xml:space="preserve">Technology Projects. </w:t>
      </w:r>
      <w:r w:rsidRPr="004F60A2">
        <w:rPr>
          <w:rStyle w:val="StyleUnderline"/>
        </w:rPr>
        <w:t>The federal government has huge management problems with regard to technology projects</w:t>
      </w:r>
      <w:r w:rsidRPr="004F60A2">
        <w:rPr>
          <w:sz w:val="16"/>
        </w:rPr>
        <w:t>, such as installing computer systems. In 2004, the Department of Veterans Affairs scrapped a $472 million computer upgrade project in Florida as a complete failure after spending $265 million on it.27 In 2005, the Treasury Department's Inspector General found that $43 million of $173 million spent to install a new personnel computer system at the department had been wasted.28 The FBI's $600 million Trilogy project to update its computer system was $123 million over-budget, and a portion of the project was scrapped after spending about $100 million on it.29</w:t>
      </w:r>
    </w:p>
    <w:p w:rsidR="004F60A2" w:rsidRPr="004F60A2" w:rsidRDefault="004F60A2" w:rsidP="004F60A2">
      <w:pPr>
        <w:rPr>
          <w:sz w:val="16"/>
        </w:rPr>
      </w:pPr>
      <w:r w:rsidRPr="004F60A2">
        <w:rPr>
          <w:sz w:val="16"/>
        </w:rPr>
        <w:t xml:space="preserve">The Federal Aviation Administration also has big problems. </w:t>
      </w:r>
      <w:r w:rsidRPr="004F60A2">
        <w:rPr>
          <w:rStyle w:val="StyleUnderline"/>
        </w:rPr>
        <w:t>A GAO report</w:t>
      </w:r>
      <w:r w:rsidRPr="004F60A2">
        <w:rPr>
          <w:sz w:val="16"/>
        </w:rPr>
        <w:t xml:space="preserve"> in 2005 looked at air traffic control upgrade projects and </w:t>
      </w:r>
      <w:r w:rsidRPr="004F60A2">
        <w:rPr>
          <w:rStyle w:val="StyleUnderline"/>
        </w:rPr>
        <w:t>found that the combined costs of 16 projects had risen from $8.9 billion to $14.6 billion</w:t>
      </w:r>
      <w:r w:rsidRPr="004F60A2">
        <w:rPr>
          <w:sz w:val="16"/>
        </w:rPr>
        <w:t xml:space="preserve">.30 For example, </w:t>
      </w:r>
      <w:r w:rsidRPr="004F60A2">
        <w:rPr>
          <w:rStyle w:val="StyleUnderline"/>
        </w:rPr>
        <w:t>a computer system called</w:t>
      </w:r>
      <w:r w:rsidRPr="004F60A2">
        <w:rPr>
          <w:sz w:val="16"/>
        </w:rPr>
        <w:t xml:space="preserve"> "</w:t>
      </w:r>
      <w:r w:rsidRPr="004F60A2">
        <w:rPr>
          <w:rStyle w:val="StyleUnderline"/>
        </w:rPr>
        <w:t>STARS</w:t>
      </w:r>
      <w:r w:rsidRPr="004F60A2">
        <w:rPr>
          <w:sz w:val="16"/>
        </w:rPr>
        <w:t xml:space="preserve">" </w:t>
      </w:r>
      <w:r w:rsidRPr="004F60A2">
        <w:rPr>
          <w:rStyle w:val="StyleUnderline"/>
        </w:rPr>
        <w:t>had jumped in cost from $940 million to $2.8 billion</w:t>
      </w:r>
      <w:r w:rsidRPr="004F60A2">
        <w:rPr>
          <w:sz w:val="16"/>
        </w:rPr>
        <w:t xml:space="preserve">, </w:t>
      </w:r>
      <w:r w:rsidRPr="004F60A2">
        <w:rPr>
          <w:rStyle w:val="StyleUnderline"/>
        </w:rPr>
        <w:t>and</w:t>
      </w:r>
      <w:r w:rsidRPr="004F60A2">
        <w:rPr>
          <w:sz w:val="16"/>
        </w:rPr>
        <w:t xml:space="preserve"> it was </w:t>
      </w:r>
      <w:r w:rsidRPr="004F60A2">
        <w:rPr>
          <w:rStyle w:val="StyleUnderline"/>
        </w:rPr>
        <w:t>seven years behind schedule</w:t>
      </w:r>
      <w:r w:rsidRPr="004F60A2">
        <w:rPr>
          <w:sz w:val="16"/>
        </w:rPr>
        <w:t>.31 The Inspector General for the Department of Transportation noted that the expensive project was "facing obsolescence" even before it was completed.32</w:t>
      </w:r>
    </w:p>
    <w:p w:rsidR="004F60A2" w:rsidRPr="004F60A2" w:rsidRDefault="004F60A2" w:rsidP="004F60A2">
      <w:pPr>
        <w:rPr>
          <w:sz w:val="16"/>
        </w:rPr>
      </w:pPr>
      <w:r w:rsidRPr="004F60A2">
        <w:rPr>
          <w:sz w:val="16"/>
        </w:rPr>
        <w:t xml:space="preserve">The National Aeronautics and Space Administration has long had major cost overrun problems, such as on its space station program. A GAO report in 2009 found that </w:t>
      </w:r>
      <w:r w:rsidRPr="004F60A2">
        <w:rPr>
          <w:rStyle w:val="StyleUnderline"/>
        </w:rPr>
        <w:t>10 of 13 major projects examined had substantial cost overruns or schedule delays</w:t>
      </w:r>
      <w:r w:rsidRPr="004F60A2">
        <w:rPr>
          <w:sz w:val="16"/>
        </w:rPr>
        <w:t xml:space="preserve">.33 Alan Stern, a former NASA associate administrator, recently noted that "our space </w:t>
      </w:r>
      <w:r w:rsidRPr="004F60A2">
        <w:rPr>
          <w:rStyle w:val="StyleUnderline"/>
        </w:rPr>
        <w:t>program is run inefficiently</w:t>
      </w:r>
      <w:r w:rsidRPr="004F60A2">
        <w:rPr>
          <w:sz w:val="16"/>
        </w:rPr>
        <w:t xml:space="preserve">, and </w:t>
      </w:r>
      <w:r w:rsidRPr="004F60A2">
        <w:rPr>
          <w:rStyle w:val="StyleUnderline"/>
        </w:rPr>
        <w:t>without sufficient regard to cost performance</w:t>
      </w:r>
      <w:r w:rsidRPr="004F60A2">
        <w:rPr>
          <w:sz w:val="16"/>
        </w:rPr>
        <w:t>," and further noted th</w:t>
      </w:r>
      <w:r w:rsidRPr="004F60A2">
        <w:t>a</w:t>
      </w:r>
      <w:r w:rsidRPr="004F60A2">
        <w:rPr>
          <w:sz w:val="16"/>
        </w:rPr>
        <w:t>t costs overruns are a "cancer" on the agency.34</w:t>
      </w:r>
    </w:p>
    <w:p w:rsidR="004F60A2" w:rsidRPr="004F60A2" w:rsidRDefault="004F60A2" w:rsidP="004F60A2">
      <w:pPr>
        <w:rPr>
          <w:sz w:val="16"/>
        </w:rPr>
      </w:pPr>
      <w:r w:rsidRPr="004F60A2">
        <w:rPr>
          <w:sz w:val="16"/>
        </w:rPr>
        <w:t>Around Washington. It is hard for members of Congress not to be aware of chronic government cost overruns and mismanagement given the many examples in the nation's capital. Members need look no further than the new Capitol Visitor Center, which jumped in cost from an estimated $265 million in 2000 to $621 million when it was completed in 2008.35</w:t>
      </w:r>
    </w:p>
    <w:p w:rsidR="004F60A2" w:rsidRPr="004F60A2" w:rsidRDefault="004F60A2" w:rsidP="004F60A2">
      <w:pPr>
        <w:rPr>
          <w:sz w:val="16"/>
        </w:rPr>
      </w:pPr>
      <w:r w:rsidRPr="004F60A2">
        <w:rPr>
          <w:sz w:val="16"/>
        </w:rPr>
        <w:t>If members of Congress head across town for an evening at the Kennedy Center, they may notice the recent parking lot upgrade. That project tripled in cost as it was being completed. Also, they may enjoy the renovations of the Kennedy Center's Opera House and Concert Hall — those projects were also substantially over-budget.36</w:t>
      </w:r>
    </w:p>
    <w:p w:rsidR="004F60A2" w:rsidRPr="004F60A2" w:rsidRDefault="004F60A2" w:rsidP="004F60A2">
      <w:pPr>
        <w:rPr>
          <w:sz w:val="16"/>
        </w:rPr>
      </w:pPr>
      <w:r w:rsidRPr="004F60A2">
        <w:rPr>
          <w:sz w:val="16"/>
        </w:rPr>
        <w:lastRenderedPageBreak/>
        <w:t>If members of Congress prefer baseball, they could venture to Washington's new taxpayer-financed baseball stadium. It jumped in cost from $435 million when the city's mayor was getting approval for the project, to a final price tag of $693 million.37 At least with this project, it was mainly city taxpayers footing the bill, not federal taxpayers.</w:t>
      </w:r>
    </w:p>
    <w:p w:rsidR="004F60A2" w:rsidRPr="004F60A2" w:rsidRDefault="004F60A2" w:rsidP="004F60A2">
      <w:pPr>
        <w:rPr>
          <w:sz w:val="16"/>
        </w:rPr>
      </w:pPr>
      <w:r w:rsidRPr="004F60A2">
        <w:rPr>
          <w:sz w:val="16"/>
        </w:rPr>
        <w:t>Causes of Cost Overruns</w:t>
      </w:r>
    </w:p>
    <w:p w:rsidR="004F60A2" w:rsidRPr="004F60A2" w:rsidRDefault="004F60A2" w:rsidP="004F60A2">
      <w:pPr>
        <w:rPr>
          <w:sz w:val="16"/>
        </w:rPr>
      </w:pPr>
      <w:r w:rsidRPr="004F60A2">
        <w:rPr>
          <w:rStyle w:val="StyleUnderline"/>
        </w:rPr>
        <w:t>Cost overruns have plagued governments for decades</w:t>
      </w:r>
      <w:r w:rsidRPr="004F60A2">
        <w:rPr>
          <w:sz w:val="16"/>
        </w:rPr>
        <w:t>, even centuries</w:t>
      </w:r>
      <w:r w:rsidRPr="004F60A2">
        <w:rPr>
          <w:rStyle w:val="StyleUnderline"/>
        </w:rPr>
        <w:t>. In a study for the National Bureau of Economic Research, two economists compared actual costs to originally estimated costs for a sample of large government projects in the United States dating back to the early 19th century</w:t>
      </w:r>
      <w:r w:rsidRPr="004F60A2">
        <w:rPr>
          <w:sz w:val="16"/>
        </w:rPr>
        <w:t xml:space="preserve">.38 </w:t>
      </w:r>
      <w:r w:rsidRPr="004F60A2">
        <w:rPr>
          <w:rStyle w:val="StyleUnderline"/>
        </w:rPr>
        <w:t>They found a pattern of large cost overruns, and they concluded that the problem has gotten worse in recent decades.</w:t>
      </w:r>
      <w:r w:rsidRPr="004F60A2">
        <w:rPr>
          <w:sz w:val="16"/>
        </w:rPr>
        <w:t xml:space="preserve"> Their calculations included the following projects: the Erie Canal (46 percent cost overrun), Panama Canal (106 percent), Hoover Dam (12 percent), Louisiana Superdome (366 percent), and the renovation of Yankee Stadium in the 1970s (317 percent).</w:t>
      </w:r>
    </w:p>
    <w:p w:rsidR="004F60A2" w:rsidRPr="004F60A2" w:rsidRDefault="004F60A2" w:rsidP="004F60A2"/>
    <w:p w:rsidR="004F60A2" w:rsidRPr="004F60A2" w:rsidRDefault="004F60A2" w:rsidP="004F60A2">
      <w:pPr>
        <w:pStyle w:val="Heading4"/>
        <w:rPr>
          <w:rFonts w:cs="Arial"/>
        </w:rPr>
      </w:pPr>
      <w:r w:rsidRPr="004F60A2">
        <w:rPr>
          <w:rFonts w:cs="Arial"/>
        </w:rPr>
        <w:t>Government projects cause delays and cost-overruns – nuclear disposal proves</w:t>
      </w:r>
    </w:p>
    <w:p w:rsidR="004F60A2" w:rsidRPr="004F60A2" w:rsidRDefault="004F60A2" w:rsidP="004F60A2">
      <w:pPr>
        <w:rPr>
          <w:rStyle w:val="Style13ptBold"/>
          <w:b w:val="0"/>
          <w:sz w:val="16"/>
        </w:rPr>
      </w:pPr>
      <w:r w:rsidRPr="004F60A2">
        <w:rPr>
          <w:rStyle w:val="Style13ptBold"/>
        </w:rPr>
        <w:t xml:space="preserve">Edwards 13, </w:t>
      </w:r>
      <w:r w:rsidRPr="004F60A2">
        <w:rPr>
          <w:rStyle w:val="Style13ptBold"/>
          <w:b w:val="0"/>
          <w:sz w:val="16"/>
        </w:rPr>
        <w:t>(Chris Edwards – a senior economist on the congressional Joint Economic Committee, a manager with PricewaterhouseCoopers, an economist with the Tax Foundation, overall Badass.) [Public Projects Carelessly Managed] (</w:t>
      </w:r>
      <w:hyperlink r:id="rId19" w:history="1">
        <w:r w:rsidRPr="004F60A2">
          <w:rPr>
            <w:rStyle w:val="Hyperlink"/>
            <w:sz w:val="16"/>
          </w:rPr>
          <w:t>http://www.cato.org/blog/public-projects-carelessly-managed</w:t>
        </w:r>
      </w:hyperlink>
      <w:r w:rsidRPr="004F60A2">
        <w:rPr>
          <w:rStyle w:val="Style13ptBold"/>
          <w:b w:val="0"/>
          <w:sz w:val="16"/>
        </w:rPr>
        <w:t>) //MC</w:t>
      </w:r>
    </w:p>
    <w:p w:rsidR="004F60A2" w:rsidRPr="004F60A2" w:rsidRDefault="004F60A2" w:rsidP="004F60A2">
      <w:pPr>
        <w:rPr>
          <w:sz w:val="16"/>
        </w:rPr>
      </w:pPr>
      <w:r w:rsidRPr="004F60A2">
        <w:rPr>
          <w:sz w:val="16"/>
        </w:rPr>
        <w:t xml:space="preserve">So as small as the government was back then, it was already commonly known that </w:t>
      </w:r>
      <w:r w:rsidRPr="004F60A2">
        <w:rPr>
          <w:rStyle w:val="StyleUnderline"/>
        </w:rPr>
        <w:t>government projects are often screw-ups</w:t>
      </w:r>
      <w:r w:rsidRPr="004F60A2">
        <w:rPr>
          <w:sz w:val="16"/>
        </w:rPr>
        <w:t xml:space="preserve">. By the way, if you look at the history of the oldest federal agencies—such as the Bureau of Indian Affairs and </w:t>
      </w:r>
      <w:r w:rsidRPr="004F60A2">
        <w:rPr>
          <w:rStyle w:val="StyleUnderline"/>
        </w:rPr>
        <w:t>the Corps of Engineers</w:t>
      </w:r>
      <w:r w:rsidRPr="004F60A2">
        <w:rPr>
          <w:sz w:val="16"/>
        </w:rPr>
        <w:t>—</w:t>
      </w:r>
      <w:r w:rsidRPr="004F60A2">
        <w:rPr>
          <w:rStyle w:val="StyleUnderline"/>
        </w:rPr>
        <w:t>you will find scandals, mismanagement, and cost overruns from the the beginning</w:t>
      </w:r>
      <w:r w:rsidRPr="004F60A2">
        <w:rPr>
          <w:sz w:val="16"/>
        </w:rPr>
        <w:t>.</w:t>
      </w:r>
    </w:p>
    <w:p w:rsidR="004F60A2" w:rsidRPr="004F60A2" w:rsidRDefault="004F60A2" w:rsidP="004F60A2">
      <w:pPr>
        <w:rPr>
          <w:sz w:val="16"/>
        </w:rPr>
      </w:pPr>
      <w:r w:rsidRPr="004F60A2">
        <w:rPr>
          <w:sz w:val="16"/>
        </w:rPr>
        <w:t xml:space="preserve">Today, </w:t>
      </w:r>
      <w:r w:rsidRPr="004F60A2">
        <w:rPr>
          <w:rStyle w:val="Emphasis"/>
        </w:rPr>
        <w:t>the parade of failures and mismanagement continues</w:t>
      </w:r>
      <w:r w:rsidRPr="004F60A2">
        <w:rPr>
          <w:sz w:val="16"/>
        </w:rPr>
        <w:t>. Back from Monticello, I caught up on the Washington Post and found an article by Walter Pincus describing the “explosive costs of nuclear weapons disposal.”</w:t>
      </w:r>
    </w:p>
    <w:p w:rsidR="004F60A2" w:rsidRPr="004F60A2" w:rsidRDefault="004F60A2" w:rsidP="004F60A2">
      <w:pPr>
        <w:rPr>
          <w:sz w:val="16"/>
        </w:rPr>
      </w:pPr>
      <w:r w:rsidRPr="004F60A2">
        <w:rPr>
          <w:sz w:val="16"/>
        </w:rPr>
        <w:t xml:space="preserve">Costs have skyrocketed for the Mixed Oxide Fuel Fabrication Facility at the Savannah River plant in South Carolina … </w:t>
      </w:r>
      <w:r w:rsidRPr="004F60A2">
        <w:rPr>
          <w:rStyle w:val="StyleUnderline"/>
        </w:rPr>
        <w:t>When the National Nuclear Security Administration (NNSA) originated this MOX program in 2002, design and construction were to cost $1 billion. By 2005, the estimate was $3.5 billion. When project construction began in 2007, it was three years behind schedule with a $4.8 billion price tag. According to NNSA’s fiscal 2014 budget request, construction will hit $7.78 billion</w:t>
      </w:r>
      <w:r w:rsidRPr="004F60A2">
        <w:rPr>
          <w:sz w:val="16"/>
        </w:rPr>
        <w:t>. The annual cost to run the facility has also exploded. NNSA estimated in 2002 that it would cost $100.5 million a year to operate the MOX plant. Annual operating costs are now expected to be $543 million.</w:t>
      </w:r>
    </w:p>
    <w:p w:rsidR="004F60A2" w:rsidRPr="004F60A2" w:rsidRDefault="004F60A2" w:rsidP="004F60A2">
      <w:pPr>
        <w:rPr>
          <w:sz w:val="16"/>
        </w:rPr>
      </w:pPr>
      <w:r w:rsidRPr="004F60A2">
        <w:rPr>
          <w:sz w:val="16"/>
        </w:rPr>
        <w:t>Regarding the Hanford Nuclear site in Washington state, Pincus notes:</w:t>
      </w:r>
    </w:p>
    <w:p w:rsidR="004F60A2" w:rsidRPr="004F60A2" w:rsidRDefault="004F60A2" w:rsidP="004F60A2">
      <w:pPr>
        <w:rPr>
          <w:rStyle w:val="StyleUnderline"/>
        </w:rPr>
      </w:pPr>
      <w:r w:rsidRPr="004F60A2">
        <w:rPr>
          <w:rStyle w:val="StyleUnderline"/>
        </w:rPr>
        <w:t>To handle treatment of the millions of gallons of highly radioactive liquid waste, much of which dates to the 1940s, the Energy Department decided in 2000 to build a Waste Treatment and Immobilization Plant. The cost was estimated at $4.3 billion with a 2011 completion date. A December 2012 GAO audit said the cost has tripled, to $13.4 billion. Completion is not expected until 2019.</w:t>
      </w:r>
    </w:p>
    <w:p w:rsidR="004F60A2" w:rsidRPr="004F60A2" w:rsidRDefault="004F60A2" w:rsidP="004F60A2">
      <w:pPr>
        <w:rPr>
          <w:sz w:val="16"/>
        </w:rPr>
      </w:pPr>
      <w:r w:rsidRPr="004F60A2">
        <w:rPr>
          <w:sz w:val="16"/>
        </w:rPr>
        <w:t>I discuss the huge cost of nuclear site cleanup in this essay and the problem of government cost overruns in this piece.</w:t>
      </w:r>
    </w:p>
    <w:p w:rsidR="004F60A2" w:rsidRPr="004F60A2" w:rsidRDefault="004F60A2" w:rsidP="004F60A2">
      <w:pPr>
        <w:rPr>
          <w:rStyle w:val="StyleUnderline"/>
        </w:rPr>
      </w:pPr>
      <w:r w:rsidRPr="004F60A2">
        <w:rPr>
          <w:sz w:val="16"/>
        </w:rPr>
        <w:t xml:space="preserve">Governments have always been inefficient in handling spending projects, and will probably always be so. Of course, </w:t>
      </w:r>
      <w:r w:rsidRPr="004F60A2">
        <w:rPr>
          <w:rStyle w:val="StyleUnderline"/>
        </w:rPr>
        <w:t xml:space="preserve">there are things we need governments to do, such as defending the nation. But the poor management record of government is one good reason to </w:t>
      </w:r>
      <w:r w:rsidRPr="004F60A2">
        <w:rPr>
          <w:rStyle w:val="Emphasis"/>
        </w:rPr>
        <w:t>keep it out of all those activities that the private sector can and should be doing for itself</w:t>
      </w:r>
      <w:r w:rsidRPr="004F60A2">
        <w:rPr>
          <w:rStyle w:val="StyleUnderline"/>
        </w:rPr>
        <w:t xml:space="preserve">. </w:t>
      </w:r>
    </w:p>
    <w:p w:rsidR="004F60A2" w:rsidRPr="004F60A2" w:rsidRDefault="004F60A2" w:rsidP="004F60A2">
      <w:pPr>
        <w:rPr>
          <w:rStyle w:val="StyleUnderline"/>
        </w:rPr>
      </w:pPr>
    </w:p>
    <w:p w:rsidR="004F60A2" w:rsidRPr="004F60A2" w:rsidRDefault="004F60A2" w:rsidP="004F60A2">
      <w:pPr>
        <w:rPr>
          <w:rStyle w:val="StyleUnderline"/>
        </w:rPr>
      </w:pPr>
    </w:p>
    <w:p w:rsidR="004F60A2" w:rsidRPr="004F60A2" w:rsidRDefault="004F60A2" w:rsidP="004F60A2">
      <w:pPr>
        <w:pStyle w:val="Heading3"/>
        <w:rPr>
          <w:rFonts w:cs="Arial"/>
        </w:rPr>
      </w:pPr>
      <w:r w:rsidRPr="004F60A2">
        <w:rPr>
          <w:rFonts w:cs="Arial"/>
        </w:rPr>
        <w:lastRenderedPageBreak/>
        <w:t xml:space="preserve">Ext – Privatizing Solves </w:t>
      </w:r>
    </w:p>
    <w:p w:rsidR="004F60A2" w:rsidRPr="004F60A2" w:rsidRDefault="004F60A2" w:rsidP="004F60A2">
      <w:pPr>
        <w:pStyle w:val="Heading4"/>
        <w:rPr>
          <w:rFonts w:cs="Arial"/>
        </w:rPr>
      </w:pPr>
      <w:r w:rsidRPr="004F60A2">
        <w:rPr>
          <w:rFonts w:cs="Arial"/>
        </w:rPr>
        <w:t>Privatizing solves that shit</w:t>
      </w:r>
    </w:p>
    <w:p w:rsidR="004F60A2" w:rsidRPr="004F60A2" w:rsidRDefault="004F60A2" w:rsidP="004F60A2">
      <w:pPr>
        <w:rPr>
          <w:b/>
          <w:bCs/>
        </w:rPr>
      </w:pPr>
      <w:r w:rsidRPr="004F60A2">
        <w:rPr>
          <w:rStyle w:val="Style13ptBold"/>
        </w:rPr>
        <w:t xml:space="preserve">Edwards 09, </w:t>
      </w:r>
      <w:r w:rsidRPr="004F60A2">
        <w:rPr>
          <w:rStyle w:val="Style13ptBold"/>
          <w:b w:val="0"/>
          <w:sz w:val="16"/>
        </w:rPr>
        <w:t>(Chris Edwards – a senior economist on the congressional Joint Economic Committee, a manager with PricewaterhouseCoopers, an economist with the Tax Foundation, overall Badass.) [Government Cost Overruns] (http://www.downsizinggovernment.org/government-cost-overruns) //MC</w:t>
      </w:r>
    </w:p>
    <w:p w:rsidR="004F60A2" w:rsidRPr="004F60A2" w:rsidRDefault="004F60A2" w:rsidP="004F60A2">
      <w:pPr>
        <w:rPr>
          <w:rStyle w:val="StyleUnderline"/>
        </w:rPr>
      </w:pPr>
      <w:r w:rsidRPr="004F60A2">
        <w:rPr>
          <w:rStyle w:val="StyleUnderline"/>
        </w:rPr>
        <w:t>What is the solution for chronic cost overruns? Budget experts have suggeste</w:t>
      </w:r>
      <w:r w:rsidRPr="004F60A2">
        <w:rPr>
          <w:sz w:val="16"/>
        </w:rPr>
        <w:t xml:space="preserve">d numerous ways </w:t>
      </w:r>
      <w:r w:rsidRPr="004F60A2">
        <w:rPr>
          <w:rStyle w:val="StyleUnderline"/>
        </w:rPr>
        <w:t>to reform the procurement process,</w:t>
      </w:r>
      <w:r w:rsidRPr="004F60A2">
        <w:rPr>
          <w:sz w:val="16"/>
        </w:rPr>
        <w:t xml:space="preserve"> which would certainly be a step forward.51 </w:t>
      </w:r>
      <w:r w:rsidRPr="004F60A2">
        <w:rPr>
          <w:rStyle w:val="StyleUnderline"/>
        </w:rPr>
        <w:t>But a more fundamental reform is to terminate and privatize as many federal activities as possible, and move funding for state activities</w:t>
      </w:r>
      <w:r w:rsidRPr="004F60A2">
        <w:rPr>
          <w:sz w:val="16"/>
        </w:rPr>
        <w:t xml:space="preserve">, such as highways, </w:t>
      </w:r>
      <w:r w:rsidRPr="004F60A2">
        <w:rPr>
          <w:rStyle w:val="StyleUnderline"/>
        </w:rPr>
        <w:t>back to the states</w:t>
      </w:r>
      <w:r w:rsidRPr="004F60A2">
        <w:rPr>
          <w:sz w:val="16"/>
        </w:rPr>
        <w:t xml:space="preserve">. </w:t>
      </w:r>
      <w:r w:rsidRPr="004F60A2">
        <w:rPr>
          <w:rStyle w:val="StyleUnderline"/>
        </w:rPr>
        <w:t>That way, federal policymakers could focus on ensuring that the few needed areas of federal spendin</w:t>
      </w:r>
      <w:r w:rsidRPr="004F60A2">
        <w:rPr>
          <w:sz w:val="16"/>
        </w:rPr>
        <w:t xml:space="preserve">g, such as defense, </w:t>
      </w:r>
      <w:r w:rsidRPr="004F60A2">
        <w:rPr>
          <w:rStyle w:val="StyleUnderline"/>
        </w:rPr>
        <w:t>are carried out as efficiently as possible.</w:t>
      </w:r>
    </w:p>
    <w:p w:rsidR="004F60A2" w:rsidRPr="004F60A2" w:rsidRDefault="004F60A2" w:rsidP="004F60A2"/>
    <w:p w:rsidR="004F60A2" w:rsidRPr="004F60A2" w:rsidRDefault="004F60A2" w:rsidP="004F60A2">
      <w:pPr>
        <w:pStyle w:val="Heading1"/>
        <w:rPr>
          <w:rFonts w:cs="Arial"/>
        </w:rPr>
      </w:pPr>
      <w:r w:rsidRPr="004F60A2">
        <w:rPr>
          <w:rFonts w:cs="Arial"/>
        </w:rPr>
        <w:lastRenderedPageBreak/>
        <w:t>AT – Aff Args</w:t>
      </w:r>
    </w:p>
    <w:p w:rsidR="004F60A2" w:rsidRPr="004F60A2" w:rsidRDefault="004F60A2" w:rsidP="004F60A2">
      <w:pPr>
        <w:pStyle w:val="Heading2"/>
        <w:rPr>
          <w:rFonts w:cs="Arial"/>
        </w:rPr>
      </w:pPr>
      <w:r w:rsidRPr="004F60A2">
        <w:rPr>
          <w:rFonts w:cs="Arial"/>
        </w:rPr>
        <w:lastRenderedPageBreak/>
        <w:t>AT – Spends $$$$</w:t>
      </w:r>
    </w:p>
    <w:p w:rsidR="004F60A2" w:rsidRPr="004F60A2" w:rsidRDefault="004F60A2" w:rsidP="004F60A2">
      <w:pPr>
        <w:pStyle w:val="Heading3"/>
        <w:rPr>
          <w:rFonts w:cs="Arial"/>
        </w:rPr>
      </w:pPr>
      <w:r w:rsidRPr="004F60A2">
        <w:rPr>
          <w:rFonts w:cs="Arial"/>
        </w:rPr>
        <w:lastRenderedPageBreak/>
        <w:t>Generic</w:t>
      </w:r>
    </w:p>
    <w:p w:rsidR="004F60A2" w:rsidRPr="004F60A2" w:rsidRDefault="004F60A2" w:rsidP="004F60A2">
      <w:pPr>
        <w:pStyle w:val="Heading4"/>
        <w:rPr>
          <w:rFonts w:cs="Arial"/>
        </w:rPr>
      </w:pPr>
      <w:r w:rsidRPr="004F60A2">
        <w:rPr>
          <w:rFonts w:cs="Arial"/>
        </w:rPr>
        <w:t>P3’s don’t spend money</w:t>
      </w:r>
    </w:p>
    <w:p w:rsidR="004F60A2" w:rsidRPr="004F60A2" w:rsidRDefault="004F60A2" w:rsidP="004F60A2">
      <w:pPr>
        <w:rPr>
          <w:rStyle w:val="Style13ptBold"/>
          <w:b w:val="0"/>
          <w:sz w:val="16"/>
        </w:rPr>
      </w:pPr>
      <w:r w:rsidRPr="004F60A2">
        <w:rPr>
          <w:rStyle w:val="Style13ptBold"/>
        </w:rPr>
        <w:t>Evankovich 6-25-14, (</w:t>
      </w:r>
      <w:r w:rsidRPr="004F60A2">
        <w:rPr>
          <w:rStyle w:val="Style13ptBold"/>
          <w:b w:val="0"/>
          <w:sz w:val="16"/>
        </w:rPr>
        <w:t xml:space="preserve">Eli Vankovich – </w:t>
      </w:r>
      <w:r w:rsidRPr="004F60A2">
        <w:rPr>
          <w:sz w:val="16"/>
        </w:rPr>
        <w:t>54th District Pennsylvania House of Representatives) [Evankovich Bill Benefitting Local Governments through Public-Private Partnerships Heads to House Floor] (</w:t>
      </w:r>
      <w:hyperlink r:id="rId20" w:history="1">
        <w:r w:rsidRPr="004F60A2">
          <w:rPr>
            <w:rStyle w:val="Hyperlink"/>
            <w:sz w:val="16"/>
          </w:rPr>
          <w:t>http://www.pahousegop.com/NewsItem.aspx?NewsID=20918</w:t>
        </w:r>
      </w:hyperlink>
      <w:r w:rsidRPr="004F60A2">
        <w:rPr>
          <w:sz w:val="16"/>
        </w:rPr>
        <w:t>) //MC</w:t>
      </w:r>
    </w:p>
    <w:p w:rsidR="004F60A2" w:rsidRPr="004F60A2" w:rsidRDefault="004F60A2" w:rsidP="004F60A2">
      <w:pPr>
        <w:rPr>
          <w:rStyle w:val="StyleUnderline"/>
        </w:rPr>
      </w:pPr>
      <w:r w:rsidRPr="004F60A2">
        <w:rPr>
          <w:rStyle w:val="StyleUnderline"/>
        </w:rPr>
        <w:t>A P3 agreement is a contract between a public sector authority and a private party, in which the private party assumes substantial financial, technical and potentially the operational risk in a project. Under Evankovich’s bill, a P3 agreement must be structured so that the taxpayers do not incur any borrowing.</w:t>
      </w:r>
    </w:p>
    <w:p w:rsidR="004F60A2" w:rsidRPr="004F60A2" w:rsidRDefault="004F60A2" w:rsidP="004F60A2"/>
    <w:p w:rsidR="004F60A2" w:rsidRPr="004F60A2" w:rsidRDefault="004F60A2" w:rsidP="004F60A2">
      <w:pPr>
        <w:pStyle w:val="Heading3"/>
        <w:rPr>
          <w:rFonts w:cs="Arial"/>
        </w:rPr>
      </w:pPr>
      <w:r w:rsidRPr="004F60A2">
        <w:rPr>
          <w:rFonts w:cs="Arial"/>
        </w:rPr>
        <w:lastRenderedPageBreak/>
        <w:t>AT – OSW $$$$</w:t>
      </w:r>
    </w:p>
    <w:p w:rsidR="004F60A2" w:rsidRPr="004F60A2" w:rsidRDefault="004F60A2" w:rsidP="004F60A2">
      <w:pPr>
        <w:pStyle w:val="Heading3"/>
        <w:rPr>
          <w:rFonts w:cs="Arial"/>
        </w:rPr>
      </w:pPr>
      <w:r w:rsidRPr="004F60A2">
        <w:rPr>
          <w:rFonts w:cs="Arial"/>
        </w:rPr>
        <w:lastRenderedPageBreak/>
        <w:t>AT – Exploration $$$$</w:t>
      </w:r>
    </w:p>
    <w:p w:rsidR="004F60A2" w:rsidRPr="004F60A2" w:rsidRDefault="004F60A2" w:rsidP="004F60A2">
      <w:pPr>
        <w:pStyle w:val="Heading4"/>
        <w:rPr>
          <w:rFonts w:cs="Arial"/>
        </w:rPr>
      </w:pPr>
      <w:r w:rsidRPr="004F60A2">
        <w:rPr>
          <w:rFonts w:cs="Arial"/>
        </w:rPr>
        <w:t>Private companies pay, not the government</w:t>
      </w:r>
    </w:p>
    <w:p w:rsidR="004F60A2" w:rsidRPr="004F60A2" w:rsidRDefault="004F60A2" w:rsidP="004F60A2">
      <w:pPr>
        <w:rPr>
          <w:bCs/>
          <w:sz w:val="16"/>
        </w:rPr>
      </w:pPr>
      <w:r w:rsidRPr="004F60A2">
        <w:rPr>
          <w:rStyle w:val="Style13ptBold"/>
        </w:rPr>
        <w:t xml:space="preserve">NOAA and AP 13, </w:t>
      </w:r>
      <w:r w:rsidRPr="004F60A2">
        <w:rPr>
          <w:rStyle w:val="Style13ptBold"/>
          <w:b w:val="0"/>
          <w:sz w:val="16"/>
        </w:rPr>
        <w:t>(National Oceanic and Atmospheric Administration and Aquarium of the Pacific) [</w:t>
      </w:r>
      <w:r w:rsidRPr="004F60A2">
        <w:rPr>
          <w:rStyle w:val="Style13ptBold"/>
          <w:b w:val="0"/>
          <w:sz w:val="16"/>
          <w:szCs w:val="16"/>
        </w:rPr>
        <w:t>Ocean Exploration 2020: A National Forum] (</w:t>
      </w:r>
      <w:hyperlink r:id="rId21" w:history="1">
        <w:r w:rsidRPr="004F60A2">
          <w:rPr>
            <w:rStyle w:val="Hyperlink"/>
            <w:sz w:val="16"/>
            <w:szCs w:val="16"/>
          </w:rPr>
          <w:t>http://oceanexplorer.noaa.gov/oceanexploration2020/oe2020_report.pdf</w:t>
        </w:r>
      </w:hyperlink>
      <w:r w:rsidRPr="004F60A2">
        <w:rPr>
          <w:rStyle w:val="Style13ptBold"/>
          <w:b w:val="0"/>
          <w:sz w:val="16"/>
          <w:szCs w:val="16"/>
        </w:rPr>
        <w:t>) (pg.2-4)//MC</w:t>
      </w:r>
    </w:p>
    <w:p w:rsidR="004F60A2" w:rsidRPr="004F60A2" w:rsidRDefault="004F60A2" w:rsidP="004F60A2">
      <w:pPr>
        <w:pStyle w:val="NoSpacing"/>
        <w:rPr>
          <w:rStyle w:val="StyleUnderline"/>
          <w:rFonts w:cs="Arial"/>
        </w:rPr>
      </w:pPr>
      <w:r w:rsidRPr="004F60A2">
        <w:rPr>
          <w:rFonts w:cs="Arial"/>
        </w:rPr>
        <w:t xml:space="preserve">TECHNOLOGY DEVELOPMENT </w:t>
      </w:r>
      <w:r w:rsidRPr="004F60A2">
        <w:rPr>
          <w:rStyle w:val="StyleUnderline"/>
          <w:rFonts w:cs="Arial"/>
        </w:rPr>
        <w:t>By 2020, private sector investments in exploration technology development specifically for the dedicated national program of exploration exceed the federal investment, but federal partners play a key role in testing and refining new technologies.</w:t>
      </w:r>
    </w:p>
    <w:p w:rsidR="004F60A2" w:rsidRPr="004F60A2" w:rsidRDefault="004F60A2" w:rsidP="004F60A2">
      <w:pPr>
        <w:pStyle w:val="NoSpacing"/>
        <w:rPr>
          <w:rStyle w:val="StyleUnderline"/>
          <w:rFonts w:cs="Arial"/>
        </w:rPr>
      </w:pPr>
      <w:r w:rsidRPr="004F60A2">
        <w:rPr>
          <w:rFonts w:cs="Arial"/>
        </w:rPr>
        <w:t xml:space="preserve">Forum participants agreed that </w:t>
      </w:r>
      <w:r w:rsidRPr="004F60A2">
        <w:rPr>
          <w:rStyle w:val="StyleUnderline"/>
          <w:rFonts w:cs="Arial"/>
        </w:rPr>
        <w:t>a top priority for a national ocean exploration program of distinction is the development of mechanisms to fund emerging and creatively disruptive technologies to enhance and expand exploration capabilities</w:t>
      </w:r>
      <w:r w:rsidRPr="004F60A2">
        <w:rPr>
          <w:rFonts w:cs="Arial"/>
        </w:rPr>
        <w:t>. In addition to the significant federal government investment in ocean exploration technology development-whether by the U.S. Navy, NASA, NOAA, or other civil- ian agencies-</w:t>
      </w:r>
      <w:r w:rsidRPr="004F60A2">
        <w:rPr>
          <w:rStyle w:val="StyleUnderline"/>
          <w:rFonts w:cs="Arial"/>
        </w:rPr>
        <w:t>many felt strongly that increased investment would come from the private sector to achieve the kind of program they envisioned. Participants also felt that national program partners should continue to play a key role in testing and refining these technologies as well as working to adapt existing and proven technologies for exploration.</w:t>
      </w:r>
    </w:p>
    <w:p w:rsidR="004F60A2" w:rsidRPr="004F60A2" w:rsidRDefault="004F60A2" w:rsidP="004F60A2"/>
    <w:p w:rsidR="004F60A2" w:rsidRPr="004F60A2" w:rsidRDefault="004F60A2" w:rsidP="004F60A2"/>
    <w:p w:rsidR="004F60A2" w:rsidRPr="004F60A2" w:rsidRDefault="004F60A2" w:rsidP="004F60A2">
      <w:pPr>
        <w:pStyle w:val="Heading2"/>
        <w:rPr>
          <w:rFonts w:cs="Arial"/>
        </w:rPr>
      </w:pPr>
      <w:r w:rsidRPr="004F60A2">
        <w:rPr>
          <w:rFonts w:cs="Arial"/>
        </w:rPr>
        <w:lastRenderedPageBreak/>
        <w:t>AT – Destroys HR</w:t>
      </w:r>
    </w:p>
    <w:p w:rsidR="004F60A2" w:rsidRPr="004F60A2" w:rsidRDefault="004F60A2" w:rsidP="004F60A2">
      <w:pPr>
        <w:pStyle w:val="Heading4"/>
        <w:rPr>
          <w:rFonts w:cs="Arial"/>
        </w:rPr>
      </w:pPr>
      <w:r w:rsidRPr="004F60A2">
        <w:rPr>
          <w:rFonts w:cs="Arial"/>
        </w:rPr>
        <w:t>Doesn’t destroy human rights – Status Quo proves.</w:t>
      </w:r>
    </w:p>
    <w:p w:rsidR="004F60A2" w:rsidRPr="004F60A2" w:rsidRDefault="004F60A2" w:rsidP="004F60A2">
      <w:pPr>
        <w:rPr>
          <w:rStyle w:val="Style13ptBold"/>
        </w:rPr>
      </w:pPr>
      <w:r w:rsidRPr="004F60A2">
        <w:rPr>
          <w:rStyle w:val="Style13ptBold"/>
        </w:rPr>
        <w:t xml:space="preserve">Bakker 07 - </w:t>
      </w:r>
      <w:r w:rsidRPr="004F60A2">
        <w:rPr>
          <w:rStyle w:val="Style13ptBold"/>
          <w:b w:val="0"/>
          <w:sz w:val="16"/>
          <w:szCs w:val="16"/>
        </w:rPr>
        <w:t>Karen Bakker</w:t>
      </w:r>
      <w:r w:rsidRPr="004F60A2">
        <w:rPr>
          <w:rStyle w:val="Style13ptBold"/>
          <w:sz w:val="16"/>
          <w:szCs w:val="16"/>
        </w:rPr>
        <w:t xml:space="preserve">, </w:t>
      </w:r>
      <w:r w:rsidRPr="004F60A2">
        <w:rPr>
          <w:color w:val="000000"/>
          <w:sz w:val="16"/>
          <w:szCs w:val="16"/>
          <w:shd w:val="clear" w:color="auto" w:fill="FFFFFF"/>
        </w:rPr>
        <w:t>Professor of Geography at University of British Columbia, July 13</w:t>
      </w:r>
      <w:r w:rsidRPr="004F60A2">
        <w:rPr>
          <w:color w:val="000000"/>
          <w:sz w:val="16"/>
          <w:szCs w:val="16"/>
          <w:shd w:val="clear" w:color="auto" w:fill="FFFFFF"/>
          <w:vertAlign w:val="superscript"/>
        </w:rPr>
        <w:t>th</w:t>
      </w:r>
      <w:r w:rsidRPr="004F60A2">
        <w:rPr>
          <w:color w:val="000000"/>
          <w:sz w:val="16"/>
          <w:szCs w:val="16"/>
          <w:shd w:val="clear" w:color="auto" w:fill="FFFFFF"/>
        </w:rPr>
        <w:t xml:space="preserve"> 2007, [“The ‘Commons’ Versus the ‘Commodity’: Alter</w:t>
      </w:r>
      <w:r w:rsidRPr="004F60A2">
        <w:rPr>
          <w:rFonts w:ascii="Cambria Math" w:hAnsi="Cambria Math" w:cs="Cambria Math"/>
          <w:color w:val="000000"/>
          <w:sz w:val="16"/>
          <w:szCs w:val="16"/>
          <w:shd w:val="clear" w:color="auto" w:fill="FFFFFF"/>
        </w:rPr>
        <w:t>‐</w:t>
      </w:r>
      <w:r w:rsidRPr="004F60A2">
        <w:rPr>
          <w:color w:val="000000"/>
          <w:sz w:val="16"/>
          <w:szCs w:val="16"/>
          <w:shd w:val="clear" w:color="auto" w:fill="FFFFFF"/>
        </w:rPr>
        <w:t>globalization, Anti</w:t>
      </w:r>
      <w:r w:rsidRPr="004F60A2">
        <w:rPr>
          <w:rFonts w:ascii="Cambria Math" w:hAnsi="Cambria Math" w:cs="Cambria Math"/>
          <w:color w:val="000000"/>
          <w:sz w:val="16"/>
          <w:szCs w:val="16"/>
          <w:shd w:val="clear" w:color="auto" w:fill="FFFFFF"/>
        </w:rPr>
        <w:t>‐</w:t>
      </w:r>
      <w:r w:rsidRPr="004F60A2">
        <w:rPr>
          <w:color w:val="000000"/>
          <w:sz w:val="16"/>
          <w:szCs w:val="16"/>
          <w:shd w:val="clear" w:color="auto" w:fill="FFFFFF"/>
        </w:rPr>
        <w:t>privatization and the Human Right to Water in the Global South”] //MD</w:t>
      </w:r>
    </w:p>
    <w:p w:rsidR="004F60A2" w:rsidRPr="004F60A2" w:rsidRDefault="004F60A2" w:rsidP="004F60A2">
      <w:pPr>
        <w:ind w:firstLine="720"/>
        <w:rPr>
          <w:sz w:val="16"/>
        </w:rPr>
      </w:pPr>
      <w:r w:rsidRPr="004F60A2">
        <w:rPr>
          <w:rStyle w:val="StyleUnderline"/>
        </w:rPr>
        <w:t>Another, more fundamental criticism is the argument that a human right to water does not foreclose private sector management of water supply systems. Critics of human rights doctrines argue that “rights talk” stems from an individualistic, libertarian philosophy that is “Eurocentric”</w:t>
      </w:r>
      <w:r w:rsidRPr="004F60A2">
        <w:rPr>
          <w:sz w:val="16"/>
        </w:rPr>
        <w:t xml:space="preserve"> (see, for example, Ignatieff 2003; Kymlicka 1995; Mutua 2002; Rorty 1993); as such, </w:t>
      </w:r>
      <w:r w:rsidRPr="004F60A2">
        <w:rPr>
          <w:rStyle w:val="StyleUnderline"/>
        </w:rPr>
        <w:t>human rights are compatible with capitalist political economic systems. In other words, private sector provision is compatible with human rights in most countries around the world. A human right to water does not imply that water should be accessed free</w:t>
      </w:r>
      <w:r w:rsidRPr="004F60A2">
        <w:rPr>
          <w:sz w:val="16"/>
        </w:rPr>
        <w:t xml:space="preserve"> (although it might imply an affordable basic “lifeline” supply) (UNWWAP 2006), </w:t>
      </w:r>
      <w:r w:rsidRPr="004F60A2">
        <w:rPr>
          <w:rStyle w:val="StyleUnderline"/>
        </w:rPr>
        <w:t>although this is at odds with cultural and religious views on water access in many parts of the world.</w:t>
      </w:r>
      <w:r w:rsidRPr="004F60A2">
        <w:rPr>
          <w:sz w:val="16"/>
        </w:rPr>
        <w:t>9 Indeed, the UN’s Committee on Economic, Social and Cultural Rights recognized the ambivalent status which a human right conveys upon a resource when it defined water as a social, economic, and cultural good as well as a commodity (ECOSOC 2003).</w:t>
      </w:r>
    </w:p>
    <w:p w:rsidR="004F60A2" w:rsidRPr="004F60A2" w:rsidRDefault="004F60A2" w:rsidP="004F60A2">
      <w:pPr>
        <w:rPr>
          <w:sz w:val="16"/>
        </w:rPr>
      </w:pPr>
      <w:r w:rsidRPr="004F60A2">
        <w:rPr>
          <w:rStyle w:val="StyleUnderline"/>
        </w:rPr>
        <w:t xml:space="preserve">Many citizens of capitalist democracies accept that commodities are not inconsistent with human rights (such as food, shelter), but that some sort of public, collective </w:t>
      </w:r>
      <w:r w:rsidRPr="004F60A2">
        <w:rPr>
          <w:rStyle w:val="Emphasis"/>
        </w:rPr>
        <w:t>“safety net”</w:t>
      </w:r>
      <w:r w:rsidRPr="004F60A2">
        <w:rPr>
          <w:rStyle w:val="StyleUnderline"/>
        </w:rPr>
        <w:t xml:space="preserve"> must exist if these rights are to be met for all citizens. This is true for housing and food</w:t>
      </w:r>
      <w:r w:rsidRPr="004F60A2">
        <w:rPr>
          <w:sz w:val="16"/>
        </w:rPr>
        <w:t xml:space="preserve"> (as inadequate as these measures may be in practice). </w:t>
      </w:r>
      <w:r w:rsidRPr="004F60A2">
        <w:rPr>
          <w:rStyle w:val="StyleUnderline"/>
        </w:rPr>
        <w:t>The situation with drinking water is more complicated, because drinking water is a non-substitutable re- source essential for life, and because networked water supply is a natural monopoly subject to significant environmental externalities. In this case, strong market failures provide an overwhelming justification for public regulation and, in many cases, ownership of assets. Full privatization is thus inconsistent with a human right to water unless it is coupled</w:t>
      </w:r>
      <w:r w:rsidRPr="004F60A2">
        <w:rPr>
          <w:sz w:val="16"/>
        </w:rPr>
        <w:t xml:space="preserve"> (as it is in England) </w:t>
      </w:r>
      <w:r w:rsidRPr="004F60A2">
        <w:rPr>
          <w:rStyle w:val="StyleUnderline"/>
        </w:rPr>
        <w:t>with a universality requirement</w:t>
      </w:r>
      <w:r w:rsidRPr="004F60A2">
        <w:rPr>
          <w:sz w:val="16"/>
        </w:rPr>
        <w:t xml:space="preserve"> (laws prohibiting disconnections of residential consumers), and with strong regulatory framework for price controls and quality standards.10 Private sector participation in water supply, on the other hand, certainly fits within these constraints. In short rooted in a liberal tradition that prioritizes private ownership and individual rights, the current international human rights regime is flexible enough to be fully compatible with private property rights, whether for water or other basic needs.</w:t>
      </w:r>
    </w:p>
    <w:p w:rsidR="004F60A2" w:rsidRPr="004F60A2" w:rsidRDefault="004F60A2" w:rsidP="004F60A2">
      <w:pPr>
        <w:rPr>
          <w:sz w:val="16"/>
        </w:rPr>
      </w:pPr>
      <w:r w:rsidRPr="004F60A2">
        <w:rPr>
          <w:sz w:val="16"/>
        </w:rPr>
        <w:t xml:space="preserve">In summary, </w:t>
      </w:r>
      <w:r w:rsidRPr="004F60A2">
        <w:rPr>
          <w:rStyle w:val="StyleUnderline"/>
        </w:rPr>
        <w:t xml:space="preserve">pursuing a “human right to water” as an anti-privatization campaign makes three strategic errors: </w:t>
      </w:r>
      <w:r w:rsidRPr="004F60A2">
        <w:rPr>
          <w:rStyle w:val="Emphasis"/>
        </w:rPr>
        <w:t>conflating human rights and property rights; failing to distinguish between different types of property rights and service delivery models; and thereby failing to foreclose the possibility of increasing private sector involvement in water supply.</w:t>
      </w:r>
      <w:r w:rsidRPr="004F60A2">
        <w:rPr>
          <w:sz w:val="16"/>
        </w:rPr>
        <w:t xml:space="preserve"> </w:t>
      </w:r>
      <w:r w:rsidRPr="004F60A2">
        <w:rPr>
          <w:rStyle w:val="StyleUnderline"/>
        </w:rPr>
        <w:t>Indeed, the shortcomings of “human right to water” anti-privatization campaigns became apparent following the Kyoto World Water Forum, as proponents of private sector water supply management began speaking out in favour of water as a human right.</w:t>
      </w:r>
      <w:r w:rsidRPr="004F60A2">
        <w:rPr>
          <w:sz w:val="16"/>
        </w:rPr>
        <w:t xml:space="preserve"> Senior water industry representatives identified water as a human right on company websites, in the media11 and at high-profile events such as the Davos World Economic Forum.12 Right-wing think tanks such as the Cato Institute backed up these statements with reports arguing that “water socialism” had failed the poor, and that market forces, properly regulated, were the best means of fulfilling the human right to water (Bailey 2005; Segerfeldt 2005). Non-governmental organizations such as the World Water Council, regarded by anti-privatization campaigners as being allied with private companies also developed arguments in favour of water as a human right (Dubreuil 2005, 2006). Shortly after the Kyoto meeting, the World Bank released a publication acknowledging the human right to water (Salman and McInerney-Lankford 2004).</w:t>
      </w:r>
    </w:p>
    <w:p w:rsidR="004F60A2" w:rsidRPr="004F60A2" w:rsidRDefault="004F60A2" w:rsidP="004F60A2"/>
    <w:p w:rsidR="004F60A2" w:rsidRPr="004F60A2" w:rsidRDefault="004F60A2" w:rsidP="004F60A2">
      <w:pPr>
        <w:pStyle w:val="Heading2"/>
        <w:rPr>
          <w:rFonts w:cs="Arial"/>
        </w:rPr>
      </w:pPr>
      <w:r w:rsidRPr="004F60A2">
        <w:rPr>
          <w:rFonts w:cs="Arial"/>
        </w:rPr>
        <w:lastRenderedPageBreak/>
        <w:t>AT – Regulations</w:t>
      </w:r>
    </w:p>
    <w:p w:rsidR="004F60A2" w:rsidRPr="004F60A2" w:rsidRDefault="004F60A2" w:rsidP="004F60A2">
      <w:pPr>
        <w:pStyle w:val="Heading4"/>
        <w:rPr>
          <w:rFonts w:cs="Arial"/>
        </w:rPr>
      </w:pPr>
      <w:r w:rsidRPr="004F60A2">
        <w:rPr>
          <w:rFonts w:cs="Arial"/>
        </w:rPr>
        <w:t>Funding is the biggest issue for renewables energy</w:t>
      </w:r>
    </w:p>
    <w:p w:rsidR="004F60A2" w:rsidRPr="004F60A2" w:rsidRDefault="004F60A2" w:rsidP="004F60A2">
      <w:pPr>
        <w:rPr>
          <w:rStyle w:val="Style13ptBold"/>
          <w:b w:val="0"/>
          <w:sz w:val="16"/>
        </w:rPr>
      </w:pPr>
      <w:r w:rsidRPr="004F60A2">
        <w:rPr>
          <w:rStyle w:val="Style13ptBold"/>
        </w:rPr>
        <w:t xml:space="preserve">Masini and Menichetti 12- </w:t>
      </w:r>
      <w:r w:rsidRPr="004F60A2">
        <w:rPr>
          <w:rStyle w:val="Style13ptBold"/>
          <w:b w:val="0"/>
          <w:sz w:val="16"/>
        </w:rPr>
        <w:t>Andrea Masini and Emanuela Menichetti, Department of Operations Management and Information Technology at HEC Paris and Institute for Economy and the Environment (IWÖ-HSG) University of St. Gallen - Tigerbergstrasse, Switzerland, January 2012, [“Energy Policy”] Science Direct, Accessed through Emory Libraries. //MD</w:t>
      </w:r>
    </w:p>
    <w:p w:rsidR="004F60A2" w:rsidRPr="004F60A2" w:rsidRDefault="004F60A2" w:rsidP="004F60A2">
      <w:pPr>
        <w:rPr>
          <w:sz w:val="16"/>
        </w:rPr>
      </w:pPr>
      <w:r w:rsidRPr="004F60A2">
        <w:rPr>
          <w:rStyle w:val="StyleUnderline"/>
        </w:rPr>
        <w:t>To increase the share of renewables in the global energy mix, significant innovations are needed not only in the technical field, but also in the social and institutional context</w:t>
      </w:r>
      <w:r w:rsidRPr="004F60A2">
        <w:rPr>
          <w:sz w:val="16"/>
        </w:rPr>
        <w:t xml:space="preserve"> (</w:t>
      </w:r>
      <w:hyperlink r:id="rId22" w:anchor="bib43" w:history="1">
        <w:r w:rsidRPr="004F60A2">
          <w:rPr>
            <w:rStyle w:val="Hyperlink"/>
            <w:sz w:val="16"/>
          </w:rPr>
          <w:t>Krewitt et al., 2007</w:t>
        </w:r>
      </w:hyperlink>
      <w:r w:rsidRPr="004F60A2">
        <w:rPr>
          <w:sz w:val="16"/>
        </w:rPr>
        <w:t xml:space="preserve">). </w:t>
      </w:r>
      <w:r w:rsidRPr="004F60A2">
        <w:rPr>
          <w:rStyle w:val="StyleUnderline"/>
        </w:rPr>
        <w:t>Improved policy frameworks for renewable energies are required, which correct externalities and ensure a more level playing field</w:t>
      </w:r>
      <w:r w:rsidRPr="004F60A2">
        <w:rPr>
          <w:sz w:val="16"/>
        </w:rPr>
        <w:t xml:space="preserve">. Furthermore, </w:t>
      </w:r>
      <w:r w:rsidRPr="004F60A2">
        <w:rPr>
          <w:rStyle w:val="StyleUnderline"/>
        </w:rPr>
        <w:t>cooperation between public and private actors needs to be strengthened. Both groups play a key role. Policy makers should create incentives to ensure that the necessary investments are undertaken</w:t>
      </w:r>
      <w:r w:rsidRPr="004F60A2">
        <w:rPr>
          <w:sz w:val="16"/>
        </w:rPr>
        <w:t xml:space="preserve"> (</w:t>
      </w:r>
      <w:hyperlink r:id="rId23" w:anchor="bib36" w:history="1">
        <w:r w:rsidRPr="004F60A2">
          <w:rPr>
            <w:rStyle w:val="Hyperlink"/>
            <w:sz w:val="16"/>
          </w:rPr>
          <w:t>IEA, 2007</w:t>
        </w:r>
      </w:hyperlink>
      <w:r w:rsidRPr="004F60A2">
        <w:rPr>
          <w:sz w:val="16"/>
        </w:rPr>
        <w:t>). In turn, the private sector can play a crucial role in raising the required financial resources to facilitate the transition towards a low-carbon economy.</w:t>
      </w:r>
    </w:p>
    <w:p w:rsidR="004F60A2" w:rsidRPr="004F60A2" w:rsidRDefault="004F60A2" w:rsidP="004F60A2">
      <w:pPr>
        <w:rPr>
          <w:sz w:val="16"/>
        </w:rPr>
      </w:pPr>
      <w:r w:rsidRPr="004F60A2">
        <w:rPr>
          <w:rStyle w:val="StyleUnderline"/>
        </w:rPr>
        <w:t>Energy analysts estimate that huge additional investments are needed to realize this transition to a low carbon economy.</w:t>
      </w:r>
      <w:r w:rsidRPr="004F60A2">
        <w:rPr>
          <w:sz w:val="16"/>
        </w:rPr>
        <w:t xml:space="preserve"> Needless to say, </w:t>
      </w:r>
      <w:r w:rsidRPr="004F60A2">
        <w:rPr>
          <w:rStyle w:val="StyleUnderline"/>
        </w:rPr>
        <w:t>this is particularly challenging in the current economic context, as investors are reluctant to do so unless dedicated policies are implemented to stimulate renewable energy investments.</w:t>
      </w:r>
      <w:r w:rsidRPr="004F60A2">
        <w:rPr>
          <w:sz w:val="16"/>
        </w:rPr>
        <w:t xml:space="preserve"> Recently, a group of 181 investment institutions which collectively represent assets for 13 trillion US dollars has stated that clear and appropriate long-term policy signals are essential to help investors integrate climate change considerations into decision-making processes and reallocate capital to low-carbon technologies (</w:t>
      </w:r>
      <w:hyperlink r:id="rId24" w:anchor="bib87" w:history="1">
        <w:r w:rsidRPr="004F60A2">
          <w:rPr>
            <w:rStyle w:val="Hyperlink"/>
            <w:sz w:val="16"/>
          </w:rPr>
          <w:t>UNEP FI, 2009</w:t>
        </w:r>
      </w:hyperlink>
      <w:r w:rsidRPr="004F60A2">
        <w:rPr>
          <w:sz w:val="16"/>
        </w:rPr>
        <w:t xml:space="preserve">). Indeed, </w:t>
      </w:r>
      <w:r w:rsidRPr="004F60A2">
        <w:rPr>
          <w:rStyle w:val="StyleUnderline"/>
        </w:rPr>
        <w:t>it seems that the main barrier to investments in greenhouse gas mitigation technologies is not the lack of capital, but rather the lack of appropriate policy packages to attract it</w:t>
      </w:r>
      <w:r w:rsidRPr="004F60A2">
        <w:rPr>
          <w:sz w:val="16"/>
        </w:rPr>
        <w:t xml:space="preserve"> (</w:t>
      </w:r>
      <w:hyperlink r:id="rId25" w:anchor="bib88" w:history="1">
        <w:r w:rsidRPr="004F60A2">
          <w:rPr>
            <w:rStyle w:val="Hyperlink"/>
            <w:sz w:val="16"/>
          </w:rPr>
          <w:t>Usher, 2008a</w:t>
        </w:r>
      </w:hyperlink>
      <w:r w:rsidRPr="004F60A2">
        <w:rPr>
          <w:sz w:val="16"/>
        </w:rPr>
        <w:t xml:space="preserve">). As a matter of fact, </w:t>
      </w:r>
      <w:r w:rsidRPr="004F60A2">
        <w:rPr>
          <w:rStyle w:val="StyleUnderline"/>
        </w:rPr>
        <w:t>many policies implemented so far have attained only partial results, because they have been unable to leverage the true drivers of the investment decision process</w:t>
      </w:r>
      <w:r w:rsidRPr="004F60A2">
        <w:rPr>
          <w:sz w:val="16"/>
        </w:rPr>
        <w:t>.</w:t>
      </w:r>
    </w:p>
    <w:p w:rsidR="004F60A2" w:rsidRPr="004F60A2" w:rsidRDefault="004F60A2" w:rsidP="004F60A2"/>
    <w:p w:rsidR="004F60A2" w:rsidRPr="004F60A2" w:rsidRDefault="004F60A2" w:rsidP="004F60A2"/>
    <w:p w:rsidR="004F60A2" w:rsidRPr="004F60A2" w:rsidRDefault="004F60A2" w:rsidP="004F60A2">
      <w:pPr>
        <w:pStyle w:val="Heading2"/>
        <w:rPr>
          <w:rFonts w:cs="Arial"/>
        </w:rPr>
      </w:pPr>
      <w:r w:rsidRPr="004F60A2">
        <w:rPr>
          <w:rFonts w:cs="Arial"/>
        </w:rPr>
        <w:lastRenderedPageBreak/>
        <w:t>AT – Mechanism Bad</w:t>
      </w:r>
    </w:p>
    <w:p w:rsidR="004F60A2" w:rsidRPr="004F60A2" w:rsidRDefault="004F60A2" w:rsidP="004F60A2">
      <w:pPr>
        <w:pStyle w:val="Heading3"/>
        <w:rPr>
          <w:rFonts w:cs="Arial"/>
        </w:rPr>
      </w:pPr>
      <w:r w:rsidRPr="004F60A2">
        <w:rPr>
          <w:rFonts w:cs="Arial"/>
        </w:rPr>
        <w:lastRenderedPageBreak/>
        <w:t>AT – PPP’s Bad</w:t>
      </w:r>
    </w:p>
    <w:p w:rsidR="004F60A2" w:rsidRPr="004F60A2" w:rsidRDefault="004F60A2" w:rsidP="004F60A2"/>
    <w:p w:rsidR="004F60A2" w:rsidRPr="004F60A2" w:rsidRDefault="004F60A2" w:rsidP="004F60A2">
      <w:pPr>
        <w:pStyle w:val="Heading4"/>
        <w:rPr>
          <w:rFonts w:cs="Arial"/>
        </w:rPr>
      </w:pPr>
      <w:r w:rsidRPr="004F60A2">
        <w:rPr>
          <w:rFonts w:cs="Arial"/>
        </w:rPr>
        <w:t>PPP for energy is good</w:t>
      </w:r>
    </w:p>
    <w:p w:rsidR="004F60A2" w:rsidRPr="004F60A2" w:rsidRDefault="004F60A2" w:rsidP="004F60A2">
      <w:pPr>
        <w:rPr>
          <w:rStyle w:val="Style13ptBold"/>
          <w:b w:val="0"/>
          <w:sz w:val="16"/>
        </w:rPr>
      </w:pPr>
      <w:r w:rsidRPr="004F60A2">
        <w:rPr>
          <w:rStyle w:val="Style13ptBold"/>
        </w:rPr>
        <w:t xml:space="preserve">Haney and Pollitt 13, </w:t>
      </w:r>
      <w:r w:rsidRPr="004F60A2">
        <w:rPr>
          <w:rStyle w:val="Style13ptBold"/>
          <w:b w:val="0"/>
          <w:sz w:val="16"/>
        </w:rPr>
        <w:t>(Aoife Brophey Haney – PhD Candidate, Judge Business School, University of Cambridge, Michael Pollitt –</w:t>
      </w:r>
      <w:r w:rsidRPr="004F60A2">
        <w:t xml:space="preserve"> </w:t>
      </w:r>
      <w:r w:rsidRPr="004F60A2">
        <w:rPr>
          <w:rStyle w:val="Style13ptBold"/>
          <w:b w:val="0"/>
          <w:sz w:val="16"/>
        </w:rPr>
        <w:t>Director of Studies in Management and Economics and Fellow of Sidney Sussex College</w:t>
      </w:r>
    </w:p>
    <w:p w:rsidR="004F60A2" w:rsidRPr="004F60A2" w:rsidRDefault="004F60A2" w:rsidP="004F60A2">
      <w:pPr>
        <w:rPr>
          <w:rStyle w:val="Style13ptBold"/>
          <w:b w:val="0"/>
          <w:sz w:val="16"/>
        </w:rPr>
      </w:pPr>
      <w:r w:rsidRPr="004F60A2">
        <w:rPr>
          <w:rStyle w:val="Style13ptBold"/>
          <w:b w:val="0"/>
          <w:sz w:val="16"/>
        </w:rPr>
        <w:t>[New Models of public ownership in energy] (http://www.tandfonline.com/doi/pdf/10.1080/02692171.2012.734790)//MC</w:t>
      </w:r>
    </w:p>
    <w:p w:rsidR="004F60A2" w:rsidRPr="004F60A2" w:rsidRDefault="004F60A2" w:rsidP="004F60A2">
      <w:pPr>
        <w:shd w:val="clear" w:color="auto" w:fill="FFFFFF"/>
        <w:spacing w:line="240" w:lineRule="auto"/>
        <w:rPr>
          <w:color w:val="000000"/>
          <w:sz w:val="16"/>
          <w:szCs w:val="15"/>
        </w:rPr>
      </w:pPr>
      <w:r w:rsidRPr="004F60A2">
        <w:rPr>
          <w:color w:val="000000"/>
          <w:sz w:val="16"/>
          <w:szCs w:val="15"/>
        </w:rPr>
        <w:t xml:space="preserve">Even though privatisation and competition in the energy sector have been spreading over the last two decades, </w:t>
      </w:r>
      <w:r w:rsidRPr="004F60A2">
        <w:rPr>
          <w:rStyle w:val="StyleUnderline"/>
        </w:rPr>
        <w:t>public ownership and involvement remain significant</w:t>
      </w:r>
      <w:r w:rsidRPr="004F60A2">
        <w:rPr>
          <w:color w:val="000000"/>
          <w:sz w:val="16"/>
          <w:szCs w:val="15"/>
        </w:rPr>
        <w:t xml:space="preserve"> in many countries. </w:t>
      </w:r>
      <w:r w:rsidRPr="004F60A2">
        <w:rPr>
          <w:rStyle w:val="StyleUnderline"/>
        </w:rPr>
        <w:t>Our case studies show that public involvement can coexist with</w:t>
      </w:r>
      <w:r w:rsidRPr="004F60A2">
        <w:rPr>
          <w:color w:val="000000"/>
          <w:sz w:val="16"/>
          <w:szCs w:val="15"/>
        </w:rPr>
        <w:t xml:space="preserve"> </w:t>
      </w:r>
      <w:r w:rsidRPr="004F60A2">
        <w:t xml:space="preserve">generally </w:t>
      </w:r>
      <w:r w:rsidRPr="004F60A2">
        <w:rPr>
          <w:rStyle w:val="StyleUnderline"/>
        </w:rPr>
        <w:t>liberalised electricity markets</w:t>
      </w:r>
      <w:r w:rsidRPr="004F60A2">
        <w:rPr>
          <w:color w:val="000000"/>
          <w:sz w:val="16"/>
          <w:szCs w:val="15"/>
        </w:rPr>
        <w:t xml:space="preserve">, including at the retail market level. They also demonstrate that </w:t>
      </w:r>
      <w:r w:rsidRPr="004F60A2">
        <w:rPr>
          <w:rStyle w:val="StyleUnderline"/>
        </w:rPr>
        <w:t>public</w:t>
      </w:r>
      <w:r w:rsidRPr="004F60A2">
        <w:rPr>
          <w:color w:val="000000"/>
          <w:sz w:val="16"/>
          <w:szCs w:val="15"/>
        </w:rPr>
        <w:t xml:space="preserve"> ‘</w:t>
      </w:r>
      <w:r w:rsidRPr="004F60A2">
        <w:rPr>
          <w:rStyle w:val="StyleUnderline"/>
        </w:rPr>
        <w:t>ownership</w:t>
      </w:r>
      <w:r w:rsidRPr="004F60A2">
        <w:rPr>
          <w:color w:val="000000"/>
          <w:sz w:val="16"/>
          <w:szCs w:val="15"/>
        </w:rPr>
        <w:t xml:space="preserve">’ can take a number of forms, </w:t>
      </w:r>
      <w:r w:rsidRPr="004F60A2">
        <w:rPr>
          <w:rStyle w:val="StyleUnderline"/>
        </w:rPr>
        <w:t>including</w:t>
      </w:r>
      <w:r w:rsidRPr="004F60A2">
        <w:rPr>
          <w:color w:val="000000"/>
          <w:sz w:val="16"/>
          <w:szCs w:val="15"/>
        </w:rPr>
        <w:t xml:space="preserve"> mutual ownership, consumer trusts, </w:t>
      </w:r>
      <w:r w:rsidRPr="004F60A2">
        <w:rPr>
          <w:rStyle w:val="StyleUnderline"/>
        </w:rPr>
        <w:t>state ownership and municipal ownership</w:t>
      </w:r>
      <w:r w:rsidRPr="004F60A2">
        <w:rPr>
          <w:color w:val="000000"/>
          <w:sz w:val="16"/>
          <w:szCs w:val="15"/>
        </w:rPr>
        <w:t xml:space="preserve">. </w:t>
      </w:r>
      <w:r w:rsidRPr="004F60A2">
        <w:rPr>
          <w:rStyle w:val="StyleUnderline"/>
        </w:rPr>
        <w:t>Given the challenges facing the energy sector</w:t>
      </w:r>
      <w:r w:rsidRPr="004F60A2">
        <w:rPr>
          <w:color w:val="000000"/>
          <w:sz w:val="16"/>
          <w:szCs w:val="15"/>
        </w:rPr>
        <w:t xml:space="preserve">, </w:t>
      </w:r>
      <w:r w:rsidRPr="004F60A2">
        <w:rPr>
          <w:rStyle w:val="StyleUnderline"/>
        </w:rPr>
        <w:t>the case for mixed public-private ownership appears to be improving</w:t>
      </w:r>
      <w:r w:rsidRPr="004F60A2">
        <w:rPr>
          <w:color w:val="000000"/>
          <w:sz w:val="16"/>
          <w:szCs w:val="15"/>
        </w:rPr>
        <w:t>. Nevertheless, the theoretical case for some private ownership within most national energy systems remains strong. Many countries have in fact yet to introduce any significant private involvement in their electricity and gas sectors. Furthermore, while allowing multiple ownership forms to coexist sounds attractive, it may impose significant whole system costs. This is an area that requires more research in the future.</w:t>
      </w:r>
    </w:p>
    <w:p w:rsidR="004F60A2" w:rsidRPr="004F60A2" w:rsidRDefault="004F60A2" w:rsidP="004F60A2">
      <w:pPr>
        <w:shd w:val="clear" w:color="auto" w:fill="FFFFFF"/>
        <w:spacing w:line="240" w:lineRule="auto"/>
        <w:rPr>
          <w:color w:val="000000"/>
          <w:sz w:val="16"/>
          <w:szCs w:val="15"/>
        </w:rPr>
      </w:pPr>
      <w:r w:rsidRPr="004F60A2">
        <w:rPr>
          <w:color w:val="000000"/>
          <w:sz w:val="16"/>
          <w:szCs w:val="15"/>
        </w:rPr>
        <w:t>However, the energy policy environment has now become more complex. There is no longer a simple choice between full state ownership and full private ownership</w:t>
      </w:r>
      <w:r w:rsidRPr="004F60A2">
        <w:rPr>
          <w:rStyle w:val="StyleUnderline"/>
        </w:rPr>
        <w:t>. The challenges of climate change</w:t>
      </w:r>
      <w:r w:rsidRPr="004F60A2">
        <w:rPr>
          <w:color w:val="000000"/>
          <w:sz w:val="16"/>
          <w:szCs w:val="15"/>
        </w:rPr>
        <w:t xml:space="preserve">, </w:t>
      </w:r>
      <w:r w:rsidRPr="004F60A2">
        <w:rPr>
          <w:rStyle w:val="StyleUnderline"/>
        </w:rPr>
        <w:t>energy security</w:t>
      </w:r>
      <w:r w:rsidRPr="004F60A2">
        <w:rPr>
          <w:color w:val="000000"/>
          <w:sz w:val="16"/>
          <w:szCs w:val="15"/>
        </w:rPr>
        <w:t xml:space="preserve"> </w:t>
      </w:r>
      <w:r w:rsidRPr="004F60A2">
        <w:rPr>
          <w:rStyle w:val="StyleUnderline"/>
        </w:rPr>
        <w:t>and energy poverty dictate that some elements of both are needed if the twin goals of delivering new investment and delivering social objectives are to be achieved</w:t>
      </w:r>
      <w:r w:rsidRPr="004F60A2">
        <w:rPr>
          <w:color w:val="000000"/>
          <w:sz w:val="16"/>
          <w:szCs w:val="15"/>
        </w:rPr>
        <w:t>. Public organisation is on its way back in but in many new forms with many different structures. This variety of institutional options may help countries to focus more on the social welfare implications of reform and less on achieving a textbook ideal of full privatisation with liberalisation and vertical disintegration (Florio</w:t>
      </w:r>
      <w:hyperlink r:id="rId26" w:anchor="CIT0014" w:history="1">
        <w:r w:rsidRPr="004F60A2">
          <w:rPr>
            <w:rStyle w:val="Hyperlink"/>
            <w:color w:val="104083"/>
            <w:sz w:val="16"/>
            <w:szCs w:val="15"/>
          </w:rPr>
          <w:t>2007</w:t>
        </w:r>
      </w:hyperlink>
      <w:r w:rsidRPr="004F60A2">
        <w:rPr>
          <w:color w:val="000000"/>
          <w:sz w:val="16"/>
          <w:szCs w:val="15"/>
        </w:rPr>
        <w:t xml:space="preserve">). </w:t>
      </w:r>
      <w:r w:rsidRPr="004F60A2">
        <w:rPr>
          <w:rStyle w:val="StyleUnderline"/>
        </w:rPr>
        <w:t>Our findings contribute to the literature by providing an explorative analysis of the variety of institutional options already in practice</w:t>
      </w:r>
      <w:r w:rsidRPr="004F60A2">
        <w:rPr>
          <w:color w:val="000000"/>
          <w:sz w:val="16"/>
          <w:szCs w:val="15"/>
        </w:rPr>
        <w:t>. We provide a lens for understanding the changing case for public ownership using a model that draws from public choice and the theory of economic regulation. Further research is required to understand the advantages and disadvantages of different combinations of public/private ownership in different settings. In addition, a quantitative analysis of whether the balance between public and private ownership has indeed changed in different countries over time would complement our initial qualitative study.</w:t>
      </w:r>
    </w:p>
    <w:p w:rsidR="004F60A2" w:rsidRPr="004F60A2" w:rsidRDefault="004F60A2" w:rsidP="004F60A2">
      <w:pPr>
        <w:shd w:val="clear" w:color="auto" w:fill="FFFFFF"/>
        <w:spacing w:line="240" w:lineRule="auto"/>
        <w:rPr>
          <w:color w:val="000000"/>
          <w:sz w:val="16"/>
          <w:szCs w:val="15"/>
        </w:rPr>
      </w:pPr>
      <w:r w:rsidRPr="004F60A2">
        <w:rPr>
          <w:color w:val="000000"/>
          <w:sz w:val="16"/>
          <w:szCs w:val="15"/>
        </w:rPr>
        <w:t xml:space="preserve">Several key questions are suggested by our analysis. Innovative forms of new public ownership exist in institutional environments that are open to institutional innovation and willing to experiment with ownership and governance arrangements. If competition in ownership forms and innovation in terms of ownership and governance structures is desirable, what prevents different ownership forms from emerging? </w:t>
      </w:r>
      <w:r w:rsidRPr="004F60A2">
        <w:rPr>
          <w:rStyle w:val="StyleUnderline"/>
        </w:rPr>
        <w:t>New forms of public ownership have been sharpened by competition with the private sector. One of the successes</w:t>
      </w:r>
      <w:r w:rsidRPr="004F60A2">
        <w:rPr>
          <w:color w:val="000000"/>
          <w:sz w:val="16"/>
          <w:szCs w:val="15"/>
        </w:rPr>
        <w:t xml:space="preserve"> </w:t>
      </w:r>
      <w:r w:rsidRPr="004F60A2">
        <w:rPr>
          <w:rStyle w:val="StyleUnderline"/>
        </w:rPr>
        <w:t>of privatisation is the benchmarking of public enterprises against their private peers</w:t>
      </w:r>
      <w:r w:rsidRPr="004F60A2">
        <w:rPr>
          <w:color w:val="000000"/>
          <w:sz w:val="16"/>
          <w:szCs w:val="15"/>
        </w:rPr>
        <w:t xml:space="preserve">. Such benchmarking has not revealed any justification for a return to the large wholly state-owned monopoly enterprises of the past. In all the jurisdictions represented by our case studies, private ownership exists and is clearly an institutional option for underperforming publicly-owned firms. If public ownership is to be encouraged, this needs to be within a context where the benefits of competition from the private sector are maintained. </w:t>
      </w:r>
      <w:r w:rsidRPr="004F60A2">
        <w:rPr>
          <w:rStyle w:val="StyleUnderline"/>
        </w:rPr>
        <w:t>The challenge is to maintain the benefits of both private and public involvement and to make sure that lessons flow from one to the other and back again.</w:t>
      </w:r>
      <w:r w:rsidRPr="004F60A2">
        <w:rPr>
          <w:color w:val="000000"/>
          <w:sz w:val="16"/>
          <w:szCs w:val="15"/>
        </w:rPr>
        <w:t xml:space="preserve"> This is yet another area that requires further research.</w:t>
      </w:r>
    </w:p>
    <w:p w:rsidR="004F60A2" w:rsidRPr="004F60A2" w:rsidRDefault="004F60A2" w:rsidP="004F60A2"/>
    <w:p w:rsidR="004F60A2" w:rsidRPr="004F60A2" w:rsidRDefault="004F60A2" w:rsidP="004F60A2">
      <w:pPr>
        <w:pStyle w:val="Heading4"/>
        <w:rPr>
          <w:rFonts w:cs="Arial"/>
        </w:rPr>
      </w:pPr>
      <w:r w:rsidRPr="004F60A2">
        <w:rPr>
          <w:rFonts w:cs="Arial"/>
        </w:rPr>
        <w:t>PPP solves their solvency deficits</w:t>
      </w:r>
    </w:p>
    <w:p w:rsidR="004F60A2" w:rsidRPr="004F60A2" w:rsidRDefault="004F60A2" w:rsidP="004F60A2">
      <w:pPr>
        <w:pStyle w:val="NoSpacing"/>
        <w:rPr>
          <w:rFonts w:cs="Arial"/>
        </w:rPr>
      </w:pPr>
      <w:r w:rsidRPr="004F60A2">
        <w:rPr>
          <w:rStyle w:val="Style13ptBold"/>
          <w:rFonts w:cs="Arial"/>
        </w:rPr>
        <w:t xml:space="preserve">Guldberg et al. 13, </w:t>
      </w:r>
      <w:r w:rsidRPr="004F60A2">
        <w:rPr>
          <w:rStyle w:val="Style13ptBold"/>
          <w:rFonts w:cs="Arial"/>
          <w:b w:val="0"/>
          <w:szCs w:val="16"/>
        </w:rPr>
        <w:t>(</w:t>
      </w:r>
      <w:r w:rsidRPr="004F60A2">
        <w:rPr>
          <w:rFonts w:cs="Arial"/>
        </w:rPr>
        <w:t>Ove Hoegh-Guldberg, Panel Chair, Director of Global Change Institute, University of Queensland, Australia Transform Aqorau, Chief Executive Officer, Parties to the Nauru Agreement Office Ragnar Arnason, Professor of Fisheries Economics, University of Iceland, Iceland Thiraphong Chansiri, President, Thai Union Frozen Products PCL, Thailand Nelson Del Rio, Chairman, Emergent Intelligence Solutions, United States Henry Demone, CEO, High Liner Foods Inc, Canada Sylvia Earle, Founder, Mission Blue/Sylvia Earle Alliance, United States Mary H. Feeley, Chief Geoscientist, ExxonMobil Corporation, United States Dimitri Gutierrez, Director of Investigations on Oceanography and Climate Change, Peruvian Institute of Marine Research (IMARPE), Peru Ray Hilborn, Professor of Aquatic and Fisheries Science, University of Washington, United States Naoko Ishii, CEO and Chairperson, Global Environment Facility Chris Lischewski, President and CEO, Bumble Bee Foods, United States Jane Lubchenco, Professor of Marine Biology, Oregon State University, United States Kim Anh Nguyen, Director, NOMAFAME Program, Professor of Fisheries Economics, Nha Trang University, Vietnam David Obura, Director, CORDIO East Africa, Kenya H.E. Rolph Payet, Minister for Environment and Energy, Pro- Chancellor University of Seychelles, Seychelles Tuiloma Neroni Slade, Secretary General, Pacific Islands Forum Secretariat John Tanzer, Director, Global Marine Programme, WWF International Johán H. Williams, Specialist Director, Department for Fisheries and Aquaculture, Ministry of Fisheries and Coastal Affairs, Norway Dawn J. Wright, Chief Scientist, Esri, United States Jintao Xu, Professor of Natural Resource Economics, Peking University, China)</w:t>
      </w:r>
    </w:p>
    <w:p w:rsidR="004F60A2" w:rsidRPr="004F60A2" w:rsidRDefault="004F60A2" w:rsidP="004F60A2">
      <w:pPr>
        <w:pStyle w:val="NoSpacing"/>
        <w:rPr>
          <w:rStyle w:val="StyleUnderline"/>
          <w:rFonts w:cs="Arial"/>
        </w:rPr>
      </w:pPr>
      <w:r w:rsidRPr="004F60A2">
        <w:rPr>
          <w:rStyle w:val="Style13ptBold"/>
          <w:rFonts w:cs="Arial"/>
          <w:b w:val="0"/>
          <w:szCs w:val="16"/>
        </w:rPr>
        <w:t>(</w:t>
      </w:r>
      <w:hyperlink r:id="rId27" w:history="1">
        <w:r w:rsidRPr="004F60A2">
          <w:rPr>
            <w:rStyle w:val="Hyperlink"/>
            <w:rFonts w:cs="Arial"/>
            <w:szCs w:val="16"/>
          </w:rPr>
          <w:t>http://www.globalpartnershipforoceans.org/sites/oceans/files/images/Indispensable_Ocean.pdf</w:t>
        </w:r>
      </w:hyperlink>
      <w:r w:rsidRPr="004F60A2">
        <w:rPr>
          <w:rStyle w:val="Style13ptBold"/>
          <w:rFonts w:cs="Arial"/>
          <w:b w:val="0"/>
          <w:szCs w:val="16"/>
        </w:rPr>
        <w:t xml:space="preserve">) </w:t>
      </w:r>
      <w:r w:rsidRPr="004F60A2">
        <w:rPr>
          <w:rFonts w:cs="Arial"/>
        </w:rPr>
        <w:t>[Indispensable Ocean Aligning Ocean Health And Human Well-Being Guidance from the Blue Ribbon Panel to the Global Partnership for Oceans] (pg. 16-17) //MC</w:t>
      </w:r>
    </w:p>
    <w:p w:rsidR="004F60A2" w:rsidRPr="004F60A2" w:rsidRDefault="004F60A2" w:rsidP="004F60A2">
      <w:pPr>
        <w:pStyle w:val="NoSpacing"/>
        <w:rPr>
          <w:rStyle w:val="StyleUnderline"/>
          <w:rFonts w:cs="Arial"/>
        </w:rPr>
      </w:pPr>
      <w:r w:rsidRPr="004F60A2">
        <w:rPr>
          <w:rStyle w:val="StyleUnderline"/>
          <w:rFonts w:cs="Arial"/>
        </w:rPr>
        <w:t>Given the large number of potential partnerships and investments</w:t>
      </w:r>
      <w:r w:rsidRPr="004F60A2">
        <w:rPr>
          <w:rFonts w:cs="Arial"/>
        </w:rPr>
        <w:t xml:space="preserve">, </w:t>
      </w:r>
      <w:r w:rsidRPr="004F60A2">
        <w:rPr>
          <w:rStyle w:val="StyleUnderline"/>
          <w:rFonts w:cs="Arial"/>
        </w:rPr>
        <w:t>it is critical that the GPO establish and follow a clear set of principles and criteria for making strategic investments in ocean related projects and a consistent approach for measuring progress</w:t>
      </w:r>
      <w:r w:rsidRPr="004F60A2">
        <w:rPr>
          <w:rFonts w:cs="Arial"/>
        </w:rPr>
        <w:t xml:space="preserve">. Potential initiatives that may be presented to the GPO for support will inevitably stem from economies and governance systems that vary greatly in capacity. </w:t>
      </w:r>
      <w:r w:rsidRPr="004F60A2">
        <w:rPr>
          <w:rStyle w:val="StyleUnderline"/>
          <w:rFonts w:cs="Arial"/>
        </w:rPr>
        <w:t xml:space="preserve">The </w:t>
      </w:r>
      <w:r w:rsidRPr="004F60A2">
        <w:rPr>
          <w:rStyle w:val="StyleUnderline"/>
          <w:rFonts w:cs="Arial"/>
        </w:rPr>
        <w:lastRenderedPageBreak/>
        <w:t>Panel recognizes that requirements for information and capacity will need to be applied in a flexible and practical manner</w:t>
      </w:r>
      <w:r w:rsidRPr="004F60A2">
        <w:rPr>
          <w:rFonts w:cs="Arial"/>
        </w:rPr>
        <w:t>. The Panel also stresses the importance for the GPO to address relevant drivers of ocean degradation in its operations.</w:t>
      </w:r>
    </w:p>
    <w:p w:rsidR="004F60A2" w:rsidRPr="004F60A2" w:rsidRDefault="004F60A2" w:rsidP="004F60A2">
      <w:pPr>
        <w:pStyle w:val="NoSpacing"/>
        <w:rPr>
          <w:rStyle w:val="StyleUnderline"/>
          <w:rFonts w:cs="Arial"/>
        </w:rPr>
      </w:pPr>
      <w:r w:rsidRPr="004F60A2">
        <w:rPr>
          <w:rStyle w:val="StyleUnderline"/>
          <w:rFonts w:cs="Arial"/>
        </w:rPr>
        <w:t>The five principles and associated criteria discussed below will allow the GPO to evaluate the need and readiness for change within these key dimensions and ensure that initiatives are flexible and match the complexity of human-ocean interactions</w:t>
      </w:r>
      <w:r w:rsidRPr="004F60A2">
        <w:rPr>
          <w:rFonts w:cs="Arial"/>
        </w:rPr>
        <w:t>.</w:t>
      </w:r>
    </w:p>
    <w:p w:rsidR="004F60A2" w:rsidRPr="004F60A2" w:rsidRDefault="004F60A2" w:rsidP="004F60A2">
      <w:pPr>
        <w:pStyle w:val="NoSpacing"/>
        <w:rPr>
          <w:rStyle w:val="StyleUnderline"/>
          <w:rFonts w:cs="Arial"/>
        </w:rPr>
      </w:pPr>
      <w:r w:rsidRPr="004F60A2">
        <w:rPr>
          <w:rStyle w:val="StyleUnderline"/>
          <w:rFonts w:cs="Arial"/>
        </w:rPr>
        <w:t>Guiding principles</w:t>
      </w:r>
    </w:p>
    <w:p w:rsidR="004F60A2" w:rsidRPr="004F60A2" w:rsidRDefault="004F60A2" w:rsidP="004F60A2">
      <w:pPr>
        <w:pStyle w:val="NoSpacing"/>
        <w:rPr>
          <w:rStyle w:val="StyleUnderline"/>
          <w:rFonts w:cs="Arial"/>
        </w:rPr>
      </w:pPr>
      <w:r w:rsidRPr="004F60A2">
        <w:rPr>
          <w:rStyle w:val="StyleUnderline"/>
          <w:rFonts w:cs="Arial"/>
        </w:rPr>
        <w:t>Five principles—(1</w:t>
      </w:r>
      <w:r w:rsidRPr="004F60A2">
        <w:rPr>
          <w:rFonts w:cs="Arial"/>
        </w:rPr>
        <w:t xml:space="preserve">) sustainable livelihoods, social equity, </w:t>
      </w:r>
      <w:r w:rsidRPr="004F60A2">
        <w:rPr>
          <w:rStyle w:val="StyleUnderline"/>
          <w:rFonts w:cs="Arial"/>
        </w:rPr>
        <w:t>and food security</w:t>
      </w:r>
      <w:r w:rsidRPr="004F60A2">
        <w:rPr>
          <w:rFonts w:cs="Arial"/>
        </w:rPr>
        <w:t xml:space="preserve">; (2) </w:t>
      </w:r>
      <w:r w:rsidRPr="004F60A2">
        <w:rPr>
          <w:rStyle w:val="StyleUnderline"/>
          <w:rFonts w:cs="Arial"/>
        </w:rPr>
        <w:t>healthy ocean and sustainable use of marine and coastal resources</w:t>
      </w:r>
      <w:r w:rsidRPr="004F60A2">
        <w:rPr>
          <w:rFonts w:cs="Arial"/>
        </w:rPr>
        <w:t xml:space="preserve">; (3) effective governance systems; (4) long-term viability; </w:t>
      </w:r>
      <w:r w:rsidRPr="004F60A2">
        <w:rPr>
          <w:rStyle w:val="StyleUnderline"/>
          <w:rFonts w:cs="Arial"/>
        </w:rPr>
        <w:t xml:space="preserve">and </w:t>
      </w:r>
      <w:r w:rsidRPr="004F60A2">
        <w:rPr>
          <w:rFonts w:cs="Arial"/>
        </w:rPr>
        <w:t xml:space="preserve">(5) </w:t>
      </w:r>
      <w:r w:rsidRPr="004F60A2">
        <w:rPr>
          <w:rStyle w:val="StyleUnderline"/>
          <w:rFonts w:cs="Arial"/>
        </w:rPr>
        <w:t>capacity building and innovation</w:t>
      </w:r>
      <w:r w:rsidRPr="004F60A2">
        <w:rPr>
          <w:rFonts w:cs="Arial"/>
        </w:rPr>
        <w:t xml:space="preserve">—must be addressed as part of each effort undertaken by the GPO (Figure 1), </w:t>
      </w:r>
      <w:r w:rsidRPr="004F60A2">
        <w:rPr>
          <w:rStyle w:val="StyleUnderline"/>
          <w:rFonts w:cs="Arial"/>
        </w:rPr>
        <w:t>or for any programs wishing to achieve the same vision</w:t>
      </w:r>
      <w:r w:rsidRPr="004F60A2">
        <w:rPr>
          <w:rFonts w:cs="Arial"/>
        </w:rPr>
        <w:t xml:space="preserve">. Strategic investment decisions should be based on the best available scientifi c evidence, ongoing evaluation of the goals, </w:t>
      </w:r>
      <w:r w:rsidRPr="004F60A2">
        <w:rPr>
          <w:rStyle w:val="StyleUnderline"/>
          <w:rFonts w:cs="Arial"/>
        </w:rPr>
        <w:t>progress and outcomes</w:t>
      </w:r>
      <w:r w:rsidRPr="004F60A2">
        <w:rPr>
          <w:rFonts w:cs="Arial"/>
        </w:rPr>
        <w:t xml:space="preserve">, </w:t>
      </w:r>
      <w:r w:rsidRPr="004F60A2">
        <w:rPr>
          <w:rStyle w:val="StyleUnderline"/>
          <w:rFonts w:cs="Arial"/>
        </w:rPr>
        <w:t>and application of adaptive approaches for implementation</w:t>
      </w:r>
      <w:r w:rsidRPr="004F60A2">
        <w:rPr>
          <w:rFonts w:cs="Arial"/>
        </w:rPr>
        <w:t>.</w:t>
      </w:r>
    </w:p>
    <w:p w:rsidR="004F60A2" w:rsidRPr="004F60A2" w:rsidRDefault="004F60A2" w:rsidP="004F60A2">
      <w:pPr>
        <w:pStyle w:val="NoSpacing"/>
        <w:rPr>
          <w:rStyle w:val="StyleUnderline"/>
          <w:rFonts w:cs="Arial"/>
        </w:rPr>
      </w:pPr>
      <w:r w:rsidRPr="004F60A2">
        <w:rPr>
          <w:rStyle w:val="StyleUnderline"/>
          <w:rFonts w:cs="Arial"/>
        </w:rPr>
        <w:t>Principle 1</w:t>
      </w:r>
      <w:r w:rsidRPr="004F60A2">
        <w:rPr>
          <w:rFonts w:cs="Arial"/>
        </w:rPr>
        <w:t xml:space="preserve">: Sustainable Livelihoods, Social Equity, </w:t>
      </w:r>
      <w:r w:rsidRPr="004F60A2">
        <w:rPr>
          <w:rStyle w:val="StyleUnderline"/>
          <w:rFonts w:cs="Arial"/>
        </w:rPr>
        <w:t>and Food Security</w:t>
      </w:r>
      <w:r w:rsidRPr="004F60A2">
        <w:rPr>
          <w:rFonts w:cs="Arial"/>
        </w:rPr>
        <w:t xml:space="preserve">. </w:t>
      </w:r>
      <w:r w:rsidRPr="004F60A2">
        <w:rPr>
          <w:rStyle w:val="StyleUnderline"/>
          <w:rFonts w:cs="Arial"/>
        </w:rPr>
        <w:t>This principle emphasizes the importance of marine ecosystems in delivering essential goods and services that underpin millions of livelihoods</w:t>
      </w:r>
      <w:r w:rsidRPr="004F60A2">
        <w:rPr>
          <w:rFonts w:cs="Arial"/>
        </w:rPr>
        <w:t xml:space="preserve">, social equity, </w:t>
      </w:r>
      <w:r w:rsidRPr="004F60A2">
        <w:rPr>
          <w:rStyle w:val="StyleUnderline"/>
          <w:rFonts w:cs="Arial"/>
        </w:rPr>
        <w:t>and food security</w:t>
      </w:r>
      <w:r w:rsidRPr="004F60A2">
        <w:rPr>
          <w:rFonts w:cs="Arial"/>
        </w:rPr>
        <w:t xml:space="preserve">. Central to this principle is the need to align the use of resources to optimize the well-being of people today and in perpetuity. Further, </w:t>
      </w:r>
      <w:r w:rsidRPr="004F60A2">
        <w:rPr>
          <w:rStyle w:val="StyleUnderline"/>
          <w:rFonts w:cs="Arial"/>
        </w:rPr>
        <w:t>efforts need to reduce conflicts over resources by using an integrated ecosystem management approach that considers economic, environmental, and social aspects</w:t>
      </w:r>
      <w:r w:rsidRPr="004F60A2">
        <w:rPr>
          <w:rFonts w:cs="Arial"/>
        </w:rPr>
        <w:t xml:space="preserve">. </w:t>
      </w:r>
      <w:r w:rsidRPr="004F60A2">
        <w:rPr>
          <w:rStyle w:val="StyleUnderline"/>
          <w:rFonts w:cs="Arial"/>
        </w:rPr>
        <w:t>Key objectives for investments include incentivizing socio-ecologically sustainable use of ocean resources.</w:t>
      </w:r>
    </w:p>
    <w:p w:rsidR="004F60A2" w:rsidRPr="004F60A2" w:rsidRDefault="004F60A2" w:rsidP="004F60A2">
      <w:pPr>
        <w:pStyle w:val="NoSpacing"/>
        <w:rPr>
          <w:rFonts w:cs="Arial"/>
        </w:rPr>
      </w:pPr>
      <w:r w:rsidRPr="004F60A2">
        <w:rPr>
          <w:rStyle w:val="StyleUnderline"/>
          <w:rFonts w:cs="Arial"/>
        </w:rPr>
        <w:t>Principle 2</w:t>
      </w:r>
      <w:r w:rsidRPr="004F60A2">
        <w:rPr>
          <w:rFonts w:cs="Arial"/>
        </w:rPr>
        <w:t xml:space="preserve">: </w:t>
      </w:r>
      <w:r w:rsidRPr="004F60A2">
        <w:rPr>
          <w:rStyle w:val="StyleUnderline"/>
          <w:rFonts w:cs="Arial"/>
        </w:rPr>
        <w:t>Healthy Ocean and Sustainable Use of Marine and Coastal Resources</w:t>
      </w:r>
      <w:r w:rsidRPr="004F60A2">
        <w:rPr>
          <w:rFonts w:cs="Arial"/>
        </w:rPr>
        <w:t xml:space="preserve">. </w:t>
      </w:r>
      <w:r w:rsidRPr="004F60A2">
        <w:rPr>
          <w:rStyle w:val="StyleUnderline"/>
          <w:rFonts w:cs="Arial"/>
        </w:rPr>
        <w:t>Investments should contribute to the maintenance, restoration,</w:t>
      </w:r>
      <w:r w:rsidRPr="004F60A2">
        <w:rPr>
          <w:rFonts w:cs="Arial"/>
        </w:rPr>
        <w:t xml:space="preserve"> </w:t>
      </w:r>
      <w:r w:rsidRPr="004F60A2">
        <w:rPr>
          <w:rStyle w:val="StyleUnderline"/>
          <w:rFonts w:cs="Arial"/>
        </w:rPr>
        <w:t>and enhancement of marine and coastal ecosystems</w:t>
      </w:r>
      <w:r w:rsidRPr="004F60A2">
        <w:rPr>
          <w:rFonts w:cs="Arial"/>
        </w:rPr>
        <w:t xml:space="preserve">. Central to this theme is the recognition that people are an essential part of the global ecosystem and that efforts to enhance ecosystem health must align with the goals of all stakeholders involved in the socioecological system. Particular </w:t>
      </w:r>
      <w:r w:rsidRPr="004F60A2">
        <w:rPr>
          <w:rStyle w:val="StyleUnderline"/>
          <w:rFonts w:cs="Arial"/>
        </w:rPr>
        <w:t>emphasis should be given to fragile or vulnerable ecosystems, as well as areas of high value in terms of biodiversity, productivity, and functionality such as key spawning and nursery areas.</w:t>
      </w:r>
    </w:p>
    <w:p w:rsidR="004F60A2" w:rsidRPr="004F60A2" w:rsidRDefault="004F60A2" w:rsidP="004F60A2">
      <w:pPr>
        <w:pStyle w:val="NoSpacing"/>
        <w:rPr>
          <w:rStyle w:val="StyleUnderline"/>
          <w:rFonts w:cs="Arial"/>
        </w:rPr>
      </w:pPr>
      <w:r w:rsidRPr="004F60A2">
        <w:rPr>
          <w:rStyle w:val="StyleUnderline"/>
          <w:rFonts w:cs="Arial"/>
        </w:rPr>
        <w:t>Principle 3</w:t>
      </w:r>
      <w:r w:rsidRPr="004F60A2">
        <w:rPr>
          <w:rFonts w:cs="Arial"/>
        </w:rPr>
        <w:t xml:space="preserve">: Effective Governance Systems. Inherent to this principle are initiatives that produce change in management practices to enable a rapid shift toward the sustainable use of marine and coastal resources. </w:t>
      </w:r>
      <w:r w:rsidRPr="004F60A2">
        <w:rPr>
          <w:rStyle w:val="StyleUnderline"/>
          <w:rFonts w:cs="Arial"/>
        </w:rPr>
        <w:t>Investments should seek opportunities to mainstream integrated</w:t>
      </w:r>
      <w:r w:rsidRPr="004F60A2">
        <w:rPr>
          <w:rFonts w:cs="Arial"/>
        </w:rPr>
        <w:t xml:space="preserve">, </w:t>
      </w:r>
      <w:r w:rsidRPr="004F60A2">
        <w:rPr>
          <w:rStyle w:val="StyleUnderline"/>
          <w:rFonts w:cs="Arial"/>
        </w:rPr>
        <w:t>sustainable management of marine resources into national budgets and plans</w:t>
      </w:r>
      <w:r w:rsidRPr="004F60A2">
        <w:rPr>
          <w:rFonts w:cs="Arial"/>
        </w:rPr>
        <w:t xml:space="preserve">. </w:t>
      </w:r>
      <w:r w:rsidRPr="004F60A2">
        <w:rPr>
          <w:rStyle w:val="StyleUnderline"/>
          <w:rFonts w:cs="Arial"/>
        </w:rPr>
        <w:t xml:space="preserve">The goal is to support </w:t>
      </w:r>
      <w:r w:rsidRPr="004F60A2">
        <w:rPr>
          <w:rFonts w:cs="Arial"/>
        </w:rPr>
        <w:t xml:space="preserve">(or design) </w:t>
      </w:r>
      <w:r w:rsidRPr="004F60A2">
        <w:rPr>
          <w:rStyle w:val="StyleUnderline"/>
          <w:rFonts w:cs="Arial"/>
        </w:rPr>
        <w:t>effective innovative governance systems that provide incentives to private and public sector leaders at all levels to engage and support a healthy ocean and community well-being</w:t>
      </w:r>
      <w:r w:rsidRPr="004F60A2">
        <w:rPr>
          <w:rFonts w:cs="Arial"/>
        </w:rPr>
        <w:t>.</w:t>
      </w:r>
    </w:p>
    <w:p w:rsidR="004F60A2" w:rsidRPr="004F60A2" w:rsidRDefault="004F60A2" w:rsidP="004F60A2">
      <w:pPr>
        <w:pStyle w:val="NoSpacing"/>
        <w:rPr>
          <w:rStyle w:val="StyleUnderline"/>
          <w:rFonts w:cs="Arial"/>
        </w:rPr>
      </w:pPr>
      <w:r w:rsidRPr="004F60A2">
        <w:rPr>
          <w:rStyle w:val="StyleUnderline"/>
          <w:rFonts w:cs="Arial"/>
        </w:rPr>
        <w:t>Principle 4</w:t>
      </w:r>
      <w:r w:rsidRPr="004F60A2">
        <w:rPr>
          <w:rFonts w:cs="Arial"/>
        </w:rPr>
        <w:t xml:space="preserve">: Long-term Viability. Consistent with this principle are investments that are economically viable, socio-ecologically sustainable and promote positive, self-sustaining outcomes, especially when transitional funding or other GPO assistance ends. Successful management frameworks, designed to restore depleted resources, will require long-term investment horizons and consistent monitoring. Ideally, </w:t>
      </w:r>
      <w:r w:rsidRPr="004F60A2">
        <w:rPr>
          <w:rStyle w:val="StyleUnderline"/>
          <w:rFonts w:cs="Arial"/>
        </w:rPr>
        <w:t>they will build on and scale-up existing efforts and incorporate pre-existing skills</w:t>
      </w:r>
      <w:r w:rsidRPr="004F60A2">
        <w:rPr>
          <w:rFonts w:cs="Arial"/>
        </w:rPr>
        <w:t xml:space="preserve">, networks, </w:t>
      </w:r>
      <w:r w:rsidRPr="004F60A2">
        <w:rPr>
          <w:rStyle w:val="StyleUnderline"/>
          <w:rFonts w:cs="Arial"/>
        </w:rPr>
        <w:t>and organizations locally as well as globally</w:t>
      </w:r>
      <w:r w:rsidRPr="004F60A2">
        <w:rPr>
          <w:rFonts w:cs="Arial"/>
        </w:rPr>
        <w:t xml:space="preserve">. In pursuing this principle, </w:t>
      </w:r>
      <w:r w:rsidRPr="004F60A2">
        <w:rPr>
          <w:rStyle w:val="StyleUnderline"/>
          <w:rFonts w:cs="Arial"/>
        </w:rPr>
        <w:t>efforts need to consider market and social forces and instruments that valuate and cause internalization of all environmental goods and services costs and should promote optimal development</w:t>
      </w:r>
      <w:r w:rsidRPr="004F60A2">
        <w:rPr>
          <w:rFonts w:cs="Arial"/>
        </w:rPr>
        <w:t xml:space="preserve">, management, </w:t>
      </w:r>
      <w:r w:rsidRPr="004F60A2">
        <w:rPr>
          <w:rStyle w:val="StyleUnderline"/>
          <w:rFonts w:cs="Arial"/>
        </w:rPr>
        <w:t>and utilization of public goods</w:t>
      </w:r>
      <w:r w:rsidRPr="004F60A2">
        <w:rPr>
          <w:rFonts w:cs="Arial"/>
        </w:rPr>
        <w:t>.</w:t>
      </w:r>
    </w:p>
    <w:p w:rsidR="004F60A2" w:rsidRPr="004F60A2" w:rsidRDefault="004F60A2" w:rsidP="004F60A2">
      <w:pPr>
        <w:pStyle w:val="NoSpacing"/>
        <w:rPr>
          <w:rFonts w:cs="Arial"/>
        </w:rPr>
      </w:pPr>
      <w:r w:rsidRPr="004F60A2">
        <w:rPr>
          <w:rStyle w:val="StyleUnderline"/>
          <w:rFonts w:cs="Arial"/>
        </w:rPr>
        <w:t>Principle 5</w:t>
      </w:r>
      <w:r w:rsidRPr="004F60A2">
        <w:rPr>
          <w:rFonts w:cs="Arial"/>
        </w:rPr>
        <w:t xml:space="preserve">: Capacity Building and Innovation. In accordance with this principle, </w:t>
      </w:r>
      <w:r w:rsidRPr="004F60A2">
        <w:rPr>
          <w:rStyle w:val="StyleUnderline"/>
          <w:rFonts w:cs="Arial"/>
        </w:rPr>
        <w:t>investments should seek to scale-up and integrate proven solutions and develop novel ideas and strategies in order to produce the required transformative outcomes</w:t>
      </w:r>
      <w:r w:rsidRPr="004F60A2">
        <w:rPr>
          <w:rFonts w:cs="Arial"/>
        </w:rPr>
        <w:t xml:space="preserve">. </w:t>
      </w:r>
      <w:r w:rsidRPr="004F60A2">
        <w:rPr>
          <w:rStyle w:val="StyleUnderline"/>
          <w:rFonts w:cs="Arial"/>
        </w:rPr>
        <w:t>Investments will aim to build on local knowledge and develop innovative solutions</w:t>
      </w:r>
      <w:r w:rsidRPr="004F60A2">
        <w:rPr>
          <w:rFonts w:cs="Arial"/>
        </w:rPr>
        <w:t xml:space="preserve">, human resource capacity, </w:t>
      </w:r>
      <w:r w:rsidRPr="004F60A2">
        <w:rPr>
          <w:rStyle w:val="StyleUnderline"/>
          <w:rFonts w:cs="Arial"/>
        </w:rPr>
        <w:t>educational tools and operating strategies</w:t>
      </w:r>
      <w:r w:rsidRPr="004F60A2">
        <w:rPr>
          <w:rFonts w:cs="Arial"/>
        </w:rPr>
        <w:t xml:space="preserve">, </w:t>
      </w:r>
      <w:r w:rsidRPr="004F60A2">
        <w:rPr>
          <w:rStyle w:val="StyleUnderline"/>
          <w:rFonts w:cs="Arial"/>
        </w:rPr>
        <w:t>as well as new finance and policy vehicles</w:t>
      </w:r>
      <w:r w:rsidRPr="004F60A2">
        <w:rPr>
          <w:rFonts w:cs="Arial"/>
        </w:rPr>
        <w:t xml:space="preserve">. </w:t>
      </w:r>
      <w:r w:rsidRPr="004F60A2">
        <w:rPr>
          <w:rStyle w:val="StyleUnderline"/>
          <w:rFonts w:cs="Arial"/>
        </w:rPr>
        <w:t>Using assessments of risks and opportunities</w:t>
      </w:r>
      <w:r w:rsidRPr="004F60A2">
        <w:rPr>
          <w:rFonts w:cs="Arial"/>
        </w:rPr>
        <w:t xml:space="preserve">, </w:t>
      </w:r>
      <w:r w:rsidRPr="004F60A2">
        <w:rPr>
          <w:rStyle w:val="StyleUnderline"/>
          <w:rFonts w:cs="Arial"/>
        </w:rPr>
        <w:t>initiatives should seek to make strategic investments</w:t>
      </w:r>
      <w:r w:rsidRPr="004F60A2">
        <w:rPr>
          <w:rFonts w:cs="Arial"/>
        </w:rPr>
        <w:t xml:space="preserve">, </w:t>
      </w:r>
      <w:r w:rsidRPr="004F60A2">
        <w:rPr>
          <w:rStyle w:val="StyleUnderline"/>
          <w:rFonts w:cs="Arial"/>
        </w:rPr>
        <w:t>while at the same time incorporating lessons learned from failures and successes as solutions are refined</w:t>
      </w:r>
      <w:r w:rsidRPr="004F60A2">
        <w:rPr>
          <w:rFonts w:cs="Arial"/>
        </w:rPr>
        <w:t>.</w:t>
      </w:r>
    </w:p>
    <w:p w:rsidR="004F60A2" w:rsidRPr="004F60A2" w:rsidRDefault="004F60A2" w:rsidP="004F60A2"/>
    <w:p w:rsidR="004F60A2" w:rsidRPr="004F60A2" w:rsidRDefault="004F60A2" w:rsidP="004F60A2">
      <w:pPr>
        <w:pStyle w:val="Heading3"/>
        <w:rPr>
          <w:rFonts w:cs="Arial"/>
        </w:rPr>
      </w:pPr>
      <w:r w:rsidRPr="004F60A2">
        <w:rPr>
          <w:rFonts w:cs="Arial"/>
        </w:rPr>
        <w:lastRenderedPageBreak/>
        <w:t>AT – PPA’s Bad</w:t>
      </w:r>
    </w:p>
    <w:p w:rsidR="004F60A2" w:rsidRPr="004F60A2" w:rsidRDefault="004F60A2" w:rsidP="004F60A2">
      <w:pPr>
        <w:pStyle w:val="Heading4"/>
        <w:rPr>
          <w:rFonts w:cs="Arial"/>
        </w:rPr>
      </w:pPr>
      <w:r w:rsidRPr="004F60A2">
        <w:rPr>
          <w:rFonts w:cs="Arial"/>
        </w:rPr>
        <w:t>PPA’s are necessary and sufficient to solve offshore wind – no downsides</w:t>
      </w:r>
    </w:p>
    <w:p w:rsidR="004F60A2" w:rsidRPr="004F60A2" w:rsidRDefault="004F60A2" w:rsidP="004F60A2">
      <w:pPr>
        <w:pStyle w:val="NoSpacing"/>
        <w:rPr>
          <w:rFonts w:cs="Arial"/>
        </w:rPr>
      </w:pPr>
      <w:r w:rsidRPr="004F60A2">
        <w:rPr>
          <w:rStyle w:val="Style13ptBold"/>
          <w:rFonts w:cs="Arial"/>
        </w:rPr>
        <w:t>Clark et al. 09,</w:t>
      </w:r>
      <w:r w:rsidRPr="004F60A2">
        <w:rPr>
          <w:rStyle w:val="Style13ptBold"/>
          <w:rFonts w:cs="Arial"/>
          <w:b w:val="0"/>
        </w:rPr>
        <w:t xml:space="preserve"> </w:t>
      </w:r>
      <w:r w:rsidRPr="004F60A2">
        <w:rPr>
          <w:rFonts w:cs="Arial"/>
        </w:rPr>
        <w:t>(Steven Clarke - Massachusetts Department of Energy Resources, Fara Courtney - U.S. Offshore Wind Collaborative, Katherine Dykes – MIT, Laurie Jodziewicz - American Wind Energy Association, Greg Watson - Massachusetts Executive Office of Energy and Environmental Affairs and Massachusetts Technology Collaborative) (31-32) [U.S. Offshore Wind Energy: A Path Forward]</w:t>
      </w:r>
      <w:r w:rsidRPr="004F60A2">
        <w:rPr>
          <w:rFonts w:cs="Arial"/>
        </w:rPr>
        <w:br/>
        <w:t>(http://usoffshorewind.org/wp-content/uploads/2012/06/PathForward.pdf)//MC</w:t>
      </w:r>
    </w:p>
    <w:p w:rsidR="004F60A2" w:rsidRPr="004F60A2" w:rsidRDefault="004F60A2" w:rsidP="004F60A2">
      <w:pPr>
        <w:pStyle w:val="NoSpacing"/>
        <w:rPr>
          <w:rStyle w:val="StyleUnderline"/>
          <w:rFonts w:cs="Arial"/>
        </w:rPr>
      </w:pPr>
      <w:r w:rsidRPr="004F60A2">
        <w:rPr>
          <w:rFonts w:cs="Arial"/>
        </w:rPr>
        <w:t xml:space="preserve">The </w:t>
      </w:r>
      <w:r w:rsidRPr="004F60A2">
        <w:rPr>
          <w:rStyle w:val="StyleUnderline"/>
          <w:rFonts w:cs="Arial"/>
        </w:rPr>
        <w:t>combination of market forces</w:t>
      </w:r>
      <w:r w:rsidRPr="004F60A2">
        <w:rPr>
          <w:rFonts w:cs="Arial"/>
        </w:rPr>
        <w:t xml:space="preserve"> (supply and demand) </w:t>
      </w:r>
      <w:r w:rsidRPr="004F60A2">
        <w:rPr>
          <w:rStyle w:val="StyleUnderline"/>
          <w:rFonts w:cs="Arial"/>
        </w:rPr>
        <w:t>and governmental incentives</w:t>
      </w:r>
      <w:r w:rsidRPr="004F60A2">
        <w:rPr>
          <w:rFonts w:cs="Arial"/>
        </w:rPr>
        <w:t xml:space="preserve"> (both state and federal) </w:t>
      </w:r>
      <w:r w:rsidRPr="004F60A2">
        <w:rPr>
          <w:rStyle w:val="StyleUnderline"/>
          <w:rFonts w:cs="Arial"/>
        </w:rPr>
        <w:t>will determine the financial viability of wind projects in the U.S. Offshore wind energy</w:t>
      </w:r>
      <w:r w:rsidRPr="004F60A2">
        <w:rPr>
          <w:rFonts w:cs="Arial"/>
        </w:rPr>
        <w:t xml:space="preserve"> </w:t>
      </w:r>
      <w:r w:rsidRPr="004F60A2">
        <w:rPr>
          <w:rStyle w:val="StyleUnderline"/>
          <w:rFonts w:cs="Arial"/>
        </w:rPr>
        <w:t xml:space="preserve">must compete on a cost-per-kilowatt-hour basis in order to emerge as a viable and sustainable domestic industry. </w:t>
      </w:r>
    </w:p>
    <w:p w:rsidR="004F60A2" w:rsidRPr="004F60A2" w:rsidRDefault="004F60A2" w:rsidP="004F60A2">
      <w:pPr>
        <w:pStyle w:val="NoSpacing"/>
        <w:rPr>
          <w:rFonts w:cs="Arial"/>
        </w:rPr>
      </w:pPr>
      <w:r w:rsidRPr="004F60A2">
        <w:rPr>
          <w:rFonts w:cs="Arial"/>
        </w:rPr>
        <w:t xml:space="preserve">European offshore wind projects benefit from significant government financial incentives. E.U. markets employ mechanisms such as feed-in tariffs and tax credits to make offshore wind development more attractive to investors. The U.K.’s Crown Estate recently announced that it is extending leases for offshore wind projects to 50 years in order to provide investment certainty. </w:t>
      </w:r>
    </w:p>
    <w:p w:rsidR="004F60A2" w:rsidRPr="004F60A2" w:rsidRDefault="004F60A2" w:rsidP="004F60A2">
      <w:pPr>
        <w:pStyle w:val="NoSpacing"/>
        <w:rPr>
          <w:rFonts w:cs="Arial"/>
        </w:rPr>
      </w:pPr>
      <w:r w:rsidRPr="004F60A2">
        <w:rPr>
          <w:rFonts w:cs="Arial"/>
        </w:rPr>
        <w:t xml:space="preserve">Despite this foreign support for offshore wind power abroad, the U.S. currently does not offer similar incentives to offshore wind developers. </w:t>
      </w:r>
    </w:p>
    <w:p w:rsidR="004F60A2" w:rsidRPr="004F60A2" w:rsidRDefault="004F60A2" w:rsidP="004F60A2">
      <w:pPr>
        <w:pStyle w:val="NoSpacing"/>
        <w:rPr>
          <w:rFonts w:cs="Arial"/>
        </w:rPr>
      </w:pPr>
      <w:r w:rsidRPr="004F60A2">
        <w:rPr>
          <w:rFonts w:cs="Arial"/>
          <w:szCs w:val="16"/>
        </w:rPr>
        <w:t>Consequently</w:t>
      </w:r>
      <w:r w:rsidRPr="004F60A2">
        <w:rPr>
          <w:rFonts w:cs="Arial"/>
        </w:rPr>
        <w:t xml:space="preserve">, </w:t>
      </w:r>
      <w:r w:rsidRPr="004F60A2">
        <w:rPr>
          <w:rStyle w:val="StyleUnderline"/>
          <w:rFonts w:cs="Arial"/>
        </w:rPr>
        <w:t>long-term</w:t>
      </w:r>
      <w:r w:rsidRPr="004F60A2">
        <w:rPr>
          <w:rFonts w:cs="Arial"/>
        </w:rPr>
        <w:t xml:space="preserve"> (15-20 year) </w:t>
      </w:r>
      <w:r w:rsidRPr="004F60A2">
        <w:rPr>
          <w:rStyle w:val="StyleUnderline"/>
          <w:rFonts w:cs="Arial"/>
        </w:rPr>
        <w:t>power purchase agreements</w:t>
      </w:r>
      <w:r w:rsidRPr="004F60A2">
        <w:rPr>
          <w:rFonts w:cs="Arial"/>
        </w:rPr>
        <w:t xml:space="preserve"> (PPAs) </w:t>
      </w:r>
      <w:r w:rsidRPr="004F60A2">
        <w:rPr>
          <w:rStyle w:val="StyleUnderline"/>
          <w:rFonts w:cs="Arial"/>
        </w:rPr>
        <w:t>are a vital means to secure financing for offshore wind energy projects in the U.S. Utilities might seek equity in offshore wind projects</w:t>
      </w:r>
      <w:r w:rsidRPr="004F60A2">
        <w:rPr>
          <w:rFonts w:cs="Arial"/>
        </w:rPr>
        <w:t xml:space="preserve"> that have long-term PPAs </w:t>
      </w:r>
      <w:r w:rsidRPr="004F60A2">
        <w:rPr>
          <w:rStyle w:val="StyleUnderline"/>
          <w:rFonts w:cs="Arial"/>
        </w:rPr>
        <w:t>in order to prevent them from showing up as liabilities on their books.</w:t>
      </w:r>
      <w:r w:rsidRPr="004F60A2">
        <w:rPr>
          <w:rFonts w:cs="Arial"/>
        </w:rPr>
        <w:t xml:space="preserve"> </w:t>
      </w:r>
    </w:p>
    <w:p w:rsidR="004F60A2" w:rsidRPr="004F60A2" w:rsidRDefault="004F60A2" w:rsidP="004F60A2">
      <w:pPr>
        <w:pStyle w:val="NoSpacing"/>
        <w:rPr>
          <w:rFonts w:cs="Arial"/>
        </w:rPr>
      </w:pPr>
      <w:r w:rsidRPr="004F60A2">
        <w:rPr>
          <w:rStyle w:val="StyleUnderline"/>
          <w:rFonts w:cs="Arial"/>
        </w:rPr>
        <w:t>The cost of other sources of electricity (including natural gas, hydropower, and coal) affect the market penetration and consequently the financial attractiveness of offshore wind power</w:t>
      </w:r>
      <w:r w:rsidRPr="004F60A2">
        <w:rPr>
          <w:rFonts w:cs="Arial"/>
        </w:rPr>
        <w:t xml:space="preserve">. As a general rule, wind energy prices track with those of other electricity sources. The development of the electricity generation sector has been cyclical, with periods of high growth for one electricity source, followed by periods of slower growth as another energy source becomes more attractive. </w:t>
      </w:r>
      <w:r w:rsidRPr="004F60A2">
        <w:rPr>
          <w:rStyle w:val="StyleUnderline"/>
          <w:rFonts w:cs="Arial"/>
        </w:rPr>
        <w:t>Factors influencing these growth patterns include government incentives, current and projected global resource prices, capital costs, and installation of new facilities.</w:t>
      </w:r>
      <w:r w:rsidRPr="004F60A2">
        <w:rPr>
          <w:rFonts w:cs="Arial"/>
        </w:rPr>
        <w:t xml:space="preserve"> Coal appears to be poised for another growth period, with 9 GW of new coal-burning power plants under construction and another 40 GW at various stages of development.92 The natural gas sector experienced capacity additions of 5 GW in 1998, 75 GW in 2002, and 20 GW in 2005.93 While renewable energy currently makes up only 2.3% of U.S. electricity supply, there is growing interest in all forms of renewable energy, specifically including offshore wind development. Reasons for the increased appeal of offshore wind energy include: a) concerns about the recent price volatility of natural gas (ranging from $3/MMBtu to $10/MMBtu), b) fossil fuel resource constraints, and c) growing demand for renewable energy sources due to concerns about climate change and public health.94 </w:t>
      </w:r>
    </w:p>
    <w:p w:rsidR="004F60A2" w:rsidRPr="004F60A2" w:rsidRDefault="004F60A2" w:rsidP="004F60A2">
      <w:pPr>
        <w:pStyle w:val="NoSpacing"/>
        <w:rPr>
          <w:rFonts w:cs="Arial"/>
        </w:rPr>
      </w:pPr>
      <w:r w:rsidRPr="004F60A2">
        <w:rPr>
          <w:rFonts w:cs="Arial"/>
        </w:rPr>
        <w:t xml:space="preserve">Cap and Trade </w:t>
      </w:r>
    </w:p>
    <w:p w:rsidR="004F60A2" w:rsidRPr="004F60A2" w:rsidRDefault="004F60A2" w:rsidP="004F60A2">
      <w:pPr>
        <w:pStyle w:val="NoSpacing"/>
        <w:rPr>
          <w:rFonts w:cs="Arial"/>
        </w:rPr>
      </w:pPr>
      <w:r w:rsidRPr="004F60A2">
        <w:rPr>
          <w:rFonts w:cs="Arial"/>
        </w:rPr>
        <w:t xml:space="preserve">Wind energy has been the fastest-growing source of electricity over the last decade, primarily due to significant decreases in cost per kilowatt-hour (kWh) realized over the past 20 years. The cost per kWh of land-based wind energy has dropped from $0.40/ kWh to as low as $0.04/kWh.95 While $0.04/kWh is competitive with natural gas, it is more expensive than hydropower and coal. Currently, offshore wind energy is more expensive than that produced by land- based wind farms; in Europe today, land-based wind energy ranges from $0.08/kWh to $0.15/kWh, and offshore wind energy is about twice as expensive. However, most current estimates predict that capital costs for offshore wind projects will decrease. One source predicts $2,520/kW through 2010, with costs decreasing 12.5% by 2030. largely due to technology advances." This will have the effect of driving down wind-generated electricity costs to consumers. </w:t>
      </w:r>
    </w:p>
    <w:p w:rsidR="004F60A2" w:rsidRPr="004F60A2" w:rsidRDefault="004F60A2" w:rsidP="004F60A2">
      <w:pPr>
        <w:pStyle w:val="NoSpacing"/>
        <w:rPr>
          <w:rFonts w:cs="Arial"/>
        </w:rPr>
      </w:pPr>
      <w:r w:rsidRPr="004F60A2">
        <w:rPr>
          <w:rFonts w:cs="Arial"/>
        </w:rPr>
        <w:t xml:space="preserve">Implications for the Economic and Financial Viability of Offshore Wind Energy </w:t>
      </w:r>
    </w:p>
    <w:p w:rsidR="004F60A2" w:rsidRPr="004F60A2" w:rsidRDefault="004F60A2" w:rsidP="004F60A2">
      <w:pPr>
        <w:pStyle w:val="NoSpacing"/>
        <w:rPr>
          <w:rFonts w:cs="Arial"/>
        </w:rPr>
      </w:pPr>
      <w:r w:rsidRPr="004F60A2">
        <w:rPr>
          <w:rStyle w:val="StyleUnderline"/>
          <w:rFonts w:cs="Arial"/>
        </w:rPr>
        <w:t>Numerous factors contribute to the economic and financial viability of offshore wind development, including wind resources, project costs, and electricity markets</w:t>
      </w:r>
      <w:r w:rsidRPr="004F60A2">
        <w:rPr>
          <w:rFonts w:cs="Arial"/>
        </w:rPr>
        <w:t xml:space="preserve">. As previously indicated, the U.S. offshore wind industry is rapidly gaining attention, both domestically and abroad. However, </w:t>
      </w:r>
      <w:r w:rsidRPr="004F60A2">
        <w:rPr>
          <w:rStyle w:val="StyleUnderline"/>
          <w:rFonts w:cs="Arial"/>
        </w:rPr>
        <w:t>the US. still does not have a national, consistent set of long- term financial guarantees available to investors</w:t>
      </w:r>
      <w:r w:rsidRPr="004F60A2">
        <w:rPr>
          <w:rFonts w:cs="Arial"/>
        </w:rPr>
        <w:t xml:space="preserve"> in offshore wind development. To fully realize this energy potential, </w:t>
      </w:r>
      <w:r w:rsidRPr="004F60A2">
        <w:rPr>
          <w:rStyle w:val="StyleUnderline"/>
          <w:rFonts w:cs="Arial"/>
        </w:rPr>
        <w:t>the U.S. must develop financial instruments/programs that complement state and federal incentives to provide long-term security and commitment.</w:t>
      </w:r>
      <w:r w:rsidRPr="004F60A2">
        <w:rPr>
          <w:rFonts w:cs="Arial"/>
        </w:rPr>
        <w:t xml:space="preserve"> Additionally, it would be beneficial to design forums that would help developers, investors, and utilities understand each other's perspectives and concerns. Broadly-based, coordinated initiatives will be necessary to create to a sustainable and viable offshore wind industry in the US. </w:t>
      </w:r>
    </w:p>
    <w:p w:rsidR="004F60A2" w:rsidRPr="004F60A2" w:rsidRDefault="004F60A2" w:rsidP="004F60A2">
      <w:pPr>
        <w:pStyle w:val="NoSpacing"/>
        <w:rPr>
          <w:rStyle w:val="StyleUnderline"/>
          <w:rFonts w:cs="Arial"/>
        </w:rPr>
      </w:pPr>
      <w:r w:rsidRPr="004F60A2">
        <w:rPr>
          <w:rStyle w:val="StyleUnderline"/>
          <w:rFonts w:cs="Arial"/>
        </w:rPr>
        <w:t xml:space="preserve">Government policies, coupled with advances in technology and environmental compatibility, will continue to improve the financial viability of the U.S. offshore wind industry. It is suggested that future U.S. economic policies should include: </w:t>
      </w:r>
    </w:p>
    <w:p w:rsidR="004F60A2" w:rsidRPr="004F60A2" w:rsidRDefault="004F60A2" w:rsidP="004F60A2">
      <w:pPr>
        <w:pStyle w:val="NoSpacing"/>
        <w:rPr>
          <w:rFonts w:cs="Arial"/>
        </w:rPr>
      </w:pPr>
      <w:r w:rsidRPr="004F60A2">
        <w:rPr>
          <w:rFonts w:cs="Arial"/>
        </w:rPr>
        <w:t xml:space="preserve">Long-term financial incentives: </w:t>
      </w:r>
      <w:r w:rsidRPr="004F60A2">
        <w:rPr>
          <w:rStyle w:val="StyleUnderline"/>
          <w:rFonts w:cs="Arial"/>
        </w:rPr>
        <w:t>Stable, guaranteed, long-term financial incentives would lead to significant growth in the offshore wind energy sector</w:t>
      </w:r>
      <w:r w:rsidRPr="004F60A2">
        <w:rPr>
          <w:rFonts w:cs="Arial"/>
        </w:rPr>
        <w:t xml:space="preserve">. As a prerequisite, government support for offshore wind energy </w:t>
      </w:r>
      <w:r w:rsidRPr="004F60A2">
        <w:rPr>
          <w:rStyle w:val="StyleUnderline"/>
          <w:rFonts w:cs="Arial"/>
        </w:rPr>
        <w:t>should recognize this sector as distinct from the onshore wind energy sector. Long-tern (10 year minimum) federal and state incentives for the offshore wind industry will foster project development and cost-reducing innovation.</w:t>
      </w:r>
      <w:r w:rsidRPr="004F60A2">
        <w:rPr>
          <w:rFonts w:cs="Arial"/>
        </w:rPr>
        <w:t xml:space="preserve"> The can bolster existing incentives by providing long stability and additional funding, including:</w:t>
      </w:r>
    </w:p>
    <w:p w:rsidR="004F60A2" w:rsidRPr="004F60A2" w:rsidRDefault="004F60A2" w:rsidP="004F60A2">
      <w:pPr>
        <w:pStyle w:val="NoSpacing"/>
        <w:numPr>
          <w:ilvl w:val="0"/>
          <w:numId w:val="42"/>
        </w:numPr>
        <w:rPr>
          <w:rStyle w:val="StyleUnderline"/>
          <w:rFonts w:cs="Arial"/>
        </w:rPr>
      </w:pPr>
      <w:r w:rsidRPr="004F60A2">
        <w:rPr>
          <w:rStyle w:val="StyleUnderline"/>
          <w:rFonts w:cs="Arial"/>
        </w:rPr>
        <w:t xml:space="preserve">Production Tax Credits (PTCS)  </w:t>
      </w:r>
    </w:p>
    <w:p w:rsidR="004F60A2" w:rsidRPr="004F60A2" w:rsidRDefault="004F60A2" w:rsidP="004F60A2">
      <w:pPr>
        <w:pStyle w:val="NoSpacing"/>
        <w:numPr>
          <w:ilvl w:val="0"/>
          <w:numId w:val="42"/>
        </w:numPr>
        <w:rPr>
          <w:rStyle w:val="StyleUnderline"/>
          <w:rFonts w:cs="Arial"/>
        </w:rPr>
      </w:pPr>
      <w:r w:rsidRPr="004F60A2">
        <w:rPr>
          <w:rStyle w:val="StyleUnderline"/>
          <w:rFonts w:cs="Arial"/>
        </w:rPr>
        <w:lastRenderedPageBreak/>
        <w:t xml:space="preserve">Loans and Loan Guarantees </w:t>
      </w:r>
    </w:p>
    <w:p w:rsidR="004F60A2" w:rsidRPr="004F60A2" w:rsidRDefault="004F60A2" w:rsidP="004F60A2">
      <w:pPr>
        <w:pStyle w:val="NoSpacing"/>
        <w:numPr>
          <w:ilvl w:val="0"/>
          <w:numId w:val="42"/>
        </w:numPr>
        <w:rPr>
          <w:rStyle w:val="StyleUnderline"/>
          <w:rFonts w:cs="Arial"/>
        </w:rPr>
      </w:pPr>
      <w:r w:rsidRPr="004F60A2">
        <w:rPr>
          <w:rStyle w:val="StyleUnderline"/>
          <w:rFonts w:cs="Arial"/>
        </w:rPr>
        <w:t xml:space="preserve">Power Purchase Agreements (PPAs) </w:t>
      </w:r>
    </w:p>
    <w:p w:rsidR="004F60A2" w:rsidRPr="004F60A2" w:rsidRDefault="004F60A2" w:rsidP="004F60A2">
      <w:pPr>
        <w:pStyle w:val="NoSpacing"/>
        <w:numPr>
          <w:ilvl w:val="0"/>
          <w:numId w:val="42"/>
        </w:numPr>
        <w:rPr>
          <w:rStyle w:val="StyleUnderline"/>
          <w:rFonts w:cs="Arial"/>
        </w:rPr>
      </w:pPr>
      <w:r w:rsidRPr="004F60A2">
        <w:rPr>
          <w:rStyle w:val="StyleUnderline"/>
          <w:rFonts w:cs="Arial"/>
        </w:rPr>
        <w:t xml:space="preserve">Renewable Energy Credits (RECS) </w:t>
      </w:r>
    </w:p>
    <w:p w:rsidR="004F60A2" w:rsidRPr="004F60A2" w:rsidRDefault="004F60A2" w:rsidP="004F60A2">
      <w:pPr>
        <w:pStyle w:val="NoSpacing"/>
        <w:rPr>
          <w:rFonts w:cs="Arial"/>
        </w:rPr>
      </w:pPr>
      <w:r w:rsidRPr="004F60A2">
        <w:rPr>
          <w:rFonts w:cs="Arial"/>
        </w:rPr>
        <w:t xml:space="preserve">More aggressive incentives: </w:t>
      </w:r>
      <w:r w:rsidRPr="004F60A2">
        <w:rPr>
          <w:rStyle w:val="StyleUnderline"/>
          <w:rFonts w:cs="Arial"/>
        </w:rPr>
        <w:t>More aggressive financial incentives would help the U.S. become a global leader in the offshore wind industry. These aggressive incentives might include a national renewable electricity standard</w:t>
      </w:r>
      <w:r w:rsidRPr="004F60A2">
        <w:rPr>
          <w:rFonts w:cs="Arial"/>
        </w:rPr>
        <w:t xml:space="preserve"> (with set-asides or multipliers for offshore wind energy), or a stronger incentive structure that follows European models. Both approaches </w:t>
      </w:r>
      <w:r w:rsidRPr="004F60A2">
        <w:rPr>
          <w:rStyle w:val="StyleUnderline"/>
          <w:rFonts w:cs="Arial"/>
        </w:rPr>
        <w:t>could decrease risk for offshore wind developers and broaden the customer base for offshore wi nd- generated electricity</w:t>
      </w:r>
      <w:r w:rsidRPr="004F60A2">
        <w:rPr>
          <w:rFonts w:cs="Arial"/>
        </w:rPr>
        <w:t xml:space="preserve">. For example, some European nations (Germany, Spain, Belgium, and others) </w:t>
      </w:r>
      <w:r w:rsidRPr="004F60A2">
        <w:rPr>
          <w:rStyle w:val="StyleUnderline"/>
          <w:rFonts w:cs="Arial"/>
        </w:rPr>
        <w:t>adopted feed-in tariffs that have been successful in increasing demand for renewable energy</w:t>
      </w:r>
      <w:r w:rsidRPr="004F60A2">
        <w:rPr>
          <w:rFonts w:cs="Arial"/>
        </w:rPr>
        <w:t xml:space="preserve">. </w:t>
      </w:r>
    </w:p>
    <w:p w:rsidR="004F60A2" w:rsidRPr="004F60A2" w:rsidRDefault="004F60A2" w:rsidP="004F60A2">
      <w:pPr>
        <w:pStyle w:val="NoSpacing"/>
        <w:rPr>
          <w:rFonts w:cs="Arial"/>
        </w:rPr>
      </w:pPr>
      <w:r w:rsidRPr="004F60A2">
        <w:rPr>
          <w:rFonts w:cs="Arial"/>
        </w:rPr>
        <w:t xml:space="preserve">Increased R&amp;D Funding: </w:t>
      </w:r>
      <w:r w:rsidRPr="004F60A2">
        <w:rPr>
          <w:rStyle w:val="StyleUnderline"/>
          <w:rFonts w:cs="Arial"/>
        </w:rPr>
        <w:t>Funding to support R&amp;D should be a priority</w:t>
      </w:r>
      <w:r w:rsidRPr="004F60A2">
        <w:rPr>
          <w:rFonts w:cs="Arial"/>
        </w:rPr>
        <w:t xml:space="preserve">, </w:t>
      </w:r>
      <w:r w:rsidRPr="004F60A2">
        <w:rPr>
          <w:rStyle w:val="StyleUnderline"/>
          <w:rFonts w:cs="Arial"/>
        </w:rPr>
        <w:t>particularly for efforts aimed at reducing costs while increasing reliability and accessibilit</w:t>
      </w:r>
      <w:r w:rsidRPr="004F60A2">
        <w:rPr>
          <w:rFonts w:cs="Arial"/>
        </w:rPr>
        <w:t xml:space="preserve">y. In the near future, </w:t>
      </w:r>
      <w:r w:rsidRPr="004F60A2">
        <w:rPr>
          <w:rStyle w:val="StyleUnderline"/>
          <w:rFonts w:cs="Arial"/>
        </w:rPr>
        <w:t>improvements and/or modifications to traditional monopile and jacket foundation designs will be necessary to take full advantage of transitional and deep-water wind development opportunities off U.S. coasts</w:t>
      </w:r>
      <w:r w:rsidRPr="004F60A2">
        <w:rPr>
          <w:rFonts w:cs="Arial"/>
        </w:rPr>
        <w:t xml:space="preserve">. For the longer term, investments in promising innovations like </w:t>
      </w:r>
      <w:r w:rsidRPr="004F60A2">
        <w:rPr>
          <w:rStyle w:val="StyleUnderline"/>
          <w:rFonts w:cs="Arial"/>
        </w:rPr>
        <w:t>floating platforms should also be supported.</w:t>
      </w:r>
      <w:r w:rsidRPr="004F60A2">
        <w:rPr>
          <w:rFonts w:cs="Arial"/>
        </w:rPr>
        <w:t xml:space="preserve"> Designs for turbines and foundations that use less steel (and other expensive materials) will help improve economic viability. </w:t>
      </w:r>
    </w:p>
    <w:p w:rsidR="004F60A2" w:rsidRPr="004F60A2" w:rsidRDefault="004F60A2" w:rsidP="004F60A2"/>
    <w:p w:rsidR="004F60A2" w:rsidRPr="004F60A2" w:rsidRDefault="004F60A2" w:rsidP="004F60A2">
      <w:pPr>
        <w:pStyle w:val="Heading4"/>
        <w:rPr>
          <w:rFonts w:cs="Arial"/>
        </w:rPr>
      </w:pPr>
      <w:r w:rsidRPr="004F60A2">
        <w:rPr>
          <w:rFonts w:cs="Arial"/>
        </w:rPr>
        <w:t>PPAs are effective</w:t>
      </w:r>
    </w:p>
    <w:p w:rsidR="004F60A2" w:rsidRPr="004F60A2" w:rsidRDefault="004F60A2" w:rsidP="004F60A2">
      <w:pPr>
        <w:rPr>
          <w:bCs/>
          <w:sz w:val="16"/>
        </w:rPr>
      </w:pPr>
      <w:r w:rsidRPr="004F60A2">
        <w:rPr>
          <w:rStyle w:val="Style13ptBold"/>
        </w:rPr>
        <w:t xml:space="preserve">Harmon 11, </w:t>
      </w:r>
      <w:r w:rsidRPr="004F60A2">
        <w:rPr>
          <w:rStyle w:val="Style13ptBold"/>
          <w:b w:val="0"/>
          <w:sz w:val="16"/>
        </w:rPr>
        <w:t>(Robert K. – member of the Oregon Wave Energy Trust (OWET) is a nonprofit public-private partnership funded by the Oregon Innovation Council.) [Incentivizing Ocean Energy] (</w:t>
      </w:r>
      <w:hyperlink r:id="rId28" w:history="1">
        <w:r w:rsidRPr="004F60A2">
          <w:rPr>
            <w:rStyle w:val="Hyperlink"/>
            <w:sz w:val="16"/>
          </w:rPr>
          <w:t>http://oregonwave.org/oceanic/wp-content/uploads/2013/05/Incentivizing-Ocean-Energy-%E2%80%93-July-2011.pdf</w:t>
        </w:r>
      </w:hyperlink>
      <w:r w:rsidRPr="004F60A2">
        <w:rPr>
          <w:rStyle w:val="Style13ptBold"/>
          <w:b w:val="0"/>
          <w:sz w:val="16"/>
        </w:rPr>
        <w:t>) (pg.46-47) //MC</w:t>
      </w:r>
    </w:p>
    <w:p w:rsidR="004F60A2" w:rsidRPr="004F60A2" w:rsidRDefault="004F60A2" w:rsidP="004F60A2">
      <w:pPr>
        <w:rPr>
          <w:sz w:val="16"/>
          <w:szCs w:val="16"/>
        </w:rPr>
      </w:pPr>
      <w:r w:rsidRPr="004F60A2">
        <w:rPr>
          <w:sz w:val="16"/>
          <w:szCs w:val="16"/>
        </w:rPr>
        <w:t xml:space="preserve">The Role of Purchase Power Agreements in Reducing Costs </w:t>
      </w:r>
    </w:p>
    <w:p w:rsidR="004F60A2" w:rsidRPr="004F60A2" w:rsidRDefault="004F60A2" w:rsidP="004F60A2">
      <w:pPr>
        <w:rPr>
          <w:sz w:val="16"/>
          <w:szCs w:val="16"/>
        </w:rPr>
      </w:pPr>
      <w:r w:rsidRPr="004F60A2">
        <w:rPr>
          <w:sz w:val="16"/>
          <w:szCs w:val="16"/>
        </w:rPr>
        <w:t xml:space="preserve">As either a market mechanism or policy mandate, </w:t>
      </w:r>
      <w:r w:rsidRPr="004F60A2">
        <w:rPr>
          <w:rStyle w:val="StyleUnderline"/>
        </w:rPr>
        <w:t>a PPA can serve as a cost-reduction tool that enables complex ownership and sale arrangements to make full use of the myriad of incentives provided to renewable technologies</w:t>
      </w:r>
      <w:r w:rsidRPr="004F60A2">
        <w:rPr>
          <w:sz w:val="16"/>
          <w:szCs w:val="16"/>
        </w:rPr>
        <w:t xml:space="preserve">. This is </w:t>
      </w:r>
      <w:r w:rsidRPr="004F60A2">
        <w:rPr>
          <w:rStyle w:val="StyleUnderline"/>
        </w:rPr>
        <w:t>specifically applicable</w:t>
      </w:r>
      <w:r w:rsidRPr="004F60A2">
        <w:rPr>
          <w:sz w:val="16"/>
          <w:szCs w:val="16"/>
        </w:rPr>
        <w:t xml:space="preserve"> </w:t>
      </w:r>
      <w:r w:rsidRPr="004F60A2">
        <w:rPr>
          <w:rStyle w:val="StyleUnderline"/>
        </w:rPr>
        <w:t>in the case of</w:t>
      </w:r>
      <w:r w:rsidRPr="004F60A2">
        <w:rPr>
          <w:sz w:val="16"/>
          <w:szCs w:val="16"/>
        </w:rPr>
        <w:t xml:space="preserve"> public entities, such as </w:t>
      </w:r>
      <w:r w:rsidRPr="004F60A2">
        <w:rPr>
          <w:rStyle w:val="StyleUnderline"/>
        </w:rPr>
        <w:t>state organizations</w:t>
      </w:r>
      <w:r w:rsidRPr="004F60A2">
        <w:rPr>
          <w:sz w:val="16"/>
          <w:szCs w:val="16"/>
        </w:rPr>
        <w:t xml:space="preserve">, municipalities, tribal authorities </w:t>
      </w:r>
      <w:r w:rsidRPr="004F60A2">
        <w:rPr>
          <w:rStyle w:val="StyleUnderline"/>
        </w:rPr>
        <w:t>and public power utilities, which</w:t>
      </w:r>
      <w:r w:rsidRPr="004F60A2">
        <w:rPr>
          <w:sz w:val="16"/>
          <w:szCs w:val="16"/>
        </w:rPr>
        <w:t xml:space="preserve"> </w:t>
      </w:r>
      <w:r w:rsidRPr="004F60A2">
        <w:rPr>
          <w:rStyle w:val="StyleUnderline"/>
        </w:rPr>
        <w:t>by</w:t>
      </w:r>
      <w:r w:rsidRPr="004F60A2">
        <w:rPr>
          <w:sz w:val="16"/>
          <w:szCs w:val="16"/>
        </w:rPr>
        <w:t xml:space="preserve"> virtue of being tax exempt, are rendered ineligible for a number of renewable energy incentives. </w:t>
      </w:r>
    </w:p>
    <w:p w:rsidR="004F60A2" w:rsidRPr="004F60A2" w:rsidRDefault="004F60A2" w:rsidP="004F60A2">
      <w:r w:rsidRPr="004F60A2">
        <w:rPr>
          <w:rStyle w:val="StyleUnderline"/>
        </w:rPr>
        <w:t xml:space="preserve">Renewable energy developers that leverage these tax-dependent incentives experience cost reductions that can ultimately lower the cost of a generation. A PPA can then be signed by a public entity that would be otherwise unable to take advantage of the incentives afforded to private corporations. The end result is an overall reduction in the cost of renewable energy relative to the public entity pursuing development on its own. </w:t>
      </w:r>
      <w:r w:rsidRPr="004F60A2">
        <w:rPr>
          <w:rStyle w:val="StyleUnderline"/>
        </w:rPr>
        <w:cr/>
      </w:r>
    </w:p>
    <w:p w:rsidR="004F60A2" w:rsidRPr="004F60A2" w:rsidRDefault="004F60A2" w:rsidP="004F60A2">
      <w:pPr>
        <w:pStyle w:val="Heading3"/>
        <w:rPr>
          <w:rFonts w:cs="Arial"/>
        </w:rPr>
      </w:pPr>
      <w:r w:rsidRPr="004F60A2">
        <w:rPr>
          <w:rFonts w:cs="Arial"/>
        </w:rPr>
        <w:lastRenderedPageBreak/>
        <w:t>AT – Incentives Bad</w:t>
      </w:r>
    </w:p>
    <w:p w:rsidR="004F60A2" w:rsidRPr="004F60A2" w:rsidRDefault="004F60A2" w:rsidP="004F60A2">
      <w:pPr>
        <w:pStyle w:val="Heading4"/>
        <w:rPr>
          <w:rFonts w:cs="Arial"/>
        </w:rPr>
      </w:pPr>
      <w:r w:rsidRPr="004F60A2">
        <w:rPr>
          <w:rFonts w:cs="Arial"/>
        </w:rPr>
        <w:t>Incentives are good</w:t>
      </w:r>
    </w:p>
    <w:p w:rsidR="004F60A2" w:rsidRPr="004F60A2" w:rsidRDefault="004F60A2" w:rsidP="004F60A2">
      <w:pPr>
        <w:pStyle w:val="NoSpacing"/>
        <w:rPr>
          <w:rFonts w:cs="Arial"/>
        </w:rPr>
      </w:pPr>
      <w:r w:rsidRPr="004F60A2">
        <w:rPr>
          <w:rStyle w:val="Style13ptBold"/>
          <w:rFonts w:cs="Arial"/>
        </w:rPr>
        <w:t xml:space="preserve">Lewis and Wiser 06, </w:t>
      </w:r>
      <w:r w:rsidRPr="004F60A2">
        <w:rPr>
          <w:rFonts w:cs="Arial"/>
        </w:rPr>
        <w:t>Joanna I. Lewis Pew Center on Global Climate Change, Ryan H. Wiser Lawrence Berkeley National Laboratory, [“Fostering a renewable energy technology industry: An international comparison of wind industry policy support mechanisms” Energy Policy Volume 35, Issue 3, March 2007, Pages 1844–1857] (</w:t>
      </w:r>
      <w:hyperlink r:id="rId29" w:history="1">
        <w:r w:rsidRPr="004F60A2">
          <w:rPr>
            <w:rStyle w:val="Hyperlink"/>
            <w:rFonts w:cs="Arial"/>
            <w:szCs w:val="16"/>
          </w:rPr>
          <w:t>http://ac.els-cdn.com/S0301421506002606/1-s2.0-S0301421506002606-main.pdf?_tid=ee42b794-fba1-11e3-a13e-00000aab0f02&amp;acdnat=1403616046_e977791b1839d04889ac19354fc46885</w:t>
        </w:r>
      </w:hyperlink>
      <w:r w:rsidRPr="004F60A2">
        <w:rPr>
          <w:rFonts w:cs="Arial"/>
        </w:rPr>
        <w:t>) //MC</w:t>
      </w:r>
    </w:p>
    <w:p w:rsidR="004F60A2" w:rsidRPr="004F60A2" w:rsidRDefault="004F60A2" w:rsidP="004F60A2">
      <w:pPr>
        <w:pStyle w:val="NoSpacing"/>
        <w:rPr>
          <w:rStyle w:val="StyleUnderline"/>
          <w:rFonts w:cs="Arial"/>
        </w:rPr>
      </w:pPr>
      <w:r w:rsidRPr="004F60A2">
        <w:rPr>
          <w:rStyle w:val="StyleUnderline"/>
          <w:rFonts w:cs="Arial"/>
        </w:rPr>
        <w:t>Policies that directly support local wind turbine</w:t>
      </w:r>
      <w:r w:rsidRPr="004F60A2">
        <w:rPr>
          <w:rFonts w:cs="Arial"/>
        </w:rPr>
        <w:t xml:space="preserve"> or components </w:t>
      </w:r>
      <w:r w:rsidRPr="004F60A2">
        <w:rPr>
          <w:rStyle w:val="StyleUnderline"/>
          <w:rFonts w:cs="Arial"/>
        </w:rPr>
        <w:t>manufacturers can be crucial in countries where barriers to entry are high and competition with international leaders is difficult</w:t>
      </w:r>
      <w:r w:rsidRPr="004F60A2">
        <w:rPr>
          <w:rFonts w:cs="Arial"/>
        </w:rPr>
        <w:t xml:space="preserve">. A variety of policy options exist to directly support local wind power technology manufacturing, and </w:t>
      </w:r>
      <w:r w:rsidRPr="004F60A2">
        <w:rPr>
          <w:rStyle w:val="StyleUnderline"/>
          <w:rFonts w:cs="Arial"/>
        </w:rPr>
        <w:t>several policy options have proven effective</w:t>
      </w:r>
      <w:r w:rsidRPr="004F60A2">
        <w:rPr>
          <w:rFonts w:cs="Arial"/>
        </w:rPr>
        <w:t xml:space="preserve">, as demonstrated in a number of countries. (Table 4). These various policy mechanisms do not all target the same goal; </w:t>
      </w:r>
      <w:r w:rsidRPr="004F60A2">
        <w:rPr>
          <w:rStyle w:val="StyleUnderline"/>
          <w:rFonts w:cs="Arial"/>
        </w:rPr>
        <w:t>some provide blanket support for both international and domestic companies to manufacture locally, while others provide differential support to domestically owned wind turbine or components manufacturers. Most countries have employed a mix of the following policy tools.</w:t>
      </w:r>
    </w:p>
    <w:p w:rsidR="004F60A2" w:rsidRPr="004F60A2" w:rsidRDefault="004F60A2" w:rsidP="004F60A2"/>
    <w:p w:rsidR="004F60A2" w:rsidRPr="004F60A2" w:rsidRDefault="004F60A2" w:rsidP="004F60A2">
      <w:pPr>
        <w:pStyle w:val="Heading2"/>
        <w:rPr>
          <w:rFonts w:cs="Arial"/>
        </w:rPr>
      </w:pPr>
      <w:r w:rsidRPr="004F60A2">
        <w:rPr>
          <w:rFonts w:cs="Arial"/>
        </w:rPr>
        <w:lastRenderedPageBreak/>
        <w:t>AT – Privatization Bad</w:t>
      </w:r>
    </w:p>
    <w:p w:rsidR="004F60A2" w:rsidRPr="004F60A2" w:rsidRDefault="004F60A2" w:rsidP="004F60A2">
      <w:pPr>
        <w:pStyle w:val="Heading4"/>
        <w:rPr>
          <w:rFonts w:cs="Arial"/>
        </w:rPr>
      </w:pPr>
      <w:r w:rsidRPr="004F60A2">
        <w:rPr>
          <w:rFonts w:cs="Arial"/>
        </w:rPr>
        <w:t>Privatization good- works in other countries.</w:t>
      </w:r>
    </w:p>
    <w:p w:rsidR="004F60A2" w:rsidRPr="004F60A2" w:rsidRDefault="004F60A2" w:rsidP="004F60A2">
      <w:pPr>
        <w:rPr>
          <w:rStyle w:val="Style13ptBold"/>
          <w:b w:val="0"/>
          <w:sz w:val="16"/>
        </w:rPr>
      </w:pPr>
      <w:r w:rsidRPr="004F60A2">
        <w:rPr>
          <w:rStyle w:val="Style13ptBold"/>
        </w:rPr>
        <w:t xml:space="preserve">Liu and Chang 13- </w:t>
      </w:r>
      <w:r w:rsidRPr="004F60A2">
        <w:rPr>
          <w:rStyle w:val="Style13ptBold"/>
          <w:b w:val="0"/>
          <w:sz w:val="16"/>
        </w:rPr>
        <w:t xml:space="preserve">John Liu and Justine Chang, Ling Tung University and Chaoyang University of Technology, August 2013 [“Operating Performance of Public Banks in Taiwan after Privatization”] </w:t>
      </w:r>
      <w:hyperlink r:id="rId30" w:history="1">
        <w:r w:rsidRPr="004F60A2">
          <w:rPr>
            <w:rStyle w:val="Hyperlink"/>
            <w:sz w:val="16"/>
          </w:rPr>
          <w:t>http://ifrnd.org/Research%20Papers/424-433.pdf</w:t>
        </w:r>
      </w:hyperlink>
      <w:r w:rsidRPr="004F60A2">
        <w:rPr>
          <w:rStyle w:val="Style13ptBold"/>
          <w:b w:val="0"/>
          <w:sz w:val="16"/>
        </w:rPr>
        <w:t xml:space="preserve"> , Accessed through Emory Libraries  //MD</w:t>
      </w:r>
    </w:p>
    <w:p w:rsidR="004F60A2" w:rsidRPr="004F60A2" w:rsidRDefault="004F60A2" w:rsidP="004F60A2">
      <w:pPr>
        <w:rPr>
          <w:sz w:val="16"/>
        </w:rPr>
      </w:pPr>
      <w:r w:rsidRPr="004F60A2">
        <w:rPr>
          <w:sz w:val="16"/>
        </w:rPr>
        <w:t xml:space="preserve">Foreign banks usually are more flexible than domestic banks in operating range and products development. In addition to general business and personal loans, foreign banks are leaders of innovation in consumptive credit cards and loans. </w:t>
      </w:r>
      <w:r w:rsidRPr="004F60A2">
        <w:rPr>
          <w:rStyle w:val="StyleUnderline"/>
        </w:rPr>
        <w:t>With their experience and advantage in conglomerate global assets management, the foreign banks' development and marketing in financial investment products and derivative investing instruments are all better than operating effects of domestic state-owned banks. Take example of overall earnings of Taiwan banks in 2005</w:t>
      </w:r>
      <w:r w:rsidRPr="004F60A2">
        <w:rPr>
          <w:sz w:val="16"/>
        </w:rPr>
        <w:t xml:space="preserve">, earnings of domestic banks were 78.641 billion NTD, while foreign banks achieved 20.083 billion NTD, which is 25.54% of the earnings of domestic banks. However, the total branches of foreign banks only constituted 2% of total banks in Taiwan. Thus, state-owned banks must face competition from foreign banks seriously. </w:t>
      </w:r>
      <w:r w:rsidRPr="004F60A2">
        <w:rPr>
          <w:rStyle w:val="StyleUnderline"/>
        </w:rPr>
        <w:t>The threat of foreign banks in operations also reflects that under competition of international financial environment, the importance of promoting privatization of state-owned banks to strengthen operating performance. To examine the developing condition in privatization of state- owned businesses in Taiwan</w:t>
      </w:r>
      <w:r w:rsidRPr="004F60A2">
        <w:rPr>
          <w:sz w:val="16"/>
        </w:rPr>
        <w:t xml:space="preserve"> (as shown in Table 1), </w:t>
      </w:r>
      <w:r w:rsidRPr="004F60A2">
        <w:rPr>
          <w:rStyle w:val="StyleUnderline"/>
        </w:rPr>
        <w:t>industry with the highest numbers and ratios of transfers to private business is banking industry, taking 21.4% of overall privatized industries</w:t>
      </w:r>
      <w:r w:rsidRPr="004F60A2">
        <w:rPr>
          <w:sz w:val="16"/>
        </w:rPr>
        <w:t xml:space="preserve">, (Wu, Sun, Hong, and Lee, 2004) </w:t>
      </w:r>
      <w:r w:rsidRPr="004F60A2">
        <w:rPr>
          <w:rStyle w:val="StyleUnderline"/>
        </w:rPr>
        <w:t>which</w:t>
      </w:r>
      <w:r w:rsidRPr="004F60A2">
        <w:rPr>
          <w:sz w:val="16"/>
        </w:rPr>
        <w:t xml:space="preserve"> </w:t>
      </w:r>
      <w:r w:rsidRPr="004F60A2">
        <w:rPr>
          <w:rStyle w:val="StyleUnderline"/>
        </w:rPr>
        <w:t>demonstrates the effects of state-owned banks in privatization and, at the same time, it also impacts development of economic environment in Taiwan.</w:t>
      </w:r>
      <w:r w:rsidRPr="004F60A2">
        <w:rPr>
          <w:sz w:val="16"/>
        </w:rPr>
        <w:t xml:space="preserve"> Because the effect and impact generated by banking industry is huge to national macro economy, whether the developing process of financial institutions privatization is good and sound should be the problem that the public must be concerned and explore. Therefore, to examine whether state-owned banks in Taiwan can effectively increase their operating performance and efficiency after privatization and compare the difference between state-owned banks alter privatization and foreign banks in operating efficiency are the main theme to be analyzed and explored further in this study. </w:t>
      </w:r>
    </w:p>
    <w:p w:rsidR="004F60A2" w:rsidRPr="004F60A2" w:rsidRDefault="004F60A2" w:rsidP="004F60A2"/>
    <w:p w:rsidR="004F60A2" w:rsidRPr="004F60A2" w:rsidRDefault="004F60A2" w:rsidP="004F60A2">
      <w:pPr>
        <w:pStyle w:val="Heading4"/>
        <w:rPr>
          <w:rFonts w:cs="Arial"/>
        </w:rPr>
      </w:pPr>
      <w:r w:rsidRPr="004F60A2">
        <w:rPr>
          <w:rFonts w:cs="Arial"/>
        </w:rPr>
        <w:t>Empirics prove – Privatization can solve for oceans.</w:t>
      </w:r>
    </w:p>
    <w:p w:rsidR="004F60A2" w:rsidRPr="004F60A2" w:rsidRDefault="004F60A2" w:rsidP="004F60A2">
      <w:pPr>
        <w:rPr>
          <w:rStyle w:val="Style13ptBold"/>
          <w:b w:val="0"/>
          <w:sz w:val="16"/>
        </w:rPr>
      </w:pPr>
      <w:r w:rsidRPr="004F60A2">
        <w:rPr>
          <w:rStyle w:val="Style13ptBold"/>
        </w:rPr>
        <w:t xml:space="preserve">Shivlani 14- </w:t>
      </w:r>
      <w:r w:rsidRPr="004F60A2">
        <w:rPr>
          <w:rStyle w:val="Style13ptBold"/>
          <w:b w:val="0"/>
          <w:sz w:val="16"/>
        </w:rPr>
        <w:t>Manoj Shivlani, senior research associate at the Division of Marine Biology and Fisheries and coordinator for the Center for Independent Experts (CIE), March 18</w:t>
      </w:r>
      <w:r w:rsidRPr="004F60A2">
        <w:rPr>
          <w:rStyle w:val="Style13ptBold"/>
          <w:b w:val="0"/>
          <w:sz w:val="16"/>
          <w:vertAlign w:val="superscript"/>
        </w:rPr>
        <w:t>th</w:t>
      </w:r>
      <w:r w:rsidRPr="004F60A2">
        <w:rPr>
          <w:rStyle w:val="Style13ptBold"/>
          <w:b w:val="0"/>
          <w:sz w:val="16"/>
        </w:rPr>
        <w:t xml:space="preserve"> 2014, [“The Impacts of Fisheries Management on the Performance and Resiliency of the Commercial Fishing Industry and Fishing Communities in the Florida Keys (Monroe County, Florida) from 1950-2010”] </w:t>
      </w:r>
      <w:hyperlink r:id="rId31" w:anchor="search=%22privatization%20CATO%20Oceans%22" w:history="1">
        <w:r w:rsidRPr="004F60A2">
          <w:rPr>
            <w:rStyle w:val="Hyperlink"/>
            <w:sz w:val="16"/>
          </w:rPr>
          <w:t>http://digitalcommons.fiu.edu/cgi/viewcontent.cgi?article=2286&amp;context=etd&amp;sei-redir=1&amp;referer=http%3A%2F%2Fscholar.google.com%2Fscholar%3Fas_ylo%3D2014%26q%3D%2522privatization%2522%2BAND%2B%2522CATO%2522%2BAND%2B%2522Oceans%2522%26hl%3Den%26as_sdt%3D0%2C11#search=%22privatization%20CATO%20Oceans%22</w:t>
        </w:r>
      </w:hyperlink>
      <w:r w:rsidRPr="004F60A2">
        <w:rPr>
          <w:rStyle w:val="Style13ptBold"/>
          <w:b w:val="0"/>
          <w:sz w:val="16"/>
        </w:rPr>
        <w:t xml:space="preserve"> //MD</w:t>
      </w:r>
    </w:p>
    <w:p w:rsidR="004F60A2" w:rsidRPr="004F60A2" w:rsidRDefault="004F60A2" w:rsidP="004F60A2">
      <w:pPr>
        <w:rPr>
          <w:sz w:val="16"/>
        </w:rPr>
      </w:pPr>
      <w:r w:rsidRPr="004F60A2">
        <w:rPr>
          <w:sz w:val="16"/>
        </w:rPr>
        <w:t xml:space="preserve">The fishing communities that I evaluate in the dissertation are located in the Florida Keys, an archipelago that extends off the southeastern tip of south Florida in a southwesterly direction to Key West (Key West is the westernmost of the Florida Keys that has a permanent, resident population, but the Florida Keys extend in a discontinuous manner to the Dry Tortugas, a group of islands located 108 kilometers west of Key West). </w:t>
      </w:r>
      <w:r w:rsidRPr="004F60A2">
        <w:rPr>
          <w:rStyle w:val="StyleUnderline"/>
        </w:rPr>
        <w:t xml:space="preserve">The Florida Keys fishing industry and its communities are spread across a large, heterogeneous set of islands, comprise of a diversity of fin fish and invertebrate fisheries, and are rich in fishing history and tradition. These factors make the Florida Keys as a region an excellent case study through which to examine the larger questions on technocratic management and its impacts, including the effects on the social dimensions of fisheries, and the long-term changes in fishery participation, effort, and landings. By using a variety of existing literature, extensive research experience, and an eclectic set of biophysical, biological, and socioeconomic databases, the dissertation weaves a narrative counter to the conventional one. </w:t>
      </w:r>
      <w:r w:rsidRPr="004F60A2">
        <w:rPr>
          <w:sz w:val="16"/>
        </w:rPr>
        <w:t xml:space="preserve">It explains why the Florida Keys’ fishing industry and fishing communities initially flourished but then later fragmented and faded over the past two decades. I use the Florida Keys spiny lobster fishery as a case study to evaluate the effects of technocratic management in the fishery and to draw lessons for improving the management focus. </w:t>
      </w:r>
      <w:r w:rsidRPr="004F60A2">
        <w:rPr>
          <w:rStyle w:val="StyleUnderline"/>
        </w:rPr>
        <w:t>The lobster fishery is one of the archipelago’s oldest and most lucrative fisheries and has been subject to a privatization scheme since the early 1990s. This fishery best exemplifies how technocratic management, implemented to improve economic efficiency and reduce overcapacity, ignored the social dimensions of the fishery, resulting in a long-term decline in participation and deterioration of fishing communities and social networks.</w:t>
      </w:r>
      <w:r w:rsidRPr="004F60A2">
        <w:rPr>
          <w:sz w:val="16"/>
        </w:rPr>
        <w:t xml:space="preserve"> </w:t>
      </w:r>
      <w:r w:rsidRPr="004F60A2">
        <w:rPr>
          <w:sz w:val="16"/>
        </w:rPr>
        <w:cr/>
      </w:r>
    </w:p>
    <w:p w:rsidR="004F60A2" w:rsidRPr="004F60A2" w:rsidRDefault="004F60A2" w:rsidP="004F60A2"/>
    <w:p w:rsidR="004F60A2" w:rsidRPr="004F60A2" w:rsidRDefault="004F60A2" w:rsidP="004F60A2">
      <w:pPr>
        <w:pStyle w:val="Heading2"/>
        <w:rPr>
          <w:rFonts w:cs="Arial"/>
        </w:rPr>
      </w:pPr>
      <w:r w:rsidRPr="004F60A2">
        <w:rPr>
          <w:rFonts w:cs="Arial"/>
        </w:rPr>
        <w:lastRenderedPageBreak/>
        <w:t>AT – Exploration Links to NB</w:t>
      </w:r>
    </w:p>
    <w:p w:rsidR="004F60A2" w:rsidRPr="004F60A2" w:rsidRDefault="004F60A2" w:rsidP="004F60A2"/>
    <w:p w:rsidR="004F60A2" w:rsidRPr="004F60A2" w:rsidRDefault="004F60A2" w:rsidP="004F60A2">
      <w:pPr>
        <w:pStyle w:val="Heading4"/>
        <w:rPr>
          <w:rFonts w:cs="Arial"/>
        </w:rPr>
      </w:pPr>
      <w:r w:rsidRPr="004F60A2">
        <w:rPr>
          <w:rFonts w:cs="Arial"/>
        </w:rPr>
        <w:t>Contracting solves and avoids politics</w:t>
      </w:r>
    </w:p>
    <w:p w:rsidR="004F60A2" w:rsidRPr="004F60A2" w:rsidRDefault="004F60A2" w:rsidP="004F60A2">
      <w:pPr>
        <w:rPr>
          <w:rStyle w:val="Style13ptBold"/>
          <w:b w:val="0"/>
          <w:sz w:val="16"/>
        </w:rPr>
      </w:pPr>
      <w:r w:rsidRPr="004F60A2">
        <w:rPr>
          <w:rStyle w:val="Style13ptBold"/>
        </w:rPr>
        <w:t xml:space="preserve">Orcutt et al. 03, - </w:t>
      </w:r>
      <w:r w:rsidRPr="004F60A2">
        <w:rPr>
          <w:rStyle w:val="Style13ptBold"/>
          <w:b w:val="0"/>
          <w:sz w:val="16"/>
        </w:rPr>
        <w:t>(John Orcutt – Chair @ Scripps Institution of Oceanography, SHIRLEY A. POMPONI – Vice-Chair @ Harbor Branch Oceanographic Institution, TUNDI AGARDY – Sound Seas, GEORGE F. BASS – Texas A&amp;M University, EARL H. DOYLE – retired shell oil, TERRY GARCIA – National Geographic Society, BRUCE GILMAN – retired Sonsub Inc., SUSAN HUMPHRIS – Woods Hole Oceanographic Institution, PAULA KEENER-CHAVIS – College of Charleston, ISAO KOIKE – University of Tokyo, RICHARD LUTZ – Rutgers University, MARCIA MCNUTT – Monterey Bay Aquarium Research Institute, JOHN NORTON MOORE – University of Virginia School of Law, WALTER PITMAN III – Lamont-Doherty Earth Observatory, JÖRN THIEDE – Alfred Wegener Institute, VICTOR M. VICENTE-VIDAL LORANDI – Instituto Politecnico Nacional) (National Research Council - is the working arm of the United States National Academies, which produces reports that shape policies, inform public opinion, and advance the pursuit of science, engineering, and medicine) [Exploration of the Seas Voyage Into The Unknown] (</w:t>
      </w:r>
      <w:hyperlink r:id="rId32" w:history="1">
        <w:r w:rsidRPr="004F60A2">
          <w:rPr>
            <w:rStyle w:val="Hyperlink"/>
            <w:sz w:val="16"/>
          </w:rPr>
          <w:t>http://explore.noaa.gov/sites/OER/Documents/national-research-council-voyage.pdf</w:t>
        </w:r>
      </w:hyperlink>
      <w:r w:rsidRPr="004F60A2">
        <w:rPr>
          <w:rStyle w:val="Style13ptBold"/>
          <w:b w:val="0"/>
          <w:sz w:val="16"/>
        </w:rPr>
        <w:t>) (pg.88) //MC</w:t>
      </w:r>
    </w:p>
    <w:p w:rsidR="004F60A2" w:rsidRPr="004F60A2" w:rsidRDefault="004F60A2" w:rsidP="004F60A2">
      <w:pPr>
        <w:rPr>
          <w:sz w:val="16"/>
        </w:rPr>
      </w:pPr>
      <w:r w:rsidRPr="004F60A2">
        <w:rPr>
          <w:rStyle w:val="StyleUnderline"/>
        </w:rPr>
        <w:t>An ocean exploration program could be managed</w:t>
      </w:r>
      <w:r w:rsidRPr="004F60A2">
        <w:rPr>
          <w:sz w:val="16"/>
        </w:rPr>
        <w:t xml:space="preserve"> within the sponsoring agency or </w:t>
      </w:r>
      <w:r w:rsidRPr="004F60A2">
        <w:rPr>
          <w:rStyle w:val="StyleUnderline"/>
        </w:rPr>
        <w:t>through a contract to an independent entity</w:t>
      </w:r>
      <w:r w:rsidRPr="004F60A2">
        <w:rPr>
          <w:sz w:val="16"/>
        </w:rPr>
        <w:t xml:space="preserve">. In the past, </w:t>
      </w:r>
      <w:r w:rsidRPr="004F60A2">
        <w:rPr>
          <w:rStyle w:val="StyleUnderline"/>
        </w:rPr>
        <w:t>it was common for major programs to be managed from within the sponsoring agency, even at NSF</w:t>
      </w:r>
      <w:r w:rsidRPr="004F60A2">
        <w:rPr>
          <w:sz w:val="16"/>
        </w:rPr>
        <w:t xml:space="preserve">, which maintains a lean administrative structure and no in-house research or facilities. The advantages of retaining the management for major programs within the sponsoring agency are that </w:t>
      </w:r>
      <w:r w:rsidRPr="004F60A2">
        <w:rPr>
          <w:rStyle w:val="StyleUnderline"/>
        </w:rPr>
        <w:t>the agency retains ownership of the program, connections to other internal agency programs are tight, and those within the agency who have nurtured the program are rewarded by assuming leadership</w:t>
      </w:r>
      <w:r w:rsidRPr="004F60A2">
        <w:rPr>
          <w:sz w:val="16"/>
        </w:rPr>
        <w:t xml:space="preserve">. In fact, this is the route that NOAA has adopted for its current ocean exploration program. </w:t>
      </w:r>
    </w:p>
    <w:p w:rsidR="004F60A2" w:rsidRPr="004F60A2" w:rsidRDefault="004F60A2" w:rsidP="004F60A2">
      <w:pPr>
        <w:rPr>
          <w:sz w:val="16"/>
        </w:rPr>
      </w:pPr>
      <w:r w:rsidRPr="004F60A2">
        <w:rPr>
          <w:sz w:val="16"/>
        </w:rPr>
        <w:t xml:space="preserve">In recent years, </w:t>
      </w:r>
      <w:r w:rsidRPr="004F60A2">
        <w:rPr>
          <w:rStyle w:val="StyleUnderline"/>
        </w:rPr>
        <w:t>agencies are increasingly turning to nongovernmental groups to take on the day-to-day operations of large programs</w:t>
      </w:r>
      <w:r w:rsidRPr="004F60A2">
        <w:rPr>
          <w:sz w:val="16"/>
        </w:rPr>
        <w:t xml:space="preserve">. The advantages of this approach are several. First, </w:t>
      </w:r>
      <w:r w:rsidRPr="004F60A2">
        <w:rPr>
          <w:rStyle w:val="StyleUnderline"/>
        </w:rPr>
        <w:t>the process of competitive bidding for the management of the program leads to creativity in program design, cost savings, and incentives for excellent performance.</w:t>
      </w:r>
      <w:r w:rsidRPr="004F60A2">
        <w:rPr>
          <w:sz w:val="16"/>
        </w:rPr>
        <w:t xml:space="preserve"> Second, as programs build up and close down, </w:t>
      </w:r>
      <w:r w:rsidRPr="004F60A2">
        <w:rPr>
          <w:rStyle w:val="StyleUnderline"/>
        </w:rPr>
        <w:t>there is no need to accommodate the personnel requirements through agency headcount</w:t>
      </w:r>
      <w:r w:rsidRPr="004F60A2">
        <w:rPr>
          <w:sz w:val="16"/>
        </w:rPr>
        <w:t xml:space="preserve">. NSF chose the independent contractor route in selecting the Joint Oceanographic Institutions (JOI) (Box 5.2) to run ODP (Box 4.1), and has recently issued a request for proposals for management of the Ocean Obselving Initiative. NASA will be selecting an independent contractor to manage the International Space Station (ISS) (Box 5.3). </w:t>
      </w:r>
    </w:p>
    <w:p w:rsidR="004F60A2" w:rsidRPr="004F60A2" w:rsidRDefault="004F60A2" w:rsidP="004F60A2">
      <w:pPr>
        <w:rPr>
          <w:sz w:val="16"/>
        </w:rPr>
      </w:pPr>
      <w:r w:rsidRPr="004F60A2">
        <w:rPr>
          <w:rStyle w:val="StyleUnderline"/>
        </w:rPr>
        <w:t>The advantages of an external contractor are potentially even greater for an ocean exploration program</w:t>
      </w:r>
      <w:r w:rsidRPr="004F60A2">
        <w:rPr>
          <w:sz w:val="16"/>
        </w:rPr>
        <w:t xml:space="preserve">. For example, if NOPP were to lead the effort, management by an independent contractor </w:t>
      </w:r>
      <w:r w:rsidRPr="004F60A2">
        <w:rPr>
          <w:rStyle w:val="StyleUnderline"/>
        </w:rPr>
        <w:t>would provide a neutral third party to balance the interests of the various agency partners and accept contributions from a variety of public and private sources.</w:t>
      </w:r>
      <w:r w:rsidRPr="004F60A2">
        <w:rPr>
          <w:sz w:val="16"/>
        </w:rPr>
        <w:t xml:space="preserve"> If NOAA were to lead the program, management by an external group could mitigate some of the perceived inadequacies in the present, internal-NOAA program. For example, </w:t>
      </w:r>
      <w:r w:rsidRPr="004F60A2">
        <w:rPr>
          <w:rStyle w:val="StyleUnderline"/>
        </w:rPr>
        <w:t xml:space="preserve">the program would be an "arm's length" away from the pressures of the agency mission and subjected to regular external review. </w:t>
      </w:r>
      <w:r w:rsidRPr="004F60A2">
        <w:rPr>
          <w:sz w:val="16"/>
        </w:rPr>
        <w:t xml:space="preserve">Depending on the choice of the external managing organization, grant processing, priority-setting, </w:t>
      </w:r>
      <w:r w:rsidRPr="004F60A2">
        <w:rPr>
          <w:rStyle w:val="StyleUnderline"/>
        </w:rPr>
        <w:t>connection to the external community</w:t>
      </w:r>
      <w:r w:rsidRPr="004F60A2">
        <w:rPr>
          <w:sz w:val="16"/>
        </w:rPr>
        <w:t xml:space="preserve">, </w:t>
      </w:r>
      <w:r w:rsidRPr="004F60A2">
        <w:rPr>
          <w:rStyle w:val="StyleUnderline"/>
        </w:rPr>
        <w:t>and transparency of decision making could be improved</w:t>
      </w:r>
      <w:r w:rsidRPr="004F60A2">
        <w:rPr>
          <w:sz w:val="16"/>
        </w:rPr>
        <w:t xml:space="preserve">. If NSF were asked to lead the pro- gram, the agency would almost surely choose this route rather than build internally the infrastructure to manage the exploration-specific assets and data system. </w:t>
      </w:r>
    </w:p>
    <w:p w:rsidR="004F60A2" w:rsidRPr="004F60A2" w:rsidRDefault="004F60A2" w:rsidP="004F60A2"/>
    <w:p w:rsidR="004F60A2" w:rsidRPr="004F60A2" w:rsidRDefault="004F60A2" w:rsidP="004F60A2">
      <w:pPr>
        <w:pStyle w:val="Heading2"/>
        <w:rPr>
          <w:rFonts w:cs="Arial"/>
        </w:rPr>
      </w:pPr>
      <w:r w:rsidRPr="004F60A2">
        <w:rPr>
          <w:rFonts w:cs="Arial"/>
        </w:rPr>
        <w:lastRenderedPageBreak/>
        <w:t>AT – OSW Links to NB</w:t>
      </w:r>
    </w:p>
    <w:p w:rsidR="004F60A2" w:rsidRPr="004F60A2" w:rsidRDefault="004F60A2" w:rsidP="004F60A2">
      <w:pPr>
        <w:pStyle w:val="Heading4"/>
        <w:rPr>
          <w:rFonts w:cs="Arial"/>
        </w:rPr>
      </w:pPr>
      <w:r w:rsidRPr="004F60A2">
        <w:rPr>
          <w:rFonts w:cs="Arial"/>
        </w:rPr>
        <w:t>States avoid politics</w:t>
      </w:r>
    </w:p>
    <w:p w:rsidR="004F60A2" w:rsidRPr="004F60A2" w:rsidRDefault="004F60A2" w:rsidP="004F60A2">
      <w:r w:rsidRPr="004F60A2">
        <w:rPr>
          <w:rStyle w:val="Style13ptBold"/>
        </w:rPr>
        <w:t xml:space="preserve">Rabe 7 -  </w:t>
      </w:r>
      <w:r w:rsidRPr="004F60A2">
        <w:t>Prof of Public Policy-Ford School at Michigan (“Beyond Kyoto: Climate Change Policy in Multilevel Governance Systems,” Governance, Vol. 20, Issue 3, July)</w:t>
      </w:r>
    </w:p>
    <w:p w:rsidR="004F60A2" w:rsidRPr="004F60A2" w:rsidRDefault="004F60A2" w:rsidP="004F60A2">
      <w:pPr>
        <w:rPr>
          <w:sz w:val="16"/>
        </w:rPr>
      </w:pPr>
      <w:r w:rsidRPr="004F60A2">
        <w:rPr>
          <w:b/>
          <w:u w:val="single"/>
        </w:rPr>
        <w:t>Those more active states include many that have conventionally been among the most innovative in environmental and energy policy</w:t>
      </w:r>
      <w:r w:rsidRPr="004F60A2">
        <w:rPr>
          <w:sz w:val="16"/>
        </w:rPr>
        <w:t xml:space="preserve">, particularly those lodged along the respective national coasts, but they increasingly include a diverse set from other regions such as the Southwest and Midwest (Rabe 2006). </w:t>
      </w:r>
      <w:r w:rsidRPr="004F60A2">
        <w:rPr>
          <w:b/>
          <w:u w:val="single"/>
        </w:rPr>
        <w:t>Most of the initiatives have been enacted with minimal partisan rancor and have not been dominated by a single political party. Most of these also appear quite capable of enduring once partisan control of a state government,</w:t>
      </w:r>
      <w:r w:rsidRPr="004F60A2">
        <w:rPr>
          <w:sz w:val="16"/>
        </w:rPr>
        <w:t xml:space="preserve"> including the governorship, </w:t>
      </w:r>
      <w:r w:rsidRPr="004F60A2">
        <w:rPr>
          <w:b/>
          <w:u w:val="single"/>
        </w:rPr>
        <w:t>changes hands</w:t>
      </w:r>
      <w:r w:rsidRPr="004F60A2">
        <w:rPr>
          <w:b/>
          <w:sz w:val="16"/>
        </w:rPr>
        <w:t xml:space="preserve">, </w:t>
      </w:r>
      <w:r w:rsidRPr="004F60A2">
        <w:rPr>
          <w:b/>
          <w:u w:val="single"/>
        </w:rPr>
        <w:t>and have not proven very controversial to enact or implement</w:t>
      </w:r>
      <w:r w:rsidRPr="004F60A2">
        <w:rPr>
          <w:sz w:val="16"/>
        </w:rPr>
        <w:t>. Clearly, state agencies have played a central role in policy development, building coalitions rather quietly around policies that are tailored around relatively inexpensive reduction opportunities. This is entirely consistent with a pattern of “bureaucratic autonomy” and agency-based entrepreneurship that has been established in other American policy contexts (Carpenter 2001; Mintrom 2002).</w:t>
      </w:r>
    </w:p>
    <w:p w:rsidR="004F60A2" w:rsidRPr="004F60A2" w:rsidRDefault="004F60A2" w:rsidP="004F60A2">
      <w:pPr>
        <w:rPr>
          <w:sz w:val="16"/>
        </w:rPr>
      </w:pPr>
      <w:r w:rsidRPr="004F60A2">
        <w:rPr>
          <w:sz w:val="16"/>
        </w:rPr>
        <w:t>These steps have often been linked to early signs of climate change as manifest in a particular state, thereby framed as a response to a specific environmental problem facing the state</w:t>
      </w:r>
      <w:r w:rsidRPr="004F60A2">
        <w:rPr>
          <w:b/>
          <w:u w:val="single"/>
        </w:rPr>
        <w:t>. A further source of bipartisan appeal for these initiatives has been the promise of multiple benefits,</w:t>
      </w:r>
      <w:r w:rsidRPr="004F60A2">
        <w:rPr>
          <w:sz w:val="16"/>
        </w:rPr>
        <w:t xml:space="preserve"> whereby agency advocates demonstrate the potential of a program not only to reduce greenhouse gases but also to achieve other goals, such as reduction of conventional air pollutants, reduced reliance on imported fossil fuels, and longer term regulatory predictability to electrical utilities and other regulated entities, as well as economic development opportunities (Rabe 2004). Hence, </w:t>
      </w:r>
      <w:r w:rsidRPr="004F60A2">
        <w:rPr>
          <w:b/>
          <w:u w:val="single"/>
        </w:rPr>
        <w:t>a considerable part of the appeal of state-based climate policy initiatives has been the simultaneous pursuit of environmental protection and potential contribution to economic growth or stability</w:t>
      </w:r>
      <w:r w:rsidRPr="004F60A2">
        <w:rPr>
          <w:sz w:val="16"/>
        </w:rPr>
        <w:t xml:space="preserve">. Indeed, much of this comports with Eugene Bardach's definition of smart practice: “What makes a practice smart is that the method also involves taking advantage of some latent opportunity for creating value on the cheap” (Bardach 1998, 36). In contrast, climate policy initiatives, whether or not they meet the definition of smart practices, are simply much harder to find at the Canadian provincial level. Only one of the 10 provinces, Manitoba, begins to approach the 15 most active American states in terms of the breadth and rigor of its greenhouse gas reduction strategy. Instead, most provinces remain focused on preliminary study of the issue and consideration of alternative policies that might be established at some future point. Among the three or four more active provinces, climate policy is almost exclusively confined to nonbinding “goals” and voluntary efforts. Any regulatory provisions, or exact rules to guide reduction, are focused narrowly on provincially funded activity, such as a mandate in Alberta to purchase a set of hybrid vehicles for government use. Fifteen years after Rio and nearly a decade after the signing of Kyoto, it remains very difficult to discern much of a pulse on serious climate policy development in most provinces, quite contrary to the experience of a growing and diverse set of American states. American state engagement on climate policy may be every bit as surprising as Canadian provincial disengagement. Given conventional depictions of the United States as a North American climate policy laggard and Canada as a devoted adherent to Kyoto, why are so many—and such diverse—states apparently taking the lead in devising policies to reduce greenhouse gases? Why do the American states offer an increasingly large and robust set of policy initiatives where there is no evidence of a comparable trend in Canada? Subsequent discussion will explore three distinct factors that emerged through the comparative case analysis to explain this variability. Differing Intergovernmental Context The divergent paths of the respective federal governments on Kyoto served to create very distinct contexts for states and provinces to consider their own policy development options. These differing contexts were clearly unintended by-products of the very different ways in which the debate over Kyoto, involving both those steps leading toward final negotiations and consideration of possible ratification, played out in Washington and Ottawa. In turn, they illustrate the very differing roles that subnational units—states and provinces—played in these processes, with attendant impacts on their own involvement in climate policy development. </w:t>
      </w:r>
      <w:r w:rsidRPr="004F60A2">
        <w:rPr>
          <w:b/>
          <w:u w:val="single"/>
        </w:rPr>
        <w:t xml:space="preserve">A hallmark of the American federal government </w:t>
      </w:r>
      <w:r w:rsidRPr="004F60A2">
        <w:rPr>
          <w:sz w:val="16"/>
        </w:rPr>
        <w:t xml:space="preserve">through the two Clinton administrations and the second Bush presidency </w:t>
      </w:r>
      <w:r w:rsidRPr="004F60A2">
        <w:rPr>
          <w:b/>
          <w:u w:val="single"/>
        </w:rPr>
        <w:t>has been a consistent inability to reach agreement on legislation related to</w:t>
      </w:r>
      <w:r w:rsidRPr="004F60A2">
        <w:rPr>
          <w:sz w:val="16"/>
        </w:rPr>
        <w:t xml:space="preserve"> environmental protection, </w:t>
      </w:r>
      <w:r w:rsidRPr="004F60A2">
        <w:rPr>
          <w:b/>
          <w:u w:val="single"/>
        </w:rPr>
        <w:t>energy,</w:t>
      </w:r>
      <w:r w:rsidRPr="004F60A2">
        <w:rPr>
          <w:sz w:val="16"/>
        </w:rPr>
        <w:t xml:space="preserve"> and other areas vitally important to climate change. During this period, </w:t>
      </w:r>
      <w:r w:rsidRPr="004F60A2">
        <w:rPr>
          <w:b/>
          <w:u w:val="single"/>
        </w:rPr>
        <w:t>every possible partisan configuration within the American two-party system has existed for at least some period of time and yet a consistent outcome has been lack of domestic policy consensus,</w:t>
      </w:r>
      <w:r w:rsidRPr="004F60A2">
        <w:rPr>
          <w:sz w:val="16"/>
        </w:rPr>
        <w:t xml:space="preserve"> even in terms of needed updating of established legislation such as air quality (Binder 2003). This divide is equally evident in the international climate realm, as the Clinton administration agreed to Kyoto in December 1997 even though a number of its key provisions directly contradicted a Senate resolution that passed by a 95–0 vote six months earlier. A few states sent representatives to Kyoto and earlier rounds of negotiation but they were not formally consulted either in developing the treaty or in examining ways in which the Senate might be persuaded to ratify it. Instead, Kyoto was widely recognized through the remaining three years of the Clinton administration as doomed politically, so much so that the administration never submitted it to the Senate for ratification nor actively developed a strategy seeking ratification. In many respects, the 2001 actions by the Bush administration were anticlimactic and neither the 2000 nor 2004 Democratic presidential nominees offered any blueprint for jump-starting Kyoto. In many respects, Kyoto was politically “dead on arrival” but nonetheless attracted tremendous division and controversy in Washington during subsequent years. As states </w:t>
      </w:r>
      <w:r w:rsidRPr="004F60A2">
        <w:rPr>
          <w:sz w:val="16"/>
        </w:rPr>
        <w:lastRenderedPageBreak/>
        <w:t xml:space="preserve">were essentially excluded from this process, they had a relatively quiet decade in which to think about climate change, in terms of both how it might affect them in distinct ways and how they might fashion their own policies to reduce greenhouse gases and simultaneously promote economic development. In some instances, states have clearly responded to a perception that climate change poses serious threats to their residents—such as sea-level rise in coastal states and severe droughts in agricultural states—and that there is a significant environmental need to craft responsive policies as soon as possible. But these responses have also been coupled with efforts to design policy that “fits” the economic and political realities of a particular state. These are intended to minimize any economic disruptions that might occur during implementation and to take maximum advantage of economic development opportunities that may stem from early action on climate change. What has been missing in these state policy processes is the kind of anguished, often moralistic, rhetoric that has polarized national debate and made any semblance of consensus at that level so elusive. Instead, </w:t>
      </w:r>
      <w:r w:rsidRPr="004F60A2">
        <w:rPr>
          <w:b/>
          <w:u w:val="single"/>
        </w:rPr>
        <w:t>state policy deliberations over climate</w:t>
      </w:r>
      <w:r w:rsidRPr="004F60A2">
        <w:rPr>
          <w:sz w:val="16"/>
        </w:rPr>
        <w:t xml:space="preserve"> change </w:t>
      </w:r>
      <w:r w:rsidRPr="004F60A2">
        <w:rPr>
          <w:b/>
          <w:u w:val="single"/>
        </w:rPr>
        <w:t>have benefited from a</w:t>
      </w:r>
      <w:r w:rsidRPr="004F60A2">
        <w:rPr>
          <w:sz w:val="16"/>
        </w:rPr>
        <w:t xml:space="preserve"> kind of </w:t>
      </w:r>
      <w:r w:rsidRPr="004F60A2">
        <w:rPr>
          <w:b/>
          <w:u w:val="single"/>
        </w:rPr>
        <w:t>“</w:t>
      </w:r>
      <w:r w:rsidRPr="004F60A2">
        <w:rPr>
          <w:b/>
          <w:u w:val="single"/>
          <w:bdr w:val="single" w:sz="4" w:space="0" w:color="auto"/>
        </w:rPr>
        <w:t>political cover”</w:t>
      </w:r>
      <w:r w:rsidRPr="004F60A2">
        <w:rPr>
          <w:sz w:val="16"/>
        </w:rPr>
        <w:t xml:space="preserve"> </w:t>
      </w:r>
      <w:r w:rsidRPr="004F60A2">
        <w:rPr>
          <w:b/>
          <w:u w:val="single"/>
        </w:rPr>
        <w:t>provided by the widely held presumption that states lacked the incentives</w:t>
      </w:r>
      <w:r w:rsidRPr="004F60A2">
        <w:rPr>
          <w:sz w:val="16"/>
        </w:rPr>
        <w:t xml:space="preserve">, resources, or authority necessary </w:t>
      </w:r>
      <w:r w:rsidRPr="004F60A2">
        <w:rPr>
          <w:b/>
          <w:u w:val="single"/>
        </w:rPr>
        <w:t>to play any serious role</w:t>
      </w:r>
      <w:r w:rsidRPr="004F60A2">
        <w:rPr>
          <w:sz w:val="16"/>
        </w:rPr>
        <w:t xml:space="preserve">. Many states used this extended period to reflect seriously about the issue of climate change and how they might begin to respond to it. Many began with symbolic initiatives and analytical exercises, gradually moving toward </w:t>
      </w:r>
      <w:r w:rsidRPr="004F60A2">
        <w:rPr>
          <w:b/>
          <w:u w:val="single"/>
        </w:rPr>
        <w:t>policy</w:t>
      </w:r>
      <w:r w:rsidRPr="004F60A2">
        <w:rPr>
          <w:sz w:val="16"/>
        </w:rPr>
        <w:t xml:space="preserve"> development as ideas converged and opportunities arose. At various points, these </w:t>
      </w:r>
      <w:r w:rsidRPr="004F60A2">
        <w:rPr>
          <w:b/>
          <w:u w:val="single"/>
        </w:rPr>
        <w:t xml:space="preserve">efforts </w:t>
      </w:r>
      <w:r w:rsidRPr="004F60A2">
        <w:rPr>
          <w:sz w:val="16"/>
        </w:rPr>
        <w:t xml:space="preserve">took institutional form, such as creation of a cross-agency task force or designation of a unit with a lead role in policy development. All of this </w:t>
      </w:r>
      <w:r w:rsidRPr="004F60A2">
        <w:rPr>
          <w:b/>
          <w:u w:val="single"/>
        </w:rPr>
        <w:t>continued apace, receiving surprisingly little attention from</w:t>
      </w:r>
      <w:r w:rsidRPr="004F60A2">
        <w:rPr>
          <w:sz w:val="16"/>
        </w:rPr>
        <w:t xml:space="preserve"> environmental groups, </w:t>
      </w:r>
      <w:r w:rsidRPr="004F60A2">
        <w:rPr>
          <w:b/>
          <w:u w:val="single"/>
        </w:rPr>
        <w:t>the media, or federal policymakers</w:t>
      </w:r>
      <w:r w:rsidRPr="004F60A2">
        <w:rPr>
          <w:sz w:val="16"/>
        </w:rPr>
        <w:t>, while the latter continued to dominate public attention by thrashing over the details of Kyoto and its aftermath. This served to give state officials considerable time to contemplate climate policy options, including the forging of policies that made considerable political, economic, and environmental sense for them to pursue unilaterally, with the reasonable expectation that no federal action of any consequence was in the offing.</w:t>
      </w:r>
    </w:p>
    <w:p w:rsidR="004F60A2" w:rsidRPr="004F60A2" w:rsidRDefault="004F60A2" w:rsidP="004F60A2"/>
    <w:p w:rsidR="004F60A2" w:rsidRPr="004F60A2" w:rsidRDefault="004F60A2" w:rsidP="004F60A2"/>
    <w:p w:rsidR="004F60A2" w:rsidRPr="004F60A2" w:rsidRDefault="004F60A2" w:rsidP="004F60A2">
      <w:pPr>
        <w:pStyle w:val="Heading2"/>
        <w:rPr>
          <w:rFonts w:cs="Arial"/>
        </w:rPr>
      </w:pPr>
      <w:r w:rsidRPr="004F60A2">
        <w:rPr>
          <w:rFonts w:cs="Arial"/>
        </w:rPr>
        <w:lastRenderedPageBreak/>
        <w:t>AT – Perm Exploration</w:t>
      </w:r>
    </w:p>
    <w:p w:rsidR="004F60A2" w:rsidRPr="004F60A2" w:rsidRDefault="004F60A2" w:rsidP="004F60A2">
      <w:pPr>
        <w:pStyle w:val="Heading4"/>
        <w:rPr>
          <w:rFonts w:cs="Arial"/>
        </w:rPr>
      </w:pPr>
      <w:r w:rsidRPr="004F60A2">
        <w:rPr>
          <w:rFonts w:cs="Arial"/>
        </w:rPr>
        <w:t>Ocean exploration funding unpopular</w:t>
      </w:r>
    </w:p>
    <w:p w:rsidR="004F60A2" w:rsidRPr="004F60A2" w:rsidRDefault="004F60A2" w:rsidP="004F60A2">
      <w:r w:rsidRPr="004F60A2">
        <w:rPr>
          <w:rStyle w:val="Style13ptBold"/>
        </w:rPr>
        <w:t>Spross ’14</w:t>
      </w:r>
      <w:r w:rsidRPr="004F60A2">
        <w:t xml:space="preserve"> (Jeff Spross - Climate Progress) [Republican Bill Cuts Funding For Climate, Social, Economic Research By $160 Million], (</w:t>
      </w:r>
      <w:hyperlink r:id="rId33" w:history="1">
        <w:r w:rsidRPr="004F60A2">
          <w:rPr>
            <w:rStyle w:val="Hyperlink"/>
          </w:rPr>
          <w:t>http://thinkprogress.org/climate/2014/04/15/3426660/first-act-gop-science-cuts/</w:t>
        </w:r>
      </w:hyperlink>
      <w:r w:rsidRPr="004F60A2">
        <w:t>)</w:t>
      </w:r>
    </w:p>
    <w:p w:rsidR="004F60A2" w:rsidRPr="004F60A2" w:rsidRDefault="004F60A2" w:rsidP="004F60A2">
      <w:pPr>
        <w:spacing w:line="240" w:lineRule="auto"/>
        <w:rPr>
          <w:rStyle w:val="StyleUnderline"/>
          <w:b w:val="0"/>
          <w:sz w:val="16"/>
          <w:u w:val="none"/>
        </w:rPr>
      </w:pPr>
      <w:r w:rsidRPr="004F60A2">
        <w:rPr>
          <w:rStyle w:val="StyleUnderline"/>
        </w:rPr>
        <w:t xml:space="preserve">The House Republicans’ latest bill to reauthorize science research funding makes an aggressive effort to pick and choose what science to fund, </w:t>
      </w:r>
      <w:r w:rsidRPr="004F60A2">
        <w:rPr>
          <w:rStyle w:val="StyleUnderline"/>
          <w:b w:val="0"/>
          <w:sz w:val="16"/>
          <w:u w:val="none"/>
        </w:rPr>
        <w:t xml:space="preserve">the Boston Globe reports. </w:t>
      </w:r>
    </w:p>
    <w:p w:rsidR="004F60A2" w:rsidRPr="004F60A2" w:rsidRDefault="004F60A2" w:rsidP="004F60A2">
      <w:pPr>
        <w:spacing w:line="240" w:lineRule="auto"/>
        <w:rPr>
          <w:rStyle w:val="StyleUnderline"/>
        </w:rPr>
      </w:pPr>
      <w:r w:rsidRPr="004F60A2">
        <w:rPr>
          <w:rStyle w:val="StyleUnderline"/>
          <w:b w:val="0"/>
          <w:sz w:val="16"/>
          <w:u w:val="none"/>
        </w:rPr>
        <w:t xml:space="preserve">The GOP’s preferred version of the Frontiers in Innovation, Research, Science, and Technology Act of 2014 (otherwise known as the FIRST Act) would move about $160 million out of the social, behavioral, and economic sciences, cutting those areas by roughly 40 percent. </w:t>
      </w:r>
      <w:r w:rsidRPr="004F60A2">
        <w:rPr>
          <w:rStyle w:val="StyleUnderline"/>
        </w:rPr>
        <w:t xml:space="preserve">It would also shift money out of the geoscience areas that cover oceanic and climate studies. Democrats have managed to amend the bill to lessen the cuts to 26 percent. But even that would leave spending levels well below their previous path. </w:t>
      </w:r>
    </w:p>
    <w:p w:rsidR="004F60A2" w:rsidRPr="004F60A2" w:rsidRDefault="004F60A2" w:rsidP="004F60A2">
      <w:pPr>
        <w:spacing w:line="240" w:lineRule="auto"/>
        <w:rPr>
          <w:rStyle w:val="StyleUnderline"/>
        </w:rPr>
      </w:pPr>
      <w:r w:rsidRPr="004F60A2">
        <w:rPr>
          <w:rStyle w:val="StyleUnderline"/>
        </w:rPr>
        <w:t xml:space="preserve">“It’s the role of Congress to make sure we’re using limited federal funds for the highest priority research,” Rep. Lamar Smith (R-TX), the chairman of the House Science, Space and Technology Committee and the bill’s author, told the Globe. </w:t>
      </w:r>
    </w:p>
    <w:p w:rsidR="004F60A2" w:rsidRPr="004F60A2" w:rsidRDefault="004F60A2" w:rsidP="004F60A2">
      <w:pPr>
        <w:spacing w:line="240" w:lineRule="auto"/>
        <w:rPr>
          <w:sz w:val="16"/>
        </w:rPr>
      </w:pPr>
      <w:r w:rsidRPr="004F60A2">
        <w:rPr>
          <w:sz w:val="16"/>
        </w:rPr>
        <w:t xml:space="preserve">Specifically, the FIRST Act is a partial reauthorization of the COMPETES Act, which was first passed by Congress in 2007, and then again 2010, and has now expired. The COMPETES Act originally set funding for the National Science Foundation, the National Institute of Standards and Technology, and two offices with the Department of Energy, but the targets were always something of a suggestion — </w:t>
      </w:r>
      <w:r w:rsidRPr="004F60A2">
        <w:rPr>
          <w:rStyle w:val="StyleUnderline"/>
        </w:rPr>
        <w:t>thanks to sequestration and the general push for budget austerity over the last few years, the full funding called for by the COMPETES Act was never authorized by Congress.</w:t>
      </w:r>
      <w:r w:rsidRPr="004F60A2">
        <w:rPr>
          <w:sz w:val="16"/>
        </w:rPr>
        <w:t xml:space="preserve"> The FIRST Act would only cover funding for the National Science Foundation (NSF) and the National Institute of Standards and Technology, leaving the Department of Energy agencies to be tackled by separate legislation. </w:t>
      </w:r>
    </w:p>
    <w:p w:rsidR="004F60A2" w:rsidRPr="004F60A2" w:rsidRDefault="004F60A2" w:rsidP="004F60A2">
      <w:pPr>
        <w:spacing w:line="240" w:lineRule="auto"/>
        <w:rPr>
          <w:sz w:val="16"/>
        </w:rPr>
      </w:pPr>
      <w:r w:rsidRPr="004F60A2">
        <w:rPr>
          <w:sz w:val="16"/>
        </w:rPr>
        <w:t xml:space="preserve">According to the American Association for the Advancement of Science, the FIRST Act gets into the weeds of how the NSF apportions its funds — something Congress hasn’t done in years. The NSF is split into different directorates, each one covering a different area: Biological Sciences (BIO), Computer and Information Science and Engineering (CISE), Engineering (ENG), Geosciences (GEO), Mathematical and Physical Sciences (MPS), and Social, Behavioral &amp; Economic Sciences (SBE). The original version of the FIRST Act would’ve modestly cut GEO, which includes funding for ocean and atmospheric sciences. It would’ve cut SBE funding much more deeply. </w:t>
      </w:r>
    </w:p>
    <w:p w:rsidR="004F60A2" w:rsidRPr="004F60A2" w:rsidRDefault="004F60A2" w:rsidP="004F60A2">
      <w:pPr>
        <w:spacing w:line="240" w:lineRule="auto"/>
        <w:rPr>
          <w:sz w:val="16"/>
        </w:rPr>
      </w:pPr>
      <w:r w:rsidRPr="004F60A2">
        <w:rPr>
          <w:sz w:val="16"/>
        </w:rPr>
        <w:t xml:space="preserve">FIRST-NSF In mid-March, Democrats pushed through an amendment to scale back the SBE cut to half of what’s pictured above. </w:t>
      </w:r>
    </w:p>
    <w:p w:rsidR="004F60A2" w:rsidRPr="004F60A2" w:rsidRDefault="004F60A2" w:rsidP="004F60A2">
      <w:pPr>
        <w:spacing w:line="240" w:lineRule="auto"/>
        <w:rPr>
          <w:rStyle w:val="Emphasis"/>
        </w:rPr>
      </w:pPr>
      <w:r w:rsidRPr="004F60A2">
        <w:rPr>
          <w:rStyle w:val="StyleUnderline"/>
          <w:b w:val="0"/>
          <w:sz w:val="16"/>
          <w:u w:val="none"/>
        </w:rPr>
        <w:t>The FIRST Act would also require the NSF to publicly justify how each grant it awards would serve the national interest. Just what that would mean has changed as the bill has been revised. And</w:t>
      </w:r>
      <w:r w:rsidRPr="004F60A2">
        <w:rPr>
          <w:rStyle w:val="StyleUnderline"/>
          <w:sz w:val="16"/>
        </w:rPr>
        <w:t xml:space="preserve"> </w:t>
      </w:r>
      <w:r w:rsidRPr="004F60A2">
        <w:rPr>
          <w:rStyle w:val="Emphasis"/>
        </w:rPr>
        <w:t xml:space="preserve">anticipating ahead of time whether any particular research project will serve the “national interest,” however defined, is an inherently difficult business. </w:t>
      </w:r>
    </w:p>
    <w:p w:rsidR="004F60A2" w:rsidRPr="004F60A2" w:rsidRDefault="004F60A2" w:rsidP="004F60A2">
      <w:pPr>
        <w:spacing w:line="240" w:lineRule="auto"/>
        <w:rPr>
          <w:rStyle w:val="StyleUnderline"/>
        </w:rPr>
      </w:pPr>
      <w:r w:rsidRPr="004F60A2">
        <w:rPr>
          <w:rStyle w:val="StyleUnderline"/>
        </w:rPr>
        <w:t xml:space="preserve">Finally, the FIRST Act’s overall level of spending is so low it would not keep up with inflation, making it a cut in real and not just nominal terms. </w:t>
      </w:r>
    </w:p>
    <w:p w:rsidR="004F60A2" w:rsidRPr="004F60A2" w:rsidRDefault="004F60A2" w:rsidP="004F60A2">
      <w:pPr>
        <w:spacing w:line="240" w:lineRule="auto"/>
        <w:rPr>
          <w:rStyle w:val="StyleUnderline"/>
        </w:rPr>
      </w:pPr>
      <w:r w:rsidRPr="004F60A2">
        <w:rPr>
          <w:sz w:val="16"/>
        </w:rPr>
        <w:t xml:space="preserve">The bill will be up for a vote in Smith’s committee soon. And </w:t>
      </w:r>
      <w:r w:rsidRPr="004F60A2">
        <w:rPr>
          <w:rStyle w:val="StyleUnderline"/>
        </w:rPr>
        <w:t xml:space="preserve">even if it’s passed by the committee and the full Republican-controlled House, the FIRST Act would still have to survive the Democrat-controlled Senate. Nevertheless, it does offer a glimpse in Republicans’ thinking when it comes to where America’s scientific research should be going. </w:t>
      </w:r>
    </w:p>
    <w:p w:rsidR="004F60A2" w:rsidRPr="004F60A2" w:rsidRDefault="004F60A2" w:rsidP="004F60A2">
      <w:pPr>
        <w:spacing w:line="240" w:lineRule="auto"/>
        <w:rPr>
          <w:rStyle w:val="StyleUnderline"/>
        </w:rPr>
      </w:pPr>
      <w:r w:rsidRPr="004F60A2">
        <w:rPr>
          <w:sz w:val="16"/>
        </w:rPr>
        <w:t xml:space="preserve">“For a committee that is supposed to be advancing science, we seem to be doing an awfully good job of advancing selective science,” said Rep. Joseph P. Kennedy III (D-MA), who’s also on the committee. </w:t>
      </w:r>
      <w:r w:rsidRPr="004F60A2">
        <w:rPr>
          <w:rStyle w:val="StyleUnderline"/>
        </w:rPr>
        <w:t>He called the GOP bill an “</w:t>
      </w:r>
      <w:r w:rsidRPr="004F60A2">
        <w:rPr>
          <w:rStyle w:val="Emphasis"/>
        </w:rPr>
        <w:t>opportunistic approach to defunding or attacking certain areas of science</w:t>
      </w:r>
      <w:r w:rsidRPr="004F60A2">
        <w:rPr>
          <w:rStyle w:val="StyleUnderline"/>
        </w:rPr>
        <w:t xml:space="preserve"> that you either don’t agree with or that you don’t want to see what the results might actually be.”</w:t>
      </w:r>
    </w:p>
    <w:p w:rsidR="004F60A2" w:rsidRPr="004F60A2" w:rsidRDefault="004F60A2" w:rsidP="004F60A2"/>
    <w:p w:rsidR="004F60A2" w:rsidRPr="004F60A2" w:rsidRDefault="004F60A2" w:rsidP="004F60A2">
      <w:pPr>
        <w:pStyle w:val="Heading2"/>
        <w:rPr>
          <w:rFonts w:cs="Arial"/>
        </w:rPr>
      </w:pPr>
      <w:r w:rsidRPr="004F60A2">
        <w:rPr>
          <w:rFonts w:cs="Arial"/>
        </w:rPr>
        <w:lastRenderedPageBreak/>
        <w:t>AT – Perm OSW</w:t>
      </w:r>
    </w:p>
    <w:p w:rsidR="004F60A2" w:rsidRPr="004F60A2" w:rsidRDefault="004F60A2" w:rsidP="004F60A2">
      <w:pPr>
        <w:pStyle w:val="Heading4"/>
        <w:rPr>
          <w:rFonts w:cs="Arial"/>
        </w:rPr>
      </w:pPr>
      <w:r w:rsidRPr="004F60A2">
        <w:rPr>
          <w:rFonts w:cs="Arial"/>
        </w:rPr>
        <w:t>Permtuation wrecks free-market development – counter-plan alone solves best</w:t>
      </w:r>
    </w:p>
    <w:p w:rsidR="004F60A2" w:rsidRPr="004F60A2" w:rsidRDefault="004F60A2" w:rsidP="004F60A2">
      <w:pPr>
        <w:rPr>
          <w:rStyle w:val="Style13ptBold"/>
          <w:b w:val="0"/>
          <w:sz w:val="16"/>
        </w:rPr>
      </w:pPr>
      <w:r w:rsidRPr="004F60A2">
        <w:rPr>
          <w:rStyle w:val="Style13ptBold"/>
        </w:rPr>
        <w:t>Del Franco 13,</w:t>
      </w:r>
      <w:r w:rsidRPr="004F60A2">
        <w:rPr>
          <w:rStyle w:val="Style13ptBold"/>
          <w:b w:val="0"/>
        </w:rPr>
        <w:t xml:space="preserve"> </w:t>
      </w:r>
      <w:r w:rsidRPr="004F60A2">
        <w:rPr>
          <w:rStyle w:val="Style13ptBold"/>
          <w:b w:val="0"/>
          <w:sz w:val="16"/>
        </w:rPr>
        <w:t>(Mark Del Franco – reporter @ North American Wind Power) [two paths taken for producing Offshore Revenue] (</w:t>
      </w:r>
      <w:hyperlink r:id="rId34" w:history="1">
        <w:r w:rsidRPr="004F60A2">
          <w:rPr>
            <w:rStyle w:val="Hyperlink"/>
            <w:sz w:val="16"/>
          </w:rPr>
          <w:t>http://www.nawindpower.com/issues/NAW1309/FEAT_01_Two_Paths_Taken_For_Procuring_Offshore_Revenue.html)</w:t>
        </w:r>
      </w:hyperlink>
      <w:r w:rsidRPr="004F60A2">
        <w:rPr>
          <w:rStyle w:val="Style13ptBold"/>
          <w:b w:val="0"/>
          <w:bCs w:val="0"/>
          <w:sz w:val="16"/>
        </w:rPr>
        <w:t xml:space="preserve"> //MC</w:t>
      </w:r>
      <w:r w:rsidRPr="004F60A2">
        <w:rPr>
          <w:rStyle w:val="Style13ptBold"/>
          <w:b w:val="0"/>
          <w:sz w:val="16"/>
        </w:rPr>
        <w:t xml:space="preserve"> </w:t>
      </w:r>
    </w:p>
    <w:p w:rsidR="004F60A2" w:rsidRPr="004F60A2" w:rsidRDefault="004F60A2" w:rsidP="004F60A2">
      <w:pPr>
        <w:rPr>
          <w:rStyle w:val="StyleUnderline"/>
        </w:rPr>
      </w:pPr>
      <w:r w:rsidRPr="004F60A2">
        <w:rPr>
          <w:rStyle w:val="StyleUnderline"/>
        </w:rPr>
        <w:t>State-based models</w:t>
      </w:r>
    </w:p>
    <w:p w:rsidR="004F60A2" w:rsidRPr="004F60A2" w:rsidRDefault="004F60A2" w:rsidP="004F60A2">
      <w:pPr>
        <w:rPr>
          <w:sz w:val="16"/>
          <w:szCs w:val="16"/>
        </w:rPr>
      </w:pPr>
      <w:r w:rsidRPr="004F60A2">
        <w:rPr>
          <w:rStyle w:val="StyleUnderline"/>
        </w:rPr>
        <w:t>Deregulation</w:t>
      </w:r>
      <w:r w:rsidRPr="004F60A2">
        <w:rPr>
          <w:sz w:val="16"/>
          <w:szCs w:val="16"/>
        </w:rPr>
        <w:t xml:space="preserve"> has </w:t>
      </w:r>
      <w:r w:rsidRPr="004F60A2">
        <w:rPr>
          <w:rStyle w:val="StyleUnderline"/>
        </w:rPr>
        <w:t>prompted some states</w:t>
      </w:r>
      <w:r w:rsidRPr="004F60A2">
        <w:rPr>
          <w:sz w:val="16"/>
          <w:szCs w:val="16"/>
        </w:rPr>
        <w:t xml:space="preserve">, such as New Jersey and Maryland, </w:t>
      </w:r>
      <w:r w:rsidRPr="004F60A2">
        <w:rPr>
          <w:rStyle w:val="StyleUnderline"/>
        </w:rPr>
        <w:t>to come u</w:t>
      </w:r>
      <w:r w:rsidRPr="004F60A2">
        <w:rPr>
          <w:sz w:val="16"/>
          <w:szCs w:val="16"/>
        </w:rPr>
        <w:t xml:space="preserve">p with a state-based allocation system – through a mechanism </w:t>
      </w:r>
      <w:r w:rsidRPr="004F60A2">
        <w:rPr>
          <w:rStyle w:val="StyleUnderline"/>
        </w:rPr>
        <w:t>using offshore renewable energy certificates</w:t>
      </w:r>
      <w:r w:rsidRPr="004F60A2">
        <w:rPr>
          <w:sz w:val="16"/>
          <w:szCs w:val="16"/>
        </w:rPr>
        <w:t xml:space="preserve"> (ORECs) – </w:t>
      </w:r>
      <w:r w:rsidRPr="004F60A2">
        <w:rPr>
          <w:rStyle w:val="StyleUnderline"/>
        </w:rPr>
        <w:t>to spread the costs and benefits across all of the ratepayers in the state.</w:t>
      </w:r>
    </w:p>
    <w:p w:rsidR="004F60A2" w:rsidRPr="004F60A2" w:rsidRDefault="004F60A2" w:rsidP="004F60A2">
      <w:pPr>
        <w:rPr>
          <w:rStyle w:val="StyleUnderline"/>
        </w:rPr>
      </w:pPr>
      <w:r w:rsidRPr="004F60A2">
        <w:rPr>
          <w:sz w:val="16"/>
          <w:szCs w:val="16"/>
        </w:rPr>
        <w:t xml:space="preserve">For example, New Jersey’s Offshore Wind Economic Development Act, passed in August 2010, </w:t>
      </w:r>
      <w:r w:rsidRPr="004F60A2">
        <w:rPr>
          <w:rStyle w:val="StyleUnderline"/>
        </w:rPr>
        <w:t>directs the state’s Board of Public Utilities (BPU) to develop an OREC program to support at least 1,100 MW of offshore wind</w:t>
      </w:r>
      <w:r w:rsidRPr="004F60A2">
        <w:rPr>
          <w:sz w:val="16"/>
          <w:szCs w:val="16"/>
        </w:rPr>
        <w:t xml:space="preserve"> and establishes a Class I carve-out for offshore wind within the state’s renewable portfolio standard. </w:t>
      </w:r>
      <w:r w:rsidRPr="004F60A2">
        <w:rPr>
          <w:rStyle w:val="StyleUnderline"/>
        </w:rPr>
        <w:t>The legislation obligates New Jersey electricity suppliers to procure ORECs based on their share of statewide load.</w:t>
      </w:r>
    </w:p>
    <w:p w:rsidR="004F60A2" w:rsidRPr="004F60A2" w:rsidRDefault="004F60A2" w:rsidP="004F60A2">
      <w:pPr>
        <w:rPr>
          <w:sz w:val="16"/>
          <w:szCs w:val="16"/>
        </w:rPr>
      </w:pPr>
      <w:r w:rsidRPr="004F60A2">
        <w:rPr>
          <w:sz w:val="16"/>
          <w:szCs w:val="16"/>
        </w:rPr>
        <w:t xml:space="preserve">Atlantic City, N.J.-based </w:t>
      </w:r>
      <w:r w:rsidRPr="004F60A2">
        <w:rPr>
          <w:rStyle w:val="StyleUnderline"/>
        </w:rPr>
        <w:t>Fishermen’s Energy is the first and only company to seek the BPU’s approval for offshore wind development</w:t>
      </w:r>
      <w:r w:rsidRPr="004F60A2">
        <w:rPr>
          <w:sz w:val="16"/>
          <w:szCs w:val="16"/>
        </w:rPr>
        <w:t xml:space="preserve">. Dubbed the Atlantic City Offshore Wind Farm, the developer’s 25 MW demonstration project is planned to be located 2.8 miles off the coast of Atlantic City. For Fishermen’s – which already has the state permits necessary to build the project – </w:t>
      </w:r>
      <w:r w:rsidRPr="004F60A2">
        <w:rPr>
          <w:rStyle w:val="StyleUnderline"/>
        </w:rPr>
        <w:t xml:space="preserve">the process to get the green light from the BPU has been arduous, explains </w:t>
      </w:r>
      <w:r w:rsidRPr="004F60A2">
        <w:rPr>
          <w:sz w:val="16"/>
          <w:szCs w:val="16"/>
        </w:rPr>
        <w:t>company CEO Chris Wissemann.</w:t>
      </w:r>
    </w:p>
    <w:p w:rsidR="004F60A2" w:rsidRPr="004F60A2" w:rsidRDefault="004F60A2" w:rsidP="004F60A2">
      <w:pPr>
        <w:rPr>
          <w:sz w:val="14"/>
          <w:szCs w:val="16"/>
        </w:rPr>
      </w:pPr>
      <w:r w:rsidRPr="004F60A2">
        <w:rPr>
          <w:sz w:val="14"/>
          <w:szCs w:val="16"/>
        </w:rPr>
        <w:t xml:space="preserve">However, </w:t>
      </w:r>
      <w:r w:rsidRPr="004F60A2">
        <w:rPr>
          <w:rStyle w:val="StyleUnderline"/>
        </w:rPr>
        <w:t>talks with the BPU have stalled over the price of the projec</w:t>
      </w:r>
      <w:r w:rsidRPr="004F60A2">
        <w:rPr>
          <w:sz w:val="14"/>
          <w:szCs w:val="16"/>
        </w:rPr>
        <w:t xml:space="preserve">t. Fishermen’s notes that </w:t>
      </w:r>
      <w:r w:rsidRPr="004F60A2">
        <w:rPr>
          <w:sz w:val="14"/>
        </w:rPr>
        <w:t>once a U.S. Department of Energy (DOE) grant is factored in, along with the investment tax credit (ITC), the project will pencil out.</w:t>
      </w:r>
      <w:r w:rsidRPr="004F60A2">
        <w:rPr>
          <w:sz w:val="14"/>
          <w:szCs w:val="16"/>
        </w:rPr>
        <w:t xml:space="preserve"> Fishermen’s – and six other offshore wind projects – received a $4 million DOE loan aimed to help jump-start the industry. If the developer meets certain conditions, it will be among three projects eligible for a $47 million loan over four years.</w:t>
      </w:r>
    </w:p>
    <w:p w:rsidR="004F60A2" w:rsidRPr="004F60A2" w:rsidRDefault="004F60A2" w:rsidP="004F60A2">
      <w:pPr>
        <w:rPr>
          <w:sz w:val="16"/>
          <w:szCs w:val="16"/>
        </w:rPr>
      </w:pPr>
      <w:r w:rsidRPr="004F60A2">
        <w:rPr>
          <w:sz w:val="16"/>
          <w:szCs w:val="16"/>
        </w:rPr>
        <w:t xml:space="preserve">Armed with this financial backing, </w:t>
      </w:r>
      <w:r w:rsidRPr="004F60A2">
        <w:rPr>
          <w:rStyle w:val="StyleUnderline"/>
        </w:rPr>
        <w:t>Fishermen’s had reached a deal with the New Jersey Division of Rate Counsel</w:t>
      </w:r>
      <w:r w:rsidRPr="004F60A2">
        <w:rPr>
          <w:sz w:val="16"/>
          <w:szCs w:val="16"/>
        </w:rPr>
        <w:t xml:space="preserve"> (DRC) in July. The DRC, which represents ratepayers in the setting of electricity rates, initially opposed the Fishermen’s project, saying it was too costly. The July settlement featured a reduction in the wind farm’s projected rates, thus lowering costs and lessening potential impact to ratepayers.</w:t>
      </w:r>
    </w:p>
    <w:p w:rsidR="004F60A2" w:rsidRPr="004F60A2" w:rsidRDefault="004F60A2" w:rsidP="004F60A2">
      <w:pPr>
        <w:rPr>
          <w:sz w:val="16"/>
          <w:szCs w:val="16"/>
        </w:rPr>
      </w:pPr>
      <w:r w:rsidRPr="004F60A2">
        <w:rPr>
          <w:rStyle w:val="StyleUnderline"/>
        </w:rPr>
        <w:t>However, the BPU rejected the settlement agreement</w:t>
      </w:r>
      <w:r w:rsidRPr="004F60A2">
        <w:rPr>
          <w:sz w:val="16"/>
          <w:szCs w:val="16"/>
        </w:rPr>
        <w:t>, fearing that New Jersey ratepayers would be forced to shoulder too much risk if federal incentives, such as the ITC or DOE grants, do not materialize.</w:t>
      </w:r>
    </w:p>
    <w:p w:rsidR="004F60A2" w:rsidRPr="004F60A2" w:rsidRDefault="004F60A2" w:rsidP="004F60A2">
      <w:pPr>
        <w:rPr>
          <w:sz w:val="16"/>
          <w:szCs w:val="16"/>
        </w:rPr>
      </w:pPr>
      <w:r w:rsidRPr="004F60A2">
        <w:rPr>
          <w:sz w:val="16"/>
          <w:szCs w:val="16"/>
        </w:rPr>
        <w:t>The BPU’s approval would not only prove that the legislation can work, Wissemann says, but also pave the way for a larger, commercial-scale project planned by the developer in federal waters.</w:t>
      </w:r>
    </w:p>
    <w:p w:rsidR="004F60A2" w:rsidRPr="004F60A2" w:rsidRDefault="004F60A2" w:rsidP="004F60A2">
      <w:pPr>
        <w:rPr>
          <w:sz w:val="16"/>
          <w:szCs w:val="16"/>
        </w:rPr>
      </w:pPr>
      <w:r w:rsidRPr="004F60A2">
        <w:rPr>
          <w:sz w:val="16"/>
          <w:szCs w:val="16"/>
        </w:rPr>
        <w:t>“Bankers need to see that an OREC mechanism could work for our Atlantic City wind farm,” he says. Conversely, an ultimate rejection from the BPU would not only crater the project – but also affect future offshore wind projects. “</w:t>
      </w:r>
      <w:r w:rsidRPr="004F60A2">
        <w:rPr>
          <w:rStyle w:val="StyleUnderline"/>
        </w:rPr>
        <w:t>If we don’t get [BPU] approval, I can’t see a path to make this work.</w:t>
      </w:r>
      <w:r w:rsidRPr="004F60A2">
        <w:rPr>
          <w:sz w:val="16"/>
          <w:szCs w:val="16"/>
        </w:rPr>
        <w:t>”</w:t>
      </w:r>
    </w:p>
    <w:p w:rsidR="004F60A2" w:rsidRPr="004F60A2" w:rsidRDefault="004F60A2" w:rsidP="004F60A2">
      <w:pPr>
        <w:rPr>
          <w:sz w:val="16"/>
          <w:szCs w:val="16"/>
        </w:rPr>
      </w:pPr>
      <w:r w:rsidRPr="004F60A2">
        <w:rPr>
          <w:sz w:val="16"/>
          <w:szCs w:val="16"/>
        </w:rPr>
        <w:t>Following in the footsteps of New Jersey, Maryland has enacted its own OREC-type program that is financeable, explains Abigail Hopper, energy advisor to Gov. Martin O’Malley and director at the Maryland Energy Administration.</w:t>
      </w:r>
    </w:p>
    <w:p w:rsidR="004F60A2" w:rsidRPr="004F60A2" w:rsidRDefault="004F60A2" w:rsidP="004F60A2">
      <w:pPr>
        <w:rPr>
          <w:sz w:val="16"/>
          <w:szCs w:val="16"/>
        </w:rPr>
      </w:pPr>
      <w:r w:rsidRPr="004F60A2">
        <w:rPr>
          <w:sz w:val="16"/>
          <w:szCs w:val="16"/>
        </w:rPr>
        <w:t>Passed in April, the Maryland Offshore Wind Energy Act of 2013 created a mechanism to incentivize the development of up to 500 MW of offshore wind capacity at least 10 nautical miles off of Maryland’s coast. A target project size of 200 MW would require the installation of an estimated 40 turbines off the coast of Ocean City.</w:t>
      </w:r>
    </w:p>
    <w:p w:rsidR="004F60A2" w:rsidRPr="004F60A2" w:rsidRDefault="004F60A2" w:rsidP="004F60A2">
      <w:pPr>
        <w:rPr>
          <w:sz w:val="16"/>
          <w:szCs w:val="16"/>
        </w:rPr>
      </w:pPr>
      <w:r w:rsidRPr="004F60A2">
        <w:rPr>
          <w:sz w:val="16"/>
          <w:szCs w:val="16"/>
        </w:rPr>
        <w:t xml:space="preserve">Although </w:t>
      </w:r>
      <w:r w:rsidRPr="004F60A2">
        <w:rPr>
          <w:rStyle w:val="StyleUnderline"/>
        </w:rPr>
        <w:t>the act does not technically equate to a PPA</w:t>
      </w:r>
      <w:r w:rsidRPr="004F60A2">
        <w:rPr>
          <w:sz w:val="16"/>
          <w:szCs w:val="16"/>
        </w:rPr>
        <w:t xml:space="preserve">, Hopper says the administration worked with offshore wind developers </w:t>
      </w:r>
      <w:r w:rsidRPr="004F60A2">
        <w:rPr>
          <w:rStyle w:val="StyleUnderline"/>
        </w:rPr>
        <w:t>to ensure the legislation is financeable, one of the core goals in a PPA</w:t>
      </w:r>
      <w:r w:rsidRPr="004F60A2">
        <w:rPr>
          <w:sz w:val="16"/>
          <w:szCs w:val="16"/>
        </w:rPr>
        <w:t>.</w:t>
      </w:r>
    </w:p>
    <w:p w:rsidR="004F60A2" w:rsidRPr="004F60A2" w:rsidRDefault="004F60A2" w:rsidP="004F60A2">
      <w:pPr>
        <w:rPr>
          <w:sz w:val="16"/>
          <w:szCs w:val="16"/>
        </w:rPr>
      </w:pPr>
      <w:r w:rsidRPr="004F60A2">
        <w:rPr>
          <w:sz w:val="16"/>
          <w:szCs w:val="16"/>
        </w:rPr>
        <w:t>The mechanisms in New Jersey and Maryland are envisioned to get the basic financial and economic conditions in place to support the growing offshore wind sector and are thought of as the next best option to a traditional PPA.</w:t>
      </w:r>
    </w:p>
    <w:p w:rsidR="004F60A2" w:rsidRPr="004F60A2" w:rsidRDefault="004F60A2" w:rsidP="004F60A2">
      <w:pPr>
        <w:rPr>
          <w:sz w:val="16"/>
          <w:szCs w:val="16"/>
        </w:rPr>
      </w:pPr>
      <w:r w:rsidRPr="004F60A2">
        <w:rPr>
          <w:sz w:val="16"/>
          <w:szCs w:val="16"/>
        </w:rPr>
        <w:t>However</w:t>
      </w:r>
      <w:r w:rsidRPr="004F60A2">
        <w:t xml:space="preserve">, </w:t>
      </w:r>
      <w:r w:rsidRPr="004F60A2">
        <w:rPr>
          <w:rStyle w:val="StyleUnderline"/>
        </w:rPr>
        <w:t>both</w:t>
      </w:r>
      <w:r w:rsidRPr="004F60A2">
        <w:rPr>
          <w:sz w:val="16"/>
          <w:szCs w:val="16"/>
        </w:rPr>
        <w:t xml:space="preserve"> the New Jersey and Maryland </w:t>
      </w:r>
      <w:r w:rsidRPr="004F60A2">
        <w:rPr>
          <w:rStyle w:val="StyleUnderline"/>
        </w:rPr>
        <w:t>programs have gotten off to rocky beginnings. The problem is in the financing of a project backed by RECs. Working with regulators and utilities</w:t>
      </w:r>
      <w:r w:rsidRPr="004F60A2">
        <w:rPr>
          <w:sz w:val="16"/>
          <w:szCs w:val="16"/>
        </w:rPr>
        <w:t xml:space="preserve">, </w:t>
      </w:r>
      <w:r w:rsidRPr="004F60A2">
        <w:rPr>
          <w:rStyle w:val="StyleUnderline"/>
        </w:rPr>
        <w:t>New Jersey has spent years trying to figure out how to structure the OREC program so that offshore wind developments are bankable</w:t>
      </w:r>
      <w:r w:rsidRPr="004F60A2">
        <w:rPr>
          <w:sz w:val="16"/>
          <w:szCs w:val="16"/>
        </w:rPr>
        <w:t>.</w:t>
      </w:r>
    </w:p>
    <w:p w:rsidR="004F60A2" w:rsidRPr="004F60A2" w:rsidRDefault="004F60A2" w:rsidP="004F60A2">
      <w:pPr>
        <w:rPr>
          <w:sz w:val="16"/>
          <w:szCs w:val="16"/>
        </w:rPr>
      </w:pPr>
      <w:r w:rsidRPr="004F60A2">
        <w:rPr>
          <w:sz w:val="16"/>
          <w:szCs w:val="16"/>
        </w:rPr>
        <w:t>“In a perfect world, you’d have a PPA,” explains Wissemann. “</w:t>
      </w:r>
      <w:r w:rsidRPr="004F60A2">
        <w:rPr>
          <w:rStyle w:val="StyleUnderline"/>
        </w:rPr>
        <w:t xml:space="preserve">Everyone loves and understands a PPA. However, in a deregulated market </w:t>
      </w:r>
      <w:r w:rsidRPr="004F60A2">
        <w:rPr>
          <w:sz w:val="16"/>
          <w:szCs w:val="16"/>
        </w:rPr>
        <w:t xml:space="preserve">like New Jersey, </w:t>
      </w:r>
      <w:r w:rsidRPr="004F60A2">
        <w:rPr>
          <w:rStyle w:val="StyleUnderline"/>
        </w:rPr>
        <w:t>there is no natural buyer</w:t>
      </w:r>
      <w:r w:rsidRPr="004F60A2">
        <w:rPr>
          <w:sz w:val="16"/>
          <w:szCs w:val="16"/>
        </w:rPr>
        <w:t>.”</w:t>
      </w:r>
    </w:p>
    <w:p w:rsidR="004F60A2" w:rsidRPr="004F60A2" w:rsidRDefault="004F60A2" w:rsidP="004F60A2">
      <w:pPr>
        <w:rPr>
          <w:sz w:val="16"/>
          <w:szCs w:val="16"/>
        </w:rPr>
      </w:pPr>
    </w:p>
    <w:p w:rsidR="004F60A2" w:rsidRPr="004F60A2" w:rsidRDefault="004F60A2" w:rsidP="004F60A2">
      <w:pPr>
        <w:pStyle w:val="Heading4"/>
      </w:pPr>
      <w:r w:rsidRPr="004F60A2">
        <w:t>Perm destroys the wind market – bilateral contracts</w:t>
      </w:r>
    </w:p>
    <w:p w:rsidR="004F60A2" w:rsidRPr="004F60A2" w:rsidRDefault="004F60A2" w:rsidP="004F60A2">
      <w:pPr>
        <w:rPr>
          <w:rStyle w:val="Style13ptBold"/>
          <w:b w:val="0"/>
          <w:bCs w:val="0"/>
          <w:color w:val="000000"/>
          <w:sz w:val="17"/>
          <w:szCs w:val="17"/>
          <w:shd w:val="clear" w:color="auto" w:fill="FFFFFF"/>
        </w:rPr>
      </w:pPr>
      <w:r w:rsidRPr="004F60A2">
        <w:rPr>
          <w:rStyle w:val="Style13ptBold"/>
        </w:rPr>
        <w:t xml:space="preserve">Hausman and Hornby 08, </w:t>
      </w:r>
      <w:r w:rsidRPr="004F60A2">
        <w:rPr>
          <w:rStyle w:val="Style13ptBold"/>
          <w:b w:val="0"/>
          <w:sz w:val="16"/>
        </w:rPr>
        <w:t xml:space="preserve">(Ezra D. Hausman –Ph.D. Senior Associate Synapse Energy Economics, </w:t>
      </w:r>
      <w:r w:rsidRPr="004F60A2">
        <w:rPr>
          <w:color w:val="000000"/>
          <w:sz w:val="17"/>
          <w:szCs w:val="17"/>
          <w:shd w:val="clear" w:color="auto" w:fill="FFFFFF"/>
        </w:rPr>
        <w:t>Rick Hornby –  senior consultant at Synapse Energy Economics. He has 35 years of experience on electricity and natural gas planning and ratemaking issues; a Master of Science in Technology and Policy) [Bilateral Contracting in Deregulated Electricity Markets] (</w:t>
      </w:r>
      <w:hyperlink r:id="rId35" w:history="1">
        <w:r w:rsidRPr="004F60A2">
          <w:rPr>
            <w:rStyle w:val="Hyperlink"/>
            <w:sz w:val="17"/>
            <w:szCs w:val="17"/>
            <w:shd w:val="clear" w:color="auto" w:fill="FFFFFF"/>
          </w:rPr>
          <w:t>https://www.publicpower.org/files/PDFs/EMRISynapseBilateralsReport2008.pdf</w:t>
        </w:r>
      </w:hyperlink>
      <w:r w:rsidRPr="004F60A2">
        <w:rPr>
          <w:color w:val="000000"/>
          <w:sz w:val="17"/>
          <w:szCs w:val="17"/>
          <w:shd w:val="clear" w:color="auto" w:fill="FFFFFF"/>
        </w:rPr>
        <w:t xml:space="preserve">) //MC </w:t>
      </w:r>
    </w:p>
    <w:p w:rsidR="004F60A2" w:rsidRPr="004F60A2" w:rsidRDefault="004F60A2" w:rsidP="004F60A2">
      <w:pPr>
        <w:rPr>
          <w:sz w:val="16"/>
        </w:rPr>
      </w:pPr>
      <w:r w:rsidRPr="004F60A2">
        <w:rPr>
          <w:rStyle w:val="StyleUnderline"/>
        </w:rPr>
        <w:lastRenderedPageBreak/>
        <w:t>In regulated markets,</w:t>
      </w:r>
      <w:r w:rsidRPr="004F60A2">
        <w:rPr>
          <w:sz w:val="16"/>
        </w:rPr>
        <w:t xml:space="preserve"> </w:t>
      </w:r>
      <w:r w:rsidRPr="004F60A2">
        <w:rPr>
          <w:rStyle w:val="StyleUnderline"/>
        </w:rPr>
        <w:t>self-supply and bilateral contracts are the primary instruments through which electricity is bought and sold</w:t>
      </w:r>
      <w:r w:rsidRPr="004F60A2">
        <w:rPr>
          <w:sz w:val="16"/>
        </w:rPr>
        <w:t xml:space="preserve">. In these markets there is no organized multiparty electricity auction, so all transactions are on a bilateral basis. FERC refers to those markets in Docket No. AD07-7 as “bilateral markets”. </w:t>
      </w:r>
    </w:p>
    <w:p w:rsidR="004F60A2" w:rsidRPr="004F60A2" w:rsidRDefault="004F60A2" w:rsidP="004F60A2">
      <w:pPr>
        <w:rPr>
          <w:sz w:val="16"/>
        </w:rPr>
      </w:pPr>
      <w:r w:rsidRPr="004F60A2">
        <w:rPr>
          <w:rStyle w:val="StyleUnderline"/>
        </w:rPr>
        <w:t>FERC has highlighted the importance of bilateral contracting to maintaining well-functioning</w:t>
      </w:r>
      <w:r w:rsidRPr="004F60A2">
        <w:rPr>
          <w:sz w:val="16"/>
        </w:rPr>
        <w:t xml:space="preserve"> deregulated </w:t>
      </w:r>
      <w:r w:rsidRPr="004F60A2">
        <w:rPr>
          <w:rStyle w:val="StyleUnderline"/>
        </w:rPr>
        <w:t>wholesale electricity markets</w:t>
      </w:r>
      <w:r w:rsidRPr="004F60A2">
        <w:rPr>
          <w:sz w:val="16"/>
        </w:rPr>
        <w:t xml:space="preserve">. According to FERC: </w:t>
      </w:r>
      <w:r w:rsidRPr="004F60A2">
        <w:rPr>
          <w:sz w:val="16"/>
        </w:rPr>
        <w:cr/>
      </w:r>
      <w:r w:rsidRPr="004F60A2">
        <w:rPr>
          <w:rStyle w:val="StyleUnderline"/>
        </w:rPr>
        <w:t>It is important that wholesale sellers and buyers have adequate opportunities to sell and buy electric power through long-term power contracts to allow them to manage their exposure to uncertain future spot market prices</w:t>
      </w:r>
      <w:r w:rsidRPr="004F60A2">
        <w:rPr>
          <w:sz w:val="16"/>
        </w:rPr>
        <w:t xml:space="preserve">. Sellers and buyers should also have the opportunity to sell and buy electric power in the spot market. The Commission believes that it is important for buyers and sellers in organized markets to be able to choose a portfolio of short-term, intermediate-term, and long-term power supplies. </w:t>
      </w:r>
      <w:r w:rsidRPr="004F60A2">
        <w:rPr>
          <w:rStyle w:val="StyleUnderline"/>
        </w:rPr>
        <w:t>Having portfolio choice allows market participants to manage the risk that comes from uncertainty</w:t>
      </w:r>
      <w:r w:rsidRPr="004F60A2">
        <w:rPr>
          <w:sz w:val="16"/>
        </w:rPr>
        <w:t xml:space="preserve">. Forward power contracting by buyers combined with purchases from a spot market with demand response can be an efficient and low-cost way of meeting customer needs because both buyers and sellers can hedge risk as well as adapt to actual real-time supply and demand conditions. </w:t>
      </w:r>
      <w:r w:rsidRPr="004F60A2">
        <w:rPr>
          <w:rStyle w:val="StyleUnderline"/>
        </w:rPr>
        <w:t>Competitive forward power contracting allows many sellers to compete to provide electric service, and greater reliance on long-term power contracting could decrease the incentive for sellers to exercise market power in the spot market if there is reduced opportunity to profit from such action</w:t>
      </w:r>
      <w:r w:rsidRPr="004F60A2">
        <w:rPr>
          <w:sz w:val="16"/>
        </w:rPr>
        <w:t xml:space="preserve">. ANOPR, p. 55. </w:t>
      </w:r>
    </w:p>
    <w:p w:rsidR="004F60A2" w:rsidRPr="004F60A2" w:rsidRDefault="004F60A2" w:rsidP="004F60A2">
      <w:r w:rsidRPr="004F60A2">
        <w:rPr>
          <w:rStyle w:val="StyleUnderline"/>
        </w:rPr>
        <w:t>The value of bilateral contracts lies</w:t>
      </w:r>
      <w:r w:rsidRPr="004F60A2">
        <w:rPr>
          <w:sz w:val="16"/>
        </w:rPr>
        <w:t xml:space="preserve"> in their ability to provide willing buyers and willing sellers with a mechanism through which to craft a transaction </w:t>
      </w:r>
      <w:r w:rsidRPr="004F60A2">
        <w:rPr>
          <w:rStyle w:val="StyleUnderline"/>
        </w:rPr>
        <w:t>that meets their specific needs in terms of quantity, price and duration. Because such contracts are negotiated in advance of the delivery period</w:t>
      </w:r>
      <w:r w:rsidRPr="004F60A2">
        <w:rPr>
          <w:sz w:val="16"/>
        </w:rPr>
        <w:t xml:space="preserve">, </w:t>
      </w:r>
      <w:r w:rsidRPr="004F60A2">
        <w:rPr>
          <w:rStyle w:val="StyleUnderline"/>
        </w:rPr>
        <w:t>each party has the option of not entering into the contract</w:t>
      </w:r>
      <w:r w:rsidRPr="004F60A2">
        <w:rPr>
          <w:sz w:val="16"/>
        </w:rPr>
        <w:t xml:space="preserve"> if it doesn’t like </w:t>
      </w:r>
      <w:r w:rsidRPr="004F60A2">
        <w:rPr>
          <w:sz w:val="16"/>
          <w:szCs w:val="16"/>
        </w:rPr>
        <w:t xml:space="preserve">the terms, of seeking another contracting partner, of engaging in self-supply supply,15 or of waiting to transact in the spot market. The revenue and cost certainty associated with bilateral contracts presents a number of benefits to sellers and buyers in both the near-term and long-term, as will be discussed more fully later in this report. Ranked roughly from near-term to </w:t>
      </w:r>
      <w:r w:rsidRPr="004F60A2">
        <w:t>longer-term, these</w:t>
      </w:r>
      <w:r w:rsidRPr="004F60A2">
        <w:rPr>
          <w:rStyle w:val="StyleUnderline"/>
        </w:rPr>
        <w:t xml:space="preserve"> </w:t>
      </w:r>
      <w:r w:rsidRPr="004F60A2">
        <w:t xml:space="preserve">benefits include: </w:t>
      </w:r>
    </w:p>
    <w:p w:rsidR="004F60A2" w:rsidRPr="004F60A2" w:rsidRDefault="004F60A2" w:rsidP="004F60A2">
      <w:pPr>
        <w:rPr>
          <w:sz w:val="16"/>
          <w:szCs w:val="16"/>
        </w:rPr>
      </w:pPr>
      <w:r w:rsidRPr="004F60A2">
        <w:t xml:space="preserve">• </w:t>
      </w:r>
      <w:r w:rsidRPr="004F60A2">
        <w:rPr>
          <w:rStyle w:val="StyleUnderline"/>
        </w:rPr>
        <w:t>Less volatile retail prices</w:t>
      </w:r>
      <w:r w:rsidRPr="004F60A2">
        <w:t>. If retail providers acquire a substantial portion</w:t>
      </w:r>
      <w:r w:rsidRPr="004F60A2">
        <w:rPr>
          <w:sz w:val="16"/>
          <w:szCs w:val="16"/>
        </w:rPr>
        <w:t xml:space="preserve"> of their obligation through bilateral contracts at fixed, or predictable prices, their customers will see less volatile retail prices. </w:t>
      </w:r>
    </w:p>
    <w:p w:rsidR="004F60A2" w:rsidRPr="004F60A2" w:rsidRDefault="004F60A2" w:rsidP="004F60A2">
      <w:pPr>
        <w:rPr>
          <w:sz w:val="16"/>
          <w:szCs w:val="16"/>
        </w:rPr>
      </w:pPr>
      <w:r w:rsidRPr="004F60A2">
        <w:rPr>
          <w:sz w:val="16"/>
          <w:szCs w:val="16"/>
        </w:rPr>
        <w:t xml:space="preserve">• </w:t>
      </w:r>
      <w:r w:rsidRPr="004F60A2">
        <w:rPr>
          <w:rStyle w:val="StyleUnderline"/>
        </w:rPr>
        <w:t>Mitigation of market power. If</w:t>
      </w:r>
      <w:r w:rsidRPr="004F60A2">
        <w:rPr>
          <w:sz w:val="16"/>
          <w:szCs w:val="16"/>
        </w:rPr>
        <w:t xml:space="preserve"> </w:t>
      </w:r>
      <w:r w:rsidRPr="004F60A2">
        <w:rPr>
          <w:rStyle w:val="StyleUnderline"/>
        </w:rPr>
        <w:t>buyers and sellers can choose between a range of supply acquisition options at any given point in time</w:t>
      </w:r>
      <w:r w:rsidRPr="004F60A2">
        <w:rPr>
          <w:sz w:val="16"/>
          <w:szCs w:val="16"/>
        </w:rPr>
        <w:t xml:space="preserve">, including bilateral contracts, self-supply, and spot market purchases, </w:t>
      </w:r>
      <w:r w:rsidRPr="004F60A2">
        <w:rPr>
          <w:rStyle w:val="StyleUnderline"/>
        </w:rPr>
        <w:t>it is much harder for sellers to exercise market power</w:t>
      </w:r>
      <w:r w:rsidRPr="004F60A2">
        <w:rPr>
          <w:sz w:val="16"/>
          <w:szCs w:val="16"/>
        </w:rPr>
        <w:t xml:space="preserve">. Harder, but not impossible: if there is a reasonable expectation of market power affecting the spot market, and an expectation of a high volume in the spot market combined with limited bilateral contracting opportunities, this will affect the terms under which either party would be willing to transact on a bilateral basis. </w:t>
      </w:r>
      <w:r w:rsidRPr="004F60A2">
        <w:rPr>
          <w:sz w:val="16"/>
          <w:szCs w:val="16"/>
        </w:rPr>
        <w:cr/>
      </w:r>
      <w:r w:rsidRPr="004F60A2">
        <w:rPr>
          <w:rStyle w:val="StyleUnderline"/>
        </w:rPr>
        <w:t>Support for development of new resources</w:t>
      </w:r>
      <w:r w:rsidRPr="004F60A2">
        <w:rPr>
          <w:sz w:val="16"/>
          <w:szCs w:val="16"/>
        </w:rPr>
        <w:t xml:space="preserve">. </w:t>
      </w:r>
      <w:r w:rsidRPr="004F60A2">
        <w:rPr>
          <w:rStyle w:val="StyleUnderline"/>
        </w:rPr>
        <w:t>Developers of major new capital-intensive generation resources typically require a guaranteed stream of future revenues in order to obtain financing for those new resources. Developers can obtain such a guaranteed stream of revenues by selling a portion</w:t>
      </w:r>
      <w:r w:rsidRPr="004F60A2">
        <w:rPr>
          <w:sz w:val="16"/>
          <w:szCs w:val="16"/>
        </w:rPr>
        <w:t xml:space="preserve">, or all, </w:t>
      </w:r>
      <w:r w:rsidRPr="004F60A2">
        <w:rPr>
          <w:rStyle w:val="StyleUnderline"/>
        </w:rPr>
        <w:t>of the future output</w:t>
      </w:r>
      <w:r w:rsidRPr="004F60A2">
        <w:rPr>
          <w:sz w:val="16"/>
          <w:szCs w:val="16"/>
        </w:rPr>
        <w:t xml:space="preserve"> from these new resources </w:t>
      </w:r>
      <w:r w:rsidRPr="004F60A2">
        <w:rPr>
          <w:rStyle w:val="StyleUnderline"/>
        </w:rPr>
        <w:t>under long-term, bilateral contracts</w:t>
      </w:r>
      <w:r w:rsidRPr="004F60A2">
        <w:rPr>
          <w:sz w:val="16"/>
          <w:szCs w:val="16"/>
        </w:rPr>
        <w:t xml:space="preserve">. Thus bilateral contracts improve the ability of developers to obtain financing and enable them to obtain more favorable financing terms. </w:t>
      </w:r>
    </w:p>
    <w:p w:rsidR="004F60A2" w:rsidRPr="004F60A2" w:rsidRDefault="004F60A2" w:rsidP="004F60A2">
      <w:pPr>
        <w:rPr>
          <w:sz w:val="16"/>
          <w:szCs w:val="16"/>
        </w:rPr>
      </w:pPr>
      <w:r w:rsidRPr="004F60A2">
        <w:rPr>
          <w:sz w:val="16"/>
          <w:szCs w:val="16"/>
        </w:rPr>
        <w:t xml:space="preserve">• </w:t>
      </w:r>
      <w:r w:rsidRPr="004F60A2">
        <w:rPr>
          <w:rStyle w:val="StyleUnderline"/>
        </w:rPr>
        <w:t>More cost-effective</w:t>
      </w:r>
      <w:r w:rsidRPr="004F60A2">
        <w:rPr>
          <w:sz w:val="16"/>
          <w:szCs w:val="16"/>
        </w:rPr>
        <w:t xml:space="preserve">, environmentally attractive </w:t>
      </w:r>
      <w:r w:rsidRPr="004F60A2">
        <w:rPr>
          <w:rStyle w:val="StyleUnderline"/>
        </w:rPr>
        <w:t>resources</w:t>
      </w:r>
      <w:r w:rsidRPr="004F60A2">
        <w:rPr>
          <w:sz w:val="16"/>
          <w:szCs w:val="16"/>
        </w:rPr>
        <w:t xml:space="preserve"> in the long-term. </w:t>
      </w:r>
      <w:r w:rsidRPr="004F60A2">
        <w:rPr>
          <w:rStyle w:val="StyleUnderline"/>
        </w:rPr>
        <w:t>Bilateral contracts are particularly important to the development of utility-scale renewable resources. These resources tend to be extremely capital intensive, and hence heavily weighted towards up-front costs</w:t>
      </w:r>
      <w:r w:rsidRPr="004F60A2">
        <w:rPr>
          <w:sz w:val="16"/>
          <w:szCs w:val="16"/>
        </w:rPr>
        <w:t>, since they have no or limited fuel and emissions costs during their operating lives. The absence of fuel and emissions costs makes these resources particularly attractive for hedging future fuel and emissions price risks as part of a portfolio of resources to serve load. However, this avoided risk only benefits ratepayers if they are passed through—i.e., through long-term, fixed-price contracts. In many cases, approval of new environmentally attractive resources hinges on a contract structure that offers this benefit to ratepayers.16</w:t>
      </w:r>
    </w:p>
    <w:p w:rsidR="004F60A2" w:rsidRPr="004F60A2" w:rsidRDefault="004F60A2" w:rsidP="004F60A2">
      <w:r w:rsidRPr="004F60A2">
        <w:rPr>
          <w:sz w:val="16"/>
        </w:rPr>
        <w:t xml:space="preserve">Beneath the general concept of bilateral contracting lies a whole range of possible contract terms, and these distinctions are important in considering how well bilateral transactions can serve the purposes outlined above. </w:t>
      </w:r>
      <w:r w:rsidRPr="004F60A2">
        <w:rPr>
          <w:rStyle w:val="StyleUnderline"/>
        </w:rPr>
        <w:t>Short- or medium-term contracts, with durations up to a few years as are often used to supply standard offer service, may help stabilize short-term fluctuations in prices and counteract market power. However, they are unlikely to provide much benefit in terms of supporting the development of new resources. Long-term contracts are crucial for supporting new resources</w:t>
      </w:r>
      <w:r w:rsidRPr="004F60A2">
        <w:rPr>
          <w:sz w:val="16"/>
        </w:rPr>
        <w:t xml:space="preserve">, but they may be perceived as a potential source of stranded costs should market prices ultimately fall below contract prices for a </w:t>
      </w:r>
      <w:r w:rsidRPr="004F60A2">
        <w:rPr>
          <w:rStyle w:val="StyleUnderline"/>
          <w:b w:val="0"/>
          <w:sz w:val="16"/>
          <w:u w:val="none"/>
        </w:rPr>
        <w:t>prolonged period.</w:t>
      </w:r>
      <w:r w:rsidRPr="004F60A2">
        <w:rPr>
          <w:rStyle w:val="StyleUnderline"/>
          <w:sz w:val="16"/>
        </w:rPr>
        <w:t xml:space="preserve"> </w:t>
      </w:r>
      <w:r w:rsidRPr="004F60A2">
        <w:rPr>
          <w:rStyle w:val="StyleUnderline"/>
        </w:rPr>
        <w:t>Healthy markets, therefore, should support a range of bilateral contracts of varying durations, enabling</w:t>
      </w:r>
      <w:r w:rsidRPr="004F60A2">
        <w:rPr>
          <w:sz w:val="16"/>
        </w:rPr>
        <w:t xml:space="preserve"> market participants to readily</w:t>
      </w:r>
      <w:r w:rsidRPr="004F60A2">
        <w:rPr>
          <w:rStyle w:val="StyleUnderline"/>
        </w:rPr>
        <w:t xml:space="preserve"> hedge their obligations, giving producers opportunities to ensure long term revenue stability, and generally offering the most flexibility for all parties in mitigating risks. </w:t>
      </w:r>
    </w:p>
    <w:p w:rsidR="004F60A2" w:rsidRPr="004F60A2" w:rsidRDefault="004F60A2" w:rsidP="004F60A2"/>
    <w:p w:rsidR="004F60A2" w:rsidRPr="004F60A2" w:rsidRDefault="004F60A2" w:rsidP="004F60A2">
      <w:pPr>
        <w:pStyle w:val="Heading2"/>
        <w:rPr>
          <w:rFonts w:cs="Arial"/>
        </w:rPr>
      </w:pPr>
      <w:r w:rsidRPr="004F60A2">
        <w:rPr>
          <w:rFonts w:cs="Arial"/>
        </w:rPr>
        <w:lastRenderedPageBreak/>
        <w:t>Theory</w:t>
      </w:r>
    </w:p>
    <w:p w:rsidR="004F60A2" w:rsidRPr="004F60A2" w:rsidRDefault="004F60A2" w:rsidP="004F60A2">
      <w:pPr>
        <w:pStyle w:val="Heading3"/>
        <w:rPr>
          <w:rFonts w:cs="Arial"/>
        </w:rPr>
      </w:pPr>
      <w:r w:rsidRPr="004F60A2">
        <w:rPr>
          <w:rFonts w:cs="Arial"/>
        </w:rPr>
        <w:lastRenderedPageBreak/>
        <w:t>AT – Unpredictable</w:t>
      </w:r>
    </w:p>
    <w:p w:rsidR="004F60A2" w:rsidRPr="004F60A2" w:rsidRDefault="004F60A2" w:rsidP="004F60A2">
      <w:pPr>
        <w:pStyle w:val="Heading4"/>
        <w:rPr>
          <w:rFonts w:cs="Arial"/>
        </w:rPr>
      </w:pPr>
      <w:r w:rsidRPr="004F60A2">
        <w:rPr>
          <w:rFonts w:cs="Arial"/>
        </w:rPr>
        <w:t>Incentive programs and prizes CP’s are predictable</w:t>
      </w:r>
    </w:p>
    <w:p w:rsidR="004F60A2" w:rsidRPr="004F60A2" w:rsidRDefault="004F60A2" w:rsidP="004F60A2">
      <w:pPr>
        <w:pStyle w:val="NoSpacing"/>
        <w:rPr>
          <w:rStyle w:val="Style13ptBold"/>
          <w:rFonts w:cs="Arial"/>
          <w:b w:val="0"/>
        </w:rPr>
      </w:pPr>
      <w:r w:rsidRPr="004F60A2">
        <w:rPr>
          <w:rStyle w:val="Style13ptBold"/>
          <w:rFonts w:cs="Arial"/>
        </w:rPr>
        <w:t xml:space="preserve">Möslein et al. 12, </w:t>
      </w:r>
      <w:r w:rsidRPr="004F60A2">
        <w:rPr>
          <w:rFonts w:cs="Arial"/>
        </w:rPr>
        <w:t>(Sabrina Adamczyk graduated in 2009 from the Technical University of Munich with a Master in business administration, Angelika C. Bullinger acting professor of Ergonomics and Innovation, and Kathrin M. Möslein Professor of Innovation &amp; Value Creation, University of Erlangen-Nuremberg &amp; HHL) [Creativity and Innovation Management Volume 21, Issue 4, pages 335–360, December 2012] (opus4.kobv.de/opus4.../original_Sabrina_Adamczyk_Dissertation.docx) //MC</w:t>
      </w:r>
    </w:p>
    <w:p w:rsidR="004F60A2" w:rsidRPr="004F60A2" w:rsidRDefault="004F60A2" w:rsidP="004F60A2">
      <w:pPr>
        <w:pStyle w:val="NoSpacing"/>
        <w:rPr>
          <w:rFonts w:cs="Arial"/>
          <w:szCs w:val="16"/>
        </w:rPr>
      </w:pPr>
      <w:r w:rsidRPr="004F60A2">
        <w:rPr>
          <w:rFonts w:cs="Arial"/>
          <w:szCs w:val="16"/>
        </w:rPr>
        <w:t xml:space="preserve">Over the past few years </w:t>
      </w:r>
      <w:r w:rsidRPr="004F60A2">
        <w:rPr>
          <w:rStyle w:val="StyleUnderline"/>
          <w:rFonts w:cs="Arial"/>
          <w:b w:val="0"/>
        </w:rPr>
        <w:t>there has been a rapid surge of firms actively integrating internal and external input into</w:t>
      </w:r>
      <w:r w:rsidRPr="004F60A2">
        <w:rPr>
          <w:rFonts w:cs="Arial"/>
          <w:szCs w:val="16"/>
        </w:rPr>
        <w:t xml:space="preserve"> the fuzzy front end of new </w:t>
      </w:r>
      <w:r w:rsidRPr="004F60A2">
        <w:rPr>
          <w:rStyle w:val="StyleUnderline"/>
          <w:rFonts w:cs="Arial"/>
          <w:b w:val="0"/>
        </w:rPr>
        <w:t>product development</w:t>
      </w:r>
      <w:r w:rsidRPr="004F60A2">
        <w:rPr>
          <w:rFonts w:cs="Arial"/>
          <w:szCs w:val="16"/>
        </w:rPr>
        <w:t xml:space="preserve"> (e.g., Füller, </w:t>
      </w:r>
      <w:hyperlink r:id="rId36" w:anchor="caim12003-bib-0045" w:tooltip="Link to bibliographic citation" w:history="1">
        <w:r w:rsidRPr="004F60A2">
          <w:rPr>
            <w:rStyle w:val="Hyperlink"/>
            <w:rFonts w:cs="Arial"/>
            <w:szCs w:val="16"/>
          </w:rPr>
          <w:t>2006</w:t>
        </w:r>
      </w:hyperlink>
      <w:r w:rsidRPr="004F60A2">
        <w:rPr>
          <w:rFonts w:cs="Arial"/>
          <w:szCs w:val="16"/>
        </w:rPr>
        <w:t>; Piller &amp; Walcher, </w:t>
      </w:r>
      <w:hyperlink r:id="rId37" w:anchor="caim12003-bib-0093" w:tooltip="Link to bibliographic citation" w:history="1">
        <w:r w:rsidRPr="004F60A2">
          <w:rPr>
            <w:rStyle w:val="Hyperlink"/>
            <w:rFonts w:cs="Arial"/>
            <w:szCs w:val="16"/>
          </w:rPr>
          <w:t>2006</w:t>
        </w:r>
      </w:hyperlink>
      <w:r w:rsidRPr="004F60A2">
        <w:rPr>
          <w:rFonts w:cs="Arial"/>
          <w:szCs w:val="16"/>
        </w:rPr>
        <w:t>; Rohrbeck, Steinhoff &amp; Perder, </w:t>
      </w:r>
      <w:hyperlink r:id="rId38" w:anchor="caim12003-bib-0097" w:tooltip="Link to bibliographic citation" w:history="1">
        <w:r w:rsidRPr="004F60A2">
          <w:rPr>
            <w:rStyle w:val="Hyperlink"/>
            <w:rFonts w:cs="Arial"/>
            <w:szCs w:val="16"/>
          </w:rPr>
          <w:t>2008</w:t>
        </w:r>
      </w:hyperlink>
      <w:r w:rsidRPr="004F60A2">
        <w:rPr>
          <w:rFonts w:cs="Arial"/>
          <w:szCs w:val="16"/>
        </w:rPr>
        <w:t>). For this endeavour, in particular</w:t>
      </w:r>
      <w:r w:rsidRPr="004F60A2">
        <w:rPr>
          <w:rStyle w:val="StyleUnderline"/>
          <w:rFonts w:cs="Arial"/>
          <w:b w:val="0"/>
        </w:rPr>
        <w:t>, IT-based innovation contests are well-suited tools</w:t>
      </w:r>
      <w:r w:rsidRPr="004F60A2">
        <w:rPr>
          <w:rFonts w:cs="Arial"/>
          <w:szCs w:val="16"/>
        </w:rPr>
        <w:t xml:space="preserve"> (e.g., Carvalho, </w:t>
      </w:r>
      <w:hyperlink r:id="rId39" w:anchor="caim12003-bib-0028" w:tooltip="Link to bibliographic citation" w:history="1">
        <w:r w:rsidRPr="004F60A2">
          <w:rPr>
            <w:rStyle w:val="Hyperlink"/>
            <w:rFonts w:cs="Arial"/>
            <w:szCs w:val="16"/>
          </w:rPr>
          <w:t>2009</w:t>
        </w:r>
      </w:hyperlink>
      <w:r w:rsidRPr="004F60A2">
        <w:rPr>
          <w:rFonts w:cs="Arial"/>
          <w:szCs w:val="16"/>
        </w:rPr>
        <w:t>; Leimeister et al., </w:t>
      </w:r>
      <w:hyperlink r:id="rId40" w:anchor="caim12003-bib-0085" w:tooltip="Link to bibliographic citation" w:history="1">
        <w:r w:rsidRPr="004F60A2">
          <w:rPr>
            <w:rStyle w:val="Hyperlink"/>
            <w:rFonts w:cs="Arial"/>
            <w:szCs w:val="16"/>
          </w:rPr>
          <w:t>2009</w:t>
        </w:r>
      </w:hyperlink>
      <w:r w:rsidRPr="004F60A2">
        <w:rPr>
          <w:rFonts w:cs="Arial"/>
          <w:szCs w:val="16"/>
        </w:rPr>
        <w:t>; Bullinger et al.,</w:t>
      </w:r>
      <w:hyperlink r:id="rId41" w:anchor="caim12003-bib-0026" w:tooltip="Link to bibliographic citation" w:history="1">
        <w:r w:rsidRPr="004F60A2">
          <w:rPr>
            <w:rStyle w:val="Hyperlink"/>
            <w:rFonts w:cs="Arial"/>
            <w:szCs w:val="16"/>
          </w:rPr>
          <w:t>2010a</w:t>
        </w:r>
      </w:hyperlink>
      <w:r w:rsidRPr="004F60A2">
        <w:rPr>
          <w:rFonts w:cs="Arial"/>
          <w:szCs w:val="16"/>
        </w:rPr>
        <w:t>). By taking advantage of the Internet, innovation contests are more and more launched online (e.g., Bretschneider et al., </w:t>
      </w:r>
      <w:hyperlink r:id="rId42" w:anchor="caim12003-bib-0021" w:tooltip="Link to bibliographic citation" w:history="1">
        <w:r w:rsidRPr="004F60A2">
          <w:rPr>
            <w:rStyle w:val="Hyperlink"/>
            <w:rFonts w:cs="Arial"/>
            <w:szCs w:val="16"/>
          </w:rPr>
          <w:t>2008</w:t>
        </w:r>
      </w:hyperlink>
      <w:r w:rsidRPr="004F60A2">
        <w:rPr>
          <w:rFonts w:cs="Arial"/>
          <w:szCs w:val="16"/>
        </w:rPr>
        <w:t>; Yang, Chen &amp; Pavlou,</w:t>
      </w:r>
      <w:hyperlink r:id="rId43" w:anchor="caim12003-bib-0113" w:tooltip="Link to bibliographic citation" w:history="1">
        <w:r w:rsidRPr="004F60A2">
          <w:rPr>
            <w:rStyle w:val="Hyperlink"/>
            <w:rFonts w:cs="Arial"/>
            <w:szCs w:val="16"/>
          </w:rPr>
          <w:t>2009</w:t>
        </w:r>
      </w:hyperlink>
      <w:r w:rsidRPr="004F60A2">
        <w:rPr>
          <w:rFonts w:cs="Arial"/>
          <w:szCs w:val="16"/>
        </w:rPr>
        <w:t>). Following definitions of innovation contests given by Walcher (</w:t>
      </w:r>
      <w:hyperlink r:id="rId44" w:anchor="caim12003-bib-0109" w:tooltip="Link to bibliographic citation" w:history="1">
        <w:r w:rsidRPr="004F60A2">
          <w:rPr>
            <w:rStyle w:val="Hyperlink"/>
            <w:rFonts w:cs="Arial"/>
            <w:szCs w:val="16"/>
          </w:rPr>
          <w:t>2007</w:t>
        </w:r>
      </w:hyperlink>
      <w:r w:rsidRPr="004F60A2">
        <w:rPr>
          <w:rFonts w:cs="Arial"/>
          <w:szCs w:val="16"/>
        </w:rPr>
        <w:t>) and Bullinger and Möslein (</w:t>
      </w:r>
      <w:hyperlink r:id="rId45" w:anchor="caim12003-bib-0023" w:tooltip="Link to bibliographic citation" w:history="1">
        <w:r w:rsidRPr="004F60A2">
          <w:rPr>
            <w:rStyle w:val="Hyperlink"/>
            <w:rFonts w:cs="Arial"/>
            <w:szCs w:val="16"/>
          </w:rPr>
          <w:t>2010a</w:t>
        </w:r>
      </w:hyperlink>
      <w:r w:rsidRPr="004F60A2">
        <w:rPr>
          <w:rFonts w:cs="Arial"/>
          <w:szCs w:val="16"/>
        </w:rPr>
        <w:t xml:space="preserve">), innovation contests could be generally defined as IT-based and </w:t>
      </w:r>
      <w:r w:rsidRPr="004F60A2">
        <w:rPr>
          <w:rStyle w:val="StyleUnderline"/>
          <w:rFonts w:cs="Arial"/>
          <w:b w:val="0"/>
        </w:rPr>
        <w:t>time-limited competitions arranged by an organization or individual calling on the general public or a specific target group to make use of their expertise, skills or creativity in order to submit a solution for a particular task previously defined by the organizer who strives for an innovative solution.</w:t>
      </w:r>
    </w:p>
    <w:p w:rsidR="004F60A2" w:rsidRPr="004F60A2" w:rsidRDefault="004F60A2" w:rsidP="004F60A2">
      <w:pPr>
        <w:pStyle w:val="NoSpacing"/>
        <w:rPr>
          <w:rFonts w:cs="Arial"/>
          <w:szCs w:val="16"/>
        </w:rPr>
      </w:pPr>
      <w:r w:rsidRPr="004F60A2">
        <w:rPr>
          <w:rFonts w:cs="Arial"/>
          <w:szCs w:val="16"/>
        </w:rPr>
        <w:t xml:space="preserve">Since their origins many hundred years ago, </w:t>
      </w:r>
      <w:r w:rsidRPr="004F60A2">
        <w:rPr>
          <w:rStyle w:val="StyleUnderline"/>
          <w:rFonts w:cs="Arial"/>
          <w:b w:val="0"/>
        </w:rPr>
        <w:t>innovation contests have come roaring back to life in recent years. The increased importance of innovation contests as tools for new ideas and innovation is acknowledged in practice</w:t>
      </w:r>
      <w:r w:rsidRPr="004F60A2">
        <w:rPr>
          <w:rFonts w:cs="Arial"/>
          <w:szCs w:val="16"/>
        </w:rPr>
        <w:t>, for example by companies such as BMW (see Füller et al., </w:t>
      </w:r>
      <w:hyperlink r:id="rId46" w:anchor="caim12003-bib-0047" w:tooltip="Link to bibliographic citation" w:history="1">
        <w:r w:rsidRPr="004F60A2">
          <w:rPr>
            <w:rStyle w:val="Hyperlink"/>
            <w:rFonts w:cs="Arial"/>
            <w:szCs w:val="16"/>
          </w:rPr>
          <w:t>2006</w:t>
        </w:r>
      </w:hyperlink>
      <w:r w:rsidRPr="004F60A2">
        <w:rPr>
          <w:rFonts w:cs="Arial"/>
          <w:szCs w:val="16"/>
        </w:rPr>
        <w:t>), IBM (see Bjelland &amp; Wood, </w:t>
      </w:r>
      <w:hyperlink r:id="rId47" w:anchor="caim12003-bib-0014" w:tooltip="Link to bibliographic citation" w:history="1">
        <w:r w:rsidRPr="004F60A2">
          <w:rPr>
            <w:rStyle w:val="Hyperlink"/>
            <w:rFonts w:cs="Arial"/>
            <w:szCs w:val="16"/>
          </w:rPr>
          <w:t>2008</w:t>
        </w:r>
      </w:hyperlink>
      <w:r w:rsidRPr="004F60A2">
        <w:rPr>
          <w:rFonts w:cs="Arial"/>
          <w:szCs w:val="16"/>
        </w:rPr>
        <w:t>) and Siemens (see Schepers, Schnell &amp; Vroom, </w:t>
      </w:r>
      <w:hyperlink r:id="rId48" w:anchor="caim12003-bib-0099" w:tooltip="Link to bibliographic citation" w:history="1">
        <w:r w:rsidRPr="004F60A2">
          <w:rPr>
            <w:rStyle w:val="Hyperlink"/>
            <w:rFonts w:cs="Arial"/>
            <w:szCs w:val="16"/>
          </w:rPr>
          <w:t>1999</w:t>
        </w:r>
      </w:hyperlink>
      <w:r w:rsidRPr="004F60A2">
        <w:rPr>
          <w:rFonts w:cs="Arial"/>
          <w:szCs w:val="16"/>
        </w:rPr>
        <w:t>). Moreover, innovation contests are also recognized as a research topic in the academic world (cf. Ebner, Leimeister &amp; Krcmar, </w:t>
      </w:r>
      <w:hyperlink r:id="rId49" w:anchor="caim12003-bib-0041" w:tooltip="Link to bibliographic citation" w:history="1">
        <w:r w:rsidRPr="004F60A2">
          <w:rPr>
            <w:rStyle w:val="Hyperlink"/>
            <w:rFonts w:cs="Arial"/>
            <w:szCs w:val="16"/>
          </w:rPr>
          <w:t>2009</w:t>
        </w:r>
      </w:hyperlink>
      <w:r w:rsidRPr="004F60A2">
        <w:rPr>
          <w:rFonts w:cs="Arial"/>
          <w:szCs w:val="16"/>
        </w:rPr>
        <w:t>; Leimeister et al., </w:t>
      </w:r>
      <w:hyperlink r:id="rId50" w:anchor="caim12003-bib-0085" w:tooltip="Link to bibliographic citation" w:history="1">
        <w:r w:rsidRPr="004F60A2">
          <w:rPr>
            <w:rStyle w:val="Hyperlink"/>
            <w:rFonts w:cs="Arial"/>
            <w:szCs w:val="16"/>
          </w:rPr>
          <w:t>2009</w:t>
        </w:r>
      </w:hyperlink>
      <w:r w:rsidRPr="004F60A2">
        <w:rPr>
          <w:rFonts w:cs="Arial"/>
          <w:szCs w:val="16"/>
        </w:rPr>
        <w:t>; Bullinger et al., </w:t>
      </w:r>
      <w:hyperlink r:id="rId51" w:anchor="caim12003-bib-0026" w:tooltip="Link to bibliographic citation" w:history="1">
        <w:r w:rsidRPr="004F60A2">
          <w:rPr>
            <w:rStyle w:val="Hyperlink"/>
            <w:rFonts w:cs="Arial"/>
            <w:szCs w:val="16"/>
          </w:rPr>
          <w:t>2010a</w:t>
        </w:r>
      </w:hyperlink>
      <w:r w:rsidRPr="004F60A2">
        <w:rPr>
          <w:rFonts w:cs="Arial"/>
          <w:szCs w:val="16"/>
        </w:rPr>
        <w:t xml:space="preserve">). Many scientists from various fields of research have studied innovation contests from diverse perspectives and, not surprisingly, have used different terms to describe innovation contests. This has led to various strands of research with different foci, which can be merged into a pool of research on the topic of innovation contests. Innovation contests can be distinguished not only according to their foci, but also in regards to the design of their underlying IT-based platforms. These two elements, in fact, depend on each other, as the focus of an innovation contest influences its design. Thus, </w:t>
      </w:r>
      <w:r w:rsidRPr="004F60A2">
        <w:rPr>
          <w:rStyle w:val="StyleUnderline"/>
          <w:rFonts w:cs="Arial"/>
          <w:b w:val="0"/>
        </w:rPr>
        <w:t>the IT-based platform can be adapted to the innovation contest's focus in order to best fulfil its purpose</w:t>
      </w:r>
      <w:r w:rsidRPr="004F60A2">
        <w:rPr>
          <w:rFonts w:cs="Arial"/>
          <w:szCs w:val="16"/>
        </w:rPr>
        <w:t xml:space="preserve">. Hence, in the same way as there are different foci, </w:t>
      </w:r>
      <w:r w:rsidRPr="004F60A2">
        <w:rPr>
          <w:rStyle w:val="StyleUnderline"/>
          <w:rFonts w:cs="Arial"/>
          <w:b w:val="0"/>
        </w:rPr>
        <w:t>there are also various possibilities for designing innovation contests. Researchers have already started to analyse innovation contests according to their design by using some generic features of innovation contests. This has led to some common design features, which can be combined into a set of extant design elements and extended with new elements.</w:t>
      </w:r>
      <w:r w:rsidRPr="004F60A2">
        <w:rPr>
          <w:rFonts w:cs="Arial"/>
          <w:szCs w:val="16"/>
        </w:rPr>
        <w:t xml:space="preserve"> Accordingly, this comprehensive literature review on innovation contests appears to be necessary in order to link research from various disciplines. Moreover, this systematic review of the literature aims to provide an overall picture of research carried out on innovation contests. In addition, it strives to give a clear picture of the design of IT-based innovation contests, which is important for managing these platforms. In conclusion, it seeks to identify research gaps as well as shortcomings, and suggests future research directions.</w:t>
      </w:r>
    </w:p>
    <w:p w:rsidR="004F60A2" w:rsidRPr="004F60A2" w:rsidRDefault="004F60A2" w:rsidP="004F60A2">
      <w:pPr>
        <w:pStyle w:val="NoSpacing"/>
        <w:rPr>
          <w:rFonts w:cs="Arial"/>
        </w:rPr>
      </w:pPr>
      <w:r w:rsidRPr="004F60A2">
        <w:rPr>
          <w:rFonts w:cs="Arial"/>
        </w:rPr>
        <w:t>The article proceeds, first, with the historical evidence of innovation contests. Second, the approach of the systematic literature review is presented and, third, research categories are developed and for each category, extant research is summarized. Fourth, based on a profile of the analysed literature some extant as well as novel design elements of innovation contests are distilled. Fifth, for each category, research gaps and directions for future research are provided. Sixth, shortcomings of existing research are presented and suggestions for dealing with them are proposed. Finally, the literature review ends with a conclusion.</w:t>
      </w:r>
    </w:p>
    <w:p w:rsidR="004F60A2" w:rsidRPr="004F60A2" w:rsidRDefault="004F60A2" w:rsidP="004F60A2">
      <w:pPr>
        <w:pStyle w:val="NoSpacing"/>
        <w:rPr>
          <w:rFonts w:cs="Arial"/>
        </w:rPr>
      </w:pPr>
      <w:r w:rsidRPr="004F60A2">
        <w:rPr>
          <w:rFonts w:cs="Arial"/>
        </w:rPr>
        <w:t>Historical Evidence of Innovation Contests</w:t>
      </w:r>
    </w:p>
    <w:p w:rsidR="004F60A2" w:rsidRPr="004F60A2" w:rsidRDefault="004F60A2" w:rsidP="004F60A2">
      <w:pPr>
        <w:pStyle w:val="NoSpacing"/>
        <w:rPr>
          <w:rFonts w:cs="Arial"/>
          <w:szCs w:val="16"/>
        </w:rPr>
      </w:pPr>
      <w:r w:rsidRPr="004F60A2">
        <w:rPr>
          <w:rStyle w:val="StyleUnderline"/>
          <w:rFonts w:cs="Arial"/>
          <w:b w:val="0"/>
        </w:rPr>
        <w:t>Using contests to reward technological innovation is well established</w:t>
      </w:r>
      <w:r w:rsidRPr="004F60A2">
        <w:rPr>
          <w:rFonts w:cs="Arial"/>
          <w:b/>
          <w:szCs w:val="16"/>
        </w:rPr>
        <w:t>.</w:t>
      </w:r>
      <w:r w:rsidRPr="004F60A2">
        <w:rPr>
          <w:rFonts w:cs="Arial"/>
          <w:szCs w:val="16"/>
        </w:rPr>
        <w:t xml:space="preserve"> Historically</w:t>
      </w:r>
      <w:r w:rsidRPr="004F60A2">
        <w:rPr>
          <w:rFonts w:cs="Arial"/>
        </w:rPr>
        <w:t xml:space="preserve">, </w:t>
      </w:r>
      <w:r w:rsidRPr="004F60A2">
        <w:rPr>
          <w:rStyle w:val="StyleUnderline"/>
          <w:rFonts w:cs="Arial"/>
          <w:b w:val="0"/>
        </w:rPr>
        <w:t>contests for research and development (R&amp;D) have led to important innovations.</w:t>
      </w:r>
      <w:r w:rsidRPr="004F60A2">
        <w:rPr>
          <w:rFonts w:cs="Arial"/>
          <w:szCs w:val="16"/>
        </w:rPr>
        <w:t xml:space="preserve"> The idea of using contests to stimulate innovation has a long history (Wright, </w:t>
      </w:r>
      <w:hyperlink r:id="rId52" w:anchor="caim12003-bib-0112" w:tooltip="Link to bibliographic citation" w:history="1">
        <w:r w:rsidRPr="004F60A2">
          <w:rPr>
            <w:rStyle w:val="Hyperlink"/>
            <w:rFonts w:cs="Arial"/>
            <w:szCs w:val="16"/>
          </w:rPr>
          <w:t>1983</w:t>
        </w:r>
      </w:hyperlink>
      <w:r w:rsidRPr="004F60A2">
        <w:rPr>
          <w:rFonts w:cs="Arial"/>
          <w:szCs w:val="16"/>
        </w:rPr>
        <w:t>; Kremer, </w:t>
      </w:r>
      <w:hyperlink r:id="rId53" w:anchor="caim12003-bib-0081" w:tooltip="Link to bibliographic citation" w:history="1">
        <w:r w:rsidRPr="004F60A2">
          <w:rPr>
            <w:rStyle w:val="Hyperlink"/>
            <w:rFonts w:cs="Arial"/>
            <w:szCs w:val="16"/>
          </w:rPr>
          <w:t>1998</w:t>
        </w:r>
      </w:hyperlink>
      <w:r w:rsidRPr="004F60A2">
        <w:rPr>
          <w:rFonts w:cs="Arial"/>
          <w:szCs w:val="16"/>
        </w:rPr>
        <w:t>; Shavell &amp; Van Ypersele, </w:t>
      </w:r>
      <w:hyperlink r:id="rId54" w:anchor="caim12003-bib-0101" w:tooltip="Link to bibliographic citation" w:history="1">
        <w:r w:rsidRPr="004F60A2">
          <w:rPr>
            <w:rStyle w:val="Hyperlink"/>
            <w:rFonts w:cs="Arial"/>
            <w:szCs w:val="16"/>
          </w:rPr>
          <w:t>2001</w:t>
        </w:r>
      </w:hyperlink>
      <w:r w:rsidRPr="004F60A2">
        <w:rPr>
          <w:rFonts w:cs="Arial"/>
          <w:szCs w:val="16"/>
        </w:rPr>
        <w:t xml:space="preserve">). In the literature, examples of historic innovation contests for stimulating innovation could be found that go back many hundred years. </w:t>
      </w:r>
      <w:r w:rsidRPr="004F60A2">
        <w:rPr>
          <w:rStyle w:val="StyleUnderline"/>
          <w:rFonts w:cs="Arial"/>
          <w:b w:val="0"/>
        </w:rPr>
        <w:t>For instance, margarine</w:t>
      </w:r>
      <w:r w:rsidRPr="004F60A2">
        <w:rPr>
          <w:rFonts w:cs="Arial"/>
          <w:szCs w:val="16"/>
        </w:rPr>
        <w:t xml:space="preserve"> – an integral part of many daily breakfasts – </w:t>
      </w:r>
      <w:r w:rsidRPr="004F60A2">
        <w:rPr>
          <w:rStyle w:val="StyleUnderline"/>
          <w:rFonts w:cs="Arial"/>
          <w:b w:val="0"/>
        </w:rPr>
        <w:t>has its origin in an innovation contest. In 1869, Napoleon III offered a prize for</w:t>
      </w:r>
      <w:r w:rsidRPr="004F60A2">
        <w:rPr>
          <w:rFonts w:cs="Arial"/>
          <w:szCs w:val="16"/>
        </w:rPr>
        <w:t xml:space="preserve"> anyone who discovered a process to manufacture </w:t>
      </w:r>
      <w:r w:rsidRPr="004F60A2">
        <w:rPr>
          <w:rStyle w:val="StyleUnderline"/>
          <w:rFonts w:cs="Arial"/>
          <w:b w:val="0"/>
        </w:rPr>
        <w:t>a butter substitute</w:t>
      </w:r>
      <w:r w:rsidRPr="004F60A2">
        <w:rPr>
          <w:rFonts w:cs="Arial"/>
          <w:szCs w:val="16"/>
        </w:rPr>
        <w:t xml:space="preserve"> (Khan, </w:t>
      </w:r>
      <w:hyperlink r:id="rId55" w:anchor="caim12003-bib-0077" w:tooltip="Link to bibliographic citation" w:history="1">
        <w:r w:rsidRPr="004F60A2">
          <w:rPr>
            <w:rStyle w:val="Hyperlink"/>
            <w:rFonts w:cs="Arial"/>
            <w:szCs w:val="16"/>
          </w:rPr>
          <w:t>2005</w:t>
        </w:r>
      </w:hyperlink>
      <w:r w:rsidRPr="004F60A2">
        <w:rPr>
          <w:rFonts w:cs="Arial"/>
          <w:szCs w:val="16"/>
        </w:rPr>
        <w:t>). Mège-Mouriez won the prize and, in addition, was granted a patent for 15 years for the processing and production of animal fats. In 1873, the first margarine plant was built. Innovation contests also played a substantial role in the field of aviation. Two essential innovations, motorized flight and human-powered flight, have been the results of innovation contests (Davis &amp; Davis, </w:t>
      </w:r>
      <w:hyperlink r:id="rId56" w:anchor="caim12003-bib-0037" w:tooltip="Link to bibliographic citation" w:history="1">
        <w:r w:rsidRPr="004F60A2">
          <w:rPr>
            <w:rStyle w:val="Hyperlink"/>
            <w:rFonts w:cs="Arial"/>
            <w:szCs w:val="16"/>
          </w:rPr>
          <w:t>2004</w:t>
        </w:r>
      </w:hyperlink>
      <w:r w:rsidRPr="004F60A2">
        <w:rPr>
          <w:rFonts w:cs="Arial"/>
          <w:szCs w:val="16"/>
        </w:rPr>
        <w:t>). In 1919, the LondonDaily Mail offered a prize of £10,000 to reward the first person to fly non-stop across the Atlantic Ocean. The $25,000 Orteig Prize, offered by New York hotel owner Raymond Orteig for the first non-stop flight between New York and Paris by a pilot flying alone, was finally claimed by Charles Lindbergh in 1927 (Hynek,</w:t>
      </w:r>
      <w:hyperlink r:id="rId57" w:anchor="caim12003-bib-0074" w:tooltip="Link to bibliographic citation" w:history="1">
        <w:r w:rsidRPr="004F60A2">
          <w:rPr>
            <w:rStyle w:val="Hyperlink"/>
            <w:rFonts w:cs="Arial"/>
            <w:szCs w:val="16"/>
          </w:rPr>
          <w:t>2008</w:t>
        </w:r>
      </w:hyperlink>
      <w:r w:rsidRPr="004F60A2">
        <w:rPr>
          <w:rFonts w:cs="Arial"/>
          <w:szCs w:val="16"/>
        </w:rPr>
        <w:t>). After the development of the commercial airline industry, aviation enthusiasts applied their imaginations to the area of human-powered flight. In 1959, the British industrialist Henry Kremer offered a £50,000 reward for the first human-powered aircraft that could fly around a mile-long, figure-of-eight course. The result was a burst of research into human-powered flight. After 18 years, the prize was finally won by the American Paul MacCready.</w:t>
      </w:r>
    </w:p>
    <w:p w:rsidR="004F60A2" w:rsidRPr="004F60A2" w:rsidRDefault="004F60A2" w:rsidP="004F60A2">
      <w:pPr>
        <w:pStyle w:val="NoSpacing"/>
        <w:rPr>
          <w:rFonts w:cs="Arial"/>
          <w:szCs w:val="16"/>
        </w:rPr>
      </w:pPr>
      <w:r w:rsidRPr="004F60A2">
        <w:rPr>
          <w:rStyle w:val="StyleUnderline"/>
          <w:rFonts w:cs="Arial"/>
          <w:b w:val="0"/>
        </w:rPr>
        <w:t>There are</w:t>
      </w:r>
      <w:r w:rsidRPr="004F60A2">
        <w:rPr>
          <w:rFonts w:cs="Arial"/>
          <w:szCs w:val="16"/>
        </w:rPr>
        <w:t xml:space="preserve"> further </w:t>
      </w:r>
      <w:r w:rsidRPr="004F60A2">
        <w:rPr>
          <w:rStyle w:val="StyleUnderline"/>
          <w:rFonts w:cs="Arial"/>
          <w:b w:val="0"/>
        </w:rPr>
        <w:t>numerous historical innovation contests in fields</w:t>
      </w:r>
      <w:r w:rsidRPr="004F60A2">
        <w:rPr>
          <w:rFonts w:cs="Arial"/>
          <w:szCs w:val="16"/>
        </w:rPr>
        <w:t xml:space="preserve"> as diverse as agriculture and food, automobile, aviation, </w:t>
      </w:r>
      <w:r w:rsidRPr="004F60A2">
        <w:rPr>
          <w:rStyle w:val="StyleUnderline"/>
          <w:rFonts w:cs="Arial"/>
          <w:b w:val="0"/>
        </w:rPr>
        <w:t>energy and power</w:t>
      </w:r>
      <w:r w:rsidRPr="004F60A2">
        <w:rPr>
          <w:rFonts w:cs="Arial"/>
          <w:szCs w:val="16"/>
        </w:rPr>
        <w:t xml:space="preserve">, sustainability, mathematics, </w:t>
      </w:r>
      <w:r w:rsidRPr="004F60A2">
        <w:rPr>
          <w:rStyle w:val="StyleUnderline"/>
          <w:rFonts w:cs="Arial"/>
          <w:b w:val="0"/>
        </w:rPr>
        <w:t>medicine, navigation, software, computers and IT</w:t>
      </w:r>
      <w:r w:rsidRPr="004F60A2">
        <w:rPr>
          <w:rFonts w:cs="Arial"/>
          <w:szCs w:val="16"/>
        </w:rPr>
        <w:t xml:space="preserve"> and textiles. Table </w:t>
      </w:r>
      <w:hyperlink r:id="rId58" w:anchor="caim12003-tbl-0001" w:tooltip="Link to table" w:history="1">
        <w:r w:rsidRPr="004F60A2">
          <w:rPr>
            <w:rStyle w:val="Hyperlink"/>
            <w:rFonts w:cs="Arial"/>
            <w:szCs w:val="16"/>
          </w:rPr>
          <w:t>1</w:t>
        </w:r>
      </w:hyperlink>
      <w:r w:rsidRPr="004F60A2">
        <w:rPr>
          <w:rFonts w:cs="Arial"/>
          <w:szCs w:val="16"/>
        </w:rPr>
        <w:t> presents an excerpt of historical innovation contests and their innovative outcomes. This overview aims solely at demonstrating the historical evidence of innovation contests. Hence, it is not based on a systematic collection and makes no claim to be complete.</w:t>
      </w:r>
    </w:p>
    <w:p w:rsidR="004F60A2" w:rsidRPr="004F60A2" w:rsidRDefault="004F60A2" w:rsidP="004F60A2">
      <w:pPr>
        <w:pStyle w:val="NoSpacing"/>
        <w:rPr>
          <w:rFonts w:cs="Arial"/>
        </w:rPr>
      </w:pPr>
      <w:r w:rsidRPr="004F60A2">
        <w:rPr>
          <w:rFonts w:cs="Arial"/>
        </w:rPr>
        <w:t>(Table 1 removed)</w:t>
      </w:r>
    </w:p>
    <w:p w:rsidR="004F60A2" w:rsidRPr="004F60A2" w:rsidRDefault="004F60A2" w:rsidP="004F60A2">
      <w:pPr>
        <w:pStyle w:val="NoSpacing"/>
        <w:rPr>
          <w:rStyle w:val="StyleUnderline"/>
          <w:rFonts w:cs="Arial"/>
        </w:rPr>
      </w:pPr>
      <w:r w:rsidRPr="004F60A2">
        <w:rPr>
          <w:rStyle w:val="StyleUnderline"/>
          <w:rFonts w:cs="Arial"/>
          <w:b w:val="0"/>
        </w:rPr>
        <w:lastRenderedPageBreak/>
        <w:t>The historical examples illustrate that innovation contests are well suited not only to generate minor improvements, but also to realize radical breakthrough innovations</w:t>
      </w:r>
      <w:r w:rsidRPr="004F60A2">
        <w:rPr>
          <w:rFonts w:cs="Arial"/>
          <w:szCs w:val="16"/>
        </w:rPr>
        <w:t xml:space="preserve">. As presented in the above synopsis, </w:t>
      </w:r>
      <w:r w:rsidRPr="004F60A2">
        <w:rPr>
          <w:rStyle w:val="StyleUnderline"/>
          <w:rFonts w:cs="Arial"/>
          <w:b w:val="0"/>
        </w:rPr>
        <w:t>innovation contests are powerful instruments to solve severe problems and to stimulate innovations in diverse fields of application</w:t>
      </w:r>
      <w:r w:rsidRPr="004F60A2">
        <w:rPr>
          <w:rStyle w:val="StyleUnderline"/>
          <w:rFonts w:cs="Arial"/>
        </w:rPr>
        <w:t>.</w:t>
      </w:r>
    </w:p>
    <w:p w:rsidR="004F60A2" w:rsidRPr="004F60A2" w:rsidRDefault="004F60A2" w:rsidP="004F60A2"/>
    <w:p w:rsidR="004F60A2" w:rsidRPr="004F60A2" w:rsidRDefault="004F60A2" w:rsidP="004F60A2">
      <w:pPr>
        <w:pStyle w:val="Heading3"/>
        <w:rPr>
          <w:rFonts w:cs="Arial"/>
        </w:rPr>
      </w:pPr>
      <w:r w:rsidRPr="004F60A2">
        <w:rPr>
          <w:rFonts w:cs="Arial"/>
        </w:rPr>
        <w:lastRenderedPageBreak/>
        <w:t>AT – States unpredictable</w:t>
      </w:r>
    </w:p>
    <w:p w:rsidR="004F60A2" w:rsidRPr="004F60A2" w:rsidRDefault="004F60A2" w:rsidP="004F60A2">
      <w:pPr>
        <w:pStyle w:val="Heading4"/>
        <w:rPr>
          <w:rFonts w:cs="Arial"/>
        </w:rPr>
      </w:pPr>
      <w:r w:rsidRPr="004F60A2">
        <w:rPr>
          <w:rFonts w:eastAsiaTheme="minorHAnsi" w:cs="Arial"/>
          <w:iCs w:val="0"/>
        </w:rPr>
        <w:t>States should have a PPA</w:t>
      </w:r>
    </w:p>
    <w:p w:rsidR="004F60A2" w:rsidRPr="004F60A2" w:rsidRDefault="004F60A2" w:rsidP="004F60A2">
      <w:r w:rsidRPr="004F60A2">
        <w:rPr>
          <w:rStyle w:val="Style13ptBold"/>
        </w:rPr>
        <w:t xml:space="preserve">Sims 13, </w:t>
      </w:r>
      <w:r w:rsidRPr="004F60A2">
        <w:t>Douglas D. –</w:t>
      </w:r>
      <w:r w:rsidRPr="004F60A2">
        <w:rPr>
          <w:b/>
        </w:rPr>
        <w:t xml:space="preserve"> </w:t>
      </w:r>
      <w:r w:rsidRPr="004F60A2">
        <w:t>Senior Energy Project Finance Specialist - Center for Market Innovation.  [Fulfilling the Promise of U.S. Offshore Wind:</w:t>
      </w:r>
      <w:r w:rsidRPr="004F60A2">
        <w:rPr>
          <w:sz w:val="12"/>
        </w:rPr>
        <w:t xml:space="preserve"> </w:t>
      </w:r>
      <w:r w:rsidRPr="004F60A2">
        <w:t>Targeted State Investment Policies to Put an</w:t>
      </w:r>
      <w:r w:rsidRPr="004F60A2">
        <w:rPr>
          <w:sz w:val="12"/>
        </w:rPr>
        <w:t xml:space="preserve"> </w:t>
      </w:r>
      <w:r w:rsidRPr="004F60A2">
        <w:t>Abundant Renewable Resource within Reach] //MC</w:t>
      </w:r>
    </w:p>
    <w:p w:rsidR="004F60A2" w:rsidRPr="004F60A2" w:rsidRDefault="004F60A2" w:rsidP="004F60A2">
      <w:pPr>
        <w:spacing w:line="240" w:lineRule="auto"/>
        <w:rPr>
          <w:rStyle w:val="StyleUnderline"/>
        </w:rPr>
      </w:pPr>
      <w:r w:rsidRPr="004F60A2">
        <w:rPr>
          <w:rStyle w:val="StyleUnderline"/>
        </w:rPr>
        <w:t>A state or state instrumentality could fund an offshore wind program by issuing bonds, repurposing existing funds, or both to help finance a limited amount of initial projects</w:t>
      </w:r>
      <w:r w:rsidRPr="004F60A2">
        <w:rPr>
          <w:sz w:val="16"/>
        </w:rPr>
        <w:t>,</w:t>
      </w:r>
      <w:r w:rsidRPr="004F60A2">
        <w:rPr>
          <w:sz w:val="12"/>
        </w:rPr>
        <w:t xml:space="preserve"> </w:t>
      </w:r>
      <w:r w:rsidRPr="004F60A2">
        <w:rPr>
          <w:sz w:val="16"/>
        </w:rPr>
        <w:t xml:space="preserve">just as the KfW program does. </w:t>
      </w:r>
      <w:r w:rsidRPr="004F60A2">
        <w:rPr>
          <w:rStyle w:val="StyleUnderline"/>
        </w:rPr>
        <w:t>This could be done under the auspices of a public private financing institution that focuses on clean energy, colloquially called a “green bank.” Because of their low cost of capital, these entities can work</w:t>
      </w:r>
      <w:r w:rsidRPr="004F60A2">
        <w:rPr>
          <w:rStyle w:val="StyleUnderline"/>
          <w:b w:val="0"/>
          <w:sz w:val="12"/>
          <w:u w:val="none"/>
        </w:rPr>
        <w:t>¶</w:t>
      </w:r>
      <w:r w:rsidRPr="004F60A2">
        <w:rPr>
          <w:rStyle w:val="StyleUnderline"/>
        </w:rPr>
        <w:t xml:space="preserve"> creatively in partnership with private banks to deliver lower blended cost loans and increase the overall capital pool, allowing lenders to diversify across projects and more deals</w:t>
      </w:r>
      <w:r w:rsidRPr="004F60A2">
        <w:rPr>
          <w:rStyle w:val="StyleUnderline"/>
          <w:b w:val="0"/>
          <w:sz w:val="12"/>
          <w:u w:val="none"/>
        </w:rPr>
        <w:t>¶</w:t>
      </w:r>
      <w:r w:rsidRPr="004F60A2">
        <w:rPr>
          <w:rStyle w:val="StyleUnderline"/>
        </w:rPr>
        <w:t xml:space="preserve"> to be done</w:t>
      </w:r>
      <w:r w:rsidRPr="004F60A2">
        <w:rPr>
          <w:sz w:val="16"/>
        </w:rPr>
        <w:t>. In 2011, Connecticut launched the first green</w:t>
      </w:r>
      <w:r w:rsidRPr="004F60A2">
        <w:rPr>
          <w:sz w:val="12"/>
        </w:rPr>
        <w:t>¶</w:t>
      </w:r>
      <w:r w:rsidRPr="004F60A2">
        <w:rPr>
          <w:sz w:val="16"/>
        </w:rPr>
        <w:t xml:space="preserve"> bank and several other states have similar entities under</w:t>
      </w:r>
      <w:r w:rsidRPr="004F60A2">
        <w:rPr>
          <w:sz w:val="12"/>
        </w:rPr>
        <w:t>¶</w:t>
      </w:r>
      <w:r w:rsidRPr="004F60A2">
        <w:rPr>
          <w:sz w:val="16"/>
        </w:rPr>
        <w:t xml:space="preserve"> active consideration.41 In January 2013, New York’s Governor</w:t>
      </w:r>
      <w:r w:rsidRPr="004F60A2">
        <w:rPr>
          <w:sz w:val="12"/>
        </w:rPr>
        <w:t>¶</w:t>
      </w:r>
      <w:r w:rsidRPr="004F60A2">
        <w:rPr>
          <w:sz w:val="16"/>
        </w:rPr>
        <w:t xml:space="preserve"> Cuomo announced a new, potentially game-changing green</w:t>
      </w:r>
      <w:r w:rsidRPr="004F60A2">
        <w:rPr>
          <w:sz w:val="12"/>
        </w:rPr>
        <w:t>¶</w:t>
      </w:r>
      <w:r w:rsidRPr="004F60A2">
        <w:rPr>
          <w:sz w:val="16"/>
        </w:rPr>
        <w:t xml:space="preserve"> bank in New York that will have an initial capitalization of</w:t>
      </w:r>
      <w:r w:rsidRPr="004F60A2">
        <w:rPr>
          <w:sz w:val="12"/>
        </w:rPr>
        <w:t>¶</w:t>
      </w:r>
      <w:r w:rsidRPr="004F60A2">
        <w:rPr>
          <w:sz w:val="16"/>
        </w:rPr>
        <w:t xml:space="preserve"> US$1 billion.42 It would be a powerful market precedent if</w:t>
      </w:r>
      <w:r w:rsidRPr="004F60A2">
        <w:rPr>
          <w:sz w:val="12"/>
        </w:rPr>
        <w:t>¶</w:t>
      </w:r>
      <w:r w:rsidRPr="004F60A2">
        <w:rPr>
          <w:sz w:val="16"/>
        </w:rPr>
        <w:t xml:space="preserve"> the New York Collaborative mentioned earlier—LIPA, NYPA,</w:t>
      </w:r>
      <w:r w:rsidRPr="004F60A2">
        <w:rPr>
          <w:sz w:val="12"/>
        </w:rPr>
        <w:t>¶</w:t>
      </w:r>
      <w:r w:rsidRPr="004F60A2">
        <w:rPr>
          <w:sz w:val="16"/>
        </w:rPr>
        <w:t xml:space="preserve"> and Con Ed—were able to bundle New York green bank</w:t>
      </w:r>
      <w:r w:rsidRPr="004F60A2">
        <w:rPr>
          <w:sz w:val="12"/>
        </w:rPr>
        <w:t>¶</w:t>
      </w:r>
      <w:r w:rsidRPr="004F60A2">
        <w:rPr>
          <w:sz w:val="16"/>
        </w:rPr>
        <w:t xml:space="preserve"> anchor financing together with lease and power purchase</w:t>
      </w:r>
      <w:r w:rsidRPr="004F60A2">
        <w:rPr>
          <w:sz w:val="12"/>
        </w:rPr>
        <w:t>¶</w:t>
      </w:r>
      <w:r w:rsidRPr="004F60A2">
        <w:rPr>
          <w:sz w:val="16"/>
        </w:rPr>
        <w:t xml:space="preserve"> agreements and then competitively bid the entire package.</w:t>
      </w:r>
      <w:r w:rsidRPr="004F60A2">
        <w:rPr>
          <w:sz w:val="12"/>
        </w:rPr>
        <w:t>¶</w:t>
      </w:r>
      <w:r w:rsidRPr="004F60A2">
        <w:rPr>
          <w:sz w:val="16"/>
        </w:rPr>
        <w:t xml:space="preserve"> </w:t>
      </w:r>
      <w:r w:rsidRPr="004F60A2">
        <w:rPr>
          <w:rStyle w:val="StyleUnderline"/>
        </w:rPr>
        <w:t>This combination of revenue certainty, site control, and anchor financing would likely produce very competitive bids and low costs of delivered energy.</w:t>
      </w:r>
    </w:p>
    <w:p w:rsidR="004F60A2" w:rsidRPr="004F60A2" w:rsidRDefault="004F60A2" w:rsidP="004F60A2"/>
    <w:p w:rsidR="004F60A2" w:rsidRPr="004F60A2" w:rsidRDefault="004F60A2" w:rsidP="004F60A2"/>
    <w:p w:rsidR="004F60A2" w:rsidRPr="004F60A2" w:rsidRDefault="004F60A2" w:rsidP="004F60A2"/>
    <w:p w:rsidR="004F60A2" w:rsidRPr="004F60A2" w:rsidRDefault="004F60A2" w:rsidP="004F60A2">
      <w:pPr>
        <w:pStyle w:val="Heading1"/>
        <w:rPr>
          <w:rFonts w:cs="Arial"/>
        </w:rPr>
      </w:pPr>
      <w:r w:rsidRPr="004F60A2">
        <w:rPr>
          <w:rFonts w:cs="Arial"/>
        </w:rPr>
        <w:lastRenderedPageBreak/>
        <w:t>Aff CP</w:t>
      </w:r>
    </w:p>
    <w:p w:rsidR="004F60A2" w:rsidRPr="004F60A2" w:rsidRDefault="004F60A2" w:rsidP="004F60A2">
      <w:pPr>
        <w:pStyle w:val="Heading2"/>
        <w:rPr>
          <w:rFonts w:cs="Arial"/>
        </w:rPr>
      </w:pPr>
      <w:r w:rsidRPr="004F60A2">
        <w:rPr>
          <w:rFonts w:cs="Arial"/>
        </w:rPr>
        <w:lastRenderedPageBreak/>
        <w:t>Perm Exploration</w:t>
      </w:r>
    </w:p>
    <w:p w:rsidR="004F60A2" w:rsidRPr="004F60A2" w:rsidRDefault="004F60A2" w:rsidP="004F60A2">
      <w:pPr>
        <w:pStyle w:val="Heading3"/>
        <w:rPr>
          <w:rFonts w:cs="Arial"/>
        </w:rPr>
      </w:pPr>
      <w:r w:rsidRPr="004F60A2">
        <w:rPr>
          <w:rFonts w:cs="Arial"/>
        </w:rPr>
        <w:lastRenderedPageBreak/>
        <w:t>PDB?</w:t>
      </w:r>
    </w:p>
    <w:p w:rsidR="004F60A2" w:rsidRPr="004F60A2" w:rsidRDefault="004F60A2" w:rsidP="004F60A2">
      <w:pPr>
        <w:pStyle w:val="Heading4"/>
        <w:rPr>
          <w:rFonts w:cs="Arial"/>
        </w:rPr>
      </w:pPr>
      <w:r w:rsidRPr="004F60A2">
        <w:rPr>
          <w:rFonts w:cs="Arial"/>
        </w:rPr>
        <w:t>PDB double solvency?</w:t>
      </w:r>
    </w:p>
    <w:p w:rsidR="004F60A2" w:rsidRPr="004F60A2" w:rsidRDefault="004F60A2" w:rsidP="004F60A2">
      <w:pPr>
        <w:rPr>
          <w:bCs/>
          <w:sz w:val="16"/>
        </w:rPr>
      </w:pPr>
      <w:r w:rsidRPr="004F60A2">
        <w:rPr>
          <w:rStyle w:val="Style13ptBold"/>
        </w:rPr>
        <w:t xml:space="preserve">NOAA and AP 13, </w:t>
      </w:r>
      <w:r w:rsidRPr="004F60A2">
        <w:rPr>
          <w:rStyle w:val="Style13ptBold"/>
          <w:b w:val="0"/>
          <w:sz w:val="16"/>
        </w:rPr>
        <w:t>(National Oceanic and Atmospheric Administration and Aquarium of the Pacific) [</w:t>
      </w:r>
      <w:r w:rsidRPr="004F60A2">
        <w:rPr>
          <w:rStyle w:val="Style13ptBold"/>
          <w:b w:val="0"/>
          <w:sz w:val="16"/>
          <w:szCs w:val="16"/>
        </w:rPr>
        <w:t>Ocean Exploration 2020: A National Forum] (</w:t>
      </w:r>
      <w:hyperlink r:id="rId59" w:history="1">
        <w:r w:rsidRPr="004F60A2">
          <w:rPr>
            <w:rStyle w:val="Hyperlink"/>
            <w:sz w:val="16"/>
            <w:szCs w:val="16"/>
          </w:rPr>
          <w:t>http://oceanexplorer.noaa.gov/oceanexploration2020/oe2020_report.pdf</w:t>
        </w:r>
      </w:hyperlink>
      <w:r w:rsidRPr="004F60A2">
        <w:rPr>
          <w:rStyle w:val="Style13ptBold"/>
          <w:b w:val="0"/>
          <w:sz w:val="16"/>
          <w:szCs w:val="16"/>
        </w:rPr>
        <w:t>) (pg.17)//MC</w:t>
      </w:r>
    </w:p>
    <w:p w:rsidR="004F60A2" w:rsidRPr="004F60A2" w:rsidRDefault="004F60A2" w:rsidP="004F60A2">
      <w:pPr>
        <w:pStyle w:val="NoSpacing"/>
        <w:rPr>
          <w:rStyle w:val="StyleUnderline"/>
          <w:rFonts w:cs="Arial"/>
        </w:rPr>
      </w:pPr>
      <w:r w:rsidRPr="004F60A2">
        <w:rPr>
          <w:rFonts w:cs="Arial"/>
        </w:rPr>
        <w:t xml:space="preserve">Having a clear, focused set of ocean exploration priorities is a critical element in developing and sustaining a national program of ocean exploration. </w:t>
      </w:r>
      <w:r w:rsidRPr="004F60A2">
        <w:rPr>
          <w:rStyle w:val="StyleUnderline"/>
          <w:rFonts w:cs="Arial"/>
        </w:rPr>
        <w:t>While the national interest, including national security, should drive publicly funded ocean exploration, the interests of the funder will drive privately funded expeditions. However,</w:t>
      </w:r>
      <w:r w:rsidRPr="004F60A2">
        <w:rPr>
          <w:rFonts w:cs="Arial"/>
        </w:rPr>
        <w:t xml:space="preserve"> </w:t>
      </w:r>
      <w:r w:rsidRPr="004F60A2">
        <w:rPr>
          <w:rStyle w:val="StyleUnderline"/>
          <w:rFonts w:cs="Arial"/>
        </w:rPr>
        <w:t>if both public and private sector institutions shared a core set of priorities, it would increase the probability that all expeditions would be complementary and well integrated with the work of others</w:t>
      </w:r>
      <w:r w:rsidRPr="004F60A2">
        <w:rPr>
          <w:rFonts w:cs="Arial"/>
        </w:rPr>
        <w:t>. No group is better qualified to identify these priorities than the community of ocean explorers.</w:t>
      </w:r>
    </w:p>
    <w:p w:rsidR="004F60A2" w:rsidRPr="004F60A2" w:rsidRDefault="004F60A2" w:rsidP="004F60A2"/>
    <w:p w:rsidR="004F60A2" w:rsidRPr="004F60A2" w:rsidRDefault="004F60A2" w:rsidP="004F60A2">
      <w:pPr>
        <w:pStyle w:val="Heading3"/>
        <w:rPr>
          <w:rFonts w:cs="Arial"/>
        </w:rPr>
      </w:pPr>
      <w:r w:rsidRPr="004F60A2">
        <w:rPr>
          <w:rFonts w:cs="Arial"/>
        </w:rPr>
        <w:lastRenderedPageBreak/>
        <w:t>PD CP?</w:t>
      </w:r>
    </w:p>
    <w:p w:rsidR="004F60A2" w:rsidRPr="004F60A2" w:rsidRDefault="004F60A2" w:rsidP="004F60A2">
      <w:pPr>
        <w:pStyle w:val="Heading4"/>
        <w:rPr>
          <w:rFonts w:cs="Arial"/>
        </w:rPr>
      </w:pPr>
      <w:r w:rsidRPr="004F60A2">
        <w:rPr>
          <w:rFonts w:cs="Arial"/>
        </w:rPr>
        <w:t>Perm do the counter-plan?</w:t>
      </w:r>
    </w:p>
    <w:p w:rsidR="004F60A2" w:rsidRPr="004F60A2" w:rsidRDefault="004F60A2" w:rsidP="004F60A2">
      <w:pPr>
        <w:rPr>
          <w:bCs/>
          <w:sz w:val="16"/>
        </w:rPr>
      </w:pPr>
      <w:r w:rsidRPr="004F60A2">
        <w:rPr>
          <w:rStyle w:val="Style13ptBold"/>
        </w:rPr>
        <w:t xml:space="preserve">NOAA and AP 13, </w:t>
      </w:r>
      <w:r w:rsidRPr="004F60A2">
        <w:rPr>
          <w:rStyle w:val="Style13ptBold"/>
          <w:b w:val="0"/>
          <w:sz w:val="16"/>
        </w:rPr>
        <w:t>(National Oceanic and Atmospheric Administration and Aquarium of the Pacific) [</w:t>
      </w:r>
      <w:r w:rsidRPr="004F60A2">
        <w:rPr>
          <w:rStyle w:val="Style13ptBold"/>
          <w:b w:val="0"/>
          <w:sz w:val="16"/>
          <w:szCs w:val="16"/>
        </w:rPr>
        <w:t>Ocean Exploration 2020: A National Forum] (</w:t>
      </w:r>
      <w:hyperlink r:id="rId60" w:history="1">
        <w:r w:rsidRPr="004F60A2">
          <w:rPr>
            <w:rStyle w:val="Hyperlink"/>
            <w:sz w:val="16"/>
            <w:szCs w:val="16"/>
          </w:rPr>
          <w:t>http://oceanexplorer.noaa.gov/oceanexploration2020/oe2020_report.pdf</w:t>
        </w:r>
      </w:hyperlink>
      <w:r w:rsidRPr="004F60A2">
        <w:rPr>
          <w:rStyle w:val="Style13ptBold"/>
          <w:b w:val="0"/>
          <w:sz w:val="16"/>
          <w:szCs w:val="16"/>
        </w:rPr>
        <w:t>) (Pg.21)//MC</w:t>
      </w:r>
    </w:p>
    <w:p w:rsidR="004F60A2" w:rsidRPr="004F60A2" w:rsidRDefault="004F60A2" w:rsidP="004F60A2">
      <w:pPr>
        <w:pStyle w:val="NoSpacing"/>
        <w:rPr>
          <w:rStyle w:val="StyleUnderline"/>
          <w:rFonts w:cs="Arial"/>
        </w:rPr>
      </w:pPr>
      <w:r w:rsidRPr="004F60A2">
        <w:rPr>
          <w:rStyle w:val="StyleUnderline"/>
          <w:rFonts w:cs="Arial"/>
        </w:rPr>
        <w:t>Each individual</w:t>
      </w:r>
      <w:r w:rsidRPr="004F60A2">
        <w:rPr>
          <w:rFonts w:cs="Arial"/>
        </w:rPr>
        <w:t xml:space="preserve"> and each institution b</w:t>
      </w:r>
      <w:r w:rsidRPr="004F60A2">
        <w:rPr>
          <w:rStyle w:val="StyleUnderline"/>
          <w:rFonts w:cs="Arial"/>
        </w:rPr>
        <w:t>rings experience, expertise, and creativity to the table. Partnerships that bring together individuals and institutions</w:t>
      </w:r>
      <w:r w:rsidRPr="004F60A2">
        <w:rPr>
          <w:rFonts w:cs="Arial"/>
        </w:rPr>
        <w:t xml:space="preserve"> that span multiple interfaces </w:t>
      </w:r>
      <w:r w:rsidRPr="004F60A2">
        <w:rPr>
          <w:rStyle w:val="StyleUnderline"/>
          <w:rFonts w:cs="Arial"/>
        </w:rPr>
        <w:t>among different sectors enhance the potential for significant new advances in discovery, understanding, wisdom, and action. In a time of shrinking federal resources, if there is to be an effective national program of exploration, it will be accomplished through partnerships.</w:t>
      </w:r>
    </w:p>
    <w:p w:rsidR="004F60A2" w:rsidRPr="004F60A2" w:rsidRDefault="004F60A2" w:rsidP="004F60A2">
      <w:pPr>
        <w:pStyle w:val="NoSpacing"/>
        <w:rPr>
          <w:rFonts w:cs="Arial"/>
        </w:rPr>
      </w:pPr>
      <w:r w:rsidRPr="004F60A2">
        <w:rPr>
          <w:rFonts w:cs="Arial"/>
        </w:rPr>
        <w:t xml:space="preserve">There was </w:t>
      </w:r>
      <w:r w:rsidRPr="004F60A2">
        <w:rPr>
          <w:rStyle w:val="StyleUnderline"/>
          <w:rFonts w:cs="Arial"/>
        </w:rPr>
        <w:t>a strong consensus</w:t>
      </w:r>
      <w:r w:rsidRPr="004F60A2">
        <w:rPr>
          <w:rFonts w:cs="Arial"/>
        </w:rPr>
        <w:t>-near unanimity-</w:t>
      </w:r>
      <w:r w:rsidRPr="004F60A2">
        <w:rPr>
          <w:rStyle w:val="StyleUnderline"/>
          <w:rFonts w:cs="Arial"/>
        </w:rPr>
        <w:t>that in 2020 and beyond, most ocean exploration expeditions and programs will be partnerships-public and private</w:t>
      </w:r>
      <w:r w:rsidRPr="004F60A2">
        <w:rPr>
          <w:rFonts w:cs="Arial"/>
        </w:rPr>
        <w:t xml:space="preserve">, national and international. </w:t>
      </w:r>
      <w:r w:rsidRPr="004F60A2">
        <w:rPr>
          <w:rStyle w:val="StyleUnderline"/>
          <w:rFonts w:cs="Arial"/>
        </w:rPr>
        <w:t xml:space="preserve">NOAA has been assigned a leadership role in developing and sustaining a national program of ocean exploration </w:t>
      </w:r>
      <w:r w:rsidRPr="004F60A2">
        <w:rPr>
          <w:rFonts w:cs="Arial"/>
        </w:rPr>
        <w:t>under the Ocean Exploration Act of 2009 (Public Law 11 1-1 1 The act mandated that NOAA undertake this responsibility in collaboration with other federal agencies.</w:t>
      </w:r>
    </w:p>
    <w:p w:rsidR="004F60A2" w:rsidRPr="004F60A2" w:rsidRDefault="004F60A2" w:rsidP="004F60A2">
      <w:pPr>
        <w:pStyle w:val="NoSpacing"/>
        <w:rPr>
          <w:rFonts w:cs="Arial"/>
        </w:rPr>
      </w:pPr>
      <w:r w:rsidRPr="004F60A2">
        <w:rPr>
          <w:rFonts w:cs="Arial"/>
        </w:rPr>
        <w:t xml:space="preserve">Ocean Exploration 2020 invitees felt that </w:t>
      </w:r>
      <w:r w:rsidRPr="004F60A2">
        <w:rPr>
          <w:rStyle w:val="StyleUnderline"/>
          <w:rFonts w:cs="Arial"/>
        </w:rPr>
        <w:t>federal and academic programs should be more assertive in seeking partnerships with ocean industries</w:t>
      </w:r>
      <w:r w:rsidRPr="004F60A2">
        <w:rPr>
          <w:rFonts w:cs="Arial"/>
        </w:rPr>
        <w:t>. It was, however, acknowledged that the necessity of sharing data might pose a challenge for some industry partners as well as federal agencies with restricted missions, like the Navy's Office of Naval Research.</w:t>
      </w:r>
    </w:p>
    <w:p w:rsidR="004F60A2" w:rsidRPr="004F60A2" w:rsidRDefault="004F60A2" w:rsidP="004F60A2">
      <w:pPr>
        <w:pStyle w:val="NoSpacing"/>
        <w:rPr>
          <w:rFonts w:cs="Arial"/>
        </w:rPr>
      </w:pPr>
    </w:p>
    <w:p w:rsidR="004F60A2" w:rsidRPr="004F60A2" w:rsidRDefault="004F60A2" w:rsidP="004F60A2">
      <w:pPr>
        <w:pStyle w:val="NoSpacing"/>
        <w:rPr>
          <w:rFonts w:cs="Arial"/>
        </w:rPr>
      </w:pPr>
    </w:p>
    <w:p w:rsidR="004F60A2" w:rsidRPr="004F60A2" w:rsidRDefault="004F60A2" w:rsidP="004F60A2"/>
    <w:p w:rsidR="004F60A2" w:rsidRPr="004F60A2" w:rsidRDefault="004F60A2" w:rsidP="004F60A2">
      <w:pPr>
        <w:pStyle w:val="Heading2"/>
        <w:rPr>
          <w:rFonts w:cs="Arial"/>
        </w:rPr>
      </w:pPr>
      <w:r w:rsidRPr="004F60A2">
        <w:rPr>
          <w:rFonts w:cs="Arial"/>
        </w:rPr>
        <w:lastRenderedPageBreak/>
        <w:t>SD</w:t>
      </w:r>
    </w:p>
    <w:p w:rsidR="004F60A2" w:rsidRPr="004F60A2" w:rsidRDefault="004F60A2" w:rsidP="004F60A2">
      <w:pPr>
        <w:pStyle w:val="Heading3"/>
        <w:rPr>
          <w:rFonts w:cs="Arial"/>
        </w:rPr>
      </w:pPr>
      <w:r w:rsidRPr="004F60A2">
        <w:rPr>
          <w:rFonts w:cs="Arial"/>
        </w:rPr>
        <w:lastRenderedPageBreak/>
        <w:t>Regulations</w:t>
      </w:r>
    </w:p>
    <w:p w:rsidR="004F60A2" w:rsidRPr="004F60A2" w:rsidRDefault="004F60A2" w:rsidP="004F60A2">
      <w:pPr>
        <w:pStyle w:val="Heading4"/>
        <w:rPr>
          <w:rFonts w:cs="Arial"/>
        </w:rPr>
      </w:pPr>
      <w:r w:rsidRPr="004F60A2">
        <w:rPr>
          <w:rFonts w:cs="Arial"/>
        </w:rPr>
        <w:t>Regulations block states</w:t>
      </w:r>
    </w:p>
    <w:p w:rsidR="004F60A2" w:rsidRPr="004F60A2" w:rsidRDefault="004F60A2" w:rsidP="004F60A2">
      <w:pPr>
        <w:rPr>
          <w:rStyle w:val="Style13ptBold"/>
          <w:b w:val="0"/>
          <w:sz w:val="16"/>
        </w:rPr>
      </w:pPr>
      <w:r w:rsidRPr="004F60A2">
        <w:rPr>
          <w:rStyle w:val="Style13ptBold"/>
        </w:rPr>
        <w:t xml:space="preserve">Nordman 14- </w:t>
      </w:r>
      <w:r w:rsidRPr="004F60A2">
        <w:rPr>
          <w:rStyle w:val="Style13ptBold"/>
          <w:b w:val="0"/>
          <w:sz w:val="16"/>
        </w:rPr>
        <w:t xml:space="preserve">Erik Nordman, </w:t>
      </w:r>
      <w:r w:rsidRPr="004F60A2">
        <w:rPr>
          <w:sz w:val="16"/>
        </w:rPr>
        <w:t>Ph.D. - State University of New York, College of Environmental Science and Forestry at Syracuse, January 2014 [“Behavioral approaches to environmental policy analysis: A case study of offshore wind energy in the North American Great Lakes”] http://works.bepress.com/cgi/viewcontent.cgi?article=1050&amp;context=erik_nordman</w:t>
      </w:r>
    </w:p>
    <w:p w:rsidR="004F60A2" w:rsidRPr="004F60A2" w:rsidRDefault="004F60A2" w:rsidP="004F60A2">
      <w:pPr>
        <w:rPr>
          <w:sz w:val="16"/>
        </w:rPr>
      </w:pPr>
      <w:r w:rsidRPr="004F60A2">
        <w:rPr>
          <w:rStyle w:val="StyleUnderline"/>
        </w:rPr>
        <w:t>Michigan has outstanding offshore wind energy resources but lacks a clear policy framework through which the private sector can access the state-owned lake bottomlands</w:t>
      </w:r>
      <w:r w:rsidRPr="004F60A2">
        <w:rPr>
          <w:sz w:val="16"/>
        </w:rPr>
        <w:t xml:space="preserve">. While offshore wind energy is not prohibited, </w:t>
      </w:r>
      <w:r w:rsidRPr="004F60A2">
        <w:rPr>
          <w:rStyle w:val="StyleUnderline"/>
        </w:rPr>
        <w:t>the regulatory uncertainty provides a strong disincentive toward such infrastructure investments.</w:t>
      </w:r>
      <w:r w:rsidRPr="004F60A2">
        <w:rPr>
          <w:sz w:val="16"/>
        </w:rPr>
        <w:t xml:space="preserve"> </w:t>
      </w:r>
      <w:r w:rsidRPr="004F60A2">
        <w:rPr>
          <w:rStyle w:val="StyleUnderline"/>
        </w:rPr>
        <w:t>Attempts to clear the regulatory hurdles have failed to pass through the state legislature and there seems to be little enthusiasm to sponsor a bill that would facilitate offshore wind energy development</w:t>
      </w:r>
      <w:r w:rsidRPr="004F60A2">
        <w:rPr>
          <w:sz w:val="16"/>
        </w:rPr>
        <w:t xml:space="preserve"> in Michigan. On the other hand, several bills have been introduced that would ban offshore wind energy development from Michigan’s Great Lakes. Prospect theory can explain some aspects of this policy paralysis. The benefits of offshore wind energy – particularly in reducing air pollution from other generating sources – accrue to a broad range of residents inside and outside Michigan, while the potential, but uncertain and relatively smaller, property value and aesthetic impacts accrue to a particular constituency. </w:t>
      </w:r>
      <w:r w:rsidRPr="004F60A2">
        <w:rPr>
          <w:rStyle w:val="StyleUnderline"/>
        </w:rPr>
        <w:t>There is little incentive for a legislator to advocate for offshore wind energy policy and strong incentives for particular legislators to advocate a ban.</w:t>
      </w:r>
      <w:r w:rsidRPr="004F60A2">
        <w:rPr>
          <w:sz w:val="16"/>
        </w:rPr>
        <w:t xml:space="preserve"> Prospect theory’s emphasis on risk aversion, status quo bias, and framing add to the explanation and offer ways forward. Environmental Politics We offer several approaches for moving the policy discussion forward. Framing the issue from a loss domain – such as losing out to neighboring states on an emerging industry – could encourage voters and legislators to be more open to the regulatory reform needed to facilitate offshore wind energy development in Michigan’s Great Lakes. Framing the policy reform from a gains domain requires the potential for a large, rather than incremental, benefit. </w:t>
      </w:r>
      <w:r w:rsidRPr="004F60A2">
        <w:rPr>
          <w:rStyle w:val="StyleUnderline"/>
        </w:rPr>
        <w:t>The reform would need to go beyond simply permitting to perhaps an industrial policy aimed at making Michigan the Great Lakes hub for offshore wind energy.</w:t>
      </w:r>
      <w:r w:rsidRPr="004F60A2">
        <w:rPr>
          <w:sz w:val="16"/>
        </w:rPr>
        <w:t xml:space="preserve"> Regional collaborative approaches, from a federally coordinated MOU to a multi-state compact, could encourage Michigan to adopt a coherent, basin-wide offshore wind permitting system. A ban on offshore wind energy (and associated research) has been proposed but does not, at the moment, have much support. However the uncertainty surrounding Michigan’s offshore wind energy permitting system discourages investment and the status quo may be as good as a ban. </w:t>
      </w:r>
      <w:r w:rsidRPr="004F60A2">
        <w:rPr>
          <w:sz w:val="16"/>
        </w:rPr>
        <w:cr/>
      </w:r>
    </w:p>
    <w:p w:rsidR="004F60A2" w:rsidRPr="004F60A2" w:rsidRDefault="004F60A2" w:rsidP="004F60A2"/>
    <w:p w:rsidR="004F60A2" w:rsidRPr="004F60A2" w:rsidRDefault="004F60A2" w:rsidP="004F60A2">
      <w:pPr>
        <w:pStyle w:val="Heading4"/>
        <w:rPr>
          <w:rFonts w:cs="Arial"/>
        </w:rPr>
      </w:pPr>
      <w:r w:rsidRPr="004F60A2">
        <w:rPr>
          <w:rFonts w:cs="Arial"/>
        </w:rPr>
        <w:t>Regulations means the counterplan alone can only work outside of US waters – means the counterplan doesn’t solve Oceans.</w:t>
      </w:r>
    </w:p>
    <w:p w:rsidR="004F60A2" w:rsidRPr="004F60A2" w:rsidRDefault="004F60A2" w:rsidP="004F60A2">
      <w:pPr>
        <w:rPr>
          <w:rStyle w:val="Style13ptBold"/>
          <w:b w:val="0"/>
          <w:sz w:val="16"/>
        </w:rPr>
      </w:pPr>
      <w:r w:rsidRPr="004F60A2">
        <w:rPr>
          <w:rStyle w:val="Style13ptBold"/>
        </w:rPr>
        <w:t>Pomponi 01 –</w:t>
      </w:r>
      <w:r w:rsidRPr="004F60A2">
        <w:rPr>
          <w:rStyle w:val="Style13ptBold"/>
          <w:b w:val="0"/>
          <w:sz w:val="16"/>
        </w:rPr>
        <w:t xml:space="preserve"> Shirley Pomponi, Senior Research Professor, Harbor Branch Oceanographic Institute, Florida Atlantic University, 2001 [“The oceans and human health: the discovery and development of marine-derived drugs”] Oceanography Vol. 14 Issue 1, </w:t>
      </w:r>
      <w:hyperlink r:id="rId61" w:history="1">
        <w:r w:rsidRPr="004F60A2">
          <w:rPr>
            <w:rStyle w:val="Hyperlink"/>
            <w:sz w:val="16"/>
          </w:rPr>
          <w:t>http://www.tos.org/oceanography/archive/14-1_pomponi.pdf</w:t>
        </w:r>
      </w:hyperlink>
      <w:r w:rsidRPr="004F60A2">
        <w:rPr>
          <w:rStyle w:val="Style13ptBold"/>
          <w:b w:val="0"/>
          <w:sz w:val="16"/>
        </w:rPr>
        <w:t xml:space="preserve"> //MD</w:t>
      </w:r>
    </w:p>
    <w:p w:rsidR="004F60A2" w:rsidRPr="004F60A2" w:rsidRDefault="004F60A2" w:rsidP="004F60A2">
      <w:pPr>
        <w:rPr>
          <w:rStyle w:val="Emphasis"/>
        </w:rPr>
      </w:pPr>
      <w:r w:rsidRPr="004F60A2">
        <w:rPr>
          <w:rStyle w:val="StyleUnderline"/>
        </w:rPr>
        <w:t>The exploration of new geographic areas will undoubtedly focus on areas outside of U.S. jurisdiction. Indeed, since most of the tropical seas-the areas of focus of most biodiversity prospecting-are under the jurisdiction of other countries, compliance with national and international regulations regarding access, extraction of natural resources, and exporting materials has been an essential element of marine natural products drug discovery to date.</w:t>
      </w:r>
      <w:r w:rsidRPr="004F60A2">
        <w:t xml:space="preserve"> </w:t>
      </w:r>
      <w:r w:rsidRPr="004F60A2">
        <w:rPr>
          <w:rStyle w:val="StyleUnderline"/>
        </w:rPr>
        <w:t xml:space="preserve">Working in a country's territorial waters, collecting samples and exporting those samples involves </w:t>
      </w:r>
      <w:r w:rsidRPr="004F60A2">
        <w:rPr>
          <w:rStyle w:val="Emphasis"/>
        </w:rPr>
        <w:t>obtaining permits from and coordinating the interaction of several national and state agencies</w:t>
      </w:r>
      <w:r w:rsidRPr="004F60A2">
        <w:t xml:space="preserve">, e.g. defense, fisheries, and national parks, to name a few. </w:t>
      </w:r>
      <w:r w:rsidRPr="004F60A2">
        <w:rPr>
          <w:rStyle w:val="StyleUnderline"/>
        </w:rPr>
        <w:t xml:space="preserve">It is often a </w:t>
      </w:r>
      <w:r w:rsidRPr="004F60A2">
        <w:rPr>
          <w:rStyle w:val="Emphasis"/>
        </w:rPr>
        <w:t>lengthy process</w:t>
      </w:r>
      <w:r w:rsidRPr="004F60A2">
        <w:rPr>
          <w:rStyle w:val="StyleUnderline"/>
        </w:rPr>
        <w:t xml:space="preserve">, and plans for foreign collections must be made </w:t>
      </w:r>
      <w:r w:rsidRPr="004F60A2">
        <w:rPr>
          <w:rStyle w:val="Emphasis"/>
        </w:rPr>
        <w:t xml:space="preserve">several months or even years in advance of the expedition. </w:t>
      </w:r>
    </w:p>
    <w:p w:rsidR="004F60A2" w:rsidRPr="004F60A2" w:rsidRDefault="004F60A2" w:rsidP="004F60A2"/>
    <w:p w:rsidR="004F60A2" w:rsidRPr="004F60A2" w:rsidRDefault="004F60A2" w:rsidP="004F60A2">
      <w:pPr>
        <w:pStyle w:val="Heading3"/>
        <w:rPr>
          <w:rFonts w:cs="Arial"/>
        </w:rPr>
      </w:pPr>
      <w:r w:rsidRPr="004F60A2">
        <w:rPr>
          <w:rFonts w:cs="Arial"/>
        </w:rPr>
        <w:lastRenderedPageBreak/>
        <w:t>Loans</w:t>
      </w:r>
    </w:p>
    <w:p w:rsidR="004F60A2" w:rsidRPr="004F60A2" w:rsidRDefault="004F60A2" w:rsidP="004F60A2">
      <w:pPr>
        <w:pStyle w:val="Heading4"/>
        <w:rPr>
          <w:rFonts w:cs="Arial"/>
        </w:rPr>
      </w:pPr>
      <w:r w:rsidRPr="004F60A2">
        <w:rPr>
          <w:rFonts w:cs="Arial"/>
        </w:rPr>
        <w:t>Loans force rapid repayment – guts solvency</w:t>
      </w:r>
    </w:p>
    <w:p w:rsidR="004F60A2" w:rsidRPr="004F60A2" w:rsidRDefault="004F60A2" w:rsidP="004F60A2">
      <w:pPr>
        <w:rPr>
          <w:bCs/>
          <w:sz w:val="16"/>
        </w:rPr>
      </w:pPr>
      <w:r w:rsidRPr="004F60A2">
        <w:rPr>
          <w:rStyle w:val="Style13ptBold"/>
        </w:rPr>
        <w:t xml:space="preserve">Harmon 11, </w:t>
      </w:r>
      <w:r w:rsidRPr="004F60A2">
        <w:rPr>
          <w:rStyle w:val="Style13ptBold"/>
          <w:b w:val="0"/>
          <w:sz w:val="16"/>
        </w:rPr>
        <w:t>(Robert K. – member of the Oregon Wave Energy Trust (OWET) is a nonprofit public-private partnership funded by the Oregon Innovation Council.) [Incentivizing Ocean Energy] (</w:t>
      </w:r>
      <w:hyperlink r:id="rId62" w:history="1">
        <w:r w:rsidRPr="004F60A2">
          <w:rPr>
            <w:rStyle w:val="Hyperlink"/>
            <w:sz w:val="16"/>
          </w:rPr>
          <w:t>http://oregonwave.org/oceanic/wp-content/uploads/2013/05/Incentivizing-Ocean-Energy-%E2%80%93-July-2011.pdf</w:t>
        </w:r>
      </w:hyperlink>
      <w:r w:rsidRPr="004F60A2">
        <w:rPr>
          <w:rStyle w:val="Style13ptBold"/>
          <w:b w:val="0"/>
          <w:sz w:val="16"/>
        </w:rPr>
        <w:t>) (pg.15) //MC</w:t>
      </w:r>
    </w:p>
    <w:p w:rsidR="004F60A2" w:rsidRPr="004F60A2" w:rsidRDefault="004F60A2" w:rsidP="004F60A2">
      <w:pPr>
        <w:rPr>
          <w:sz w:val="16"/>
        </w:rPr>
      </w:pPr>
      <w:r w:rsidRPr="004F60A2">
        <w:rPr>
          <w:rStyle w:val="StyleUnderline"/>
        </w:rPr>
        <w:t>Loan incentives</w:t>
      </w:r>
      <w:r w:rsidRPr="004F60A2">
        <w:rPr>
          <w:sz w:val="16"/>
        </w:rPr>
        <w:t xml:space="preserve"> tend to </w:t>
      </w:r>
      <w:r w:rsidRPr="004F60A2">
        <w:rPr>
          <w:rStyle w:val="StyleUnderline"/>
        </w:rPr>
        <w:t>support demonstration and pilot-scale units</w:t>
      </w:r>
      <w:r w:rsidRPr="004F60A2">
        <w:rPr>
          <w:sz w:val="16"/>
        </w:rPr>
        <w:t xml:space="preserve">, as well as initial production facilities, </w:t>
      </w:r>
      <w:r w:rsidRPr="004F60A2">
        <w:rPr>
          <w:rStyle w:val="StyleUnderline"/>
        </w:rPr>
        <w:t>but</w:t>
      </w:r>
      <w:r w:rsidRPr="004F60A2">
        <w:rPr>
          <w:sz w:val="16"/>
        </w:rPr>
        <w:t xml:space="preserve"> they </w:t>
      </w:r>
      <w:r w:rsidRPr="004F60A2">
        <w:rPr>
          <w:rStyle w:val="StyleUnderline"/>
        </w:rPr>
        <w:t>provide more limited support in the experimental and research and development phases of technology development</w:t>
      </w:r>
      <w:r w:rsidRPr="004F60A2">
        <w:rPr>
          <w:sz w:val="16"/>
        </w:rPr>
        <w:t xml:space="preserve">. </w:t>
      </w:r>
      <w:r w:rsidRPr="004F60A2">
        <w:rPr>
          <w:rStyle w:val="StyleUnderline"/>
        </w:rPr>
        <w:t>The core drawback</w:t>
      </w:r>
      <w:r w:rsidRPr="004F60A2">
        <w:rPr>
          <w:sz w:val="16"/>
        </w:rPr>
        <w:t xml:space="preserve"> of financing incentives from a developer perspective </w:t>
      </w:r>
      <w:r w:rsidRPr="004F60A2">
        <w:rPr>
          <w:rStyle w:val="StyleUnderline"/>
        </w:rPr>
        <w:t xml:space="preserve">is </w:t>
      </w:r>
      <w:r w:rsidRPr="004F60A2">
        <w:rPr>
          <w:sz w:val="16"/>
        </w:rPr>
        <w:t xml:space="preserve">simply </w:t>
      </w:r>
      <w:r w:rsidRPr="004F60A2">
        <w:rPr>
          <w:rStyle w:val="StyleUnderline"/>
        </w:rPr>
        <w:t>that they must be paid back on defined schedules. Unlike grants and tax credits</w:t>
      </w:r>
      <w:r w:rsidRPr="004F60A2">
        <w:rPr>
          <w:sz w:val="16"/>
        </w:rPr>
        <w:t xml:space="preserve">, which rely on proper partnership structuring to offset direct costs, financing incentives still rely on the developer to produce enough energy, and subsequently generate enough income, to meet the repayment requirements. </w:t>
      </w:r>
      <w:r w:rsidRPr="004F60A2">
        <w:rPr>
          <w:rStyle w:val="StyleUnderline"/>
        </w:rPr>
        <w:t>Current ocean technologies lack revenue and have uncertain prospective income in the near future.</w:t>
      </w:r>
      <w:r w:rsidRPr="004F60A2">
        <w:rPr>
          <w:sz w:val="16"/>
        </w:rPr>
        <w:t xml:space="preserve"> This is not an inherent attribute of ocean technologies; </w:t>
      </w:r>
      <w:r w:rsidRPr="004F60A2">
        <w:rPr>
          <w:rStyle w:val="StyleUnderline"/>
        </w:rPr>
        <w:t>it is simply the reality of the current state of the technology, which is focused on single-device or small-scale array testing. Forcing the long-term generation of energy to repay debts could result in the premature commercial deployment of what may be sub-optimal energy extraction devices.</w:t>
      </w:r>
      <w:r w:rsidRPr="004F60A2">
        <w:rPr>
          <w:sz w:val="16"/>
        </w:rPr>
        <w:t xml:space="preserve"> Given the vast potential of ocean energy, it is important to avoid the premature convergence on commercial designs that could ultimately stunt industry success and growth.</w:t>
      </w:r>
    </w:p>
    <w:p w:rsidR="004F60A2" w:rsidRPr="004F60A2" w:rsidRDefault="004F60A2" w:rsidP="004F60A2"/>
    <w:p w:rsidR="004F60A2" w:rsidRPr="004F60A2" w:rsidRDefault="004F60A2" w:rsidP="004F60A2"/>
    <w:p w:rsidR="004F60A2" w:rsidRPr="004F60A2" w:rsidRDefault="004F60A2" w:rsidP="004F60A2">
      <w:pPr>
        <w:pStyle w:val="Heading3"/>
        <w:rPr>
          <w:rFonts w:cs="Arial"/>
        </w:rPr>
      </w:pPr>
      <w:r w:rsidRPr="004F60A2">
        <w:rPr>
          <w:rFonts w:cs="Arial"/>
        </w:rPr>
        <w:lastRenderedPageBreak/>
        <w:t>EMR</w:t>
      </w:r>
    </w:p>
    <w:p w:rsidR="004F60A2" w:rsidRPr="004F60A2" w:rsidRDefault="004F60A2" w:rsidP="004F60A2">
      <w:pPr>
        <w:pStyle w:val="Heading4"/>
        <w:rPr>
          <w:rFonts w:cs="Arial"/>
        </w:rPr>
      </w:pPr>
      <w:r w:rsidRPr="004F60A2">
        <w:rPr>
          <w:rFonts w:cs="Arial"/>
        </w:rPr>
        <w:t>Electricity Market Reform means private companies can’t solve.</w:t>
      </w:r>
    </w:p>
    <w:p w:rsidR="004F60A2" w:rsidRPr="004F60A2" w:rsidRDefault="004F60A2" w:rsidP="004F60A2">
      <w:pPr>
        <w:rPr>
          <w:rStyle w:val="Style13ptBold"/>
          <w:b w:val="0"/>
          <w:sz w:val="16"/>
        </w:rPr>
      </w:pPr>
      <w:r w:rsidRPr="004F60A2">
        <w:rPr>
          <w:rStyle w:val="Style13ptBold"/>
        </w:rPr>
        <w:t xml:space="preserve">Gross et al. 14- </w:t>
      </w:r>
      <w:r w:rsidRPr="004F60A2">
        <w:rPr>
          <w:rStyle w:val="Style13ptBold"/>
          <w:b w:val="0"/>
          <w:sz w:val="16"/>
        </w:rPr>
        <w:t>Robert Gross, Phil Heptonstall, Philip Greenacre, Chiara Candelise, Felicity Jones, Arturo Castillo Castillo, Senior Sales and Marketing Engineer at iSine Inc Sr. Engineer at iSine Inc., January 16</w:t>
      </w:r>
      <w:r w:rsidRPr="004F60A2">
        <w:rPr>
          <w:rStyle w:val="Style13ptBold"/>
          <w:b w:val="0"/>
          <w:sz w:val="16"/>
          <w:vertAlign w:val="superscript"/>
        </w:rPr>
        <w:t>th</w:t>
      </w:r>
      <w:r w:rsidRPr="004F60A2">
        <w:rPr>
          <w:rStyle w:val="Style13ptBold"/>
          <w:b w:val="0"/>
          <w:sz w:val="16"/>
        </w:rPr>
        <w:t xml:space="preserve"> 2014, [“Presenting the Future”] </w:t>
      </w:r>
      <w:hyperlink r:id="rId63" w:history="1">
        <w:r w:rsidRPr="004F60A2">
          <w:rPr>
            <w:rStyle w:val="Hyperlink"/>
            <w:sz w:val="16"/>
          </w:rPr>
          <w:t>https://spiral.imperial.ac.uk/bitstream/10044/1/12648/4/Cost%20report%20low%20res.pdf</w:t>
        </w:r>
      </w:hyperlink>
      <w:r w:rsidRPr="004F60A2">
        <w:rPr>
          <w:rStyle w:val="Style13ptBold"/>
          <w:b w:val="0"/>
          <w:sz w:val="16"/>
        </w:rPr>
        <w:t xml:space="preserve"> //MD</w:t>
      </w:r>
    </w:p>
    <w:p w:rsidR="004F60A2" w:rsidRPr="004F60A2" w:rsidRDefault="004F60A2" w:rsidP="004F60A2">
      <w:pPr>
        <w:rPr>
          <w:sz w:val="16"/>
        </w:rPr>
      </w:pPr>
      <w:r w:rsidRPr="004F60A2">
        <w:rPr>
          <w:rStyle w:val="StyleUnderline"/>
        </w:rPr>
        <w:t>In the shorter term, the UK has committed to meeting 15% of its final energy consumption from renewable sources by 2020 in order to comply with the EU Renewables Directive</w:t>
      </w:r>
      <w:r w:rsidRPr="004F60A2">
        <w:rPr>
          <w:sz w:val="16"/>
        </w:rPr>
        <w:t xml:space="preserve"> (EC 2009). </w:t>
      </w:r>
      <w:r w:rsidRPr="004F60A2">
        <w:rPr>
          <w:rStyle w:val="StyleUnderline"/>
        </w:rPr>
        <w:t>Again, the choice of technologies to meet the target are influenced by cost projections</w:t>
      </w:r>
      <w:r w:rsidRPr="004F60A2">
        <w:rPr>
          <w:sz w:val="16"/>
        </w:rPr>
        <w:t xml:space="preserve"> (Greenacre et al. 2010). </w:t>
      </w:r>
      <w:r w:rsidRPr="004F60A2">
        <w:rPr>
          <w:rStyle w:val="StyleUnderline"/>
        </w:rPr>
        <w:t>Finally, the role and accuracy of generation cost projections has increased in policy importance as a result of the government's proposals for Electricity Market Reform</w:t>
      </w:r>
      <w:r w:rsidRPr="004F60A2">
        <w:rPr>
          <w:sz w:val="16"/>
        </w:rPr>
        <w:t xml:space="preserve"> (EMR) (HM Government 2012). </w:t>
      </w:r>
      <w:r w:rsidRPr="004F60A2">
        <w:rPr>
          <w:rStyle w:val="Emphasis"/>
        </w:rPr>
        <w:t>EMR will shift key aspects of power sector investment choices away from private companies and back towards the government.</w:t>
      </w:r>
      <w:r w:rsidRPr="004F60A2">
        <w:rPr>
          <w:sz w:val="16"/>
        </w:rPr>
        <w:t xml:space="preserve"> </w:t>
      </w:r>
      <w:r w:rsidRPr="004F60A2">
        <w:rPr>
          <w:rStyle w:val="StyleUnderline"/>
        </w:rPr>
        <w:t>Government will be responsible for setting Contracts for Difference strike prices and determining the level of capacity desired through the Capacity Mechanism (Ibid.), and have recently published their proposed strike prices for a range of renewable generation technologies</w:t>
      </w:r>
      <w:r w:rsidRPr="004F60A2">
        <w:rPr>
          <w:sz w:val="16"/>
        </w:rPr>
        <w:t xml:space="preserve"> (DECC 2013a). It is now even more important for policy makers to understand the strengths and weaknesses of cost estimates and forecasts. With long lead times associated with building plants such as nuclear power stations, long lives of many of the assets in question and the long- term nature of the choices made now all increase the importance of cost estimation methodologies that are robust and trustworthy. This report examines the extent to which they are. </w:t>
      </w:r>
    </w:p>
    <w:p w:rsidR="004F60A2" w:rsidRPr="004F60A2" w:rsidRDefault="004F60A2" w:rsidP="004F60A2"/>
    <w:p w:rsidR="004F60A2" w:rsidRPr="004F60A2" w:rsidRDefault="004F60A2" w:rsidP="004F60A2">
      <w:pPr>
        <w:pStyle w:val="Heading3"/>
        <w:rPr>
          <w:rFonts w:cs="Arial"/>
        </w:rPr>
      </w:pPr>
      <w:r w:rsidRPr="004F60A2">
        <w:rPr>
          <w:rFonts w:cs="Arial"/>
        </w:rPr>
        <w:lastRenderedPageBreak/>
        <w:t>Single Sector</w:t>
      </w:r>
    </w:p>
    <w:p w:rsidR="004F60A2" w:rsidRPr="004F60A2" w:rsidRDefault="004F60A2" w:rsidP="004F60A2">
      <w:pPr>
        <w:pStyle w:val="Heading4"/>
        <w:rPr>
          <w:rFonts w:cs="Arial"/>
        </w:rPr>
      </w:pPr>
      <w:r w:rsidRPr="004F60A2">
        <w:rPr>
          <w:rFonts w:cs="Arial"/>
        </w:rPr>
        <w:t>Single-sector actor can’t solve – need more.</w:t>
      </w:r>
    </w:p>
    <w:p w:rsidR="004F60A2" w:rsidRPr="004F60A2" w:rsidRDefault="004F60A2" w:rsidP="004F60A2">
      <w:pPr>
        <w:rPr>
          <w:rStyle w:val="Style13ptBold"/>
          <w:b w:val="0"/>
          <w:sz w:val="16"/>
        </w:rPr>
      </w:pPr>
      <w:r w:rsidRPr="004F60A2">
        <w:rPr>
          <w:rStyle w:val="Style13ptBold"/>
        </w:rPr>
        <w:t xml:space="preserve">Ehler 14- </w:t>
      </w:r>
      <w:r w:rsidRPr="004F60A2">
        <w:rPr>
          <w:rStyle w:val="Style13ptBold"/>
          <w:b w:val="0"/>
          <w:sz w:val="16"/>
        </w:rPr>
        <w:t>Charles Ehler, consultant to UNESCO. He was a senior executive in NOAA and EPA for 32 years, 2014, [</w:t>
      </w:r>
      <w:r w:rsidRPr="004F60A2">
        <w:rPr>
          <w:rStyle w:val="Style13ptBold"/>
          <w:b w:val="0"/>
          <w:i/>
          <w:sz w:val="16"/>
        </w:rPr>
        <w:t>Artic Marine Governance</w:t>
      </w:r>
      <w:r w:rsidRPr="004F60A2">
        <w:rPr>
          <w:rStyle w:val="Style13ptBold"/>
          <w:b w:val="0"/>
          <w:sz w:val="16"/>
        </w:rPr>
        <w:t>] Springer Berlin Heidelberg, book. //MD</w:t>
      </w:r>
    </w:p>
    <w:p w:rsidR="004F60A2" w:rsidRPr="004F60A2" w:rsidRDefault="004F60A2" w:rsidP="004F60A2">
      <w:pPr>
        <w:rPr>
          <w:rStyle w:val="StyleUnderline"/>
        </w:rPr>
      </w:pPr>
      <w:r w:rsidRPr="004F60A2">
        <w:rPr>
          <w:rStyle w:val="StyleUnderline"/>
        </w:rPr>
        <w:t xml:space="preserve">Single-sector management has often failed to resolve conflicts among users of marine space, rarely dealing explicitly with trade-offs among uses, and even more rarely dealing with conflicts between the cumulative effects of multiple uses and the marine environment- New uses of marine areas including </w:t>
      </w:r>
      <w:r w:rsidRPr="004F60A2">
        <w:rPr>
          <w:rStyle w:val="Emphasis"/>
        </w:rPr>
        <w:t>offshore wind, ocean energy, offshore aquaculture, and marine tourism, as well as the demand for new marine protected areas</w:t>
      </w:r>
      <w:r w:rsidRPr="004F60A2">
        <w:rPr>
          <w:rStyle w:val="StyleUnderline"/>
        </w:rPr>
        <w:t xml:space="preserve">, have only exacerbated the situation. Single-sector management has also tended to reduce and dissipate the effect of enforcement at sea because of the scope and geographic coverage involved and the environmental conditions in which monitoring and enforcement have to operate. In sharp contrast to the land. little 'public policing' of human activities takes place at sea-and is even less likely in the Arctic Ocean due to its inaccessibility. As a consequence, marine ecosystems around the world are in trouble. Both the severity and scale of impacts on marine ecosystems from overfishing, habitat loss and fragmentation, pollution, invasive species, and climate change are increasing, with virtually no corner of the world left untouched. </w:t>
      </w:r>
    </w:p>
    <w:p w:rsidR="004F60A2" w:rsidRPr="004F60A2" w:rsidRDefault="004F60A2" w:rsidP="004F60A2"/>
    <w:p w:rsidR="004F60A2" w:rsidRPr="004F60A2" w:rsidRDefault="004F60A2" w:rsidP="004F60A2">
      <w:pPr>
        <w:pStyle w:val="Heading3"/>
        <w:rPr>
          <w:rFonts w:cs="Arial"/>
        </w:rPr>
      </w:pPr>
      <w:r w:rsidRPr="004F60A2">
        <w:rPr>
          <w:rFonts w:cs="Arial"/>
        </w:rPr>
        <w:lastRenderedPageBreak/>
        <w:t>Warming</w:t>
      </w:r>
    </w:p>
    <w:p w:rsidR="004F60A2" w:rsidRPr="004F60A2" w:rsidRDefault="004F60A2" w:rsidP="004F60A2">
      <w:pPr>
        <w:pStyle w:val="Heading4"/>
        <w:rPr>
          <w:rFonts w:cs="Arial"/>
        </w:rPr>
      </w:pPr>
      <w:r w:rsidRPr="004F60A2">
        <w:rPr>
          <w:rFonts w:cs="Arial"/>
        </w:rPr>
        <w:t>Private sector can’t solve global warming.</w:t>
      </w:r>
    </w:p>
    <w:p w:rsidR="004F60A2" w:rsidRPr="004F60A2" w:rsidRDefault="004F60A2" w:rsidP="004F60A2">
      <w:pPr>
        <w:rPr>
          <w:rStyle w:val="Style13ptBold"/>
          <w:b w:val="0"/>
          <w:sz w:val="16"/>
        </w:rPr>
      </w:pPr>
      <w:r w:rsidRPr="004F60A2">
        <w:rPr>
          <w:rStyle w:val="Style13ptBold"/>
        </w:rPr>
        <w:t xml:space="preserve">Hisschemöller et al. 06- </w:t>
      </w:r>
      <w:r w:rsidRPr="004F60A2">
        <w:rPr>
          <w:rStyle w:val="Style13ptBold"/>
          <w:b w:val="0"/>
          <w:sz w:val="16"/>
        </w:rPr>
        <w:t xml:space="preserve">Matthijis Hisschemöller, U University Amsterdam; Institute for Environmental Studies (IVM), 2006, [“What governs the transition to a sustainable hydrogen economy? Articulating the relationship between technologies and political institutions”] </w:t>
      </w:r>
      <w:hyperlink r:id="rId64" w:history="1">
        <w:r w:rsidRPr="004F60A2">
          <w:rPr>
            <w:rStyle w:val="Hyperlink"/>
            <w:sz w:val="16"/>
          </w:rPr>
          <w:t>http://www.sciencedirect.com/science/article/pii/S0301421505003435</w:t>
        </w:r>
      </w:hyperlink>
      <w:r w:rsidRPr="004F60A2">
        <w:rPr>
          <w:rStyle w:val="Hyperlink"/>
          <w:sz w:val="16"/>
        </w:rPr>
        <w:t xml:space="preserve"> //MD</w:t>
      </w:r>
    </w:p>
    <w:p w:rsidR="004F60A2" w:rsidRPr="004F60A2" w:rsidRDefault="004F60A2" w:rsidP="004F60A2">
      <w:r w:rsidRPr="004F60A2">
        <w:rPr>
          <w:rStyle w:val="StyleUnderline"/>
        </w:rPr>
        <w:t xml:space="preserve">Governance by government, this paradigm claims that government should do what citizens or private actors cannot, which, is to safeguard the </w:t>
      </w:r>
      <w:r w:rsidRPr="004F60A2">
        <w:rPr>
          <w:rStyle w:val="Emphasis"/>
        </w:rPr>
        <w:t>public interest. The warrant for this is twofold</w:t>
      </w:r>
      <w:r w:rsidRPr="004F60A2">
        <w:rPr>
          <w:rStyle w:val="StyleUnderline"/>
        </w:rPr>
        <w:t xml:space="preserve">. </w:t>
      </w:r>
      <w:r w:rsidRPr="004F60A2">
        <w:rPr>
          <w:rStyle w:val="Emphasis"/>
        </w:rPr>
        <w:t>Firstly</w:t>
      </w:r>
      <w:r w:rsidRPr="004F60A2">
        <w:rPr>
          <w:rStyle w:val="StyleUnderline"/>
        </w:rPr>
        <w:t xml:space="preserve">, private actors will not voluntarily adjust their behavior as to realize a public good. </w:t>
      </w:r>
      <w:r w:rsidRPr="004F60A2">
        <w:rPr>
          <w:rStyle w:val="Emphasis"/>
        </w:rPr>
        <w:t>Secondly</w:t>
      </w:r>
      <w:r w:rsidRPr="004F60A2">
        <w:rPr>
          <w:rStyle w:val="StyleUnderline"/>
        </w:rPr>
        <w:t>, it is at the heart of (representative) democracy that public affairs are dealt with by an accountable public agent.</w:t>
      </w:r>
      <w:r w:rsidRPr="004F60A2">
        <w:t xml:space="preserve"> The ﬁrst warrant will be elaborated and justiﬁed by using Olson’s theory of the logic of collective action (Olson, 1971); for the second warrant we use the argument developed by Ezrahi (1990).</w:t>
      </w:r>
    </w:p>
    <w:p w:rsidR="004F60A2" w:rsidRPr="004F60A2" w:rsidRDefault="004F60A2" w:rsidP="004F60A2"/>
    <w:p w:rsidR="004F60A2" w:rsidRPr="004F60A2" w:rsidRDefault="004F60A2" w:rsidP="004F60A2">
      <w:pPr>
        <w:pStyle w:val="Heading2"/>
        <w:rPr>
          <w:rFonts w:cs="Arial"/>
        </w:rPr>
      </w:pPr>
      <w:r w:rsidRPr="004F60A2">
        <w:rPr>
          <w:rFonts w:cs="Arial"/>
        </w:rPr>
        <w:lastRenderedPageBreak/>
        <w:t>CP Bad</w:t>
      </w:r>
    </w:p>
    <w:p w:rsidR="004F60A2" w:rsidRPr="004F60A2" w:rsidRDefault="004F60A2" w:rsidP="004F60A2">
      <w:pPr>
        <w:pStyle w:val="Heading3"/>
        <w:rPr>
          <w:rFonts w:cs="Arial"/>
        </w:rPr>
      </w:pPr>
      <w:r w:rsidRPr="004F60A2">
        <w:rPr>
          <w:rFonts w:cs="Arial"/>
        </w:rPr>
        <w:t>Local Gov Bad</w:t>
      </w:r>
    </w:p>
    <w:p w:rsidR="004F60A2" w:rsidRPr="004F60A2" w:rsidRDefault="004F60A2" w:rsidP="004F60A2">
      <w:pPr>
        <w:pStyle w:val="Heading4"/>
        <w:rPr>
          <w:rFonts w:cs="Arial"/>
        </w:rPr>
      </w:pPr>
      <w:r w:rsidRPr="004F60A2">
        <w:rPr>
          <w:rFonts w:cs="Arial"/>
        </w:rPr>
        <w:t>Local governments will screw up</w:t>
      </w:r>
    </w:p>
    <w:p w:rsidR="004F60A2" w:rsidRPr="004F60A2" w:rsidRDefault="004F60A2" w:rsidP="004F60A2">
      <w:pPr>
        <w:rPr>
          <w:sz w:val="16"/>
        </w:rPr>
      </w:pPr>
      <w:r w:rsidRPr="004F60A2">
        <w:rPr>
          <w:rStyle w:val="Style13ptBold"/>
        </w:rPr>
        <w:t>Anderson et al. 01</w:t>
      </w:r>
      <w:r w:rsidRPr="004F60A2">
        <w:t xml:space="preserve">- </w:t>
      </w:r>
      <w:r w:rsidRPr="004F60A2">
        <w:rPr>
          <w:sz w:val="16"/>
        </w:rPr>
        <w:t>Terry L. Anderson and Donald R. Leal, CATO Institute, 2001, [Market Environmentalism]  //MD</w:t>
      </w:r>
    </w:p>
    <w:p w:rsidR="004F60A2" w:rsidRPr="004F60A2" w:rsidRDefault="004F60A2" w:rsidP="004F60A2">
      <w:pPr>
        <w:rPr>
          <w:rStyle w:val="StyleUnderline"/>
        </w:rPr>
      </w:pPr>
      <w:r w:rsidRPr="004F60A2">
        <w:t xml:space="preserve">Greater reliance upon community management need not be in conflict with a move toward FME. Markets, by their nature, are tremendously decentralized. </w:t>
      </w:r>
      <w:r w:rsidRPr="004F60A2">
        <w:rPr>
          <w:rStyle w:val="StyleUnderline"/>
        </w:rPr>
        <w:t>Granting greater leeway to local groups and organizations to manage local resources is a means of decentralizing decision making about resource use. Local decision makers are more able to take advantage of time and location-specific information and to align resource management decisions with local concerns. As such, community-based management is one way to reduce the failings of centralized governmental control of natural resources.</w:t>
      </w:r>
      <w:r w:rsidRPr="004F60A2">
        <w:t xml:space="preserve"> </w:t>
      </w:r>
      <w:r w:rsidRPr="004F60A2">
        <w:rPr>
          <w:rStyle w:val="StyleUnderline"/>
        </w:rPr>
        <w:t>Local governments and communities will make mistakes, of course, but the consequences will be localized and therefore not as great as those made by a centralized bureaucracy for a nation as a whole. With interjurisdictional competition, local communities will also compete with one another to maximize the welfare of local residents. Devolution of authority over environmental resources to local level can be a significant step toward more widespread privatization.</w:t>
      </w:r>
    </w:p>
    <w:p w:rsidR="004F60A2" w:rsidRPr="004F60A2" w:rsidRDefault="004F60A2" w:rsidP="004F60A2"/>
    <w:p w:rsidR="004F60A2" w:rsidRPr="004F60A2" w:rsidRDefault="004F60A2" w:rsidP="004F60A2">
      <w:pPr>
        <w:pStyle w:val="Heading3"/>
        <w:rPr>
          <w:rFonts w:cs="Arial"/>
        </w:rPr>
      </w:pPr>
      <w:r w:rsidRPr="004F60A2">
        <w:rPr>
          <w:rFonts w:cs="Arial"/>
        </w:rPr>
        <w:t>Subsidies Bad</w:t>
      </w:r>
    </w:p>
    <w:p w:rsidR="004F60A2" w:rsidRPr="004F60A2" w:rsidRDefault="004F60A2" w:rsidP="004F60A2">
      <w:pPr>
        <w:pStyle w:val="Heading4"/>
        <w:rPr>
          <w:rFonts w:cs="Arial"/>
        </w:rPr>
      </w:pPr>
      <w:r w:rsidRPr="004F60A2">
        <w:rPr>
          <w:rFonts w:cs="Arial"/>
        </w:rPr>
        <w:t>Subsidies Bad – ensures inefficiency</w:t>
      </w:r>
    </w:p>
    <w:p w:rsidR="004F60A2" w:rsidRPr="004F60A2" w:rsidRDefault="004F60A2" w:rsidP="004F60A2">
      <w:pPr>
        <w:pStyle w:val="NoSpacing"/>
        <w:rPr>
          <w:rStyle w:val="Style13ptBold"/>
          <w:rFonts w:cs="Arial"/>
          <w:b w:val="0"/>
        </w:rPr>
      </w:pPr>
      <w:r w:rsidRPr="004F60A2">
        <w:rPr>
          <w:rStyle w:val="Style13ptBold"/>
          <w:rFonts w:cs="Arial"/>
        </w:rPr>
        <w:t xml:space="preserve">Jenevein 13, </w:t>
      </w:r>
      <w:r w:rsidRPr="004F60A2">
        <w:rPr>
          <w:rStyle w:val="Style13ptBold"/>
          <w:rFonts w:cs="Arial"/>
          <w:b w:val="0"/>
        </w:rPr>
        <w:t>[Patrick Jenevein – CEO of Tang Energy Group] (Wind-Power Subsidies? No Thanks.) (</w:t>
      </w:r>
      <w:hyperlink r:id="rId65" w:history="1">
        <w:r w:rsidRPr="004F60A2">
          <w:rPr>
            <w:rStyle w:val="Hyperlink"/>
            <w:rFonts w:cs="Arial"/>
            <w:sz w:val="22"/>
          </w:rPr>
          <w:t>http://online.wsj.com/news/articles/SB10001424127887323501004578386501479255158</w:t>
        </w:r>
      </w:hyperlink>
      <w:r w:rsidRPr="004F60A2">
        <w:rPr>
          <w:rStyle w:val="Style13ptBold"/>
          <w:rFonts w:cs="Arial"/>
          <w:b w:val="0"/>
        </w:rPr>
        <w:t>) //MC</w:t>
      </w:r>
    </w:p>
    <w:p w:rsidR="004F60A2" w:rsidRPr="004F60A2" w:rsidRDefault="004F60A2" w:rsidP="004F60A2">
      <w:pPr>
        <w:pStyle w:val="NoSpacing"/>
        <w:rPr>
          <w:rFonts w:cs="Arial"/>
        </w:rPr>
      </w:pPr>
      <w:r w:rsidRPr="004F60A2">
        <w:rPr>
          <w:rStyle w:val="StyleUnderline"/>
          <w:rFonts w:cs="Arial"/>
        </w:rPr>
        <w:t>Government subsidies to new wind farms have only made the industry less focused on reducing costs</w:t>
      </w:r>
      <w:r w:rsidRPr="004F60A2">
        <w:rPr>
          <w:rFonts w:cs="Arial"/>
        </w:rPr>
        <w:t xml:space="preserve">. In turn, </w:t>
      </w:r>
      <w:r w:rsidRPr="004F60A2">
        <w:rPr>
          <w:rStyle w:val="StyleUnderline"/>
          <w:rFonts w:cs="Arial"/>
        </w:rPr>
        <w:t>the industry produces a product that isn't as efficient or cheap as it might be if we focused less on working the political system and more on research and development.</w:t>
      </w:r>
      <w:r w:rsidRPr="004F60A2">
        <w:rPr>
          <w:rFonts w:cs="Arial"/>
        </w:rPr>
        <w:t xml:space="preserve"> After the 2009 subsidy became available, </w:t>
      </w:r>
      <w:r w:rsidRPr="004F60A2">
        <w:rPr>
          <w:rStyle w:val="StyleUnderline"/>
          <w:rFonts w:cs="Arial"/>
        </w:rPr>
        <w:t>wind farms were increasingly built in less-windy locations</w:t>
      </w:r>
      <w:r w:rsidRPr="004F60A2">
        <w:rPr>
          <w:rFonts w:cs="Arial"/>
        </w:rPr>
        <w:t>, according to the Department of Energy's "2011 Wind Technologies Market Report." The average wind-power project built in 2011 was located in an area with wind conditions 16% worse than those of the average project in 1998-99.</w:t>
      </w:r>
    </w:p>
    <w:p w:rsidR="004F60A2" w:rsidRPr="004F60A2" w:rsidRDefault="004F60A2" w:rsidP="004F60A2">
      <w:pPr>
        <w:pStyle w:val="NoSpacing"/>
        <w:rPr>
          <w:rFonts w:cs="Arial"/>
        </w:rPr>
      </w:pPr>
      <w:r w:rsidRPr="004F60A2">
        <w:rPr>
          <w:rStyle w:val="StyleUnderline"/>
          <w:rFonts w:cs="Arial"/>
        </w:rPr>
        <w:t>The Department of Energy admits that this trend is due at least in part to the 2009 federal subsidy</w:t>
      </w:r>
      <w:r w:rsidRPr="004F60A2">
        <w:rPr>
          <w:rFonts w:cs="Arial"/>
        </w:rPr>
        <w:t xml:space="preserve">: </w:t>
      </w:r>
      <w:r w:rsidRPr="004F60A2">
        <w:rPr>
          <w:rStyle w:val="StyleUnderline"/>
          <w:rFonts w:cs="Arial"/>
        </w:rPr>
        <w:t>Because the grants that companies receive aren't based on how much power they produce, "it is possible that developers have seized this limited opportunity to build out the less-energetic sites</w:t>
      </w:r>
      <w:r w:rsidRPr="004F60A2">
        <w:rPr>
          <w:rFonts w:cs="Arial"/>
        </w:rPr>
        <w:t>." Meanwhile, wind-power prices have increased to an average $54 per megawatt-hour, compared with $37 in 2005.</w:t>
      </w:r>
    </w:p>
    <w:p w:rsidR="004F60A2" w:rsidRPr="004F60A2" w:rsidRDefault="004F60A2" w:rsidP="004F60A2">
      <w:pPr>
        <w:pStyle w:val="NoSpacing"/>
        <w:rPr>
          <w:rStyle w:val="StyleUnderline"/>
          <w:rFonts w:cs="Arial"/>
        </w:rPr>
      </w:pPr>
      <w:r w:rsidRPr="004F60A2">
        <w:rPr>
          <w:rFonts w:cs="Arial"/>
        </w:rPr>
        <w:t xml:space="preserve">If our communities can't reasonably afford to purchase and rely on the wind power we sell, it is difficult to make the moral case for our businesses, let alone an economic one. Yet </w:t>
      </w:r>
      <w:r w:rsidRPr="004F60A2">
        <w:rPr>
          <w:rStyle w:val="StyleUnderline"/>
          <w:rFonts w:cs="Arial"/>
        </w:rPr>
        <w:t>as long as these subsidies and tax credits exist, clean-energy executives will likely spend most of their time pursuing advanced legal and accounting methods rather than investing in studies, innovation, new transmission technology and turbine development.</w:t>
      </w:r>
    </w:p>
    <w:p w:rsidR="004F60A2" w:rsidRPr="004F60A2" w:rsidRDefault="004F60A2" w:rsidP="004F60A2">
      <w:pPr>
        <w:pStyle w:val="Heading3"/>
        <w:rPr>
          <w:rFonts w:cs="Arial"/>
        </w:rPr>
      </w:pPr>
      <w:r w:rsidRPr="004F60A2">
        <w:rPr>
          <w:rFonts w:cs="Arial"/>
        </w:rPr>
        <w:t>Incentives Bad</w:t>
      </w:r>
    </w:p>
    <w:p w:rsidR="004F60A2" w:rsidRPr="004F60A2" w:rsidRDefault="004F60A2" w:rsidP="004F60A2">
      <w:pPr>
        <w:pStyle w:val="Heading4"/>
        <w:rPr>
          <w:rFonts w:cs="Arial"/>
        </w:rPr>
      </w:pPr>
      <w:r w:rsidRPr="004F60A2">
        <w:rPr>
          <w:rFonts w:cs="Arial"/>
        </w:rPr>
        <w:t>Incentives lead to inefficiency.</w:t>
      </w:r>
    </w:p>
    <w:p w:rsidR="004F60A2" w:rsidRPr="004F60A2" w:rsidRDefault="004F60A2" w:rsidP="004F60A2">
      <w:pPr>
        <w:rPr>
          <w:rStyle w:val="Style13ptBold"/>
          <w:b w:val="0"/>
          <w:sz w:val="16"/>
        </w:rPr>
      </w:pPr>
      <w:r w:rsidRPr="004F60A2">
        <w:rPr>
          <w:rStyle w:val="Style13ptBold"/>
        </w:rPr>
        <w:t xml:space="preserve">Galushko 14- </w:t>
      </w:r>
      <w:r w:rsidRPr="004F60A2">
        <w:rPr>
          <w:rStyle w:val="Style13ptBold"/>
          <w:b w:val="0"/>
          <w:sz w:val="16"/>
        </w:rPr>
        <w:t>Viktoriya Galushko, Associate Professor, PhD (Saskatchewan) Graduate Coordinator, 2014, [“Twenty five years of private wheat breeding in the UK: Lessons for other countries”] //MD</w:t>
      </w:r>
    </w:p>
    <w:p w:rsidR="004F60A2" w:rsidRPr="004F60A2" w:rsidRDefault="004F60A2" w:rsidP="004F60A2">
      <w:pPr>
        <w:rPr>
          <w:sz w:val="16"/>
        </w:rPr>
      </w:pPr>
      <w:r w:rsidRPr="004F60A2">
        <w:rPr>
          <w:rStyle w:val="StyleUnderline"/>
        </w:rPr>
        <w:t>Lack of research on quality can be analyzed from the incomplete contracting perspective. Schleifer</w:t>
      </w:r>
      <w:r w:rsidRPr="004F60A2">
        <w:rPr>
          <w:sz w:val="16"/>
        </w:rPr>
        <w:t xml:space="preserve"> (1998) </w:t>
      </w:r>
      <w:r w:rsidRPr="004F60A2">
        <w:rPr>
          <w:rStyle w:val="StyleUnderline"/>
        </w:rPr>
        <w:t>states that privatization is good because it creates stronger incentives to introduce innovations-both to reduce costs and to improve quality.</w:t>
      </w:r>
      <w:r w:rsidRPr="004F60A2">
        <w:rPr>
          <w:sz w:val="16"/>
        </w:rPr>
        <w:t xml:space="preserve"> </w:t>
      </w:r>
      <w:r w:rsidRPr="004F60A2">
        <w:rPr>
          <w:rStyle w:val="StyleUnderline"/>
        </w:rPr>
        <w:t>He also mentions that in some cases, however</w:t>
      </w:r>
      <w:r w:rsidRPr="004F60A2">
        <w:rPr>
          <w:sz w:val="16"/>
        </w:rPr>
        <w:t>: ...</w:t>
      </w:r>
      <w:r w:rsidRPr="004F60A2">
        <w:rPr>
          <w:rStyle w:val="StyleUnderline"/>
        </w:rPr>
        <w:t>cost reductions for which private suppliers have stronger incentives have potentially deleterious effects on the non- contractible quality</w:t>
      </w:r>
      <w:r w:rsidRPr="004F60A2">
        <w:rPr>
          <w:sz w:val="16"/>
        </w:rPr>
        <w:t xml:space="preserve">.' </w:t>
      </w:r>
      <w:r w:rsidRPr="004F60A2">
        <w:rPr>
          <w:rStyle w:val="StyleUnderline"/>
        </w:rPr>
        <w:t xml:space="preserve">So, in some cases the incentives for private firms to reduce costs may lead to </w:t>
      </w:r>
      <w:r w:rsidRPr="004F60A2">
        <w:rPr>
          <w:rStyle w:val="Emphasis"/>
        </w:rPr>
        <w:t>inefficient outcome</w:t>
      </w:r>
      <w:r w:rsidRPr="004F60A2">
        <w:rPr>
          <w:rStyle w:val="StyleUnderline"/>
        </w:rPr>
        <w:t>.</w:t>
      </w:r>
      <w:r w:rsidRPr="004F60A2">
        <w:rPr>
          <w:sz w:val="16"/>
        </w:rPr>
        <w:t xml:space="preserve"> </w:t>
      </w:r>
      <w:r w:rsidRPr="004F60A2">
        <w:rPr>
          <w:rStyle w:val="StyleUnderline"/>
        </w:rPr>
        <w:t xml:space="preserve">In situations like this, </w:t>
      </w:r>
      <w:r w:rsidRPr="004F60A2">
        <w:rPr>
          <w:rStyle w:val="Emphasis"/>
        </w:rPr>
        <w:t>a public enterprise sometimes becomes an efficient producer precisely because its employees are not motivated to find ways to hold costs down</w:t>
      </w:r>
      <w:r w:rsidRPr="004F60A2">
        <w:rPr>
          <w:sz w:val="16"/>
        </w:rPr>
        <w:t xml:space="preserve"> (Schleifer 1998). Research on, and breeding for, quality seems to fall under this situation. Breeding for quality is more costly than breeding for yield because quality is not such an obvious characteristic as yield. Therefore, the importance of quality is usually underestimated by farmers, thus reducing demand for seeds of higher quality but lower yields. Therefore, in search for ways to reduce breeding costs, firms fail to make efficient investment into quality-related research and breeding, while public breeding could potentially correct for this failure. </w:t>
      </w:r>
    </w:p>
    <w:p w:rsidR="004F60A2" w:rsidRPr="004F60A2" w:rsidRDefault="004F60A2" w:rsidP="004F60A2"/>
    <w:p w:rsidR="004F60A2" w:rsidRPr="004F60A2" w:rsidRDefault="004F60A2" w:rsidP="004F60A2">
      <w:pPr>
        <w:pStyle w:val="Heading3"/>
        <w:rPr>
          <w:rFonts w:cs="Arial"/>
        </w:rPr>
      </w:pPr>
      <w:r w:rsidRPr="004F60A2">
        <w:rPr>
          <w:rFonts w:cs="Arial"/>
        </w:rPr>
        <w:t>Kills HR</w:t>
      </w:r>
    </w:p>
    <w:p w:rsidR="004F60A2" w:rsidRPr="004F60A2" w:rsidRDefault="004F60A2" w:rsidP="004F60A2">
      <w:pPr>
        <w:pStyle w:val="Heading4"/>
        <w:rPr>
          <w:rFonts w:cs="Arial"/>
        </w:rPr>
      </w:pPr>
      <w:r w:rsidRPr="004F60A2">
        <w:rPr>
          <w:rFonts w:cs="Arial"/>
        </w:rPr>
        <w:t>Marketing oceans unpopular – destroying human right to water.</w:t>
      </w:r>
    </w:p>
    <w:p w:rsidR="004F60A2" w:rsidRPr="004F60A2" w:rsidRDefault="004F60A2" w:rsidP="004F60A2">
      <w:pPr>
        <w:rPr>
          <w:rStyle w:val="Style13ptBold"/>
        </w:rPr>
      </w:pPr>
      <w:r w:rsidRPr="004F60A2">
        <w:rPr>
          <w:rStyle w:val="Style13ptBold"/>
        </w:rPr>
        <w:t xml:space="preserve">Bakker 07- </w:t>
      </w:r>
      <w:r w:rsidRPr="004F60A2">
        <w:rPr>
          <w:rStyle w:val="Style13ptBold"/>
          <w:b w:val="0"/>
          <w:sz w:val="16"/>
          <w:szCs w:val="16"/>
        </w:rPr>
        <w:t>Karen Bakker</w:t>
      </w:r>
      <w:r w:rsidRPr="004F60A2">
        <w:rPr>
          <w:rStyle w:val="Style13ptBold"/>
          <w:sz w:val="16"/>
          <w:szCs w:val="16"/>
        </w:rPr>
        <w:t xml:space="preserve">, </w:t>
      </w:r>
      <w:r w:rsidRPr="004F60A2">
        <w:rPr>
          <w:color w:val="000000"/>
          <w:sz w:val="16"/>
          <w:szCs w:val="16"/>
          <w:shd w:val="clear" w:color="auto" w:fill="FFFFFF"/>
        </w:rPr>
        <w:t>Professor of Geography at University of British Columbia, July 13</w:t>
      </w:r>
      <w:r w:rsidRPr="004F60A2">
        <w:rPr>
          <w:color w:val="000000"/>
          <w:sz w:val="16"/>
          <w:szCs w:val="16"/>
          <w:shd w:val="clear" w:color="auto" w:fill="FFFFFF"/>
          <w:vertAlign w:val="superscript"/>
        </w:rPr>
        <w:t>th</w:t>
      </w:r>
      <w:r w:rsidRPr="004F60A2">
        <w:rPr>
          <w:color w:val="000000"/>
          <w:sz w:val="16"/>
          <w:szCs w:val="16"/>
          <w:shd w:val="clear" w:color="auto" w:fill="FFFFFF"/>
        </w:rPr>
        <w:t xml:space="preserve"> 2007, [“The ‘Commons’ Versus the ‘Commodity’: Alter</w:t>
      </w:r>
      <w:r w:rsidRPr="004F60A2">
        <w:rPr>
          <w:rFonts w:ascii="Cambria Math" w:hAnsi="Cambria Math" w:cs="Cambria Math"/>
          <w:color w:val="000000"/>
          <w:sz w:val="16"/>
          <w:szCs w:val="16"/>
          <w:shd w:val="clear" w:color="auto" w:fill="FFFFFF"/>
        </w:rPr>
        <w:t>‐</w:t>
      </w:r>
      <w:r w:rsidRPr="004F60A2">
        <w:rPr>
          <w:color w:val="000000"/>
          <w:sz w:val="16"/>
          <w:szCs w:val="16"/>
          <w:shd w:val="clear" w:color="auto" w:fill="FFFFFF"/>
        </w:rPr>
        <w:t>globalization, Anti</w:t>
      </w:r>
      <w:r w:rsidRPr="004F60A2">
        <w:rPr>
          <w:rFonts w:ascii="Cambria Math" w:hAnsi="Cambria Math" w:cs="Cambria Math"/>
          <w:color w:val="000000"/>
          <w:sz w:val="16"/>
          <w:szCs w:val="16"/>
          <w:shd w:val="clear" w:color="auto" w:fill="FFFFFF"/>
        </w:rPr>
        <w:t>‐</w:t>
      </w:r>
      <w:r w:rsidRPr="004F60A2">
        <w:rPr>
          <w:color w:val="000000"/>
          <w:sz w:val="16"/>
          <w:szCs w:val="16"/>
          <w:shd w:val="clear" w:color="auto" w:fill="FFFFFF"/>
        </w:rPr>
        <w:t>privatization and the Human Right to Water in the Global South”]  //MD</w:t>
      </w:r>
    </w:p>
    <w:p w:rsidR="004F60A2" w:rsidRPr="004F60A2" w:rsidRDefault="004F60A2" w:rsidP="004F60A2">
      <w:pPr>
        <w:ind w:firstLine="720"/>
        <w:rPr>
          <w:sz w:val="16"/>
        </w:rPr>
      </w:pPr>
      <w:r w:rsidRPr="004F60A2">
        <w:rPr>
          <w:rStyle w:val="StyleUnderline"/>
        </w:rPr>
        <w:t>Critical research on market environmentalism frames this paradigm as the “neoliberalization of nature”</w:t>
      </w:r>
      <w:r w:rsidRPr="004F60A2">
        <w:rPr>
          <w:sz w:val="16"/>
        </w:rPr>
        <w:t xml:space="preserve"> (Bridge 2004; Mansfield 2004a; McAfee 2003; McCarthy 2004; McCarthy and Prudham 2004; Perrault 2006; Prudham 2004). </w:t>
      </w:r>
      <w:r w:rsidRPr="004F60A2">
        <w:rPr>
          <w:rStyle w:val="StyleUnderline"/>
        </w:rPr>
        <w:t>The majority of this research focuses on the negative impacts of neoliberal reforms, including both environmental impacts and the distributional implications of the various forms of “accumulation by dispossession” enacted by neoliberalization</w:t>
      </w:r>
      <w:r w:rsidRPr="004F60A2">
        <w:rPr>
          <w:sz w:val="16"/>
        </w:rPr>
        <w:t xml:space="preserve"> (Glassman 2006), </w:t>
      </w:r>
      <w:r w:rsidRPr="004F60A2">
        <w:rPr>
          <w:rStyle w:val="StyleUnderline"/>
        </w:rPr>
        <w:t>although some research also suggests that states can rationally administer environmental degradation and resource appropriation from local communities</w:t>
      </w:r>
      <w:r w:rsidRPr="004F60A2">
        <w:rPr>
          <w:sz w:val="16"/>
        </w:rPr>
        <w:t xml:space="preserve"> (Scott 1998), </w:t>
      </w:r>
      <w:r w:rsidRPr="004F60A2">
        <w:rPr>
          <w:rStyle w:val="StyleUnderline"/>
        </w:rPr>
        <w:t>or that environmental improvements can occur in the context of state re-regulation which accompanies privatization</w:t>
      </w:r>
      <w:r w:rsidRPr="004F60A2">
        <w:rPr>
          <w:sz w:val="16"/>
        </w:rPr>
        <w:t xml:space="preserve"> (Angel 2000; Bakker 2005).</w:t>
      </w:r>
    </w:p>
    <w:p w:rsidR="004F60A2" w:rsidRPr="004F60A2" w:rsidRDefault="004F60A2" w:rsidP="004F60A2">
      <w:pPr>
        <w:ind w:firstLine="720"/>
        <w:rPr>
          <w:sz w:val="16"/>
        </w:rPr>
      </w:pPr>
      <w:r w:rsidRPr="004F60A2">
        <w:rPr>
          <w:rStyle w:val="StyleUnderline"/>
        </w:rPr>
        <w:t>This debate is particularly acute in the water sector. The increasing involvement of private, for-profit multinational water corporations in running networked water supply systems around the world has inspired fierce debate internationally</w:t>
      </w:r>
      <w:r w:rsidRPr="004F60A2">
        <w:rPr>
          <w:sz w:val="16"/>
        </w:rPr>
        <w:t xml:space="preserve"> (see, for example, Finger and Allouche 2002; Johnstone and Wood 2003; Laurie and Marvin 1999; Swyngedouw 2005).2 Proponents of market environmentalism in the water sector argue that water is an increasingly scarce resource, which must be priced at full economic and environmental cost if it is to be allocated to its highest-value uses, and managed profitably by private companies whose accountability to customers and shareholders is more direct and effective than attenuated political accountability exercised by citizens via political representatives (Rogers et al 2003; Winpenny 1994). </w:t>
      </w:r>
      <w:r w:rsidRPr="004F60A2">
        <w:rPr>
          <w:rStyle w:val="StyleUnderline"/>
        </w:rPr>
        <w:t>Opponents of market environmentalism argue that water is a nonsubstitutable resource essential for life, and call for water supply to be recognized as a human right, which (they argue) both places an onus upon states to provide water to all, and precludes private sector involvement</w:t>
      </w:r>
      <w:r w:rsidRPr="004F60A2">
        <w:rPr>
          <w:sz w:val="16"/>
        </w:rPr>
        <w:t xml:space="preserve"> (see, for example, Bond 2002; Goldman 2005; Johnston, Gismondi and Goodman 2006; Laxer and Soron 2006; Morgan 2004b).</w:t>
      </w:r>
    </w:p>
    <w:p w:rsidR="004F60A2" w:rsidRPr="004F60A2" w:rsidRDefault="004F60A2" w:rsidP="004F60A2">
      <w:pPr>
        <w:ind w:firstLine="720"/>
      </w:pPr>
    </w:p>
    <w:p w:rsidR="004F60A2" w:rsidRPr="004F60A2" w:rsidRDefault="004F60A2" w:rsidP="004F60A2">
      <w:pPr>
        <w:pStyle w:val="Heading4"/>
        <w:rPr>
          <w:rFonts w:cs="Arial"/>
        </w:rPr>
      </w:pPr>
      <w:r w:rsidRPr="004F60A2">
        <w:rPr>
          <w:rFonts w:cs="Arial"/>
        </w:rPr>
        <w:t>Counterplan kills human rights.</w:t>
      </w:r>
    </w:p>
    <w:p w:rsidR="004F60A2" w:rsidRPr="004F60A2" w:rsidRDefault="004F60A2" w:rsidP="004F60A2">
      <w:pPr>
        <w:rPr>
          <w:rStyle w:val="Style13ptBold"/>
          <w:sz w:val="16"/>
        </w:rPr>
      </w:pPr>
      <w:r w:rsidRPr="004F60A2">
        <w:rPr>
          <w:rStyle w:val="Style13ptBold"/>
        </w:rPr>
        <w:t xml:space="preserve">Arnold 09- </w:t>
      </w:r>
      <w:r w:rsidRPr="004F60A2">
        <w:rPr>
          <w:rStyle w:val="Style13ptBold"/>
          <w:b w:val="0"/>
          <w:sz w:val="16"/>
        </w:rPr>
        <w:t>Craig Anthony Arnold, Associate Dean for Research &amp; Faculty Development; Boehl Chair in Property &amp; Land Use; Professor of Law; Affiliated Professor of Urban Planning; Chair of the Center for Land Use &amp; Environmental Responsibility, 2009, [</w:t>
      </w:r>
      <w:r w:rsidRPr="004F60A2">
        <w:rPr>
          <w:rStyle w:val="Style13ptBold"/>
          <w:b w:val="0"/>
          <w:i/>
          <w:sz w:val="16"/>
        </w:rPr>
        <w:t>William &amp; Mary Environmental Law and Policy Review</w:t>
      </w:r>
      <w:r w:rsidRPr="004F60A2">
        <w:rPr>
          <w:rStyle w:val="Style13ptBold"/>
          <w:b w:val="0"/>
          <w:sz w:val="16"/>
        </w:rPr>
        <w:t xml:space="preserve">] V33 Issue 4, </w:t>
      </w:r>
      <w:hyperlink r:id="rId66" w:anchor="search=%22privatization%20CATO%20Oceans%22" w:history="1">
        <w:r w:rsidRPr="004F60A2">
          <w:rPr>
            <w:rStyle w:val="Hyperlink"/>
            <w:sz w:val="16"/>
          </w:rPr>
          <w:t>http://scholarship.law.wm.edu/cgi/viewcontent.cgi?article=1027&amp;context=wmelpr&amp;sei-redir=1&amp;referer=http%3A%2F%2Fscholar.google.com%2Fscholar%3Fhl%3Den%26q%3D%2522privatization%2522%2BAND%2B%2522CATO%2522%2BAND%2B%2522Oceans%2522%26btnG%3D%26as_sdt%3D1%252C11%26as_sdtp%3D#search=%22privatization%20CATO%20Oceans%22</w:t>
        </w:r>
      </w:hyperlink>
      <w:r w:rsidRPr="004F60A2">
        <w:rPr>
          <w:rStyle w:val="Style13ptBold"/>
          <w:b w:val="0"/>
          <w:sz w:val="16"/>
        </w:rPr>
        <w:t xml:space="preserve"> //MD</w:t>
      </w:r>
    </w:p>
    <w:p w:rsidR="004F60A2" w:rsidRPr="004F60A2" w:rsidRDefault="004F60A2" w:rsidP="004F60A2">
      <w:pPr>
        <w:ind w:firstLine="720"/>
        <w:rPr>
          <w:u w:val="single"/>
        </w:rPr>
      </w:pPr>
      <w:r w:rsidRPr="004F60A2">
        <w:t xml:space="preserve">This Article argues that </w:t>
      </w:r>
      <w:r w:rsidRPr="004F60A2">
        <w:rPr>
          <w:rStyle w:val="StyleUnderline"/>
        </w:rPr>
        <w:t>privatization of water and public water systems pose underappreciated risks to both public rights and nation. Security in the United States. All life depends on water. Therefore, a communities, social and political systems, and economies depend on the finite resource for survival and vitality. However, both human rights and national security protections are inadequate to guarantee that all people will receive sufficient quantities of good quality water to meet basic human needs. These inadequacies result from the deeply entrenched conceptualization of rights in the United States, the fact that human rights and nation security policies are not self-implementing, and the particular characteristics of water. Individual rights to water or protections against terrorist threats to water supplies do not necessarily achieve water conservation sustainable management of water and watersheds, or long-term planning and investment.</w:t>
      </w:r>
      <w:r w:rsidRPr="004F60A2">
        <w:t xml:space="preserve"> Instead, </w:t>
      </w:r>
      <w:r w:rsidRPr="004F60A2">
        <w:rPr>
          <w:rStyle w:val="StyleUnderline"/>
        </w:rPr>
        <w:t>the United States needs legislation and legal doctrine that limit private control over water sources and systems and that regulate privatization processes in order to protect the integrity and security of individuals, communities, and the nation. Even more importantly, the United States needs comprehensive principles of public stewardship water resources to support human life and national security.</w:t>
      </w:r>
      <w:r w:rsidRPr="004F60A2">
        <w:t xml:space="preserve"> Public stewardship principles are premised on the concept that the government is trustee of water resources for the public, a fiduciary obligation not limit: to the traditional public trust doctrine, but based in the many public characteristics of water in the United States, as well as the social and human necessities of a complex society. However, each member of the public would not only be a beneficiary but would also owe duties to his, her, or its c beneficiaries, the other members of the public. </w:t>
      </w:r>
      <w:r w:rsidRPr="004F60A2">
        <w:rPr>
          <w:rStyle w:val="StyleUnderline"/>
        </w:rPr>
        <w:t>Public stewardship principles would require long-range place-based planning with transparent and public participation, public investment, water conservation, watershed protection, water quality controls, full-cost pricing with subsidies</w:t>
      </w:r>
      <w:r w:rsidRPr="004F60A2">
        <w:rPr>
          <w:u w:val="single"/>
        </w:rPr>
        <w:t xml:space="preserve"> to those unable to pay full costs, and heightened security measures.</w:t>
      </w:r>
    </w:p>
    <w:p w:rsidR="004F60A2" w:rsidRPr="004F60A2" w:rsidRDefault="004F60A2" w:rsidP="004F60A2"/>
    <w:p w:rsidR="004F60A2" w:rsidRPr="004F60A2" w:rsidRDefault="004F60A2" w:rsidP="004F60A2"/>
    <w:p w:rsidR="004F60A2" w:rsidRPr="004F60A2" w:rsidRDefault="004F60A2" w:rsidP="004F60A2">
      <w:pPr>
        <w:pStyle w:val="Heading3"/>
        <w:rPr>
          <w:rFonts w:cs="Arial"/>
        </w:rPr>
      </w:pPr>
      <w:r w:rsidRPr="004F60A2">
        <w:rPr>
          <w:rFonts w:cs="Arial"/>
        </w:rPr>
        <w:t>Monopolization</w:t>
      </w:r>
    </w:p>
    <w:p w:rsidR="004F60A2" w:rsidRPr="004F60A2" w:rsidRDefault="004F60A2" w:rsidP="004F60A2">
      <w:pPr>
        <w:pStyle w:val="Heading4"/>
        <w:rPr>
          <w:rFonts w:cs="Arial"/>
        </w:rPr>
      </w:pPr>
      <w:r w:rsidRPr="004F60A2">
        <w:rPr>
          <w:rFonts w:cs="Arial"/>
        </w:rPr>
        <w:t>Private actors will just monopolize and manipulate the area – won’t solve.</w:t>
      </w:r>
    </w:p>
    <w:p w:rsidR="004F60A2" w:rsidRPr="004F60A2" w:rsidRDefault="004F60A2" w:rsidP="004F60A2">
      <w:pPr>
        <w:rPr>
          <w:rStyle w:val="Style13ptBold"/>
          <w:b w:val="0"/>
          <w:sz w:val="16"/>
        </w:rPr>
      </w:pPr>
      <w:r w:rsidRPr="004F60A2">
        <w:rPr>
          <w:rStyle w:val="Style13ptBold"/>
        </w:rPr>
        <w:t xml:space="preserve">Parnell 14- </w:t>
      </w:r>
      <w:r w:rsidRPr="004F60A2">
        <w:rPr>
          <w:rStyle w:val="Style13ptBold"/>
          <w:b w:val="0"/>
          <w:sz w:val="16"/>
        </w:rPr>
        <w:t>Susan Parnell, Professor at University of Cape Town, 2014, [</w:t>
      </w:r>
      <w:r w:rsidRPr="004F60A2">
        <w:rPr>
          <w:rStyle w:val="Style13ptBold"/>
          <w:b w:val="0"/>
          <w:i/>
          <w:sz w:val="16"/>
        </w:rPr>
        <w:t>The Routledge Handbook on Cities of the Global South</w:t>
      </w:r>
      <w:r w:rsidRPr="004F60A2">
        <w:rPr>
          <w:rStyle w:val="Style13ptBold"/>
          <w:b w:val="0"/>
          <w:sz w:val="16"/>
        </w:rPr>
        <w:t xml:space="preserve">] </w:t>
      </w:r>
      <w:hyperlink r:id="rId67" w:anchor="v=onepage&amp;q=monopolize&amp;f=false" w:history="1">
        <w:r w:rsidRPr="004F60A2">
          <w:rPr>
            <w:rStyle w:val="Hyperlink"/>
            <w:sz w:val="16"/>
          </w:rPr>
          <w:t>http://books.google.com/books?hl=en&amp;lr=&amp;id=qz8sAwAAQBAJ&amp;oi=fnd&amp;pg=PA434&amp;dq=%22private+actors%22+%22monopolize%22&amp;ots=IBtqpOUy_i&amp;sig=DHUI9E62BW_zFUFa6y6v5yexbzc#v=onepage&amp;q=monopolize&amp;f=false</w:t>
        </w:r>
      </w:hyperlink>
      <w:r w:rsidRPr="004F60A2">
        <w:rPr>
          <w:rStyle w:val="Style13ptBold"/>
          <w:b w:val="0"/>
          <w:sz w:val="16"/>
        </w:rPr>
        <w:t xml:space="preserve"> //MD</w:t>
      </w:r>
    </w:p>
    <w:p w:rsidR="004F60A2" w:rsidRPr="004F60A2" w:rsidRDefault="004F60A2" w:rsidP="004F60A2">
      <w:pPr>
        <w:rPr>
          <w:sz w:val="16"/>
        </w:rPr>
      </w:pPr>
      <w:r w:rsidRPr="004F60A2">
        <w:rPr>
          <w:sz w:val="16"/>
        </w:rPr>
        <w:t xml:space="preserve">This approach to delivery configurations shifts the emphasis to the political nature of their regulation and the conflictual dimension of any public control that might seek to manage the forms of domination/ exploitation which, in each configuration, are the source of the inequalities (in access and consumption) observed, but also of the very unequal sharing of the efforts and externalities (positive and negative) associated with the operation and expansion of services. </w:t>
      </w:r>
      <w:r w:rsidRPr="004F60A2">
        <w:rPr>
          <w:rStyle w:val="StyleUnderline"/>
        </w:rPr>
        <w:t>An approach based on socio-technical dispositifs thus in no way precludes critical thinking on how socio-technical dispositifs deployed in cities create and reproduce inequalities as well as on the regularities of these mechanisms across time and places</w:t>
      </w:r>
      <w:r w:rsidRPr="004F60A2">
        <w:rPr>
          <w:sz w:val="16"/>
        </w:rPr>
        <w:t xml:space="preserve"> (Brenner et al. 2011). </w:t>
      </w:r>
      <w:r w:rsidRPr="004F60A2">
        <w:rPr>
          <w:rStyle w:val="StyleUnderline"/>
        </w:rPr>
        <w:t xml:space="preserve">Indeed, in litany delivery configurations, alternative services are prevented from developing fully by official regulations and the exclusive rights of conventional operators. Although in 'crisis' for several decades in many southern cities, conventional services continue to dominate local representations of what should be a 'modern' service, to orientate technical know-how and culture, and </w:t>
      </w:r>
      <w:r w:rsidRPr="004F60A2">
        <w:rPr>
          <w:rStyle w:val="Emphasis"/>
        </w:rPr>
        <w:t>to monopolize public resources</w:t>
      </w:r>
      <w:r w:rsidRPr="004F60A2">
        <w:rPr>
          <w:rStyle w:val="StyleUnderline"/>
        </w:rPr>
        <w:t>.</w:t>
      </w:r>
      <w:r w:rsidRPr="004F60A2">
        <w:rPr>
          <w:sz w:val="16"/>
        </w:rPr>
        <w:t xml:space="preserve"> This is because delivery configurations are anchored in urban contexts and shaped by local power struggles as well as a specific combination of resources and knowledge. Understanding how services are delivered in southern cities thus requires capturing the plurality of socio-technical dispositifs available locally and the way they are mobilized by the different actors with some sort of influence in framing the supply of services. </w:t>
      </w:r>
    </w:p>
    <w:p w:rsidR="004F60A2" w:rsidRPr="004F60A2" w:rsidRDefault="004F60A2" w:rsidP="004F60A2"/>
    <w:p w:rsidR="004F60A2" w:rsidRPr="004F60A2" w:rsidRDefault="004F60A2" w:rsidP="004F60A2">
      <w:pPr>
        <w:pStyle w:val="Heading4"/>
        <w:rPr>
          <w:rFonts w:cs="Arial"/>
        </w:rPr>
      </w:pPr>
      <w:r w:rsidRPr="004F60A2">
        <w:rPr>
          <w:rFonts w:cs="Arial"/>
        </w:rPr>
        <w:t>Privatization bad – private actors will abuse their monopolizing power.</w:t>
      </w:r>
    </w:p>
    <w:p w:rsidR="004F60A2" w:rsidRPr="004F60A2" w:rsidRDefault="004F60A2" w:rsidP="004F60A2">
      <w:pPr>
        <w:rPr>
          <w:rStyle w:val="Style13ptBold"/>
          <w:b w:val="0"/>
          <w:sz w:val="16"/>
        </w:rPr>
      </w:pPr>
      <w:r w:rsidRPr="004F60A2">
        <w:rPr>
          <w:rStyle w:val="Style13ptBold"/>
        </w:rPr>
        <w:t xml:space="preserve">Shrybman 02- </w:t>
      </w:r>
      <w:r w:rsidRPr="004F60A2">
        <w:rPr>
          <w:sz w:val="16"/>
        </w:rPr>
        <w:t>Steven Shrybman, lawyer with Sack, Goldblatt, Mitchell LLP. His practice focuses on international trade and public interest litigation, including issues concerning the environment, health care, human and labor rights, the protection of public services, natural resources policy, and intellectual property rights,</w:t>
      </w:r>
      <w:r w:rsidRPr="004F60A2">
        <w:rPr>
          <w:rStyle w:val="Style13ptBold"/>
          <w:b w:val="0"/>
          <w:sz w:val="10"/>
        </w:rPr>
        <w:t xml:space="preserve"> </w:t>
      </w:r>
      <w:r w:rsidRPr="004F60A2">
        <w:rPr>
          <w:rStyle w:val="Style13ptBold"/>
          <w:b w:val="0"/>
          <w:sz w:val="16"/>
        </w:rPr>
        <w:t>January 2002 [“Thirst for Control”] http://www.ircwash.org/sites/default/files/Shrybman-2002-Thirst.pdf  //MD</w:t>
      </w:r>
    </w:p>
    <w:p w:rsidR="004F60A2" w:rsidRPr="004F60A2" w:rsidRDefault="004F60A2" w:rsidP="004F60A2">
      <w:pPr>
        <w:rPr>
          <w:u w:val="single"/>
        </w:rPr>
      </w:pPr>
      <w:r w:rsidRPr="004F60A2">
        <w:rPr>
          <w:u w:val="single"/>
        </w:rPr>
        <w:t xml:space="preserve">This provision imposes many of the same constraints on public- sector service providers that limit the options of government. </w:t>
      </w:r>
      <w:r w:rsidRPr="004F60A2">
        <w:rPr>
          <w:rStyle w:val="Emphasis"/>
        </w:rPr>
        <w:t>Public-sector service providers cannot "abuse [their] monopoly position</w:t>
      </w:r>
      <w:r w:rsidRPr="004F60A2">
        <w:rPr>
          <w:u w:val="single"/>
        </w:rPr>
        <w:t xml:space="preserve"> to act in a manner inconsistent with [their] commitments.” Subsection 4 of this Article effectively requires that private-sector service providers be compensated when monopolies are "granted" with respect services they provided. It is unclear whether this provision would apply where a government wishes to return a service to the public sector when an experiment with </w:t>
      </w:r>
      <w:r w:rsidRPr="004F60A2">
        <w:rPr>
          <w:rStyle w:val="Emphasis"/>
        </w:rPr>
        <w:t>privatization fails</w:t>
      </w:r>
      <w:r w:rsidRPr="004F60A2">
        <w:rPr>
          <w:u w:val="single"/>
        </w:rPr>
        <w:t xml:space="preserve">. </w:t>
      </w:r>
    </w:p>
    <w:p w:rsidR="004F60A2" w:rsidRPr="004F60A2" w:rsidRDefault="004F60A2" w:rsidP="004F60A2"/>
    <w:p w:rsidR="004F60A2" w:rsidRPr="004F60A2" w:rsidRDefault="004F60A2" w:rsidP="004F60A2">
      <w:pPr>
        <w:pStyle w:val="Heading3"/>
        <w:rPr>
          <w:rFonts w:cs="Arial"/>
        </w:rPr>
      </w:pPr>
      <w:r w:rsidRPr="004F60A2">
        <w:rPr>
          <w:rFonts w:cs="Arial"/>
        </w:rPr>
        <w:t>Privatization</w:t>
      </w:r>
    </w:p>
    <w:p w:rsidR="004F60A2" w:rsidRPr="004F60A2" w:rsidRDefault="004F60A2" w:rsidP="004F60A2">
      <w:pPr>
        <w:pStyle w:val="Heading4"/>
        <w:rPr>
          <w:rFonts w:cs="Arial"/>
        </w:rPr>
      </w:pPr>
      <w:r w:rsidRPr="004F60A2">
        <w:rPr>
          <w:rFonts w:cs="Arial"/>
        </w:rPr>
        <w:t>Pure privatization fails.</w:t>
      </w:r>
    </w:p>
    <w:p w:rsidR="004F60A2" w:rsidRPr="004F60A2" w:rsidRDefault="004F60A2" w:rsidP="004F60A2">
      <w:pPr>
        <w:rPr>
          <w:rStyle w:val="Style13ptBold"/>
          <w:b w:val="0"/>
          <w:sz w:val="16"/>
        </w:rPr>
      </w:pPr>
      <w:r w:rsidRPr="004F60A2">
        <w:rPr>
          <w:rStyle w:val="Style13ptBold"/>
        </w:rPr>
        <w:t xml:space="preserve">Greenwood 14- </w:t>
      </w:r>
      <w:r w:rsidRPr="004F60A2">
        <w:rPr>
          <w:rStyle w:val="Style13ptBold"/>
          <w:b w:val="0"/>
          <w:sz w:val="16"/>
        </w:rPr>
        <w:t xml:space="preserve">Daphne Greenwood, Colorado Center for Policies, March 2014, [“The Decision to Contract Out: Understanding the Full Economic and Social Impacts”] </w:t>
      </w:r>
      <w:hyperlink r:id="rId68" w:history="1">
        <w:r w:rsidRPr="004F60A2">
          <w:rPr>
            <w:rStyle w:val="Hyperlink"/>
            <w:sz w:val="16"/>
          </w:rPr>
          <w:t>http://community-wealth.org/sites/clone.community-wealth.org/files/downloads/paper-greenwood.pdf</w:t>
        </w:r>
      </w:hyperlink>
      <w:r w:rsidRPr="004F60A2">
        <w:rPr>
          <w:rStyle w:val="Style13ptBold"/>
          <w:b w:val="0"/>
          <w:sz w:val="16"/>
        </w:rPr>
        <w:t xml:space="preserve"> //MD</w:t>
      </w:r>
    </w:p>
    <w:p w:rsidR="004F60A2" w:rsidRPr="004F60A2" w:rsidRDefault="004F60A2" w:rsidP="004F60A2">
      <w:pPr>
        <w:rPr>
          <w:rStyle w:val="StyleUnderline"/>
        </w:rPr>
      </w:pPr>
      <w:r w:rsidRPr="004F60A2">
        <w:rPr>
          <w:u w:val="single"/>
        </w:rPr>
        <w:t xml:space="preserve">The delivery of public services has been changing for several decades. State and local governments </w:t>
      </w:r>
      <w:r w:rsidRPr="004F60A2">
        <w:rPr>
          <w:rFonts w:ascii="Cambria Math" w:hAnsi="Cambria Math" w:cs="Cambria Math"/>
          <w:u w:val="single"/>
        </w:rPr>
        <w:t>‐‐</w:t>
      </w:r>
      <w:r w:rsidRPr="004F60A2">
        <w:rPr>
          <w:u w:val="single"/>
        </w:rPr>
        <w:t xml:space="preserve"> traditionally the provider of many services – are sometimes now only the funder of those services. Instead of directly providing services through their employees, they may contract with outside vendors. While this is popularly called </w:t>
      </w:r>
      <w:r w:rsidRPr="004F60A2">
        <w:rPr>
          <w:rStyle w:val="Emphasis"/>
        </w:rPr>
        <w:t>‘privatization’, the term is misleading, since public tax dollars are still paying the bills.</w:t>
      </w:r>
      <w:r w:rsidRPr="004F60A2">
        <w:rPr>
          <w:sz w:val="16"/>
        </w:rPr>
        <w:t xml:space="preserve"> Since public officials continue to have ultimate responsibility to taxpayers, the more accurate terms ‘outsourcing’ or ‘contracting’ are used here. </w:t>
      </w:r>
      <w:r w:rsidRPr="004F60A2">
        <w:rPr>
          <w:rStyle w:val="StyleUnderline"/>
        </w:rPr>
        <w:t>A trend related to outsourcing has been the lease or sale of publicly held assets to private companies in public</w:t>
      </w:r>
      <w:r w:rsidRPr="004F60A2">
        <w:rPr>
          <w:rStyle w:val="StyleUnderline"/>
          <w:rFonts w:ascii="Cambria Math" w:hAnsi="Cambria Math" w:cs="Cambria Math"/>
        </w:rPr>
        <w:t>‐</w:t>
      </w:r>
      <w:r w:rsidRPr="004F60A2">
        <w:rPr>
          <w:rStyle w:val="StyleUnderline"/>
        </w:rPr>
        <w:t xml:space="preserve">private partnerships, or ‘P3s’. This arrangement is closer to true privatization than outsourcing </w:t>
      </w:r>
      <w:r w:rsidRPr="004F60A2">
        <w:rPr>
          <w:rStyle w:val="StyleUnderline"/>
          <w:rFonts w:ascii="Cambria Math" w:hAnsi="Cambria Math" w:cs="Cambria Math"/>
        </w:rPr>
        <w:t>‐‐</w:t>
      </w:r>
      <w:r w:rsidRPr="004F60A2">
        <w:rPr>
          <w:rStyle w:val="StyleUnderline"/>
        </w:rPr>
        <w:t xml:space="preserve"> since more control is delegated to the private company </w:t>
      </w:r>
      <w:r w:rsidRPr="004F60A2">
        <w:rPr>
          <w:rStyle w:val="StyleUnderline"/>
          <w:rFonts w:ascii="Cambria Math" w:hAnsi="Cambria Math" w:cs="Cambria Math"/>
        </w:rPr>
        <w:t>‐‐</w:t>
      </w:r>
      <w:r w:rsidRPr="004F60A2">
        <w:rPr>
          <w:rStyle w:val="StyleUnderline"/>
        </w:rPr>
        <w:t>but is still quasi</w:t>
      </w:r>
      <w:r w:rsidRPr="004F60A2">
        <w:rPr>
          <w:rStyle w:val="StyleUnderline"/>
          <w:rFonts w:ascii="Cambria Math" w:hAnsi="Cambria Math" w:cs="Cambria Math"/>
        </w:rPr>
        <w:t>‐</w:t>
      </w:r>
      <w:r w:rsidRPr="004F60A2">
        <w:rPr>
          <w:rStyle w:val="StyleUnderline"/>
        </w:rPr>
        <w:t>public.</w:t>
      </w:r>
    </w:p>
    <w:p w:rsidR="004F60A2" w:rsidRPr="004F60A2" w:rsidRDefault="004F60A2" w:rsidP="004F60A2"/>
    <w:p w:rsidR="004F60A2" w:rsidRPr="004F60A2" w:rsidRDefault="004F60A2" w:rsidP="004F60A2">
      <w:pPr>
        <w:pStyle w:val="Heading4"/>
        <w:rPr>
          <w:rFonts w:cs="Arial"/>
        </w:rPr>
      </w:pPr>
      <w:r w:rsidRPr="004F60A2">
        <w:rPr>
          <w:rFonts w:cs="Arial"/>
        </w:rPr>
        <w:t>Privatization fails – China proves.</w:t>
      </w:r>
    </w:p>
    <w:p w:rsidR="004F60A2" w:rsidRPr="004F60A2" w:rsidRDefault="004F60A2" w:rsidP="004F60A2">
      <w:pPr>
        <w:rPr>
          <w:rStyle w:val="Style13ptBold"/>
          <w:b w:val="0"/>
          <w:sz w:val="16"/>
        </w:rPr>
      </w:pPr>
      <w:r w:rsidRPr="004F60A2">
        <w:rPr>
          <w:rStyle w:val="Style13ptBold"/>
        </w:rPr>
        <w:t xml:space="preserve">Tu et al. 13- </w:t>
      </w:r>
      <w:r w:rsidRPr="004F60A2">
        <w:rPr>
          <w:rStyle w:val="Style13ptBold"/>
          <w:b w:val="0"/>
          <w:sz w:val="16"/>
        </w:rPr>
        <w:t>Guoqian Tu, Bingxuan Lin, Feng Liu, College of Economics and Business Administration, Chongqing University, [“Political Connections and Privatization: Evidence from China”] Science Direct, Accessed through Emory Libraries. //MD</w:t>
      </w:r>
    </w:p>
    <w:p w:rsidR="004F60A2" w:rsidRPr="004F60A2" w:rsidRDefault="004F60A2" w:rsidP="004F60A2">
      <w:pPr>
        <w:rPr>
          <w:rStyle w:val="StyleUnderline"/>
        </w:rPr>
      </w:pPr>
      <w:r w:rsidRPr="004F60A2">
        <w:rPr>
          <w:rStyle w:val="StyleUnderline"/>
        </w:rPr>
        <w:t>The role played by political connections in a given market is greatly inﬂuenced by its social, political, legal, and economic environment. Findings obtained in one country may not be generalizable to another due to the unique environments in which ﬁrms operate.</w:t>
      </w:r>
      <w:r w:rsidRPr="004F60A2">
        <w:rPr>
          <w:sz w:val="16"/>
        </w:rPr>
        <w:t> </w:t>
      </w:r>
      <w:hyperlink r:id="rId69" w:anchor="page_22" w:history="1">
        <w:r w:rsidRPr="004F60A2">
          <w:rPr>
            <w:rStyle w:val="Hyperlink"/>
            <w:sz w:val="16"/>
          </w:rPr>
          <w:t>Faccio (2006) </w:t>
        </w:r>
      </w:hyperlink>
      <w:r w:rsidRPr="004F60A2">
        <w:rPr>
          <w:sz w:val="16"/>
        </w:rPr>
        <w:t>emphasizes that the effects of political connections are most pronounced in countries with high levels of corruption. According to </w:t>
      </w:r>
      <w:hyperlink r:id="rId70" w:anchor="page_22" w:history="1">
        <w:r w:rsidRPr="004F60A2">
          <w:rPr>
            <w:rStyle w:val="Hyperlink"/>
            <w:sz w:val="16"/>
          </w:rPr>
          <w:t>La Porta et al. (1998) </w:t>
        </w:r>
      </w:hyperlink>
      <w:r w:rsidRPr="004F60A2">
        <w:rPr>
          <w:sz w:val="16"/>
        </w:rPr>
        <w:t>and </w:t>
      </w:r>
      <w:hyperlink r:id="rId71" w:anchor="page_21" w:history="1">
        <w:r w:rsidRPr="004F60A2">
          <w:rPr>
            <w:rStyle w:val="Hyperlink"/>
            <w:sz w:val="16"/>
          </w:rPr>
          <w:t>Allen et al. (2005)</w:t>
        </w:r>
      </w:hyperlink>
      <w:r w:rsidRPr="004F60A2">
        <w:rPr>
          <w:sz w:val="16"/>
        </w:rPr>
        <w:t xml:space="preserve">, </w:t>
      </w:r>
      <w:r w:rsidRPr="004F60A2">
        <w:rPr>
          <w:rStyle w:val="StyleUnderline"/>
        </w:rPr>
        <w:t>China’s level of corruption and law enforcement environment are worse than those in developed countries and in most other emerging economies. </w:t>
      </w:r>
      <w:hyperlink r:id="rId72" w:anchor="page_22" w:history="1">
        <w:r w:rsidRPr="004F60A2">
          <w:rPr>
            <w:rStyle w:val="StyleUnderline"/>
          </w:rPr>
          <w:t>Fan et al. (2008)</w:t>
        </w:r>
      </w:hyperlink>
      <w:r w:rsidRPr="004F60A2">
        <w:rPr>
          <w:rStyle w:val="StyleUnderline"/>
        </w:rPr>
        <w:t>view China as a highly corrupt nation in which minority shareholders are often exploited by block shareholders</w:t>
      </w:r>
      <w:r w:rsidRPr="004F60A2">
        <w:rPr>
          <w:sz w:val="16"/>
        </w:rPr>
        <w:t>, and </w:t>
      </w:r>
      <w:hyperlink r:id="rId73" w:anchor="page_21" w:history="1">
        <w:r w:rsidRPr="004F60A2">
          <w:rPr>
            <w:rStyle w:val="Hyperlink"/>
            <w:sz w:val="16"/>
          </w:rPr>
          <w:t>Berkman et al. (2010) </w:t>
        </w:r>
      </w:hyperlink>
      <w:r w:rsidRPr="004F60A2">
        <w:rPr>
          <w:sz w:val="16"/>
        </w:rPr>
        <w:t xml:space="preserve">conﬁrm that minority shareholders in the Chinese capital market do not even expect regulators to enforce new rules on ﬁrms whose block shareholders have strong political connections. </w:t>
      </w:r>
      <w:r w:rsidRPr="004F60A2">
        <w:rPr>
          <w:rStyle w:val="StyleUnderline"/>
        </w:rPr>
        <w:t>In line with this evidence, we expect political connections to play a crucial role in the Chinese market. Although China has made signiﬁcant progress in reforming its social and economic systems over the past 20 years</w:t>
      </w:r>
      <w:r w:rsidRPr="004F60A2">
        <w:rPr>
          <w:sz w:val="16"/>
        </w:rPr>
        <w:t xml:space="preserve"> (</w:t>
      </w:r>
      <w:hyperlink r:id="rId74" w:anchor="page_22" w:history="1">
        <w:r w:rsidRPr="004F60A2">
          <w:rPr>
            <w:rStyle w:val="Hyperlink"/>
            <w:sz w:val="16"/>
          </w:rPr>
          <w:t>Hansan et al., 2009</w:t>
        </w:r>
      </w:hyperlink>
      <w:r w:rsidRPr="004F60A2">
        <w:rPr>
          <w:sz w:val="16"/>
        </w:rPr>
        <w:t xml:space="preserve">), </w:t>
      </w:r>
      <w:r w:rsidRPr="004F60A2">
        <w:rPr>
          <w:rStyle w:val="StyleUnderline"/>
        </w:rPr>
        <w:t>and the CSRC is doing a better job of enforcing securities rules</w:t>
      </w:r>
      <w:r w:rsidRPr="004F60A2">
        <w:rPr>
          <w:sz w:val="16"/>
        </w:rPr>
        <w:t xml:space="preserve"> (</w:t>
      </w:r>
      <w:hyperlink r:id="rId75" w:anchor="page_21" w:history="1">
        <w:r w:rsidRPr="004F60A2">
          <w:rPr>
            <w:rStyle w:val="Hyperlink"/>
            <w:sz w:val="16"/>
          </w:rPr>
          <w:t>Chen et al., 2005</w:t>
        </w:r>
      </w:hyperlink>
      <w:r w:rsidRPr="004F60A2">
        <w:rPr>
          <w:sz w:val="16"/>
        </w:rPr>
        <w:t xml:space="preserve">), </w:t>
      </w:r>
      <w:r w:rsidRPr="004F60A2">
        <w:rPr>
          <w:rStyle w:val="StyleUnderline"/>
        </w:rPr>
        <w:t>the country still lags well behind developed nations in terms of minimizing corruption.</w:t>
      </w:r>
    </w:p>
    <w:p w:rsidR="004F60A2" w:rsidRPr="004F60A2" w:rsidRDefault="004F60A2" w:rsidP="004F60A2">
      <w:pPr>
        <w:rPr>
          <w:rStyle w:val="StyleUnderline"/>
        </w:rPr>
      </w:pPr>
      <w:r w:rsidRPr="004F60A2">
        <w:rPr>
          <w:rStyle w:val="StyleUnderline"/>
        </w:rPr>
        <w:t>In their investigation of the impact of political connections on ﬁrm performance in China</w:t>
      </w:r>
      <w:r w:rsidRPr="004F60A2">
        <w:rPr>
          <w:sz w:val="16"/>
        </w:rPr>
        <w:t>, </w:t>
      </w:r>
      <w:hyperlink r:id="rId76" w:anchor="page_22" w:history="1">
        <w:r w:rsidRPr="004F60A2">
          <w:rPr>
            <w:rStyle w:val="Hyperlink"/>
            <w:sz w:val="16"/>
          </w:rPr>
          <w:t>Francis et al. (2009) </w:t>
        </w:r>
      </w:hyperlink>
      <w:r w:rsidRPr="004F60A2">
        <w:rPr>
          <w:sz w:val="16"/>
        </w:rPr>
        <w:t>ﬁnd them to be of great beneﬁt to ﬁrms in the country’s IPO market</w:t>
      </w:r>
      <w:r w:rsidRPr="004F60A2">
        <w:rPr>
          <w:rStyle w:val="StyleUnderline"/>
        </w:rPr>
        <w:t>. They report that ﬁrms with greater political connections enjoy relatively higher offering prices, a lower degree of underpricing, and lower ﬁxed costs.</w:t>
      </w:r>
      <w:r w:rsidRPr="004F60A2">
        <w:rPr>
          <w:sz w:val="16"/>
        </w:rPr>
        <w:t> </w:t>
      </w:r>
      <w:hyperlink r:id="rId77" w:anchor="page_22" w:history="1">
        <w:r w:rsidRPr="004F60A2">
          <w:rPr>
            <w:rStyle w:val="Hyperlink"/>
            <w:sz w:val="16"/>
          </w:rPr>
          <w:t>Li et al. (2008) </w:t>
        </w:r>
      </w:hyperlink>
      <w:r w:rsidRPr="004F60A2">
        <w:rPr>
          <w:sz w:val="16"/>
        </w:rPr>
        <w:t>ﬁnd that Communist Party membership helps private entrepreneurs in China to obtain loans from banks and other state institutions. Finally, </w:t>
      </w:r>
      <w:hyperlink r:id="rId78" w:anchor="page_22" w:history="1">
        <w:r w:rsidRPr="004F60A2">
          <w:rPr>
            <w:rStyle w:val="Hyperlink"/>
            <w:sz w:val="16"/>
          </w:rPr>
          <w:t>Fan et al. (2007) </w:t>
        </w:r>
      </w:hyperlink>
      <w:r w:rsidRPr="004F60A2">
        <w:rPr>
          <w:sz w:val="16"/>
        </w:rPr>
        <w:t>discover that ﬁrms with politically connected CEOs underperform relative to those with- out connections based on 3-yearpost-IPO stock returns.</w:t>
      </w:r>
      <w:r w:rsidRPr="004F60A2">
        <w:rPr>
          <w:rStyle w:val="StyleUnderline"/>
        </w:rPr>
        <w:t xml:space="preserve"> Their paper provides some insight into why privatization fails to produce positive outcomes for SOEs. However, they focus solely on partial privatizations in which the ﬁrms in question remain under the control of the state or local government.</w:t>
      </w:r>
    </w:p>
    <w:p w:rsidR="004F60A2" w:rsidRPr="004F60A2" w:rsidRDefault="004F60A2" w:rsidP="004F60A2"/>
    <w:p w:rsidR="004F60A2" w:rsidRPr="004F60A2" w:rsidRDefault="004F60A2" w:rsidP="004F60A2">
      <w:pPr>
        <w:pStyle w:val="Heading2"/>
        <w:rPr>
          <w:rFonts w:cs="Arial"/>
        </w:rPr>
      </w:pPr>
      <w:r w:rsidRPr="004F60A2">
        <w:rPr>
          <w:rFonts w:cs="Arial"/>
        </w:rPr>
        <w:t>PPA</w:t>
      </w:r>
    </w:p>
    <w:p w:rsidR="004F60A2" w:rsidRPr="004F60A2" w:rsidRDefault="004F60A2" w:rsidP="004F60A2">
      <w:pPr>
        <w:pStyle w:val="Heading3"/>
        <w:rPr>
          <w:rFonts w:cs="Arial"/>
        </w:rPr>
      </w:pPr>
      <w:r w:rsidRPr="004F60A2">
        <w:rPr>
          <w:rFonts w:cs="Arial"/>
        </w:rPr>
        <w:t>Links to Ptx</w:t>
      </w:r>
    </w:p>
    <w:p w:rsidR="004F60A2" w:rsidRPr="004F60A2" w:rsidRDefault="004F60A2" w:rsidP="004F60A2">
      <w:pPr>
        <w:pStyle w:val="Heading4"/>
        <w:rPr>
          <w:rFonts w:cs="Arial"/>
        </w:rPr>
      </w:pPr>
      <w:r w:rsidRPr="004F60A2">
        <w:rPr>
          <w:rFonts w:cs="Arial"/>
        </w:rPr>
        <w:t xml:space="preserve">Ocean PPA’s fail, link to politics, and get rolled back </w:t>
      </w:r>
    </w:p>
    <w:p w:rsidR="004F60A2" w:rsidRPr="004F60A2" w:rsidRDefault="004F60A2" w:rsidP="004F60A2">
      <w:pPr>
        <w:rPr>
          <w:bCs/>
          <w:sz w:val="16"/>
        </w:rPr>
      </w:pPr>
      <w:r w:rsidRPr="004F60A2">
        <w:rPr>
          <w:rStyle w:val="Style13ptBold"/>
        </w:rPr>
        <w:t xml:space="preserve">Harmon 11, </w:t>
      </w:r>
      <w:r w:rsidRPr="004F60A2">
        <w:rPr>
          <w:rStyle w:val="Style13ptBold"/>
          <w:b w:val="0"/>
          <w:sz w:val="16"/>
        </w:rPr>
        <w:t>(Robert K. – member of the Oregon Wave Energy Trust (OWET) is a nonprofit public-private partnership funded by the Oregon Innovation Council.) [Incentivizing Ocean Energy] (</w:t>
      </w:r>
      <w:hyperlink r:id="rId79" w:history="1">
        <w:r w:rsidRPr="004F60A2">
          <w:rPr>
            <w:rStyle w:val="Hyperlink"/>
            <w:sz w:val="16"/>
          </w:rPr>
          <w:t>http://oregonwave.org/oceanic/wp-content/uploads/2013/05/Incentivizing-Ocean-Energy-%E2%80%93-July-2011.pdf</w:t>
        </w:r>
      </w:hyperlink>
      <w:r w:rsidRPr="004F60A2">
        <w:rPr>
          <w:rStyle w:val="Style13ptBold"/>
          <w:b w:val="0"/>
          <w:sz w:val="16"/>
        </w:rPr>
        <w:t>) (pg.46-47) //MC</w:t>
      </w:r>
    </w:p>
    <w:p w:rsidR="004F60A2" w:rsidRPr="004F60A2" w:rsidRDefault="004F60A2" w:rsidP="004F60A2">
      <w:pPr>
        <w:rPr>
          <w:sz w:val="16"/>
          <w:szCs w:val="16"/>
        </w:rPr>
      </w:pPr>
      <w:r w:rsidRPr="004F60A2">
        <w:rPr>
          <w:sz w:val="16"/>
          <w:szCs w:val="16"/>
        </w:rPr>
        <w:t xml:space="preserve">Certain </w:t>
      </w:r>
      <w:r w:rsidRPr="004F60A2">
        <w:rPr>
          <w:rStyle w:val="StyleUnderline"/>
        </w:rPr>
        <w:t>PPA-related</w:t>
      </w:r>
      <w:r w:rsidRPr="004F60A2">
        <w:rPr>
          <w:sz w:val="16"/>
          <w:szCs w:val="16"/>
        </w:rPr>
        <w:t xml:space="preserve"> </w:t>
      </w:r>
      <w:r w:rsidRPr="004F60A2">
        <w:rPr>
          <w:rStyle w:val="StyleUnderline"/>
        </w:rPr>
        <w:t>policies</w:t>
      </w:r>
      <w:r w:rsidRPr="004F60A2">
        <w:rPr>
          <w:sz w:val="16"/>
          <w:szCs w:val="16"/>
        </w:rPr>
        <w:t xml:space="preserve">, such as mandated solicitations for hundreds of MW of ocean energy, </w:t>
      </w:r>
      <w:r w:rsidRPr="004F60A2">
        <w:rPr>
          <w:rStyle w:val="StyleUnderline"/>
        </w:rPr>
        <w:t xml:space="preserve">are </w:t>
      </w:r>
      <w:r w:rsidRPr="004F60A2">
        <w:rPr>
          <w:sz w:val="16"/>
          <w:szCs w:val="16"/>
        </w:rPr>
        <w:t xml:space="preserve">simply </w:t>
      </w:r>
      <w:r w:rsidRPr="004F60A2">
        <w:rPr>
          <w:rStyle w:val="StyleUnderline"/>
        </w:rPr>
        <w:t>impractical for ocean technologies due to their current inability to scale to the appropriate levels</w:t>
      </w:r>
      <w:r w:rsidRPr="004F60A2">
        <w:rPr>
          <w:sz w:val="16"/>
          <w:szCs w:val="16"/>
        </w:rPr>
        <w:t xml:space="preserve">. The </w:t>
      </w:r>
      <w:r w:rsidRPr="004F60A2">
        <w:rPr>
          <w:rStyle w:val="StyleUnderline"/>
        </w:rPr>
        <w:t>Rhode Island case</w:t>
      </w:r>
      <w:r w:rsidRPr="004F60A2">
        <w:rPr>
          <w:sz w:val="16"/>
          <w:szCs w:val="16"/>
        </w:rPr>
        <w:t xml:space="preserve"> also </w:t>
      </w:r>
      <w:r w:rsidRPr="004F60A2">
        <w:rPr>
          <w:rStyle w:val="StyleUnderline"/>
        </w:rPr>
        <w:t>illustrates the danger of politically mandated projects. While the legislature backed its initial decision with follow-on guidance to the PUC, continued support for a project is not guaranteed in a legislative body, which is subject to electoral turnover. Ocean energy technologies</w:t>
      </w:r>
      <w:r w:rsidRPr="004F60A2">
        <w:rPr>
          <w:sz w:val="16"/>
          <w:szCs w:val="16"/>
        </w:rPr>
        <w:t xml:space="preserve"> currently </w:t>
      </w:r>
      <w:r w:rsidRPr="004F60A2">
        <w:rPr>
          <w:rStyle w:val="StyleUnderline"/>
        </w:rPr>
        <w:t>have unpredictable energy production, unknown long-term survivability, are deployed in small, relatively uneconomical arrays for testing and are not yet used for commercial purposes</w:t>
      </w:r>
      <w:r w:rsidRPr="004F60A2">
        <w:rPr>
          <w:sz w:val="16"/>
          <w:szCs w:val="16"/>
        </w:rPr>
        <w:t xml:space="preserve">. Based on these limiting factors, </w:t>
      </w:r>
      <w:r w:rsidRPr="004F60A2">
        <w:rPr>
          <w:rStyle w:val="StyleUnderline"/>
        </w:rPr>
        <w:t>the prospects of obtaining a PPA reflecting the full cost of the deployment is unlikely, even with subsidization</w:t>
      </w:r>
      <w:r w:rsidRPr="004F60A2">
        <w:rPr>
          <w:sz w:val="16"/>
          <w:szCs w:val="16"/>
        </w:rPr>
        <w:t xml:space="preserve"> or demand-based revenue streams like FITs and ORECs. Despite generation not being the primary purpose of grid-connected pilot projects, they can still utilize PPA mechanisms to offset a portion of their project costs. Ocean projects that are not intended for commercial viability can nonetheless sell electricity to partially reduce the cost of deployment, and PPAs can thus play some role in supporting current-stage ocean energy projects. The primary benefit to ocean energy from PPA mandating or enabling policies will come as the technologies reach commercialization. While ocean energy matures as an industry, policy can be reshaped to enable or require the long-term purchase of power from commercial ocean installations by extending many of the incentive policies afforded to more mature renewable technologies. A full production tax credit and an accelerated depreciation schedule are particularly helpful as the industry matures.</w:t>
      </w:r>
    </w:p>
    <w:p w:rsidR="004F60A2" w:rsidRPr="004F60A2" w:rsidRDefault="004F60A2" w:rsidP="004F60A2"/>
    <w:p w:rsidR="004F60A2" w:rsidRPr="004F60A2" w:rsidRDefault="004F60A2" w:rsidP="004F60A2">
      <w:pPr>
        <w:pStyle w:val="Heading2"/>
        <w:rPr>
          <w:rFonts w:cs="Arial"/>
        </w:rPr>
      </w:pPr>
      <w:r w:rsidRPr="004F60A2">
        <w:rPr>
          <w:rFonts w:cs="Arial"/>
        </w:rPr>
        <w:t>PPP Bad</w:t>
      </w:r>
    </w:p>
    <w:p w:rsidR="004F60A2" w:rsidRPr="004F60A2" w:rsidRDefault="004F60A2" w:rsidP="004F60A2">
      <w:pPr>
        <w:pStyle w:val="Heading4"/>
        <w:rPr>
          <w:rFonts w:cs="Arial"/>
        </w:rPr>
      </w:pPr>
      <w:r w:rsidRPr="004F60A2">
        <w:rPr>
          <w:rFonts w:cs="Arial"/>
        </w:rPr>
        <w:t>Public-Private-Partnerships fail, normal means is comparatively better</w:t>
      </w:r>
    </w:p>
    <w:p w:rsidR="004F60A2" w:rsidRPr="004F60A2" w:rsidRDefault="004F60A2" w:rsidP="004F60A2">
      <w:pPr>
        <w:pStyle w:val="NoSpacing"/>
        <w:rPr>
          <w:rFonts w:cs="Arial"/>
        </w:rPr>
      </w:pPr>
      <w:r w:rsidRPr="004F60A2">
        <w:rPr>
          <w:rStyle w:val="Style13ptBold"/>
          <w:rFonts w:cs="Arial"/>
        </w:rPr>
        <w:t>Miles 11</w:t>
      </w:r>
      <w:r w:rsidRPr="004F60A2">
        <w:rPr>
          <w:rFonts w:cs="Arial"/>
        </w:rPr>
        <w:t>, DEBORAH A. MILES [http://www.thecommunicator.org/062011/publicprivate.htm] //MC</w:t>
      </w:r>
    </w:p>
    <w:p w:rsidR="004F60A2" w:rsidRPr="004F60A2" w:rsidRDefault="004F60A2" w:rsidP="004F60A2">
      <w:pPr>
        <w:pStyle w:val="NoSpacing"/>
        <w:rPr>
          <w:rFonts w:cs="Arial"/>
        </w:rPr>
      </w:pPr>
      <w:r w:rsidRPr="004F60A2">
        <w:rPr>
          <w:rFonts w:cs="Arial"/>
        </w:rPr>
        <w:t xml:space="preserve">A PEF leader testified at a state Senate Transportation Committee hearing May 16 about the dangers of public-private partnerships. </w:t>
      </w:r>
    </w:p>
    <w:p w:rsidR="004F60A2" w:rsidRPr="004F60A2" w:rsidRDefault="004F60A2" w:rsidP="004F60A2">
      <w:pPr>
        <w:pStyle w:val="NoSpacing"/>
        <w:rPr>
          <w:rStyle w:val="StyleUnderline"/>
          <w:rFonts w:cs="Arial"/>
        </w:rPr>
      </w:pPr>
      <w:r w:rsidRPr="004F60A2">
        <w:rPr>
          <w:rStyle w:val="StyleUnderline"/>
          <w:rFonts w:cs="Arial"/>
        </w:rPr>
        <w:t>Ed Lucas</w:t>
      </w:r>
      <w:r w:rsidRPr="004F60A2">
        <w:rPr>
          <w:rFonts w:cs="Arial"/>
          <w:szCs w:val="16"/>
        </w:rPr>
        <w:t xml:space="preserve">, a PEF </w:t>
      </w:r>
      <w:r w:rsidRPr="004F60A2">
        <w:rPr>
          <w:rStyle w:val="StyleUnderline"/>
          <w:rFonts w:cs="Arial"/>
        </w:rPr>
        <w:t>representative for the state Department of Transportation’s</w:t>
      </w:r>
      <w:r w:rsidRPr="004F60A2">
        <w:rPr>
          <w:rFonts w:cs="Arial"/>
          <w:szCs w:val="16"/>
        </w:rPr>
        <w:t xml:space="preserve"> (DOT) labor-management committee, said </w:t>
      </w:r>
      <w:r w:rsidRPr="004F60A2">
        <w:rPr>
          <w:rStyle w:val="StyleUnderline"/>
          <w:rFonts w:cs="Arial"/>
        </w:rPr>
        <w:t xml:space="preserve">a global study of public-private partnerships showed 1,000 projects valued at a half-trillion dollars failed or were radically reduced. </w:t>
      </w:r>
    </w:p>
    <w:p w:rsidR="004F60A2" w:rsidRPr="004F60A2" w:rsidRDefault="004F60A2" w:rsidP="004F60A2">
      <w:pPr>
        <w:pStyle w:val="NoSpacing"/>
        <w:rPr>
          <w:rFonts w:cs="Arial"/>
          <w:szCs w:val="16"/>
        </w:rPr>
      </w:pPr>
      <w:r w:rsidRPr="004F60A2">
        <w:rPr>
          <w:rFonts w:cs="Arial"/>
          <w:szCs w:val="16"/>
        </w:rPr>
        <w:t xml:space="preserve">“There is now a </w:t>
      </w:r>
      <w:r w:rsidRPr="004F60A2">
        <w:rPr>
          <w:rStyle w:val="StyleUnderline"/>
          <w:rFonts w:cs="Arial"/>
        </w:rPr>
        <w:t>significant evidence base to show most public-private partnerships have little or no democratic control or transparency, are costly, provide poor value, lack innovation and flexibility, reduce employment and erode public service values</w:t>
      </w:r>
      <w:r w:rsidRPr="004F60A2">
        <w:rPr>
          <w:rFonts w:cs="Arial"/>
          <w:szCs w:val="16"/>
        </w:rPr>
        <w:t xml:space="preserve">,” Lucas said. </w:t>
      </w:r>
    </w:p>
    <w:p w:rsidR="004F60A2" w:rsidRPr="004F60A2" w:rsidRDefault="004F60A2" w:rsidP="004F60A2">
      <w:pPr>
        <w:pStyle w:val="NoSpacing"/>
        <w:rPr>
          <w:rFonts w:cs="Arial"/>
        </w:rPr>
      </w:pPr>
      <w:r w:rsidRPr="004F60A2">
        <w:rPr>
          <w:rFonts w:cs="Arial"/>
        </w:rPr>
        <w:t xml:space="preserve">He cited several examples of how public-private partnership projects ended up in bankruptcy. </w:t>
      </w:r>
    </w:p>
    <w:p w:rsidR="004F60A2" w:rsidRPr="004F60A2" w:rsidRDefault="004F60A2" w:rsidP="004F60A2">
      <w:pPr>
        <w:pStyle w:val="NoSpacing"/>
        <w:rPr>
          <w:rFonts w:cs="Arial"/>
        </w:rPr>
      </w:pPr>
      <w:r w:rsidRPr="004F60A2">
        <w:rPr>
          <w:rFonts w:cs="Arial"/>
        </w:rPr>
        <w:t xml:space="preserve">PEF researchers consulted many experts on the issue of public-private partnerships, such as the American Trucking Association and the American Highway Users Alliance, which have pointed to the high cost of financing public-private projects. </w:t>
      </w:r>
    </w:p>
    <w:p w:rsidR="004F60A2" w:rsidRPr="004F60A2" w:rsidRDefault="004F60A2" w:rsidP="004F60A2">
      <w:pPr>
        <w:pStyle w:val="NoSpacing"/>
        <w:rPr>
          <w:rFonts w:cs="Arial"/>
          <w:szCs w:val="16"/>
        </w:rPr>
      </w:pPr>
      <w:r w:rsidRPr="004F60A2">
        <w:rPr>
          <w:rFonts w:cs="Arial"/>
          <w:szCs w:val="16"/>
        </w:rPr>
        <w:t xml:space="preserve">“Privately financed road projects cost more than publicly financed projects. This is because </w:t>
      </w:r>
      <w:r w:rsidRPr="004F60A2">
        <w:rPr>
          <w:rStyle w:val="StyleUnderline"/>
          <w:rFonts w:cs="Arial"/>
        </w:rPr>
        <w:t>the cost of private bonds are higher than government, tax-exempt bonds</w:t>
      </w:r>
      <w:r w:rsidRPr="004F60A2">
        <w:rPr>
          <w:rFonts w:cs="Arial"/>
          <w:szCs w:val="16"/>
        </w:rPr>
        <w:t>,” Lucas said. “</w:t>
      </w:r>
      <w:r w:rsidRPr="004F60A2">
        <w:rPr>
          <w:rStyle w:val="StyleUnderline"/>
          <w:rFonts w:cs="Arial"/>
        </w:rPr>
        <w:t>The private operator also must make a profit, usually by charging higher tolls. The sole goal of the public-private partnership is profit, not public service</w:t>
      </w:r>
      <w:r w:rsidRPr="004F60A2">
        <w:rPr>
          <w:rFonts w:cs="Arial"/>
          <w:szCs w:val="16"/>
        </w:rPr>
        <w:t xml:space="preserve">. </w:t>
      </w:r>
    </w:p>
    <w:p w:rsidR="004F60A2" w:rsidRPr="004F60A2" w:rsidRDefault="004F60A2" w:rsidP="004F60A2">
      <w:pPr>
        <w:pStyle w:val="NoSpacing"/>
        <w:rPr>
          <w:rFonts w:cs="Arial"/>
        </w:rPr>
      </w:pPr>
      <w:r w:rsidRPr="004F60A2">
        <w:rPr>
          <w:rFonts w:cs="Arial"/>
        </w:rPr>
        <w:t xml:space="preserve">”It is also clear public-private partnerships </w:t>
      </w:r>
      <w:r w:rsidRPr="004F60A2">
        <w:rPr>
          <w:rStyle w:val="StyleUnderline"/>
          <w:rFonts w:cs="Arial"/>
        </w:rPr>
        <w:t>will result in the greater use of private engineering consultants</w:t>
      </w:r>
      <w:r w:rsidRPr="004F60A2">
        <w:rPr>
          <w:rFonts w:cs="Arial"/>
        </w:rPr>
        <w:t xml:space="preserve"> on state road and bridge projects for both design and construction inspection. This is exactly the opposite of what is needed to make our bridge and road construction dollars go further,” he said. </w:t>
      </w:r>
    </w:p>
    <w:p w:rsidR="004F60A2" w:rsidRPr="004F60A2" w:rsidRDefault="004F60A2" w:rsidP="004F60A2">
      <w:pPr>
        <w:pStyle w:val="NoSpacing"/>
        <w:rPr>
          <w:rFonts w:cs="Arial"/>
          <w:szCs w:val="16"/>
        </w:rPr>
      </w:pPr>
      <w:r w:rsidRPr="004F60A2">
        <w:rPr>
          <w:rFonts w:cs="Arial"/>
          <w:szCs w:val="16"/>
        </w:rPr>
        <w:t xml:space="preserve">PEF has opposed public-private partnerships because </w:t>
      </w:r>
      <w:r w:rsidRPr="004F60A2">
        <w:rPr>
          <w:rStyle w:val="StyleUnderline"/>
          <w:rFonts w:cs="Arial"/>
        </w:rPr>
        <w:t xml:space="preserve">research has shown how these plans only increase reliance on more expensive consultant engineers. Lucas said one example of wasteful state spending is the use of consultants in the bridge-inspection program. </w:t>
      </w:r>
    </w:p>
    <w:p w:rsidR="004F60A2" w:rsidRPr="004F60A2" w:rsidRDefault="004F60A2" w:rsidP="004F60A2">
      <w:pPr>
        <w:pStyle w:val="NoSpacing"/>
        <w:rPr>
          <w:rFonts w:cs="Arial"/>
        </w:rPr>
      </w:pPr>
      <w:r w:rsidRPr="004F60A2">
        <w:rPr>
          <w:rFonts w:cs="Arial"/>
        </w:rPr>
        <w:t xml:space="preserve">“Consultants hired by DOT for bridge inspection cost an average 94 percent more than state-employed engineers to do the same work. </w:t>
      </w:r>
    </w:p>
    <w:p w:rsidR="004F60A2" w:rsidRPr="004F60A2" w:rsidRDefault="004F60A2" w:rsidP="004F60A2">
      <w:pPr>
        <w:pStyle w:val="NoSpacing"/>
        <w:rPr>
          <w:rFonts w:cs="Arial"/>
        </w:rPr>
      </w:pPr>
      <w:r w:rsidRPr="004F60A2">
        <w:rPr>
          <w:rFonts w:cs="Arial"/>
        </w:rPr>
        <w:t xml:space="preserve">”Public-private partnerships will not produce massive new funds for infrastructure construction. The underlying source of revenue is the same, taxes or tolls. And the bottom line is, </w:t>
      </w:r>
      <w:r w:rsidRPr="004F60A2">
        <w:rPr>
          <w:rStyle w:val="StyleUnderline"/>
          <w:rFonts w:cs="Arial"/>
        </w:rPr>
        <w:t>public financing and public design will produce better results at a lower cost</w:t>
      </w:r>
      <w:r w:rsidRPr="004F60A2">
        <w:rPr>
          <w:rFonts w:cs="Arial"/>
        </w:rPr>
        <w:t>,” Lucas said.</w:t>
      </w:r>
    </w:p>
    <w:p w:rsidR="004F60A2" w:rsidRPr="004F60A2" w:rsidRDefault="004F60A2" w:rsidP="004F60A2"/>
    <w:p w:rsidR="004F60A2" w:rsidRPr="004F60A2" w:rsidRDefault="004F60A2" w:rsidP="004F60A2">
      <w:pPr>
        <w:pStyle w:val="Heading4"/>
        <w:rPr>
          <w:rFonts w:cs="Arial"/>
        </w:rPr>
      </w:pPr>
      <w:r w:rsidRPr="004F60A2">
        <w:rPr>
          <w:rFonts w:cs="Arial"/>
        </w:rPr>
        <w:t>PPP’s are bad</w:t>
      </w:r>
    </w:p>
    <w:p w:rsidR="004F60A2" w:rsidRPr="004F60A2" w:rsidRDefault="004F60A2" w:rsidP="004F60A2">
      <w:pPr>
        <w:pStyle w:val="NoSpacing"/>
        <w:rPr>
          <w:rFonts w:cs="Arial"/>
        </w:rPr>
      </w:pPr>
      <w:r w:rsidRPr="004F60A2">
        <w:rPr>
          <w:rStyle w:val="Style13ptBold"/>
          <w:rFonts w:cs="Arial"/>
        </w:rPr>
        <w:t>Martins et al. 11</w:t>
      </w:r>
      <w:r w:rsidRPr="004F60A2">
        <w:rPr>
          <w:rStyle w:val="Style13ptBold"/>
          <w:rFonts w:cs="Arial"/>
          <w:szCs w:val="16"/>
        </w:rPr>
        <w:t>,</w:t>
      </w:r>
      <w:r w:rsidRPr="004F60A2">
        <w:rPr>
          <w:rFonts w:cs="Arial"/>
        </w:rPr>
        <w:t>(Ana Cravinho Martins, Center of Urban and Regional Systems, Technical University of Lisbon, Rui Cunha Marques Center of Urban and Regional Systems, Technical University of Lisbon, Carlos Oliveira Cruz Center of Urban and Regional Systems, Technical University of Lisbon) [Public–private partnerships for wind power generation: The Portuguese case](96-97)</w:t>
      </w:r>
    </w:p>
    <w:p w:rsidR="004F60A2" w:rsidRPr="004F60A2" w:rsidRDefault="004F60A2" w:rsidP="004F60A2">
      <w:pPr>
        <w:pStyle w:val="NoSpacing"/>
        <w:rPr>
          <w:rFonts w:cs="Arial"/>
        </w:rPr>
      </w:pPr>
      <w:r w:rsidRPr="004F60A2">
        <w:rPr>
          <w:rFonts w:cs="Arial"/>
        </w:rPr>
        <w:t>(http://ac.els-cdn.com/S0301421510007032/1-s2.0-S0301421510007032-main.pdf?_tid=bba0b80c-fc6b-11e3-953a-00000aacb361&amp;acdnat=1403702719_acf893aa925131df6d4c893964fab410)//MC</w:t>
      </w:r>
    </w:p>
    <w:p w:rsidR="004F60A2" w:rsidRPr="004F60A2" w:rsidRDefault="004F60A2" w:rsidP="004F60A2">
      <w:pPr>
        <w:pStyle w:val="NoSpacing"/>
        <w:rPr>
          <w:rFonts w:cs="Arial"/>
        </w:rPr>
      </w:pPr>
      <w:r w:rsidRPr="004F60A2">
        <w:rPr>
          <w:rFonts w:cs="Arial"/>
        </w:rPr>
        <w:t>2.4. Pitfalls in PPPs usage</w:t>
      </w:r>
    </w:p>
    <w:p w:rsidR="004F60A2" w:rsidRPr="004F60A2" w:rsidRDefault="004F60A2" w:rsidP="004F60A2">
      <w:pPr>
        <w:pStyle w:val="NoSpacing"/>
        <w:rPr>
          <w:rFonts w:cs="Arial"/>
        </w:rPr>
      </w:pPr>
      <w:r w:rsidRPr="004F60A2">
        <w:rPr>
          <w:rStyle w:val="StyleUnderline"/>
          <w:rFonts w:cs="Arial"/>
        </w:rPr>
        <w:t>The development of PPP arrangements has been far from perfect</w:t>
      </w:r>
      <w:r w:rsidRPr="004F60A2">
        <w:rPr>
          <w:rFonts w:cs="Arial"/>
        </w:rPr>
        <w:t xml:space="preserve">. In fact, </w:t>
      </w:r>
      <w:r w:rsidRPr="004F60A2">
        <w:rPr>
          <w:rStyle w:val="StyleUnderline"/>
          <w:rFonts w:cs="Arial"/>
        </w:rPr>
        <w:t>the need felt by governments to develop projects without public expenditure has led to contracts poorly designed</w:t>
      </w:r>
      <w:r w:rsidRPr="004F60A2">
        <w:rPr>
          <w:rFonts w:cs="Arial"/>
        </w:rPr>
        <w:t xml:space="preserve"> and, eventually, to the delivery of projects without a positive net present value (NPV), even when considering social and larger economic beneﬁts. </w:t>
      </w:r>
      <w:r w:rsidRPr="004F60A2">
        <w:rPr>
          <w:rStyle w:val="StyleUnderline"/>
          <w:rFonts w:cs="Arial"/>
        </w:rPr>
        <w:t>Ad hoc renegotiations become inevitable and result directly from lack of preparation by the public authorities</w:t>
      </w:r>
      <w:r w:rsidRPr="004F60A2">
        <w:rPr>
          <w:rFonts w:cs="Arial"/>
        </w:rPr>
        <w:t xml:space="preserve"> (Engel et al., 2009). These renegotiations take place during the contract period, </w:t>
      </w:r>
      <w:r w:rsidRPr="004F60A2">
        <w:rPr>
          <w:rStyle w:val="StyleUnderline"/>
          <w:rFonts w:cs="Arial"/>
        </w:rPr>
        <w:t>meaning that there will be only one price, the one presented by the private partner, without any competition and with proﬁt margins well above the ones observed in a competing market.</w:t>
      </w:r>
      <w:r w:rsidRPr="004F60A2">
        <w:rPr>
          <w:rFonts w:cs="Arial"/>
        </w:rPr>
        <w:t xml:space="preserve"> This abusive behaviour is sometimes expected by the companies competing for the contract. </w:t>
      </w:r>
      <w:r w:rsidRPr="004F60A2">
        <w:rPr>
          <w:rStyle w:val="StyleUnderline"/>
          <w:rFonts w:cs="Arial"/>
        </w:rPr>
        <w:t>Engel et al</w:t>
      </w:r>
      <w:r w:rsidRPr="004F60A2">
        <w:rPr>
          <w:rFonts w:cs="Arial"/>
        </w:rPr>
        <w:t xml:space="preserve">. (2009) </w:t>
      </w:r>
      <w:r w:rsidRPr="004F60A2">
        <w:rPr>
          <w:rStyle w:val="StyleUnderline"/>
          <w:rFonts w:cs="Arial"/>
        </w:rPr>
        <w:t>found evidence of firms lowballing their offers to levels of predatory prices, expecting to reach their desired levels of profitability during renegotiations</w:t>
      </w:r>
      <w:r w:rsidRPr="004F60A2">
        <w:rPr>
          <w:rFonts w:cs="Arial"/>
        </w:rPr>
        <w:t>. For example, in the construction of the Portuguese highway network there are examples of renegotiations even before the highway was open to use.</w:t>
      </w:r>
    </w:p>
    <w:p w:rsidR="004F60A2" w:rsidRPr="004F60A2" w:rsidRDefault="004F60A2" w:rsidP="004F60A2"/>
    <w:p w:rsidR="004F60A2" w:rsidRPr="004F60A2" w:rsidRDefault="004F60A2" w:rsidP="004F60A2"/>
    <w:p w:rsidR="004F60A2" w:rsidRPr="004F60A2" w:rsidRDefault="004F60A2" w:rsidP="004F60A2">
      <w:pPr>
        <w:pStyle w:val="Heading2"/>
        <w:rPr>
          <w:rFonts w:cs="Arial"/>
        </w:rPr>
      </w:pPr>
      <w:r w:rsidRPr="004F60A2">
        <w:rPr>
          <w:rFonts w:cs="Arial"/>
        </w:rPr>
        <w:t>AT – NB</w:t>
      </w:r>
    </w:p>
    <w:p w:rsidR="004F60A2" w:rsidRPr="004F60A2" w:rsidRDefault="004F60A2" w:rsidP="004F60A2">
      <w:pPr>
        <w:pStyle w:val="Heading3"/>
        <w:rPr>
          <w:rFonts w:cs="Arial"/>
        </w:rPr>
      </w:pPr>
      <w:r w:rsidRPr="004F60A2">
        <w:rPr>
          <w:rFonts w:cs="Arial"/>
        </w:rPr>
        <w:t>Overruns/Delays</w:t>
      </w:r>
    </w:p>
    <w:p w:rsidR="004F60A2" w:rsidRPr="004F60A2" w:rsidRDefault="004F60A2" w:rsidP="004F60A2">
      <w:pPr>
        <w:pStyle w:val="Heading4"/>
        <w:rPr>
          <w:rFonts w:cs="Arial"/>
        </w:rPr>
      </w:pPr>
      <w:r w:rsidRPr="004F60A2">
        <w:rPr>
          <w:rFonts w:cs="Arial"/>
        </w:rPr>
        <w:t>States literally do the exact same thing</w:t>
      </w:r>
    </w:p>
    <w:p w:rsidR="004F60A2" w:rsidRPr="004F60A2" w:rsidRDefault="004F60A2" w:rsidP="004F60A2">
      <w:pPr>
        <w:rPr>
          <w:b/>
          <w:bCs/>
        </w:rPr>
      </w:pPr>
      <w:r w:rsidRPr="004F60A2">
        <w:rPr>
          <w:rStyle w:val="Style13ptBold"/>
        </w:rPr>
        <w:t xml:space="preserve">Edwards 09, </w:t>
      </w:r>
      <w:r w:rsidRPr="004F60A2">
        <w:rPr>
          <w:rStyle w:val="Style13ptBold"/>
          <w:b w:val="0"/>
          <w:sz w:val="16"/>
        </w:rPr>
        <w:t>(Chris Edwards – a senior economist on the congressional Joint Economic Committee, a manager with PricewaterhouseCoopers, an economist with the Tax Foundation, overall Badass.) [Government Cost Overruns] (http://www.downsizinggovernment.org/government-cost-overruns) //MC</w:t>
      </w:r>
    </w:p>
    <w:p w:rsidR="004F60A2" w:rsidRPr="004F60A2" w:rsidRDefault="004F60A2" w:rsidP="004F60A2">
      <w:pPr>
        <w:rPr>
          <w:sz w:val="16"/>
        </w:rPr>
      </w:pPr>
      <w:r w:rsidRPr="004F60A2">
        <w:rPr>
          <w:rStyle w:val="StyleUnderline"/>
        </w:rPr>
        <w:t>Projects</w:t>
      </w:r>
      <w:r w:rsidRPr="004F60A2">
        <w:rPr>
          <w:sz w:val="16"/>
        </w:rPr>
        <w:t xml:space="preserve"> that are financed by the federal government and </w:t>
      </w:r>
      <w:r w:rsidRPr="004F60A2">
        <w:rPr>
          <w:rStyle w:val="StyleUnderline"/>
        </w:rPr>
        <w:t>carried out by state governments</w:t>
      </w:r>
      <w:r w:rsidRPr="004F60A2">
        <w:rPr>
          <w:sz w:val="16"/>
        </w:rPr>
        <w:t xml:space="preserve">, such as highway projects, </w:t>
      </w:r>
      <w:r w:rsidRPr="004F60A2">
        <w:rPr>
          <w:rStyle w:val="StyleUnderline"/>
        </w:rPr>
        <w:t>are particularly prone to mismanagement</w:t>
      </w:r>
      <w:r w:rsidRPr="004F60A2">
        <w:rPr>
          <w:sz w:val="16"/>
        </w:rPr>
        <w:t xml:space="preserve">. In such activities, </w:t>
      </w:r>
      <w:r w:rsidRPr="004F60A2">
        <w:rPr>
          <w:rStyle w:val="StyleUnderline"/>
        </w:rPr>
        <w:t>the states have little incentive to manage funds wisely because they know that federal taxpayers are footing much of the bill</w:t>
      </w:r>
      <w:r w:rsidRPr="004F60A2">
        <w:rPr>
          <w:sz w:val="16"/>
        </w:rPr>
        <w:t xml:space="preserve">. When cost </w:t>
      </w:r>
      <w:r w:rsidRPr="004F60A2">
        <w:rPr>
          <w:rStyle w:val="StyleUnderline"/>
        </w:rPr>
        <w:t>overruns occur, federal officials point their fingers at state officials. In turn, state officials point their fingers at contractors for their poor performance</w:t>
      </w:r>
      <w:r w:rsidRPr="004F60A2">
        <w:rPr>
          <w:sz w:val="16"/>
        </w:rPr>
        <w:t>, as occurred with the Big Dig.</w:t>
      </w:r>
      <w:r w:rsidRPr="004F60A2">
        <w:rPr>
          <w:rStyle w:val="StyleUnderline"/>
        </w:rPr>
        <w:t xml:space="preserve"> No level of government takes responsibility,</w:t>
      </w:r>
      <w:r w:rsidRPr="004F60A2">
        <w:rPr>
          <w:sz w:val="16"/>
        </w:rPr>
        <w:t xml:space="preserve"> and taxpayers are left holding the bag.</w:t>
      </w:r>
    </w:p>
    <w:p w:rsidR="004F60A2" w:rsidRPr="004F60A2" w:rsidRDefault="004F60A2" w:rsidP="004F60A2">
      <w:pPr>
        <w:pStyle w:val="Heading3"/>
        <w:rPr>
          <w:rFonts w:cs="Arial"/>
        </w:rPr>
      </w:pPr>
      <w:r w:rsidRPr="004F60A2">
        <w:rPr>
          <w:rFonts w:cs="Arial"/>
        </w:rPr>
        <w:t>Politics OSW</w:t>
      </w:r>
    </w:p>
    <w:p w:rsidR="004F60A2" w:rsidRPr="004F60A2" w:rsidRDefault="004F60A2" w:rsidP="004F60A2">
      <w:pPr>
        <w:pStyle w:val="Heading4"/>
        <w:rPr>
          <w:rStyle w:val="Style13ptBold"/>
          <w:rFonts w:cs="Arial"/>
        </w:rPr>
      </w:pPr>
      <w:r w:rsidRPr="004F60A2">
        <w:rPr>
          <w:rStyle w:val="Style13ptBold"/>
          <w:rFonts w:cs="Arial"/>
          <w:b/>
          <w:bCs w:val="0"/>
        </w:rPr>
        <w:t>Obama takes the blame for state decisions</w:t>
      </w:r>
    </w:p>
    <w:p w:rsidR="004F60A2" w:rsidRPr="004F60A2" w:rsidRDefault="004F60A2" w:rsidP="004F60A2">
      <w:pPr>
        <w:rPr>
          <w:u w:val="single"/>
        </w:rPr>
      </w:pPr>
      <w:r w:rsidRPr="004F60A2">
        <w:rPr>
          <w:rStyle w:val="Style13ptBold"/>
        </w:rPr>
        <w:t>Kiely 2/17</w:t>
      </w:r>
      <w:r w:rsidRPr="004F60A2">
        <w:t xml:space="preserve"> [</w:t>
      </w:r>
      <w:hyperlink r:id="rId80" w:history="1">
        <w:r w:rsidRPr="004F60A2">
          <w:rPr>
            <w:rStyle w:val="Hyperlink"/>
            <w:color w:val="234979"/>
          </w:rPr>
          <w:t>EUGENE KIELY</w:t>
        </w:r>
      </w:hyperlink>
      <w:r w:rsidRPr="004F60A2">
        <w:t xml:space="preserve">, Washington assignment editor USA today, </w:t>
      </w:r>
      <w:r w:rsidRPr="004F60A2">
        <w:rPr>
          <w:u w:val="single"/>
        </w:rPr>
        <w:t>February 17, 2012 Factcheck.org “Did Obama ‘Approve’ Bridge Work for Chinese Firms?” http://www.factcheck.org/2012/02/did-obama-approve-bridge-work-for-chinese-firms/]</w:t>
      </w:r>
    </w:p>
    <w:p w:rsidR="004F60A2" w:rsidRPr="00DE4849" w:rsidRDefault="004F60A2" w:rsidP="004F60A2">
      <w:pPr>
        <w:rPr>
          <w:b/>
          <w:u w:val="single"/>
        </w:rPr>
      </w:pPr>
      <w:r w:rsidRPr="004F60A2">
        <w:rPr>
          <w:b/>
          <w:u w:val="single"/>
        </w:rPr>
        <w:t>Who’s to blame</w:t>
      </w:r>
      <w:r w:rsidRPr="004F60A2">
        <w:rPr>
          <w:sz w:val="16"/>
        </w:rPr>
        <w:t>, if that’s the right word</w:t>
      </w:r>
      <w:r w:rsidRPr="004F60A2">
        <w:rPr>
          <w:b/>
          <w:u w:val="single"/>
        </w:rPr>
        <w:t>, if the project ends up using manufactured steel from China</w:t>
      </w:r>
      <w:r w:rsidRPr="004F60A2">
        <w:rPr>
          <w:sz w:val="16"/>
        </w:rPr>
        <w:t xml:space="preserve">? </w:t>
      </w:r>
      <w:r w:rsidRPr="004F60A2">
        <w:rPr>
          <w:b/>
          <w:u w:val="single"/>
        </w:rPr>
        <w:t>The National Steel Bridge Alliance blames the state railroad agency</w:t>
      </w:r>
      <w:r w:rsidRPr="004F60A2">
        <w:rPr>
          <w:sz w:val="16"/>
        </w:rPr>
        <w:t xml:space="preserve">. The Alliance for American Manufacturing says the federal Buy American laws have been “weakened with loopholes and various exemptions that make it easier for bureaucrats to purchase foreign-made goods instead of those made in American factories with American workers.” So, </w:t>
      </w:r>
      <w:r w:rsidRPr="004F60A2">
        <w:rPr>
          <w:b/>
          <w:u w:val="single"/>
        </w:rPr>
        <w:t>how did Obama get blamed for the decisions by state agencies and for state projects that, in at least one case, didn’t even use federal funds</w:t>
      </w:r>
      <w:r w:rsidRPr="004F60A2">
        <w:rPr>
          <w:sz w:val="16"/>
        </w:rPr>
        <w:t xml:space="preserve">? </w:t>
      </w:r>
      <w:r w:rsidRPr="004F60A2">
        <w:rPr>
          <w:b/>
          <w:u w:val="single"/>
        </w:rPr>
        <w:t>The answer is a textbook lesson in how information gets distorted when emails go viral</w:t>
      </w:r>
      <w:r w:rsidRPr="004F60A2">
        <w:rPr>
          <w:sz w:val="16"/>
        </w:rPr>
        <w:t xml:space="preserve">. We looked at the nearly 100 emails we received on this subject and found that Obama wasn’t mentioned at all in the first few emails. Typical of the emails we received shortly after the ABC News report aired was this one from Oct. 11, 2011: “I just got an email regarding Diane Sawyer on ABC TV stating that U. S. Bridges and roads are being built by Chinese firms when the jobs should have gone to Americans. Could this possible be true?” The answer: Yes, it’s true. End of story, right? Wrong. Days later, emails started to appear in our inbox that claimed ABC News reported that Chinese firm were receiving stimulus funds to build U.S. bridges — even though the broadcast news story didn’t mention stimulus funds at all. (The report did include a clip of Obama delivering a speech on the need to rebuild America’s bridges and put Americans to work, but said nothing about the president’s $830 billion stimulus bill.) Still, we received emails such as this one on Nov. 4, 2011, that included this erroneous claim language: “Stimulus money meant to create U.S. jobs went to Chinese firms. Unbelievable….” </w:t>
      </w:r>
      <w:r w:rsidRPr="004F60A2">
        <w:rPr>
          <w:b/>
          <w:u w:val="single"/>
        </w:rPr>
        <w:t>It didn’t take long for Obama to be blamed</w:t>
      </w:r>
      <w:r w:rsidRPr="004F60A2">
        <w:rPr>
          <w:sz w:val="16"/>
        </w:rPr>
        <w:t xml:space="preserve">. That same day — Nov. 4, 2011 — we received an email that made this leap to Obama: “SOME CHINESE COMPANIES WHO ARE BUILDING ‘OUR’ BRIDGES. (3000 JOBS LOST TO THE CHINESE FIRM)…..AND NOW OBAMA WANTS ‘MORE STIMULUS MONEY’…..THIS IS NUTS ! ! ! If this doesn’t make you furious nothing will….” This year, </w:t>
      </w:r>
      <w:r w:rsidRPr="004F60A2">
        <w:rPr>
          <w:b/>
          <w:u w:val="single"/>
        </w:rPr>
        <w:t>Obama’s name started to surface</w:t>
      </w:r>
      <w:r w:rsidRPr="004F60A2">
        <w:rPr>
          <w:sz w:val="16"/>
        </w:rPr>
        <w:t xml:space="preserve"> in the subject line of such critical emails — </w:t>
      </w:r>
      <w:r w:rsidRPr="004F60A2">
        <w:rPr>
          <w:b/>
          <w:u w:val="single"/>
        </w:rPr>
        <w:t>raising the attack on the president</w:t>
      </w:r>
      <w:r w:rsidRPr="004F60A2">
        <w:rPr>
          <w:sz w:val="16"/>
        </w:rPr>
        <w:t xml:space="preserve"> to yet another level and perhaps ensuring the email will be even more widely circulated. Since Jan. 17, we have gotten more than a dozen emails with the subject line, “ABC News on Obama/USA Infrastructure,” often preceded with the word “SHOCKING” in all caps. The emails increasingly contain harsh language about the president. Since Jan. 11, 23 emails carried this added bit of Obama-bashing: “I pray all the unemployed see this and cast their votes accordingly in 2012!” One of those emails — a more recent one from Feb. 8 — contained this additional line: “</w:t>
      </w:r>
      <w:r w:rsidRPr="004F60A2">
        <w:rPr>
          <w:b/>
          <w:u w:val="single"/>
        </w:rPr>
        <w:t>Tell me again how Obama’s looking out for blue collar guys. He cancels pipelines, and lets Chinese contractors build our bridges…” And so it goes, on and on. All from a news report that blamed state officials — not Obama — for spending taxpayer money on Chinese firms to build U.S. bridges.</w:t>
      </w:r>
    </w:p>
    <w:p w:rsidR="004F60A2" w:rsidRPr="00773333" w:rsidRDefault="004F60A2" w:rsidP="004F60A2"/>
    <w:p w:rsidR="005260F1" w:rsidRDefault="005260F1"/>
    <w:sectPr w:rsidR="005260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2F350F9"/>
    <w:multiLevelType w:val="hybridMultilevel"/>
    <w:tmpl w:val="2A5A23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0356199F"/>
    <w:multiLevelType w:val="hybridMultilevel"/>
    <w:tmpl w:val="F62A5E6E"/>
    <w:lvl w:ilvl="0" w:tplc="3ECC6B4E">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06E8198A"/>
    <w:multiLevelType w:val="hybridMultilevel"/>
    <w:tmpl w:val="D7DCA02C"/>
    <w:lvl w:ilvl="0" w:tplc="77AA3A1C">
      <w:start w:val="2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07BA14EA"/>
    <w:multiLevelType w:val="hybridMultilevel"/>
    <w:tmpl w:val="969677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0BBA147B"/>
    <w:multiLevelType w:val="multilevel"/>
    <w:tmpl w:val="AC68AA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0E7D7464"/>
    <w:multiLevelType w:val="hybridMultilevel"/>
    <w:tmpl w:val="D43CA0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1F885FFF"/>
    <w:multiLevelType w:val="hybridMultilevel"/>
    <w:tmpl w:val="0C28A1DE"/>
    <w:lvl w:ilvl="0" w:tplc="1C1A68A2">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214C0C7A"/>
    <w:multiLevelType w:val="hybridMultilevel"/>
    <w:tmpl w:val="6334422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22FF50C6"/>
    <w:multiLevelType w:val="hybridMultilevel"/>
    <w:tmpl w:val="FCE802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24A04E7B"/>
    <w:multiLevelType w:val="hybridMultilevel"/>
    <w:tmpl w:val="E90E732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265E243F"/>
    <w:multiLevelType w:val="hybridMultilevel"/>
    <w:tmpl w:val="2CF4D1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2D1F2D86"/>
    <w:multiLevelType w:val="hybridMultilevel"/>
    <w:tmpl w:val="BB402A80"/>
    <w:lvl w:ilvl="0" w:tplc="13809D86">
      <w:start w:val="770"/>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2D571A34"/>
    <w:multiLevelType w:val="hybridMultilevel"/>
    <w:tmpl w:val="2BB4E7DC"/>
    <w:lvl w:ilvl="0" w:tplc="3ECC6B4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32151664"/>
    <w:multiLevelType w:val="hybridMultilevel"/>
    <w:tmpl w:val="2BB4E7DC"/>
    <w:lvl w:ilvl="0" w:tplc="3ECC6B4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342D6556"/>
    <w:multiLevelType w:val="hybridMultilevel"/>
    <w:tmpl w:val="589CEC4C"/>
    <w:lvl w:ilvl="0" w:tplc="65B66028">
      <w:start w:val="1"/>
      <w:numFmt w:val="bullet"/>
      <w:lvlText w:val="-"/>
      <w:lvlJc w:val="left"/>
      <w:pPr>
        <w:ind w:left="720" w:hanging="360"/>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36940BCB"/>
    <w:multiLevelType w:val="hybridMultilevel"/>
    <w:tmpl w:val="E81C342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37086630"/>
    <w:multiLevelType w:val="hybridMultilevel"/>
    <w:tmpl w:val="75DACD20"/>
    <w:lvl w:ilvl="0" w:tplc="423C5086">
      <w:start w:val="1"/>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375D2E06"/>
    <w:multiLevelType w:val="hybridMultilevel"/>
    <w:tmpl w:val="B928E1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376F4CBC"/>
    <w:multiLevelType w:val="hybridMultilevel"/>
    <w:tmpl w:val="693C9438"/>
    <w:lvl w:ilvl="0" w:tplc="B6FEC014">
      <w:start w:val="1"/>
      <w:numFmt w:val="bullet"/>
      <w:lvlText w:val="-"/>
      <w:lvlJc w:val="left"/>
      <w:pPr>
        <w:ind w:left="1080" w:hanging="360"/>
      </w:pPr>
      <w:rPr>
        <w:rFonts w:ascii="Arial" w:eastAsiaTheme="minorHAnsi" w:hAnsi="Arial" w:cs="Aria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nsid w:val="3CA82A71"/>
    <w:multiLevelType w:val="hybridMultilevel"/>
    <w:tmpl w:val="5A606FA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41201D6F"/>
    <w:multiLevelType w:val="hybridMultilevel"/>
    <w:tmpl w:val="CDD4C838"/>
    <w:lvl w:ilvl="0" w:tplc="3ECC6B4E">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C87AA3B4">
      <w:start w:val="1"/>
      <w:numFmt w:val="upperLetter"/>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467F490F"/>
    <w:multiLevelType w:val="hybridMultilevel"/>
    <w:tmpl w:val="36ACDE9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47350917"/>
    <w:multiLevelType w:val="hybridMultilevel"/>
    <w:tmpl w:val="3ADEAE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4A9B6274"/>
    <w:multiLevelType w:val="hybridMultilevel"/>
    <w:tmpl w:val="F5C41A4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4BC63D48"/>
    <w:multiLevelType w:val="hybridMultilevel"/>
    <w:tmpl w:val="6A5602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4BFA01EE"/>
    <w:multiLevelType w:val="hybridMultilevel"/>
    <w:tmpl w:val="74545250"/>
    <w:lvl w:ilvl="0" w:tplc="1C1A68A2">
      <w:start w:val="1"/>
      <w:numFmt w:val="bullet"/>
      <w:lvlText w:val="-"/>
      <w:lvlJc w:val="left"/>
      <w:pPr>
        <w:ind w:left="780" w:hanging="360"/>
      </w:pPr>
      <w:rPr>
        <w:rFonts w:ascii="Arial" w:eastAsiaTheme="minorHAnsi" w:hAnsi="Arial" w:cs="Aria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6">
    <w:nsid w:val="4FF51F5F"/>
    <w:multiLevelType w:val="hybridMultilevel"/>
    <w:tmpl w:val="45E492C0"/>
    <w:lvl w:ilvl="0" w:tplc="F3DE2128">
      <w:start w:val="1"/>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5304177E"/>
    <w:multiLevelType w:val="hybridMultilevel"/>
    <w:tmpl w:val="36D619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53A8127E"/>
    <w:multiLevelType w:val="multilevel"/>
    <w:tmpl w:val="46ACA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543079B9"/>
    <w:multiLevelType w:val="hybridMultilevel"/>
    <w:tmpl w:val="58C01774"/>
    <w:lvl w:ilvl="0" w:tplc="E93EB1A4">
      <w:start w:val="1"/>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58366A93"/>
    <w:multiLevelType w:val="hybridMultilevel"/>
    <w:tmpl w:val="48881BA0"/>
    <w:lvl w:ilvl="0" w:tplc="A558BDAE">
      <w:start w:val="1"/>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5C061663"/>
    <w:multiLevelType w:val="hybridMultilevel"/>
    <w:tmpl w:val="050C19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5CAE49EC"/>
    <w:multiLevelType w:val="hybridMultilevel"/>
    <w:tmpl w:val="27900E4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62577614"/>
    <w:multiLevelType w:val="hybridMultilevel"/>
    <w:tmpl w:val="956CF0B2"/>
    <w:lvl w:ilvl="0" w:tplc="18CA5790">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69547B25"/>
    <w:multiLevelType w:val="multilevel"/>
    <w:tmpl w:val="19DA1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nsid w:val="6ACA07A2"/>
    <w:multiLevelType w:val="hybridMultilevel"/>
    <w:tmpl w:val="EE688DD6"/>
    <w:lvl w:ilvl="0" w:tplc="29005764">
      <w:start w:val="1"/>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nsid w:val="6EB55D7F"/>
    <w:multiLevelType w:val="hybridMultilevel"/>
    <w:tmpl w:val="6F78A848"/>
    <w:lvl w:ilvl="0" w:tplc="1C1A68A2">
      <w:start w:val="1"/>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nsid w:val="6EC55A3C"/>
    <w:multiLevelType w:val="hybridMultilevel"/>
    <w:tmpl w:val="C794EC0E"/>
    <w:lvl w:ilvl="0" w:tplc="4F8045DE">
      <w:start w:val="770"/>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nsid w:val="71076613"/>
    <w:multiLevelType w:val="hybridMultilevel"/>
    <w:tmpl w:val="8F0AE2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nsid w:val="79E0578C"/>
    <w:multiLevelType w:val="hybridMultilevel"/>
    <w:tmpl w:val="428089C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43"/>
  </w:num>
  <w:num w:numId="12">
    <w:abstractNumId w:val="12"/>
  </w:num>
  <w:num w:numId="13">
    <w:abstractNumId w:val="47"/>
  </w:num>
  <w:num w:numId="14">
    <w:abstractNumId w:val="10"/>
  </w:num>
  <w:num w:numId="15">
    <w:abstractNumId w:val="21"/>
  </w:num>
  <w:num w:numId="16">
    <w:abstractNumId w:val="48"/>
  </w:num>
  <w:num w:numId="17">
    <w:abstractNumId w:val="27"/>
  </w:num>
  <w:num w:numId="18">
    <w:abstractNumId w:val="34"/>
  </w:num>
  <w:num w:numId="19">
    <w:abstractNumId w:val="37"/>
  </w:num>
  <w:num w:numId="20">
    <w:abstractNumId w:val="28"/>
  </w:num>
  <w:num w:numId="21">
    <w:abstractNumId w:val="20"/>
  </w:num>
  <w:num w:numId="22">
    <w:abstractNumId w:val="46"/>
  </w:num>
  <w:num w:numId="23">
    <w:abstractNumId w:val="32"/>
  </w:num>
  <w:num w:numId="24">
    <w:abstractNumId w:val="42"/>
  </w:num>
  <w:num w:numId="25">
    <w:abstractNumId w:val="45"/>
  </w:num>
  <w:num w:numId="26">
    <w:abstractNumId w:val="36"/>
  </w:num>
  <w:num w:numId="27">
    <w:abstractNumId w:val="49"/>
  </w:num>
  <w:num w:numId="28">
    <w:abstractNumId w:val="33"/>
  </w:num>
  <w:num w:numId="29">
    <w:abstractNumId w:val="13"/>
  </w:num>
  <w:num w:numId="30">
    <w:abstractNumId w:val="22"/>
  </w:num>
  <w:num w:numId="31">
    <w:abstractNumId w:val="19"/>
  </w:num>
  <w:num w:numId="32">
    <w:abstractNumId w:val="23"/>
  </w:num>
  <w:num w:numId="33">
    <w:abstractNumId w:val="29"/>
  </w:num>
  <w:num w:numId="34">
    <w:abstractNumId w:val="41"/>
  </w:num>
  <w:num w:numId="35">
    <w:abstractNumId w:val="11"/>
  </w:num>
  <w:num w:numId="36">
    <w:abstractNumId w:val="25"/>
  </w:num>
  <w:num w:numId="37">
    <w:abstractNumId w:val="26"/>
  </w:num>
  <w:num w:numId="38">
    <w:abstractNumId w:val="31"/>
  </w:num>
  <w:num w:numId="39">
    <w:abstractNumId w:val="30"/>
  </w:num>
  <w:num w:numId="40">
    <w:abstractNumId w:val="14"/>
  </w:num>
  <w:num w:numId="41">
    <w:abstractNumId w:val="18"/>
  </w:num>
  <w:num w:numId="42">
    <w:abstractNumId w:val="15"/>
  </w:num>
  <w:num w:numId="43">
    <w:abstractNumId w:val="44"/>
  </w:num>
  <w:num w:numId="44">
    <w:abstractNumId w:val="39"/>
  </w:num>
  <w:num w:numId="45">
    <w:abstractNumId w:val="24"/>
  </w:num>
  <w:num w:numId="46">
    <w:abstractNumId w:val="40"/>
  </w:num>
  <w:num w:numId="47">
    <w:abstractNumId w:val="17"/>
  </w:num>
  <w:num w:numId="48">
    <w:abstractNumId w:val="35"/>
  </w:num>
  <w:num w:numId="49">
    <w:abstractNumId w:val="16"/>
  </w:num>
  <w:num w:numId="50">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60A2"/>
    <w:rsid w:val="004F60A2"/>
    <w:rsid w:val="005260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1B156C7-0F13-42BF-8204-371A8703D3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4F60A2"/>
    <w:pPr>
      <w:spacing w:after="0"/>
    </w:pPr>
    <w:rPr>
      <w:rFonts w:ascii="Arial" w:hAnsi="Arial" w:cs="Arial"/>
    </w:rPr>
  </w:style>
  <w:style w:type="paragraph" w:styleId="Heading1">
    <w:name w:val="heading 1"/>
    <w:aliases w:val="Pocket"/>
    <w:basedOn w:val="Normal"/>
    <w:next w:val="Normal"/>
    <w:link w:val="Heading1Char"/>
    <w:autoRedefine/>
    <w:qFormat/>
    <w:rsid w:val="004F60A2"/>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Cs w:val="32"/>
    </w:rPr>
  </w:style>
  <w:style w:type="paragraph" w:styleId="Heading2">
    <w:name w:val="heading 2"/>
    <w:aliases w:val="Hat,TAG"/>
    <w:basedOn w:val="Normal"/>
    <w:next w:val="Normal"/>
    <w:link w:val="Heading2Char"/>
    <w:autoRedefine/>
    <w:uiPriority w:val="1"/>
    <w:unhideWhenUsed/>
    <w:qFormat/>
    <w:rsid w:val="004F60A2"/>
    <w:pPr>
      <w:keepNext/>
      <w:keepLines/>
      <w:pageBreakBefore/>
      <w:spacing w:before="40"/>
      <w:jc w:val="center"/>
      <w:outlineLvl w:val="1"/>
    </w:pPr>
    <w:rPr>
      <w:rFonts w:eastAsiaTheme="majorEastAsia" w:cstheme="majorBidi"/>
      <w:b/>
      <w:szCs w:val="26"/>
      <w:u w:val="double"/>
    </w:rPr>
  </w:style>
  <w:style w:type="paragraph" w:styleId="Heading3">
    <w:name w:val="heading 3"/>
    <w:aliases w:val="Block,Citation"/>
    <w:basedOn w:val="Normal"/>
    <w:next w:val="Normal"/>
    <w:link w:val="Heading3Char"/>
    <w:autoRedefine/>
    <w:uiPriority w:val="2"/>
    <w:unhideWhenUsed/>
    <w:qFormat/>
    <w:rsid w:val="004F60A2"/>
    <w:pPr>
      <w:keepNext/>
      <w:keepLines/>
      <w:pageBreakBefore/>
      <w:spacing w:before="40"/>
      <w:jc w:val="center"/>
      <w:outlineLvl w:val="2"/>
    </w:pPr>
    <w:rPr>
      <w:rFonts w:eastAsiaTheme="majorEastAsia" w:cstheme="majorBidi"/>
      <w:b/>
      <w:szCs w:val="24"/>
      <w:u w:val="single"/>
    </w:rPr>
  </w:style>
  <w:style w:type="paragraph" w:styleId="Heading4">
    <w:name w:val="heading 4"/>
    <w:aliases w:val="Tag,Big card,Normal Tag,body,small text,heading 2,Ch,Heading 2 Char2 Char,Heading 2 Char1 Char Char, Ch,No Spacing1,No Spacing11,No Spacing111,No Spacing112,No Spacing1121,No Spacing2,Debate Text,Read stuff,No Spacing4,No Spacing21,CD - Cite,t"/>
    <w:basedOn w:val="Normal"/>
    <w:next w:val="Normal"/>
    <w:link w:val="Heading4Char"/>
    <w:autoRedefine/>
    <w:uiPriority w:val="3"/>
    <w:unhideWhenUsed/>
    <w:qFormat/>
    <w:rsid w:val="004F60A2"/>
    <w:pPr>
      <w:keepNext/>
      <w:keepLines/>
      <w:outlineLvl w:val="3"/>
    </w:pPr>
    <w:rPr>
      <w:rFonts w:eastAsiaTheme="majorEastAsia" w:cstheme="majorBidi"/>
      <w:b/>
      <w:iCs/>
    </w:rPr>
  </w:style>
  <w:style w:type="character" w:default="1" w:styleId="DefaultParagraphFont">
    <w:name w:val="Default Paragraph Font"/>
    <w:uiPriority w:val="1"/>
    <w:semiHidden/>
    <w:unhideWhenUsed/>
    <w:rsid w:val="004F60A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F60A2"/>
  </w:style>
  <w:style w:type="character" w:customStyle="1" w:styleId="Heading1Char">
    <w:name w:val="Heading 1 Char"/>
    <w:aliases w:val="Pocket Char"/>
    <w:basedOn w:val="DefaultParagraphFont"/>
    <w:link w:val="Heading1"/>
    <w:rsid w:val="004F60A2"/>
    <w:rPr>
      <w:rFonts w:ascii="Arial" w:eastAsiaTheme="majorEastAsia" w:hAnsi="Arial" w:cstheme="majorBidi"/>
      <w:b/>
      <w:szCs w:val="32"/>
    </w:rPr>
  </w:style>
  <w:style w:type="character" w:customStyle="1" w:styleId="Heading2Char">
    <w:name w:val="Heading 2 Char"/>
    <w:aliases w:val="Hat Char,TAG Char"/>
    <w:basedOn w:val="DefaultParagraphFont"/>
    <w:link w:val="Heading2"/>
    <w:uiPriority w:val="1"/>
    <w:rsid w:val="004F60A2"/>
    <w:rPr>
      <w:rFonts w:ascii="Arial" w:eastAsiaTheme="majorEastAsia" w:hAnsi="Arial" w:cstheme="majorBidi"/>
      <w:b/>
      <w:szCs w:val="26"/>
      <w:u w:val="double"/>
    </w:rPr>
  </w:style>
  <w:style w:type="character" w:customStyle="1" w:styleId="Heading3Char">
    <w:name w:val="Heading 3 Char"/>
    <w:aliases w:val="Block Char,Citation Char"/>
    <w:basedOn w:val="DefaultParagraphFont"/>
    <w:link w:val="Heading3"/>
    <w:uiPriority w:val="2"/>
    <w:rsid w:val="004F60A2"/>
    <w:rPr>
      <w:rFonts w:ascii="Arial" w:eastAsiaTheme="majorEastAsia" w:hAnsi="Arial" w:cstheme="majorBidi"/>
      <w:b/>
      <w:szCs w:val="24"/>
      <w:u w:val="single"/>
    </w:rPr>
  </w:style>
  <w:style w:type="character" w:customStyle="1" w:styleId="Heading4Char">
    <w:name w:val="Heading 4 Char"/>
    <w:aliases w:val="Tag Char,Big card Char,Normal Tag Char,body Char,small text Char,heading 2 Char,Ch Char,Heading 2 Char2 Char Char,Heading 2 Char1 Char Char Char, Ch Char,No Spacing1 Char,No Spacing11 Char,No Spacing111 Char,No Spacing112 Char,t Char"/>
    <w:basedOn w:val="DefaultParagraphFont"/>
    <w:link w:val="Heading4"/>
    <w:uiPriority w:val="3"/>
    <w:rsid w:val="004F60A2"/>
    <w:rPr>
      <w:rFonts w:ascii="Arial" w:eastAsiaTheme="majorEastAsia" w:hAnsi="Arial" w:cstheme="majorBidi"/>
      <w:b/>
      <w:iCs/>
    </w:rPr>
  </w:style>
  <w:style w:type="character" w:styleId="Emphasis">
    <w:name w:val="Emphasis"/>
    <w:aliases w:val="Minimized,minimized,tag2,Size 10,emphasis in card,Evidence,Highlighted,CD Card,ED - Tag,Underlined,emphasis,Emphasis!!,Bold Underline,small,Qualifications,bold underline,normal card text,Shrunk,qualifications in card,qualifications,Style1"/>
    <w:basedOn w:val="DefaultParagraphFont"/>
    <w:uiPriority w:val="7"/>
    <w:qFormat/>
    <w:rsid w:val="004F60A2"/>
    <w:rPr>
      <w:rFonts w:ascii="Arial" w:hAnsi="Arial" w:cs="Arial"/>
      <w:b/>
      <w:i w:val="0"/>
      <w:iCs/>
      <w:sz w:val="20"/>
      <w:u w:val="single"/>
      <w:bdr w:val="single" w:sz="1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4F60A2"/>
    <w:rPr>
      <w:b/>
      <w:bCs/>
      <w:sz w:val="22"/>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Title Char,Citation Char Char Char,Style,Bold Cite Char,ci,c,Bo"/>
    <w:basedOn w:val="DefaultParagraphFont"/>
    <w:uiPriority w:val="6"/>
    <w:qFormat/>
    <w:rsid w:val="004F60A2"/>
    <w:rPr>
      <w:b/>
      <w:sz w:val="20"/>
      <w:u w:val="single"/>
    </w:rPr>
  </w:style>
  <w:style w:type="character" w:styleId="Hyperlink">
    <w:name w:val="Hyperlink"/>
    <w:aliases w:val="heading 1 (block title),Important,Read,Card Text,Internet Link,Analytic Text"/>
    <w:basedOn w:val="DefaultParagraphFont"/>
    <w:uiPriority w:val="99"/>
    <w:unhideWhenUsed/>
    <w:rsid w:val="004F60A2"/>
    <w:rPr>
      <w:color w:val="auto"/>
      <w:u w:val="none"/>
    </w:rPr>
  </w:style>
  <w:style w:type="character" w:styleId="FollowedHyperlink">
    <w:name w:val="FollowedHyperlink"/>
    <w:basedOn w:val="DefaultParagraphFont"/>
    <w:uiPriority w:val="99"/>
    <w:semiHidden/>
    <w:unhideWhenUsed/>
    <w:rsid w:val="004F60A2"/>
    <w:rPr>
      <w:color w:val="auto"/>
      <w:u w:val="none"/>
    </w:rPr>
  </w:style>
  <w:style w:type="paragraph" w:styleId="Header">
    <w:name w:val="header"/>
    <w:aliases w:val="Header Char Char Char Char"/>
    <w:basedOn w:val="Normal"/>
    <w:link w:val="HeaderChar"/>
    <w:uiPriority w:val="99"/>
    <w:rsid w:val="004F60A2"/>
    <w:pPr>
      <w:tabs>
        <w:tab w:val="center" w:pos="4680"/>
        <w:tab w:val="right" w:pos="9360"/>
      </w:tabs>
    </w:pPr>
  </w:style>
  <w:style w:type="character" w:customStyle="1" w:styleId="HeaderChar">
    <w:name w:val="Header Char"/>
    <w:aliases w:val="Header Char Char Char Char Char"/>
    <w:basedOn w:val="DefaultParagraphFont"/>
    <w:link w:val="Header"/>
    <w:uiPriority w:val="99"/>
    <w:rsid w:val="004F60A2"/>
    <w:rPr>
      <w:rFonts w:ascii="Arial" w:hAnsi="Arial" w:cs="Arial"/>
    </w:rPr>
  </w:style>
  <w:style w:type="paragraph" w:styleId="Footer">
    <w:name w:val="footer"/>
    <w:basedOn w:val="Normal"/>
    <w:link w:val="FooterChar"/>
    <w:uiPriority w:val="99"/>
    <w:semiHidden/>
    <w:rsid w:val="004F60A2"/>
    <w:pPr>
      <w:tabs>
        <w:tab w:val="center" w:pos="4680"/>
        <w:tab w:val="right" w:pos="9360"/>
      </w:tabs>
    </w:pPr>
  </w:style>
  <w:style w:type="character" w:customStyle="1" w:styleId="FooterChar">
    <w:name w:val="Footer Char"/>
    <w:basedOn w:val="DefaultParagraphFont"/>
    <w:link w:val="Footer"/>
    <w:uiPriority w:val="99"/>
    <w:semiHidden/>
    <w:rsid w:val="004F60A2"/>
    <w:rPr>
      <w:rFonts w:ascii="Arial" w:hAnsi="Arial" w:cs="Arial"/>
    </w:rPr>
  </w:style>
  <w:style w:type="character" w:customStyle="1" w:styleId="underline">
    <w:name w:val="underline"/>
    <w:link w:val="textbold"/>
    <w:uiPriority w:val="1"/>
    <w:qFormat/>
    <w:locked/>
    <w:rsid w:val="004F60A2"/>
    <w:rPr>
      <w:rFonts w:eastAsia="Times New Roman"/>
      <w:szCs w:val="24"/>
      <w:u w:val="single"/>
    </w:rPr>
  </w:style>
  <w:style w:type="paragraph" w:customStyle="1" w:styleId="textbold">
    <w:name w:val="text bold"/>
    <w:basedOn w:val="Normal"/>
    <w:link w:val="underline"/>
    <w:uiPriority w:val="1"/>
    <w:qFormat/>
    <w:rsid w:val="004F60A2"/>
    <w:pPr>
      <w:ind w:left="720"/>
      <w:jc w:val="both"/>
    </w:pPr>
    <w:rPr>
      <w:rFonts w:asciiTheme="minorHAnsi" w:eastAsia="Times New Roman" w:hAnsiTheme="minorHAnsi" w:cstheme="minorBidi"/>
      <w:szCs w:val="24"/>
      <w:u w:val="single"/>
    </w:rPr>
  </w:style>
  <w:style w:type="character" w:customStyle="1" w:styleId="cite">
    <w:name w:val="cite"/>
    <w:basedOn w:val="DefaultParagraphFont"/>
    <w:rsid w:val="004F60A2"/>
    <w:rPr>
      <w:rFonts w:ascii="Times New Roman" w:hAnsi="Times New Roman"/>
      <w:b/>
      <w:sz w:val="24"/>
    </w:rPr>
  </w:style>
  <w:style w:type="paragraph" w:customStyle="1" w:styleId="tag">
    <w:name w:val="tag"/>
    <w:basedOn w:val="Normal"/>
    <w:qFormat/>
    <w:rsid w:val="004F60A2"/>
    <w:rPr>
      <w:rFonts w:eastAsia="Times New Roman" w:cs="Times New Roman"/>
      <w:b/>
      <w:sz w:val="24"/>
      <w:szCs w:val="20"/>
    </w:rPr>
  </w:style>
  <w:style w:type="paragraph" w:customStyle="1" w:styleId="card">
    <w:name w:val="card"/>
    <w:basedOn w:val="Normal"/>
    <w:link w:val="cardChar"/>
    <w:qFormat/>
    <w:rsid w:val="004F60A2"/>
    <w:pPr>
      <w:ind w:left="288" w:right="288"/>
    </w:pPr>
    <w:rPr>
      <w:rFonts w:eastAsia="Times New Roman" w:cs="Times New Roman"/>
      <w:szCs w:val="20"/>
    </w:rPr>
  </w:style>
  <w:style w:type="character" w:customStyle="1" w:styleId="cardChar">
    <w:name w:val="card Char"/>
    <w:basedOn w:val="DefaultParagraphFont"/>
    <w:link w:val="card"/>
    <w:rsid w:val="004F60A2"/>
    <w:rPr>
      <w:rFonts w:ascii="Arial" w:eastAsia="Times New Roman" w:hAnsi="Arial" w:cs="Times New Roman"/>
      <w:szCs w:val="20"/>
    </w:rPr>
  </w:style>
  <w:style w:type="character" w:customStyle="1" w:styleId="Brief-Smalltext">
    <w:name w:val="Brief - Small text"/>
    <w:basedOn w:val="DefaultParagraphFont"/>
    <w:rsid w:val="004F60A2"/>
    <w:rPr>
      <w:sz w:val="14"/>
    </w:rPr>
  </w:style>
  <w:style w:type="paragraph" w:customStyle="1" w:styleId="Brief-SecondarySource">
    <w:name w:val="Brief - Secondary Source"/>
    <w:basedOn w:val="Normal"/>
    <w:rsid w:val="004F60A2"/>
    <w:rPr>
      <w:sz w:val="14"/>
      <w:szCs w:val="20"/>
    </w:rPr>
  </w:style>
  <w:style w:type="character" w:customStyle="1" w:styleId="HeaderChar1CharChar1">
    <w:name w:val="Header Char1 Char Char1"/>
    <w:aliases w:val="Header Char Char Char Char1,Header Char Char1 Char Char1,Header Char1 Char Char Char Char1,Header Char Char1 Char Char Char Char1,Header Char1 Char Char1 Char Char Char Char1,Header Char Char1 Char Char1 Char Char Char Char"/>
    <w:basedOn w:val="DefaultParagraphFont"/>
    <w:rsid w:val="004F60A2"/>
    <w:rPr>
      <w:rFonts w:eastAsia="Calibri"/>
      <w:szCs w:val="22"/>
      <w:lang w:val="en-US" w:eastAsia="en-US" w:bidi="ar-SA"/>
    </w:rPr>
  </w:style>
  <w:style w:type="character" w:customStyle="1" w:styleId="UnderlineCharCharCharCharChar">
    <w:name w:val="Underline Char Char Char Char Char"/>
    <w:basedOn w:val="DefaultParagraphFont"/>
    <w:rsid w:val="004F60A2"/>
    <w:rPr>
      <w:sz w:val="18"/>
      <w:szCs w:val="18"/>
      <w:u w:val="thick"/>
      <w:lang w:val="en-US" w:eastAsia="en-US" w:bidi="ar-SA"/>
    </w:rPr>
  </w:style>
  <w:style w:type="character" w:customStyle="1" w:styleId="Heading3Char1">
    <w:name w:val="Heading 3 Char1"/>
    <w:basedOn w:val="DefaultParagraphFont"/>
    <w:rsid w:val="004F60A2"/>
    <w:rPr>
      <w:rFonts w:cs="Arial"/>
      <w:bCs/>
      <w:u w:val="thick"/>
      <w:lang w:val="en-US" w:eastAsia="en-US" w:bidi="ar-SA"/>
    </w:rPr>
  </w:style>
  <w:style w:type="paragraph" w:styleId="TOC1">
    <w:name w:val="toc 1"/>
    <w:basedOn w:val="Normal"/>
    <w:next w:val="Normal"/>
    <w:autoRedefine/>
    <w:uiPriority w:val="39"/>
    <w:rsid w:val="004F60A2"/>
    <w:pPr>
      <w:spacing w:after="100"/>
    </w:pPr>
  </w:style>
  <w:style w:type="paragraph" w:styleId="TOC2">
    <w:name w:val="toc 2"/>
    <w:basedOn w:val="Normal"/>
    <w:next w:val="Normal"/>
    <w:autoRedefine/>
    <w:uiPriority w:val="39"/>
    <w:rsid w:val="004F60A2"/>
    <w:pPr>
      <w:spacing w:after="100"/>
      <w:ind w:left="220"/>
    </w:pPr>
  </w:style>
  <w:style w:type="paragraph" w:styleId="TOC3">
    <w:name w:val="toc 3"/>
    <w:basedOn w:val="Normal"/>
    <w:next w:val="Normal"/>
    <w:autoRedefine/>
    <w:uiPriority w:val="39"/>
    <w:rsid w:val="004F60A2"/>
    <w:pPr>
      <w:spacing w:after="100"/>
      <w:ind w:left="440"/>
    </w:pPr>
  </w:style>
  <w:style w:type="paragraph" w:customStyle="1" w:styleId="Cites">
    <w:name w:val="Cites"/>
    <w:rsid w:val="004F60A2"/>
    <w:pPr>
      <w:spacing w:after="0" w:line="240" w:lineRule="auto"/>
    </w:pPr>
    <w:rPr>
      <w:rFonts w:ascii="Times New Roman" w:eastAsia="Times New Roman" w:hAnsi="Times New Roman" w:cs="Times New Roman"/>
      <w:noProof/>
      <w:sz w:val="20"/>
      <w:szCs w:val="20"/>
    </w:rPr>
  </w:style>
  <w:style w:type="paragraph" w:styleId="ListParagraph">
    <w:name w:val="List Paragraph"/>
    <w:basedOn w:val="Normal"/>
    <w:uiPriority w:val="34"/>
    <w:qFormat/>
    <w:rsid w:val="004F60A2"/>
    <w:pPr>
      <w:ind w:left="720"/>
      <w:contextualSpacing/>
    </w:pPr>
  </w:style>
  <w:style w:type="character" w:customStyle="1" w:styleId="UnderlineBold">
    <w:name w:val="Underline + Bold"/>
    <w:uiPriority w:val="1"/>
    <w:qFormat/>
    <w:rsid w:val="004F60A2"/>
    <w:rPr>
      <w:b/>
      <w:sz w:val="20"/>
      <w:u w:val="single"/>
    </w:rPr>
  </w:style>
  <w:style w:type="character" w:customStyle="1" w:styleId="apple-converted-space">
    <w:name w:val="apple-converted-space"/>
    <w:basedOn w:val="DefaultParagraphFont"/>
    <w:rsid w:val="004F60A2"/>
  </w:style>
  <w:style w:type="paragraph" w:styleId="NoSpacing">
    <w:name w:val="No Spacing"/>
    <w:autoRedefine/>
    <w:uiPriority w:val="1"/>
    <w:qFormat/>
    <w:rsid w:val="004F60A2"/>
    <w:pPr>
      <w:spacing w:after="0" w:line="240" w:lineRule="auto"/>
    </w:pPr>
    <w:rPr>
      <w:rFonts w:ascii="Arial" w:eastAsia="Calibri" w:hAnsi="Arial" w:cs="Times New Roman"/>
      <w:sz w:val="16"/>
    </w:rPr>
  </w:style>
  <w:style w:type="character" w:styleId="Strong">
    <w:name w:val="Strong"/>
    <w:basedOn w:val="DefaultParagraphFont"/>
    <w:uiPriority w:val="22"/>
    <w:qFormat/>
    <w:rsid w:val="004F60A2"/>
    <w:rPr>
      <w:b/>
      <w:bCs/>
    </w:rPr>
  </w:style>
  <w:style w:type="character" w:customStyle="1" w:styleId="style162">
    <w:name w:val="style162"/>
    <w:basedOn w:val="DefaultParagraphFont"/>
    <w:rsid w:val="004F60A2"/>
  </w:style>
  <w:style w:type="character" w:customStyle="1" w:styleId="style165">
    <w:name w:val="style165"/>
    <w:basedOn w:val="DefaultParagraphFont"/>
    <w:rsid w:val="004F60A2"/>
  </w:style>
  <w:style w:type="paragraph" w:styleId="Title">
    <w:name w:val="Title"/>
    <w:aliases w:val="UNDERLINE,Bold Underlined,Cites and Cards"/>
    <w:basedOn w:val="Normal"/>
    <w:next w:val="Normal"/>
    <w:link w:val="TitleChar1"/>
    <w:uiPriority w:val="6"/>
    <w:qFormat/>
    <w:rsid w:val="004F60A2"/>
    <w:pPr>
      <w:ind w:left="720"/>
      <w:outlineLvl w:val="0"/>
    </w:pPr>
    <w:rPr>
      <w:rFonts w:asciiTheme="minorHAnsi" w:hAnsiTheme="minorHAnsi" w:cstheme="minorBidi"/>
      <w:b/>
      <w:bCs/>
      <w:u w:val="single"/>
    </w:rPr>
  </w:style>
  <w:style w:type="character" w:customStyle="1" w:styleId="TitleChar1">
    <w:name w:val="Title Char1"/>
    <w:aliases w:val="UNDERLINE Char,Bold Underlined Char,Cites and Cards Char"/>
    <w:basedOn w:val="DefaultParagraphFont"/>
    <w:link w:val="Title"/>
    <w:uiPriority w:val="6"/>
    <w:rsid w:val="004F60A2"/>
    <w:rPr>
      <w:b/>
      <w:bCs/>
      <w:u w:val="single"/>
    </w:rPr>
  </w:style>
  <w:style w:type="character" w:customStyle="1" w:styleId="referencediv">
    <w:name w:val="referencediv"/>
    <w:basedOn w:val="DefaultParagraphFont"/>
    <w:rsid w:val="004F60A2"/>
  </w:style>
  <w:style w:type="paragraph" w:customStyle="1" w:styleId="UnderlinePara">
    <w:name w:val="Underline Para"/>
    <w:basedOn w:val="Normal"/>
    <w:uiPriority w:val="6"/>
    <w:rsid w:val="004F60A2"/>
    <w:pPr>
      <w:widowControl w:val="0"/>
      <w:suppressAutoHyphens/>
      <w:spacing w:after="200"/>
      <w:contextualSpacing/>
      <w:jc w:val="both"/>
    </w:pPr>
    <w:rPr>
      <w:rFonts w:asciiTheme="minorHAnsi" w:hAnsiTheme="minorHAnsi" w:cstheme="minorBidi"/>
      <w:b/>
      <w:b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oregonwave.org/oceanic/wp-content/uploads/2013/05/Incentivizing-Ocean-Energy-%E2%80%93-July-2011.pdf" TargetMode="External"/><Relationship Id="rId18" Type="http://schemas.openxmlformats.org/officeDocument/2006/relationships/hyperlink" Target="http://longislandsoundstudy.net/wp-content/uploads/2010/02/NOAA-Ocean-and-Coastal-Mapping-Contracting-Policy-Final.pdf" TargetMode="External"/><Relationship Id="rId26" Type="http://schemas.openxmlformats.org/officeDocument/2006/relationships/hyperlink" Target="http://www.tandfonline.com/doi/full/10.1080/02692171.2012.734790" TargetMode="External"/><Relationship Id="rId39" Type="http://schemas.openxmlformats.org/officeDocument/2006/relationships/hyperlink" Target="http://onlinelibrary.wiley.com/enhanced/doi/10.1111/caim.12003/?isReportingDone=true" TargetMode="External"/><Relationship Id="rId21" Type="http://schemas.openxmlformats.org/officeDocument/2006/relationships/hyperlink" Target="http://oceanexplorer.noaa.gov/oceanexploration2020/oe2020_report.pdf" TargetMode="External"/><Relationship Id="rId34" Type="http://schemas.openxmlformats.org/officeDocument/2006/relationships/hyperlink" Target="http://www.nawindpower.com/issues/NAW1309/FEAT_01_Two_Paths_Taken_For_Procuring_Offshore_Revenue.html)//" TargetMode="External"/><Relationship Id="rId42" Type="http://schemas.openxmlformats.org/officeDocument/2006/relationships/hyperlink" Target="http://onlinelibrary.wiley.com/enhanced/doi/10.1111/caim.12003/?isReportingDone=true" TargetMode="External"/><Relationship Id="rId47" Type="http://schemas.openxmlformats.org/officeDocument/2006/relationships/hyperlink" Target="http://onlinelibrary.wiley.com/enhanced/doi/10.1111/caim.12003/?isReportingDone=true" TargetMode="External"/><Relationship Id="rId50" Type="http://schemas.openxmlformats.org/officeDocument/2006/relationships/hyperlink" Target="http://onlinelibrary.wiley.com/enhanced/doi/10.1111/caim.12003/?isReportingDone=true" TargetMode="External"/><Relationship Id="rId55" Type="http://schemas.openxmlformats.org/officeDocument/2006/relationships/hyperlink" Target="http://onlinelibrary.wiley.com/enhanced/doi/10.1111/caim.12003/?isReportingDone=true" TargetMode="External"/><Relationship Id="rId63" Type="http://schemas.openxmlformats.org/officeDocument/2006/relationships/hyperlink" Target="https://spiral.imperial.ac.uk/bitstream/10044/1/12648/4/Cost%20report%20low%20res.pdf" TargetMode="External"/><Relationship Id="rId68" Type="http://schemas.openxmlformats.org/officeDocument/2006/relationships/hyperlink" Target="http://community-wealth.org/sites/clone.community-wealth.org/files/downloads/paper-greenwood.pdf" TargetMode="External"/><Relationship Id="rId76" Type="http://schemas.openxmlformats.org/officeDocument/2006/relationships/hyperlink" Target="http://www.htmlpublish.com/newTestDocStorage/DocStorage/c72aa50e9fe6488c91aa7b613802b49a/1-s2.0-S0278425412000774-main.htm" TargetMode="External"/><Relationship Id="rId7" Type="http://schemas.openxmlformats.org/officeDocument/2006/relationships/hyperlink" Target="http://www.cesa.org/assets/2012-Files/OSW/OWAP-Collaborative-Procurement-Report-September-2012.pdf" TargetMode="External"/><Relationship Id="rId71" Type="http://schemas.openxmlformats.org/officeDocument/2006/relationships/hyperlink" Target="http://www.htmlpublish.com/newTestDocStorage/DocStorage/c72aa50e9fe6488c91aa7b613802b49a/1-s2.0-S0278425412000774-main.htm" TargetMode="External"/><Relationship Id="rId2" Type="http://schemas.openxmlformats.org/officeDocument/2006/relationships/styles" Target="styles.xml"/><Relationship Id="rId16" Type="http://schemas.openxmlformats.org/officeDocument/2006/relationships/hyperlink" Target="http://oregonwave.org/oceanic/wp-content/uploads/2013/05/Incentivizing-Ocean-Energy-%E2%80%93-July-2011.pdf" TargetMode="External"/><Relationship Id="rId29" Type="http://schemas.openxmlformats.org/officeDocument/2006/relationships/hyperlink" Target="http://ac.els-cdn.com/S0301421506002606/1-s2.0-S0301421506002606-main.pdf?_tid=ee42b794-fba1-11e3-a13e-00000aab0f02&amp;acdnat=1403616046_e977791b1839d04889ac19354fc46885" TargetMode="External"/><Relationship Id="rId11" Type="http://schemas.openxmlformats.org/officeDocument/2006/relationships/hyperlink" Target="https://bib.irb.hr/datoteka/254546.Turina_car-pusic.pdf" TargetMode="External"/><Relationship Id="rId24" Type="http://schemas.openxmlformats.org/officeDocument/2006/relationships/hyperlink" Target="http://www.sciencedirect.com.proxy.library.emory.edu/science/article/pii/S030142151000532X" TargetMode="External"/><Relationship Id="rId32" Type="http://schemas.openxmlformats.org/officeDocument/2006/relationships/hyperlink" Target="http://explore.noaa.gov/sites/OER/Documents/national-research-council-voyage.pdf" TargetMode="External"/><Relationship Id="rId37" Type="http://schemas.openxmlformats.org/officeDocument/2006/relationships/hyperlink" Target="http://onlinelibrary.wiley.com/enhanced/doi/10.1111/caim.12003/?isReportingDone=true" TargetMode="External"/><Relationship Id="rId40" Type="http://schemas.openxmlformats.org/officeDocument/2006/relationships/hyperlink" Target="http://onlinelibrary.wiley.com/enhanced/doi/10.1111/caim.12003/?isReportingDone=true" TargetMode="External"/><Relationship Id="rId45" Type="http://schemas.openxmlformats.org/officeDocument/2006/relationships/hyperlink" Target="http://onlinelibrary.wiley.com/enhanced/doi/10.1111/caim.12003/?isReportingDone=true" TargetMode="External"/><Relationship Id="rId53" Type="http://schemas.openxmlformats.org/officeDocument/2006/relationships/hyperlink" Target="http://onlinelibrary.wiley.com/enhanced/doi/10.1111/caim.12003/?isReportingDone=true" TargetMode="External"/><Relationship Id="rId58" Type="http://schemas.openxmlformats.org/officeDocument/2006/relationships/hyperlink" Target="http://onlinelibrary.wiley.com/enhanced/doi/10.1111/caim.12003/?isReportingDone=true" TargetMode="External"/><Relationship Id="rId66" Type="http://schemas.openxmlformats.org/officeDocument/2006/relationships/hyperlink" Target="http://scholarship.law.wm.edu/cgi/viewcontent.cgi?article=1027&amp;context=wmelpr&amp;sei-redir=1&amp;referer=http%3A%2F%2Fscholar.google.com%2Fscholar%3Fhl%3Den%26q%3D%2522privatization%2522%2BAND%2B%2522CATO%2522%2BAND%2B%2522Oceans%2522%26btnG%3D%26as_sdt%3D1%252C11%26as_sdtp%3D" TargetMode="External"/><Relationship Id="rId74" Type="http://schemas.openxmlformats.org/officeDocument/2006/relationships/hyperlink" Target="http://www.htmlpublish.com/newTestDocStorage/DocStorage/c72aa50e9fe6488c91aa7b613802b49a/1-s2.0-S0278425412000774-main.htm" TargetMode="External"/><Relationship Id="rId79" Type="http://schemas.openxmlformats.org/officeDocument/2006/relationships/hyperlink" Target="http://oregonwave.org/oceanic/wp-content/uploads/2013/05/Incentivizing-Ocean-Energy-%E2%80%93-July-2011.pdf" TargetMode="External"/><Relationship Id="rId5" Type="http://schemas.openxmlformats.org/officeDocument/2006/relationships/hyperlink" Target="http://www.foxnews.com/opinion/2012/06/19/obama-national-ocean-policy-threatens-jobs-and-economic-activites-onshore-and/" TargetMode="External"/><Relationship Id="rId61" Type="http://schemas.openxmlformats.org/officeDocument/2006/relationships/hyperlink" Target="http://www.tos.org/oceanography/archive/14-1_pomponi.pdf" TargetMode="External"/><Relationship Id="rId82" Type="http://schemas.openxmlformats.org/officeDocument/2006/relationships/theme" Target="theme/theme1.xml"/><Relationship Id="rId10" Type="http://schemas.openxmlformats.org/officeDocument/2006/relationships/hyperlink" Target="http://explore.noaa.gov/sites/OER/Documents/national-research-council-voyage.pdf" TargetMode="External"/><Relationship Id="rId19" Type="http://schemas.openxmlformats.org/officeDocument/2006/relationships/hyperlink" Target="http://www.cato.org/blog/public-projects-carelessly-managed" TargetMode="External"/><Relationship Id="rId31" Type="http://schemas.openxmlformats.org/officeDocument/2006/relationships/hyperlink" Target="http://digitalcommons.fiu.edu/cgi/viewcontent.cgi?article=2286&amp;context=etd&amp;sei-redir=1&amp;referer=http%3A%2F%2Fscholar.google.com%2Fscholar%3Fas_ylo%3D2014%26q%3D%2522privatization%2522%2BAND%2B%2522CATO%2522%2BAND%2B%2522Oceans%2522%26hl%3Den%26as_sdt%3D0%2C11" TargetMode="External"/><Relationship Id="rId44" Type="http://schemas.openxmlformats.org/officeDocument/2006/relationships/hyperlink" Target="http://onlinelibrary.wiley.com/enhanced/doi/10.1111/caim.12003/?isReportingDone=true" TargetMode="External"/><Relationship Id="rId52" Type="http://schemas.openxmlformats.org/officeDocument/2006/relationships/hyperlink" Target="http://onlinelibrary.wiley.com/enhanced/doi/10.1111/caim.12003/?isReportingDone=true" TargetMode="External"/><Relationship Id="rId60" Type="http://schemas.openxmlformats.org/officeDocument/2006/relationships/hyperlink" Target="http://oceanexplorer.noaa.gov/oceanexploration2020/oe2020_report.pdf" TargetMode="External"/><Relationship Id="rId65" Type="http://schemas.openxmlformats.org/officeDocument/2006/relationships/hyperlink" Target="http://online.wsj.com/news/articles/SB10001424127887323501004578386501479255158" TargetMode="External"/><Relationship Id="rId73" Type="http://schemas.openxmlformats.org/officeDocument/2006/relationships/hyperlink" Target="http://www.htmlpublish.com/newTestDocStorage/DocStorage/c72aa50e9fe6488c91aa7b613802b49a/1-s2.0-S0278425412000774-main.htm" TargetMode="External"/><Relationship Id="rId78" Type="http://schemas.openxmlformats.org/officeDocument/2006/relationships/hyperlink" Target="http://www.htmlpublish.com/newTestDocStorage/DocStorage/c72aa50e9fe6488c91aa7b613802b49a/1-s2.0-S0278425412000774-main.htm" TargetMode="External"/><Relationship Id="rId8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sciencedirect.com/science/article/pii/S0263786306000937" TargetMode="External"/><Relationship Id="rId14" Type="http://schemas.openxmlformats.org/officeDocument/2006/relationships/hyperlink" Target="http://www.globalpartnershipforoceans.org/sites/oceans/files/images/Indispensable_Ocean.pdf" TargetMode="External"/><Relationship Id="rId22" Type="http://schemas.openxmlformats.org/officeDocument/2006/relationships/hyperlink" Target="http://www.sciencedirect.com.proxy.library.emory.edu/science/article/pii/S030142151000532X" TargetMode="External"/><Relationship Id="rId27" Type="http://schemas.openxmlformats.org/officeDocument/2006/relationships/hyperlink" Target="http://www.globalpartnershipforoceans.org/sites/oceans/files/images/Indispensable_Ocean.pdf" TargetMode="External"/><Relationship Id="rId30" Type="http://schemas.openxmlformats.org/officeDocument/2006/relationships/hyperlink" Target="http://ifrnd.org/Research%20Papers/424-433.pdf" TargetMode="External"/><Relationship Id="rId35" Type="http://schemas.openxmlformats.org/officeDocument/2006/relationships/hyperlink" Target="https://www.publicpower.org/files/PDFs/EMRISynapseBilateralsReport2008.pdf" TargetMode="External"/><Relationship Id="rId43" Type="http://schemas.openxmlformats.org/officeDocument/2006/relationships/hyperlink" Target="http://onlinelibrary.wiley.com/enhanced/doi/10.1111/caim.12003/?isReportingDone=true" TargetMode="External"/><Relationship Id="rId48" Type="http://schemas.openxmlformats.org/officeDocument/2006/relationships/hyperlink" Target="http://onlinelibrary.wiley.com/enhanced/doi/10.1111/caim.12003/?isReportingDone=true" TargetMode="External"/><Relationship Id="rId56" Type="http://schemas.openxmlformats.org/officeDocument/2006/relationships/hyperlink" Target="http://onlinelibrary.wiley.com/enhanced/doi/10.1111/caim.12003/?isReportingDone=true" TargetMode="External"/><Relationship Id="rId64" Type="http://schemas.openxmlformats.org/officeDocument/2006/relationships/hyperlink" Target="http://www.sciencedirect.com/science/article/pii/S0301421505003435" TargetMode="External"/><Relationship Id="rId69" Type="http://schemas.openxmlformats.org/officeDocument/2006/relationships/hyperlink" Target="http://www.htmlpublish.com/newTestDocStorage/DocStorage/c72aa50e9fe6488c91aa7b613802b49a/1-s2.0-S0278425412000774-main.htm" TargetMode="External"/><Relationship Id="rId77" Type="http://schemas.openxmlformats.org/officeDocument/2006/relationships/hyperlink" Target="http://www.htmlpublish.com/newTestDocStorage/DocStorage/c72aa50e9fe6488c91aa7b613802b49a/1-s2.0-S0278425412000774-main.htm" TargetMode="External"/><Relationship Id="rId8" Type="http://schemas.openxmlformats.org/officeDocument/2006/relationships/hyperlink" Target="https://bib.irb.hr/datoteka/254546.Turina_car-pusic.pdf" TargetMode="External"/><Relationship Id="rId51" Type="http://schemas.openxmlformats.org/officeDocument/2006/relationships/hyperlink" Target="http://onlinelibrary.wiley.com/enhanced/doi/10.1111/caim.12003/?isReportingDone=true" TargetMode="External"/><Relationship Id="rId72" Type="http://schemas.openxmlformats.org/officeDocument/2006/relationships/hyperlink" Target="http://www.htmlpublish.com/newTestDocStorage/DocStorage/c72aa50e9fe6488c91aa7b613802b49a/1-s2.0-S0278425412000774-main.htm" TargetMode="External"/><Relationship Id="rId80" Type="http://schemas.openxmlformats.org/officeDocument/2006/relationships/hyperlink" Target="http://www.factcheck.org/author/eugene-kiely/" TargetMode="External"/><Relationship Id="rId3" Type="http://schemas.openxmlformats.org/officeDocument/2006/relationships/settings" Target="settings.xml"/><Relationship Id="rId12" Type="http://schemas.openxmlformats.org/officeDocument/2006/relationships/hyperlink" Target="http://www.sciencedirect.com/science/article/pii/S0263786306000937" TargetMode="External"/><Relationship Id="rId17" Type="http://schemas.openxmlformats.org/officeDocument/2006/relationships/hyperlink" Target="http://www.cesa.org/assets/2012-Files/OSW/OWAP-Collaborative-Procurement-Report-September-2012.pdf" TargetMode="External"/><Relationship Id="rId25" Type="http://schemas.openxmlformats.org/officeDocument/2006/relationships/hyperlink" Target="http://www.sciencedirect.com.proxy.library.emory.edu/science/article/pii/S030142151000532X" TargetMode="External"/><Relationship Id="rId33" Type="http://schemas.openxmlformats.org/officeDocument/2006/relationships/hyperlink" Target="http://thinkprogress.org/climate/2014/04/15/3426660/first-act-gop-science-cuts/" TargetMode="External"/><Relationship Id="rId38" Type="http://schemas.openxmlformats.org/officeDocument/2006/relationships/hyperlink" Target="http://onlinelibrary.wiley.com/enhanced/doi/10.1111/caim.12003/?isReportingDone=true" TargetMode="External"/><Relationship Id="rId46" Type="http://schemas.openxmlformats.org/officeDocument/2006/relationships/hyperlink" Target="http://onlinelibrary.wiley.com/enhanced/doi/10.1111/caim.12003/?isReportingDone=true" TargetMode="External"/><Relationship Id="rId59" Type="http://schemas.openxmlformats.org/officeDocument/2006/relationships/hyperlink" Target="http://oceanexplorer.noaa.gov/oceanexploration2020/oe2020_report.pdf" TargetMode="External"/><Relationship Id="rId67" Type="http://schemas.openxmlformats.org/officeDocument/2006/relationships/hyperlink" Target="http://books.google.com/books?hl=en&amp;lr=&amp;id=qz8sAwAAQBAJ&amp;oi=fnd&amp;pg=PA434&amp;dq=%22private+actors%22+%22monopolize%22&amp;ots=IBtqpOUy_i&amp;sig=DHUI9E62BW_zFUFa6y6v5yexbzc" TargetMode="External"/><Relationship Id="rId20" Type="http://schemas.openxmlformats.org/officeDocument/2006/relationships/hyperlink" Target="http://www.pahousegop.com/NewsItem.aspx?NewsID=20918" TargetMode="External"/><Relationship Id="rId41" Type="http://schemas.openxmlformats.org/officeDocument/2006/relationships/hyperlink" Target="http://onlinelibrary.wiley.com/enhanced/doi/10.1111/caim.12003/?isReportingDone=true" TargetMode="External"/><Relationship Id="rId54" Type="http://schemas.openxmlformats.org/officeDocument/2006/relationships/hyperlink" Target="http://onlinelibrary.wiley.com/enhanced/doi/10.1111/caim.12003/?isReportingDone=true" TargetMode="External"/><Relationship Id="rId62" Type="http://schemas.openxmlformats.org/officeDocument/2006/relationships/hyperlink" Target="http://oregonwave.org/oceanic/wp-content/uploads/2013/05/Incentivizing-Ocean-Energy-%E2%80%93-July-2011.pdf" TargetMode="External"/><Relationship Id="rId70" Type="http://schemas.openxmlformats.org/officeDocument/2006/relationships/hyperlink" Target="http://www.htmlpublish.com/newTestDocStorage/DocStorage/c72aa50e9fe6488c91aa7b613802b49a/1-s2.0-S0278425412000774-main.htm" TargetMode="External"/><Relationship Id="rId75" Type="http://schemas.openxmlformats.org/officeDocument/2006/relationships/hyperlink" Target="http://www.htmlpublish.com/newTestDocStorage/DocStorage/c72aa50e9fe6488c91aa7b613802b49a/1-s2.0-S0278425412000774-main.htm" TargetMode="External"/><Relationship Id="rId1" Type="http://schemas.openxmlformats.org/officeDocument/2006/relationships/numbering" Target="numbering.xml"/><Relationship Id="rId6" Type="http://schemas.openxmlformats.org/officeDocument/2006/relationships/hyperlink" Target="http://www.washingtonpost.com/national/health-science/national-ocean-policy-sparks-partisan-fight/2012/10/28/af73e464-17a7-11e2-a55c-39408fbe6a4b_story.html" TargetMode="External"/><Relationship Id="rId15" Type="http://schemas.openxmlformats.org/officeDocument/2006/relationships/hyperlink" Target="http://www.sciencedirect.com/science/journal/09601481/24/1" TargetMode="External"/><Relationship Id="rId23" Type="http://schemas.openxmlformats.org/officeDocument/2006/relationships/hyperlink" Target="http://www.sciencedirect.com.proxy.library.emory.edu/science/article/pii/S030142151000532X" TargetMode="External"/><Relationship Id="rId28" Type="http://schemas.openxmlformats.org/officeDocument/2006/relationships/hyperlink" Target="http://oregonwave.org/oceanic/wp-content/uploads/2013/05/Incentivizing-Ocean-Energy-%E2%80%93-July-2011.pdf" TargetMode="External"/><Relationship Id="rId36" Type="http://schemas.openxmlformats.org/officeDocument/2006/relationships/hyperlink" Target="http://onlinelibrary.wiley.com/enhanced/doi/10.1111/caim.12003/?isReportingDone=true" TargetMode="External"/><Relationship Id="rId49" Type="http://schemas.openxmlformats.org/officeDocument/2006/relationships/hyperlink" Target="http://onlinelibrary.wiley.com/enhanced/doi/10.1111/caim.12003/?isReportingDone=true" TargetMode="External"/><Relationship Id="rId57" Type="http://schemas.openxmlformats.org/officeDocument/2006/relationships/hyperlink" Target="http://onlinelibrary.wiley.com/enhanced/doi/10.1111/caim.12003/?isReportingDone=tru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org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TotalTime>
  <Pages>53</Pages>
  <Words>25478</Words>
  <Characters>145227</Characters>
  <Application>Microsoft Office Word</Application>
  <DocSecurity>0</DocSecurity>
  <Lines>1210</Lines>
  <Paragraphs>340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170365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Morgan</dc:creator>
  <cp:keywords/>
  <dc:description/>
  <cp:lastModifiedBy>Morgan</cp:lastModifiedBy>
  <cp:revision>1</cp:revision>
  <dcterms:created xsi:type="dcterms:W3CDTF">2014-07-05T18:50:00Z</dcterms:created>
  <dcterms:modified xsi:type="dcterms:W3CDTF">2014-07-05T18:51:00Z</dcterms:modified>
</cp:coreProperties>
</file>