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745" w:rsidRDefault="008A4745" w:rsidP="008A4745">
      <w:pPr>
        <w:pStyle w:val="Heading1"/>
      </w:pPr>
      <w:r>
        <w:t>Metaphors</w:t>
      </w:r>
    </w:p>
    <w:p w:rsidR="008A4745" w:rsidRDefault="008A4745" w:rsidP="008A4745">
      <w:pPr>
        <w:pStyle w:val="Heading3"/>
      </w:pPr>
      <w:r>
        <w:t>Metaphors Explode Limits</w:t>
      </w:r>
    </w:p>
    <w:p w:rsidR="007E5311" w:rsidRDefault="00734CD2" w:rsidP="007E5311">
      <w:pPr>
        <w:pStyle w:val="Heading4"/>
      </w:pPr>
      <w:r>
        <w:t>Use of metaphors explodes limits – no barrier on potential meaning</w:t>
      </w:r>
    </w:p>
    <w:p w:rsidR="007E5311" w:rsidRPr="007E5311" w:rsidRDefault="007E5311" w:rsidP="007E5311">
      <w:r>
        <w:rPr>
          <w:rStyle w:val="Style13ptBold"/>
        </w:rPr>
        <w:t xml:space="preserve">Camp, 13 </w:t>
      </w:r>
      <w:r w:rsidRPr="007E5311">
        <w:t>(Elisabeth, Associate Professor at the University of Pennsylvania, “Davidson on Metaphor,” forthcoming in Blackwell Companio</w:t>
      </w:r>
      <w:bookmarkStart w:id="0" w:name="_GoBack"/>
      <w:bookmarkEnd w:id="0"/>
      <w:r w:rsidRPr="007E5311">
        <w:t xml:space="preserve">n to Davidson, </w:t>
      </w:r>
      <w:hyperlink r:id="rId5" w:history="1">
        <w:r w:rsidRPr="007E5311">
          <w:rPr>
            <w:rStyle w:val="Hyperlink"/>
          </w:rPr>
          <w:t>http://rci.rutgers.edu/~emc233/Papers/Camp.DavidsonMetaphor.pdf</w:t>
        </w:r>
      </w:hyperlink>
      <w:r w:rsidRPr="007E5311">
        <w:t>, AW)</w:t>
      </w:r>
    </w:p>
    <w:p w:rsidR="008A4745" w:rsidRDefault="008A4745" w:rsidP="008A4745">
      <w:r>
        <w:t>5 Specifically, he resists any attempt to “shrug</w:t>
      </w:r>
      <w:r w:rsidR="007E5311">
        <w:t xml:space="preserve"> [</w:t>
      </w:r>
      <w:r>
        <w:t>his arguments] off as</w:t>
      </w:r>
      <w:r w:rsidR="007E5311">
        <w:t xml:space="preserve"> no more than an insistence on </w:t>
      </w:r>
      <w:r>
        <w:t xml:space="preserve">restraint in using the word ‘meaning’. This would be wrong. The central error about metaphor is most easily attacked when it takes the form of a </w:t>
      </w:r>
      <w:r w:rsidRPr="007E5311">
        <w:rPr>
          <w:rStyle w:val="StyleUnderline"/>
        </w:rPr>
        <w:t>theory of metaphorical meaning</w:t>
      </w:r>
      <w:r>
        <w:t xml:space="preserve">, but </w:t>
      </w:r>
      <w:r w:rsidRPr="007E5311">
        <w:rPr>
          <w:rStyle w:val="StyleUnderline"/>
        </w:rPr>
        <w:t>behind that theory,</w:t>
      </w:r>
      <w:r>
        <w:t xml:space="preserve"> and </w:t>
      </w:r>
      <w:proofErr w:type="spellStart"/>
      <w:r>
        <w:t>statable</w:t>
      </w:r>
      <w:proofErr w:type="spellEnd"/>
      <w:r>
        <w:t xml:space="preserve"> independently, </w:t>
      </w:r>
      <w:r w:rsidRPr="007E5311">
        <w:rPr>
          <w:rStyle w:val="StyleUnderline"/>
        </w:rPr>
        <w:t>is the thesis that associated with a metaphor is a cognitive content that its author wishes to convey and that the interpreter must grasp if he is to get the message</w:t>
      </w:r>
      <w:r>
        <w:t>. This theory is false, whether or not we call the purported cognitive content a meaning” (WWM 46).4</w:t>
      </w:r>
      <w:r w:rsidR="007E5311">
        <w:t xml:space="preserve"> </w:t>
      </w:r>
      <w:r w:rsidRPr="007E5311">
        <w:rPr>
          <w:rStyle w:val="StyleUnderline"/>
        </w:rPr>
        <w:t>If what the metaphor makes us notice were finite in scope and propositional in nature, this would not</w:t>
      </w:r>
      <w:r w:rsidR="007E5311" w:rsidRPr="007E5311">
        <w:rPr>
          <w:rStyle w:val="StyleUnderline"/>
        </w:rPr>
        <w:t xml:space="preserve"> </w:t>
      </w:r>
      <w:r w:rsidRPr="007E5311">
        <w:rPr>
          <w:rStyle w:val="StyleUnderline"/>
        </w:rPr>
        <w:t>in itself make trouble; we would simply project the content the metaphor brought to mind onto the</w:t>
      </w:r>
      <w:r w:rsidR="007E5311" w:rsidRPr="007E5311">
        <w:rPr>
          <w:rStyle w:val="StyleUnderline"/>
        </w:rPr>
        <w:t xml:space="preserve"> </w:t>
      </w:r>
      <w:r w:rsidRPr="007E5311">
        <w:rPr>
          <w:rStyle w:val="StyleUnderline"/>
        </w:rPr>
        <w:t>metaphor. But in fact there is no limit to what a metaphor calls to our attention, and much of what we</w:t>
      </w:r>
      <w:r w:rsidR="007E5311" w:rsidRPr="007E5311">
        <w:rPr>
          <w:rStyle w:val="StyleUnderline"/>
        </w:rPr>
        <w:t xml:space="preserve"> </w:t>
      </w:r>
      <w:r w:rsidRPr="007E5311">
        <w:rPr>
          <w:rStyle w:val="StyleUnderline"/>
        </w:rPr>
        <w:t>are caused to notice is not propositional in character</w:t>
      </w:r>
      <w:r>
        <w:t xml:space="preserve"> (WWM 46).</w:t>
      </w:r>
      <w:r w:rsidR="00734CD2">
        <w:t xml:space="preserve"> </w:t>
      </w:r>
    </w:p>
    <w:p w:rsidR="00734CD2" w:rsidRDefault="00734CD2" w:rsidP="00734CD2">
      <w:pPr>
        <w:pStyle w:val="Heading4"/>
      </w:pPr>
      <w:r>
        <w:t>Metaphors explode limits</w:t>
      </w:r>
      <w:r w:rsidR="00A741E5">
        <w:t xml:space="preserve"> </w:t>
      </w:r>
      <w:r w:rsidR="007B58E3">
        <w:t>–</w:t>
      </w:r>
      <w:r w:rsidR="00A741E5">
        <w:t xml:space="preserve"> </w:t>
      </w:r>
      <w:r w:rsidR="007B58E3">
        <w:t>lack any concrete meaning</w:t>
      </w:r>
    </w:p>
    <w:p w:rsidR="00734CD2" w:rsidRPr="00734CD2" w:rsidRDefault="00A741E5" w:rsidP="00734CD2">
      <w:pPr>
        <w:rPr>
          <w:rStyle w:val="Style13ptBold"/>
        </w:rPr>
      </w:pPr>
      <w:proofErr w:type="spellStart"/>
      <w:r>
        <w:rPr>
          <w:rStyle w:val="Style13ptBold"/>
        </w:rPr>
        <w:t>Hyslop</w:t>
      </w:r>
      <w:proofErr w:type="spellEnd"/>
      <w:r>
        <w:rPr>
          <w:rStyle w:val="Style13ptBold"/>
        </w:rPr>
        <w:t xml:space="preserve">, 01 </w:t>
      </w:r>
      <w:r w:rsidRPr="00A741E5">
        <w:t>(Alec, PhD Research Staff at La Trobe University</w:t>
      </w:r>
      <w:proofErr w:type="gramStart"/>
      <w:r w:rsidRPr="00A741E5">
        <w:t>,  SORITES</w:t>
      </w:r>
      <w:proofErr w:type="gramEnd"/>
      <w:r w:rsidRPr="00A741E5">
        <w:t xml:space="preserve">, “Metaphor and Meaning,” October 2001, Issue #13, </w:t>
      </w:r>
      <w:hyperlink r:id="rId6" w:history="1">
        <w:r w:rsidRPr="00A741E5">
          <w:rPr>
            <w:rStyle w:val="Hyperlink"/>
          </w:rPr>
          <w:t>http://www.sorites.org/Issue_13/hyslop.htm</w:t>
        </w:r>
      </w:hyperlink>
      <w:r w:rsidRPr="00A741E5">
        <w:t>, AW)</w:t>
      </w:r>
    </w:p>
    <w:p w:rsidR="00734CD2" w:rsidRPr="00734CD2" w:rsidRDefault="00734CD2" w:rsidP="00734CD2">
      <w:r>
        <w:t>According to Davidson we are to respond to the metaphor, to give ourselves over to it. The effects the metaphor produces in us are what matters. Notably, `</w:t>
      </w:r>
      <w:r w:rsidRPr="00A741E5">
        <w:rPr>
          <w:rStyle w:val="StyleUnderline"/>
        </w:rPr>
        <w:t xml:space="preserve">there is no limit to what a metaphor calls to our attention and much of what we are called to notice is not </w:t>
      </w:r>
      <w:proofErr w:type="spellStart"/>
      <w:r w:rsidRPr="00A741E5">
        <w:rPr>
          <w:rStyle w:val="StyleUnderline"/>
        </w:rPr>
        <w:t>propositionain</w:t>
      </w:r>
      <w:proofErr w:type="spellEnd"/>
      <w:r w:rsidRPr="00A741E5">
        <w:rPr>
          <w:rStyle w:val="StyleUnderline"/>
        </w:rPr>
        <w:t xml:space="preserve"> character'</w:t>
      </w:r>
      <w:r>
        <w:t xml:space="preserve"> (p.44). </w:t>
      </w:r>
      <w:r w:rsidRPr="00A741E5">
        <w:rPr>
          <w:rStyle w:val="StyleUnderline"/>
        </w:rPr>
        <w:t>What matters is the experience.</w:t>
      </w:r>
      <w:r>
        <w:t xml:space="preserve"> That is why there is </w:t>
      </w:r>
      <w:r w:rsidRPr="00A741E5">
        <w:rPr>
          <w:rStyle w:val="StyleUnderline"/>
        </w:rPr>
        <w:t>no meaning other than the literal</w:t>
      </w:r>
      <w:r>
        <w:t xml:space="preserve">; that is why metaphors are not </w:t>
      </w:r>
      <w:proofErr w:type="spellStart"/>
      <w:r>
        <w:t>paraphrasable</w:t>
      </w:r>
      <w:proofErr w:type="spellEnd"/>
      <w:r>
        <w:t>. `</w:t>
      </w:r>
      <w:r w:rsidRPr="00A741E5">
        <w:rPr>
          <w:rStyle w:val="StyleUnderline"/>
        </w:rPr>
        <w:t>Metaphor makes us see one thing as another</w:t>
      </w:r>
      <w:r>
        <w:t xml:space="preserve">... Since in most cases </w:t>
      </w:r>
      <w:r w:rsidRPr="00A741E5">
        <w:rPr>
          <w:rStyle w:val="StyleUnderline"/>
        </w:rPr>
        <w:t>what the metaphor prompts</w:t>
      </w:r>
      <w:r>
        <w:t xml:space="preserve"> or inspires </w:t>
      </w:r>
      <w:r w:rsidRPr="00A741E5">
        <w:rPr>
          <w:rStyle w:val="StyleUnderline"/>
        </w:rPr>
        <w:t>is not entirely</w:t>
      </w:r>
      <w:r>
        <w:t xml:space="preserve">, or even at all, </w:t>
      </w:r>
      <w:r w:rsidRPr="00A741E5">
        <w:rPr>
          <w:rStyle w:val="StyleUnderline"/>
        </w:rPr>
        <w:t>recognition of some truth</w:t>
      </w:r>
      <w:r>
        <w:t xml:space="preserve"> or fact, </w:t>
      </w:r>
      <w:r w:rsidRPr="00A741E5">
        <w:rPr>
          <w:rStyle w:val="StyleUnderline"/>
        </w:rPr>
        <w:t>the attempt to give literal expression to the content of the metaphor is simply misguided'</w:t>
      </w:r>
      <w:r>
        <w:t xml:space="preserve"> (p. 45).</w:t>
      </w:r>
    </w:p>
    <w:p w:rsidR="008A4745" w:rsidRDefault="008A4745" w:rsidP="008A4745">
      <w:pPr>
        <w:pStyle w:val="Heading1"/>
      </w:pPr>
      <w:r>
        <w:t>Red Atlantic</w:t>
      </w:r>
    </w:p>
    <w:p w:rsidR="00E6742F" w:rsidRDefault="00E6742F" w:rsidP="00077649">
      <w:pPr>
        <w:pStyle w:val="Heading3"/>
      </w:pPr>
      <w:r>
        <w:t>General – You need policy</w:t>
      </w:r>
    </w:p>
    <w:p w:rsidR="0000350D" w:rsidRDefault="0000350D" w:rsidP="0000350D">
      <w:pPr>
        <w:pStyle w:val="Heading4"/>
      </w:pPr>
      <w:r>
        <w:t>The affirmative</w:t>
      </w:r>
      <w:r w:rsidR="00D354E9">
        <w:t>’</w:t>
      </w:r>
      <w:r>
        <w:t>s focus on the re-presentation of the past</w:t>
      </w:r>
      <w:r w:rsidR="00D354E9">
        <w:t xml:space="preserve"> without consideration of the future</w:t>
      </w:r>
      <w:r>
        <w:t xml:space="preserve"> is problematic – cedes the realm of decision-making </w:t>
      </w:r>
      <w:r w:rsidR="00D354E9">
        <w:t>to empirically oppressive US policy towards the indigenous</w:t>
      </w:r>
    </w:p>
    <w:p w:rsidR="00D354E9" w:rsidRPr="00D354E9" w:rsidRDefault="00D354E9" w:rsidP="00D354E9">
      <w:pPr>
        <w:pStyle w:val="CardIndented"/>
        <w:ind w:left="0"/>
      </w:pPr>
      <w:r w:rsidRPr="00F70AFF">
        <w:rPr>
          <w:rStyle w:val="Style13ptBold"/>
        </w:rPr>
        <w:t>Sharp 12</w:t>
      </w:r>
      <w:r>
        <w:t xml:space="preserve">   (</w:t>
      </w:r>
      <w:r>
        <w:t>Fawn Sharp, President of the</w:t>
      </w:r>
      <w:r w:rsidRPr="00F70AFF">
        <w:t xml:space="preserve"> Quina</w:t>
      </w:r>
      <w:r>
        <w:t xml:space="preserve">ult Indian Nation, </w:t>
      </w:r>
      <w:proofErr w:type="spellStart"/>
      <w:r>
        <w:t>Taholah</w:t>
      </w:r>
      <w:proofErr w:type="spellEnd"/>
      <w:r>
        <w:t xml:space="preserve">, WA, Senate Committee on Indian Affairs Oversight Hearing, “Fulfilling the Federal Trust Responsibility: The Foundation of the Government-to-Government,” </w:t>
      </w:r>
      <w:r w:rsidRPr="00F70AFF">
        <w:t>May 17, 2012</w:t>
      </w:r>
      <w:r>
        <w:t>,</w:t>
      </w:r>
      <w:r w:rsidRPr="00F70AFF">
        <w:t xml:space="preserve">  </w:t>
      </w:r>
      <w:hyperlink r:id="rId7" w:history="1">
        <w:r w:rsidRPr="00EB0423">
          <w:rPr>
            <w:rStyle w:val="Hyperlink"/>
          </w:rPr>
          <w:t>http://www.indian.senate.gov/sites/default/files/upload/files/Fawn-Sharp-testimony051712.pdf</w:t>
        </w:r>
      </w:hyperlink>
      <w:r>
        <w:t>, AW</w:t>
      </w:r>
      <w:r>
        <w:t>)</w:t>
      </w:r>
    </w:p>
    <w:p w:rsidR="0000350D" w:rsidRPr="00D354E9" w:rsidRDefault="0000350D" w:rsidP="0000350D">
      <w:pPr>
        <w:rPr>
          <w:rStyle w:val="StyleUnderline"/>
        </w:rPr>
      </w:pPr>
      <w:r w:rsidRPr="00D354E9">
        <w:rPr>
          <w:rStyle w:val="StyleUnderline"/>
        </w:rPr>
        <w:t>Unt</w:t>
      </w:r>
      <w:r>
        <w:t xml:space="preserve">il just </w:t>
      </w:r>
      <w:r w:rsidRPr="00D354E9">
        <w:rPr>
          <w:rStyle w:val="StyleUnderline"/>
        </w:rPr>
        <w:t>a few decades ago</w:t>
      </w:r>
      <w:r>
        <w:t xml:space="preserve">, when a new era of Self-Determination and Self-Governance was ushered in, the </w:t>
      </w:r>
      <w:r w:rsidRPr="00D354E9">
        <w:rPr>
          <w:rStyle w:val="StyleUnderline"/>
        </w:rPr>
        <w:t>Indian policy of the U</w:t>
      </w:r>
      <w:r>
        <w:t xml:space="preserve">nited </w:t>
      </w:r>
      <w:r w:rsidRPr="00D354E9">
        <w:rPr>
          <w:rStyle w:val="StyleUnderline"/>
        </w:rPr>
        <w:t>S</w:t>
      </w:r>
      <w:r>
        <w:t xml:space="preserve">tates </w:t>
      </w:r>
      <w:r w:rsidRPr="00D354E9">
        <w:rPr>
          <w:rStyle w:val="StyleUnderline"/>
        </w:rPr>
        <w:t>was centered on conquest, removal, dislocation, and extirpation.</w:t>
      </w:r>
      <w:r w:rsidR="00D354E9">
        <w:rPr>
          <w:rStyle w:val="StyleUnderline"/>
        </w:rPr>
        <w:t xml:space="preserve"> </w:t>
      </w:r>
      <w:r w:rsidRPr="00D354E9">
        <w:rPr>
          <w:rStyle w:val="StyleUnderline"/>
        </w:rPr>
        <w:t>The purpose of highlighting</w:t>
      </w:r>
      <w:r>
        <w:t xml:space="preserve"> this </w:t>
      </w:r>
      <w:r w:rsidRPr="00D354E9">
        <w:rPr>
          <w:rStyle w:val="StyleUnderline"/>
        </w:rPr>
        <w:t>litany of wrongs against Indians is not to dwell on the past, but</w:t>
      </w:r>
      <w:r>
        <w:t xml:space="preserve"> to serve as a</w:t>
      </w:r>
      <w:r w:rsidRPr="00D354E9">
        <w:rPr>
          <w:rStyle w:val="StyleUnderline"/>
        </w:rPr>
        <w:t xml:space="preserve"> prelude</w:t>
      </w:r>
      <w:r>
        <w:t xml:space="preserve"> to </w:t>
      </w:r>
      <w:r w:rsidRPr="00D354E9">
        <w:rPr>
          <w:rStyle w:val="StyleUnderline"/>
        </w:rPr>
        <w:t>discussion of the future form and substance of relations between Indian Tribes and the U</w:t>
      </w:r>
      <w:r>
        <w:t xml:space="preserve">nited </w:t>
      </w:r>
      <w:r w:rsidRPr="00D354E9">
        <w:rPr>
          <w:rStyle w:val="StyleUnderline"/>
        </w:rPr>
        <w:t>S</w:t>
      </w:r>
      <w:r>
        <w:t xml:space="preserve">tates. The trust responsibility and government-to-government relationships are central to our deliberations. I say “our” because </w:t>
      </w:r>
      <w:r w:rsidRPr="00D354E9">
        <w:rPr>
          <w:rStyle w:val="StyleUnderline"/>
        </w:rPr>
        <w:t>decisions cannot be made unilaterally by the U</w:t>
      </w:r>
      <w:r>
        <w:t xml:space="preserve">nited </w:t>
      </w:r>
      <w:r w:rsidRPr="00D354E9">
        <w:rPr>
          <w:rStyle w:val="StyleUnderline"/>
        </w:rPr>
        <w:t>S</w:t>
      </w:r>
      <w:r>
        <w:t xml:space="preserve">tates. Our </w:t>
      </w:r>
      <w:r w:rsidRPr="00D354E9">
        <w:rPr>
          <w:rStyle w:val="StyleUnderline"/>
        </w:rPr>
        <w:t>discussion should include consideration of the implications of the</w:t>
      </w:r>
      <w:r>
        <w:t xml:space="preserve"> United Nations Declaration on the Rights of Indigenous Peoples (</w:t>
      </w:r>
      <w:r w:rsidRPr="00D354E9">
        <w:rPr>
          <w:rStyle w:val="StyleUnderline"/>
        </w:rPr>
        <w:t>UNDRIP</w:t>
      </w:r>
      <w:r>
        <w:t xml:space="preserve">), particularly articles </w:t>
      </w:r>
      <w:r w:rsidRPr="00D354E9">
        <w:rPr>
          <w:rStyle w:val="StyleUnderline"/>
        </w:rPr>
        <w:t>relating to free, prior, and informed consent.</w:t>
      </w:r>
      <w:r>
        <w:t xml:space="preserve"> </w:t>
      </w:r>
      <w:r w:rsidRPr="00D354E9">
        <w:rPr>
          <w:rStyle w:val="StyleUnderline"/>
        </w:rPr>
        <w:t>As sovereigns, Indian Nations and the U</w:t>
      </w:r>
      <w:r>
        <w:t xml:space="preserve">nited </w:t>
      </w:r>
      <w:r w:rsidRPr="00D354E9">
        <w:rPr>
          <w:rStyle w:val="StyleUnderline"/>
        </w:rPr>
        <w:t>S</w:t>
      </w:r>
      <w:r>
        <w:t xml:space="preserve">tates </w:t>
      </w:r>
      <w:r w:rsidRPr="00D354E9">
        <w:rPr>
          <w:rStyle w:val="StyleUnderline"/>
        </w:rPr>
        <w:t>must engage in substantive dialogue to collectively establish a common vision and policy to guide our path to tomorrow.</w:t>
      </w:r>
    </w:p>
    <w:p w:rsidR="0000350D" w:rsidRPr="0000350D" w:rsidRDefault="0000350D" w:rsidP="0000350D">
      <w:r>
        <w:t xml:space="preserve">In 1977, the American Indian Policy Review Commission issued a report to Congress noting, “The Relationship of the American Indian tribes to the United States is founded on principals of international law….a relationship founded on treaties in which Indian tribes placed themselves under the protection of the United States and the United States assumed the obligation of supplying such </w:t>
      </w:r>
    </w:p>
    <w:p w:rsidR="00A95652" w:rsidRDefault="00077649" w:rsidP="00077649">
      <w:pPr>
        <w:pStyle w:val="Heading3"/>
      </w:pPr>
      <w:r>
        <w:t xml:space="preserve">Examples of bad policy </w:t>
      </w:r>
    </w:p>
    <w:p w:rsidR="00077649" w:rsidRPr="00077649" w:rsidRDefault="00E6742F" w:rsidP="00077649">
      <w:pPr>
        <w:pStyle w:val="Heading4"/>
      </w:pPr>
      <w:r>
        <w:t>The Dawes Act was well-intentioned but proved ultimately destructive to tribal culture</w:t>
      </w:r>
    </w:p>
    <w:p w:rsidR="00077649" w:rsidRDefault="00077649" w:rsidP="00077649">
      <w:proofErr w:type="spellStart"/>
      <w:r w:rsidRPr="005B7992">
        <w:rPr>
          <w:rStyle w:val="Style13ptBold"/>
        </w:rPr>
        <w:t>O'Mahony</w:t>
      </w:r>
      <w:proofErr w:type="spellEnd"/>
      <w:r w:rsidRPr="005B7992">
        <w:rPr>
          <w:rStyle w:val="Style13ptBold"/>
        </w:rPr>
        <w:t xml:space="preserve"> 12</w:t>
      </w:r>
      <w:r>
        <w:t xml:space="preserve">    </w:t>
      </w:r>
      <w:r>
        <w:t>(Benedict,</w:t>
      </w:r>
      <w:r w:rsidRPr="005B7992">
        <w:t xml:space="preserve"> University </w:t>
      </w:r>
      <w:r>
        <w:t>of Groningen (The Netherlands),</w:t>
      </w:r>
      <w:r w:rsidRPr="005B7992">
        <w:t xml:space="preserve"> </w:t>
      </w:r>
      <w:proofErr w:type="gramStart"/>
      <w:r>
        <w:t>“</w:t>
      </w:r>
      <w:r w:rsidRPr="005B7992">
        <w:t xml:space="preserve"> The</w:t>
      </w:r>
      <w:proofErr w:type="gramEnd"/>
      <w:r w:rsidRPr="005B7992">
        <w:t xml:space="preserve"> Plight of the Native Americans</w:t>
      </w:r>
      <w:r>
        <w:t>,”</w:t>
      </w:r>
      <w:r>
        <w:t xml:space="preserve"> </w:t>
      </w:r>
      <w:hyperlink r:id="rId8" w:history="1">
        <w:r w:rsidRPr="00EB0423">
          <w:rPr>
            <w:rStyle w:val="Hyperlink"/>
          </w:rPr>
          <w:t>http://www.let.rug.nl/usa/outlines/history-2005/growth-and-transformation/the-plight-of-the-native-americans.php</w:t>
        </w:r>
      </w:hyperlink>
      <w:r>
        <w:t>)</w:t>
      </w:r>
    </w:p>
    <w:p w:rsidR="00077649" w:rsidRDefault="00077649" w:rsidP="00077649">
      <w:r>
        <w:t xml:space="preserve">In 1887 the </w:t>
      </w:r>
      <w:r w:rsidRPr="00077649">
        <w:rPr>
          <w:rStyle w:val="StyleUnderline"/>
        </w:rPr>
        <w:t xml:space="preserve">Dawes </w:t>
      </w:r>
      <w:r>
        <w:t xml:space="preserve">(General Allotment) </w:t>
      </w:r>
      <w:r w:rsidRPr="00077649">
        <w:rPr>
          <w:rStyle w:val="StyleUnderline"/>
        </w:rPr>
        <w:t>Act reversed U.S. Native-American policy</w:t>
      </w:r>
      <w:r>
        <w:t xml:space="preserve">, </w:t>
      </w:r>
      <w:r w:rsidRPr="00077649">
        <w:rPr>
          <w:rStyle w:val="StyleUnderline"/>
        </w:rPr>
        <w:t>permitting the president to divide up tribal land</w:t>
      </w:r>
      <w:r>
        <w:t xml:space="preserve"> and parcel out 65 hectares of land </w:t>
      </w:r>
      <w:r w:rsidRPr="00077649">
        <w:rPr>
          <w:rStyle w:val="StyleUnderline"/>
        </w:rPr>
        <w:t>to each head of a family</w:t>
      </w:r>
      <w:r w:rsidRPr="00E6742F">
        <w:rPr>
          <w:rStyle w:val="StyleUnderline"/>
        </w:rPr>
        <w:t>. Such allotments were</w:t>
      </w:r>
      <w:r>
        <w:t xml:space="preserve"> to be </w:t>
      </w:r>
      <w:r w:rsidRPr="00E6742F">
        <w:rPr>
          <w:rStyle w:val="StyleUnderline"/>
        </w:rPr>
        <w:t>held in trust by the government for 25 years, after which</w:t>
      </w:r>
      <w:r>
        <w:t xml:space="preserve"> time </w:t>
      </w:r>
      <w:r w:rsidRPr="00E6742F">
        <w:rPr>
          <w:rStyle w:val="StyleUnderline"/>
        </w:rPr>
        <w:t>the owner won full title</w:t>
      </w:r>
      <w:r>
        <w:t xml:space="preserve"> and citizenship. </w:t>
      </w:r>
      <w:r w:rsidRPr="00E6742F">
        <w:rPr>
          <w:rStyle w:val="StyleUnderline"/>
        </w:rPr>
        <w:t>Lands not</w:t>
      </w:r>
      <w:r>
        <w:t xml:space="preserve"> thus </w:t>
      </w:r>
      <w:r w:rsidRPr="00E6742F">
        <w:rPr>
          <w:rStyle w:val="StyleUnderline"/>
        </w:rPr>
        <w:t>distributed,</w:t>
      </w:r>
      <w:r>
        <w:t xml:space="preserve"> however, </w:t>
      </w:r>
      <w:r w:rsidRPr="00E6742F">
        <w:rPr>
          <w:rStyle w:val="StyleUnderline"/>
        </w:rPr>
        <w:t xml:space="preserve">were offered for sale to settlers. This </w:t>
      </w:r>
      <w:r>
        <w:t xml:space="preserve">policy, </w:t>
      </w:r>
      <w:r w:rsidRPr="00E6742F">
        <w:rPr>
          <w:rStyle w:val="StyleUnderline"/>
        </w:rPr>
        <w:t>however well-intentioned, proved disastrous</w:t>
      </w:r>
      <w:r>
        <w:t xml:space="preserve">, since it </w:t>
      </w:r>
      <w:r w:rsidRPr="00E6742F">
        <w:rPr>
          <w:rStyle w:val="StyleUnderline"/>
        </w:rPr>
        <w:t>allowed more plundering of Native-American lands</w:t>
      </w:r>
      <w:r>
        <w:t xml:space="preserve">. Moreover, </w:t>
      </w:r>
      <w:r w:rsidRPr="00E6742F">
        <w:rPr>
          <w:rStyle w:val="StyleUnderline"/>
        </w:rPr>
        <w:t>its assault on the communal organization of tribes caused further disruption of traditional culture</w:t>
      </w:r>
      <w:r>
        <w:t>. In 1934 U.S. policy was reversed yet again by the Indian Reorganization Act, which attempted to protect tribal and communal life on the reservations.</w:t>
      </w:r>
    </w:p>
    <w:p w:rsidR="00E6742F" w:rsidRDefault="00E6742F" w:rsidP="00E6742F">
      <w:pPr>
        <w:pStyle w:val="Heading4"/>
      </w:pPr>
      <w:r>
        <w:t>The IRA was well-intentioned but was ultimately destructive to individual Indians</w:t>
      </w:r>
    </w:p>
    <w:p w:rsidR="00E6742F" w:rsidRPr="00E6742F" w:rsidRDefault="00E6742F" w:rsidP="00E6742F">
      <w:pPr>
        <w:rPr>
          <w:rFonts w:eastAsia="Times New Roman"/>
          <w:sz w:val="24"/>
          <w:szCs w:val="24"/>
        </w:rPr>
      </w:pPr>
      <w:r w:rsidRPr="004663D9">
        <w:rPr>
          <w:rStyle w:val="Style13ptBold"/>
        </w:rPr>
        <w:t>Boxer</w:t>
      </w:r>
      <w:r>
        <w:rPr>
          <w:rStyle w:val="Style13ptBold"/>
        </w:rPr>
        <w:t>,</w:t>
      </w:r>
      <w:r w:rsidRPr="004663D9">
        <w:rPr>
          <w:rStyle w:val="Style13ptBold"/>
        </w:rPr>
        <w:t xml:space="preserve"> 9</w:t>
      </w:r>
      <w:r>
        <w:rPr>
          <w:rFonts w:eastAsia="Times New Roman"/>
          <w:sz w:val="24"/>
          <w:szCs w:val="24"/>
        </w:rPr>
        <w:t xml:space="preserve"> </w:t>
      </w:r>
      <w:r w:rsidRPr="00E6742F">
        <w:t>(Andrew Boxer | Published in Histo</w:t>
      </w:r>
      <w:r>
        <w:t xml:space="preserve">ry Review 2009   History Today </w:t>
      </w:r>
      <w:r w:rsidRPr="00E6742F">
        <w:t>Native Americans and the Federal Government   http://www.historytoday.com/andrew-boxer/native-americans-and-federal-government)</w:t>
      </w:r>
    </w:p>
    <w:p w:rsidR="00E6742F" w:rsidRPr="00E6742F" w:rsidRDefault="00E6742F" w:rsidP="00E6742F">
      <w:pPr>
        <w:rPr>
          <w:rStyle w:val="StyleUnderline"/>
        </w:rPr>
      </w:pPr>
      <w:r>
        <w:t>In this context, Collier’s critics could blame his policies, rather than inadequate federal funding, for the economic backwardness of the reservations</w:t>
      </w:r>
      <w:r w:rsidRPr="00E6742F">
        <w:rPr>
          <w:rStyle w:val="StyleUnderline"/>
        </w:rPr>
        <w:t>. The IRA</w:t>
      </w:r>
      <w:r>
        <w:t>,</w:t>
      </w:r>
      <w:r w:rsidRPr="00E6742F">
        <w:rPr>
          <w:rStyle w:val="StyleUnderline"/>
        </w:rPr>
        <w:t xml:space="preserve"> by returning the land to communal ownership and making it inalienable, had limited the property rights of individual Indians</w:t>
      </w:r>
      <w:r>
        <w:t xml:space="preserve">. In the words of historian Kenneth </w:t>
      </w:r>
      <w:proofErr w:type="spellStart"/>
      <w:r>
        <w:t>Philp</w:t>
      </w:r>
      <w:proofErr w:type="spellEnd"/>
      <w:r>
        <w:t>, ‘</w:t>
      </w:r>
      <w:r w:rsidRPr="00E6742F">
        <w:rPr>
          <w:rStyle w:val="StyleUnderline"/>
        </w:rPr>
        <w:t>this well-intentioned</w:t>
      </w:r>
      <w:r>
        <w:t xml:space="preserve"> [IRA] </w:t>
      </w:r>
      <w:r w:rsidRPr="00E6742F">
        <w:rPr>
          <w:rStyle w:val="StyleUnderline"/>
        </w:rPr>
        <w:t>policy threatened perpetual government supervision over many competent individuals</w:t>
      </w:r>
      <w:r>
        <w:t xml:space="preserve">, </w:t>
      </w:r>
      <w:r w:rsidRPr="00E6742F">
        <w:rPr>
          <w:rStyle w:val="StyleUnderline"/>
        </w:rPr>
        <w:t>made it difficult to secure loans from private sources, and discouraged Indians from developing their land resources’</w:t>
      </w:r>
      <w:r>
        <w:t xml:space="preserve">. Furthermore, the wartime migration of many Indians to the cities appeared to suggest that what many </w:t>
      </w:r>
      <w:r w:rsidRPr="00E6742F">
        <w:rPr>
          <w:rStyle w:val="StyleUnderline"/>
        </w:rPr>
        <w:t>Native Americans</w:t>
      </w:r>
      <w:r>
        <w:t xml:space="preserve"> themselves </w:t>
      </w:r>
      <w:r w:rsidRPr="00E6742F">
        <w:rPr>
          <w:rStyle w:val="StyleUnderline"/>
        </w:rPr>
        <w:t xml:space="preserve">wanted </w:t>
      </w:r>
      <w:r w:rsidRPr="00E6742F">
        <w:t>was</w:t>
      </w:r>
      <w:r w:rsidRPr="00E6742F">
        <w:rPr>
          <w:rStyle w:val="StyleUnderline"/>
        </w:rPr>
        <w:t xml:space="preserve"> participation in America’s booming postwar industrial economy rather than a life of rural squalor on the economically deprived reservations.</w:t>
      </w:r>
    </w:p>
    <w:sectPr w:rsidR="00E6742F" w:rsidRPr="00E67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077649"/>
    <w:rsid w:val="0000350D"/>
    <w:rsid w:val="000139A3"/>
    <w:rsid w:val="00077649"/>
    <w:rsid w:val="00100833"/>
    <w:rsid w:val="00104529"/>
    <w:rsid w:val="001068BE"/>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5003"/>
    <w:rsid w:val="00734CD2"/>
    <w:rsid w:val="007B58E3"/>
    <w:rsid w:val="007E5311"/>
    <w:rsid w:val="007F5B66"/>
    <w:rsid w:val="00823A1C"/>
    <w:rsid w:val="00845B9D"/>
    <w:rsid w:val="00860984"/>
    <w:rsid w:val="008A4745"/>
    <w:rsid w:val="008B3ECB"/>
    <w:rsid w:val="008C1B2E"/>
    <w:rsid w:val="0091627E"/>
    <w:rsid w:val="00977C7E"/>
    <w:rsid w:val="009E1922"/>
    <w:rsid w:val="00A741E5"/>
    <w:rsid w:val="00A93661"/>
    <w:rsid w:val="00A95652"/>
    <w:rsid w:val="00B33C6D"/>
    <w:rsid w:val="00B37C6F"/>
    <w:rsid w:val="00B4508F"/>
    <w:rsid w:val="00B8057C"/>
    <w:rsid w:val="00B97DEF"/>
    <w:rsid w:val="00BF593B"/>
    <w:rsid w:val="00C83417"/>
    <w:rsid w:val="00CD736E"/>
    <w:rsid w:val="00CE161E"/>
    <w:rsid w:val="00CF59A8"/>
    <w:rsid w:val="00D325A9"/>
    <w:rsid w:val="00D354E9"/>
    <w:rsid w:val="00D36A8A"/>
    <w:rsid w:val="00D62861"/>
    <w:rsid w:val="00D71170"/>
    <w:rsid w:val="00DA6538"/>
    <w:rsid w:val="00E6742F"/>
    <w:rsid w:val="00ED30CF"/>
    <w:rsid w:val="00F176EF"/>
    <w:rsid w:val="00F32BD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931C3D-8EF1-41B8-9B22-6C2D10760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77649"/>
    <w:rPr>
      <w:rFonts w:ascii="Georgia" w:hAnsi="Georgia"/>
      <w:sz w:val="20"/>
    </w:rPr>
  </w:style>
  <w:style w:type="paragraph" w:styleId="Heading1">
    <w:name w:val="heading 1"/>
    <w:aliases w:val="Pocket"/>
    <w:basedOn w:val="Normal"/>
    <w:next w:val="Normal"/>
    <w:link w:val="Heading1Char"/>
    <w:autoRedefine/>
    <w:qFormat/>
    <w:rsid w:val="000776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776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776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77649"/>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0776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7649"/>
  </w:style>
  <w:style w:type="character" w:customStyle="1" w:styleId="Heading1Char">
    <w:name w:val="Heading 1 Char"/>
    <w:aliases w:val="Pocket Char"/>
    <w:basedOn w:val="DefaultParagraphFont"/>
    <w:link w:val="Heading1"/>
    <w:rsid w:val="0007764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7764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77649"/>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077649"/>
    <w:rPr>
      <w:rFonts w:ascii="Georgia" w:eastAsiaTheme="majorEastAsia" w:hAnsi="Georgia" w:cstheme="majorBidi"/>
      <w:b/>
      <w:iCs/>
      <w:sz w:val="24"/>
    </w:rPr>
  </w:style>
  <w:style w:type="character" w:styleId="Emphasis">
    <w:name w:val="Emphasis"/>
    <w:basedOn w:val="DefaultParagraphFont"/>
    <w:uiPriority w:val="7"/>
    <w:qFormat/>
    <w:rsid w:val="00077649"/>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
    <w:basedOn w:val="DefaultParagraphFont"/>
    <w:uiPriority w:val="5"/>
    <w:qFormat/>
    <w:rsid w:val="00077649"/>
    <w:rPr>
      <w:b/>
      <w:bCs/>
      <w:sz w:val="22"/>
      <w:u w:val="none"/>
    </w:rPr>
  </w:style>
  <w:style w:type="character" w:customStyle="1" w:styleId="StyleUnderline">
    <w:name w:val="Style Underline"/>
    <w:aliases w:val="Underline"/>
    <w:basedOn w:val="DefaultParagraphFont"/>
    <w:uiPriority w:val="6"/>
    <w:qFormat/>
    <w:rsid w:val="00077649"/>
    <w:rPr>
      <w:b/>
      <w:sz w:val="22"/>
      <w:u w:val="single"/>
    </w:rPr>
  </w:style>
  <w:style w:type="character" w:styleId="Hyperlink">
    <w:name w:val="Hyperlink"/>
    <w:basedOn w:val="DefaultParagraphFont"/>
    <w:uiPriority w:val="99"/>
    <w:unhideWhenUsed/>
    <w:rsid w:val="00077649"/>
    <w:rPr>
      <w:color w:val="auto"/>
      <w:u w:val="none"/>
    </w:rPr>
  </w:style>
  <w:style w:type="character" w:styleId="FollowedHyperlink">
    <w:name w:val="FollowedHyperlink"/>
    <w:basedOn w:val="DefaultParagraphFont"/>
    <w:uiPriority w:val="99"/>
    <w:semiHidden/>
    <w:unhideWhenUsed/>
    <w:rsid w:val="00077649"/>
    <w:rPr>
      <w:color w:val="auto"/>
      <w:u w:val="none"/>
    </w:rPr>
  </w:style>
  <w:style w:type="paragraph" w:customStyle="1" w:styleId="CardIndented">
    <w:name w:val="Card (Indented)"/>
    <w:basedOn w:val="Normal"/>
    <w:link w:val="CardIndentedChar"/>
    <w:qFormat/>
    <w:rsid w:val="00D354E9"/>
    <w:pPr>
      <w:ind w:left="288"/>
    </w:pPr>
    <w:rPr>
      <w:rFonts w:cs="Calibri"/>
    </w:rPr>
  </w:style>
  <w:style w:type="character" w:customStyle="1" w:styleId="CardIndentedChar">
    <w:name w:val="Card (Indented) Char"/>
    <w:basedOn w:val="DefaultParagraphFont"/>
    <w:link w:val="CardIndented"/>
    <w:rsid w:val="00D354E9"/>
    <w:rPr>
      <w:rFonts w:ascii="Georgia" w:hAnsi="Georgia"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t.rug.nl/usa/outlines/history-2005/growth-and-transformation/the-plight-of-the-native-americans.php" TargetMode="External"/><Relationship Id="rId3" Type="http://schemas.openxmlformats.org/officeDocument/2006/relationships/settings" Target="settings.xml"/><Relationship Id="rId7" Type="http://schemas.openxmlformats.org/officeDocument/2006/relationships/hyperlink" Target="http://www.indian.senate.gov/sites/default/files/upload/files/Fawn-Sharp-testimony05171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orites.org/Issue_13/hyslop.htm" TargetMode="External"/><Relationship Id="rId5" Type="http://schemas.openxmlformats.org/officeDocument/2006/relationships/hyperlink" Target="http://rci.rutgers.edu/~emc233/Papers/Camp.DavidsonMetaphor.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Adam Wiechman</cp:lastModifiedBy>
  <cp:revision>2</cp:revision>
  <dcterms:created xsi:type="dcterms:W3CDTF">2014-08-03T15:26:00Z</dcterms:created>
  <dcterms:modified xsi:type="dcterms:W3CDTF">2014-08-03T15:26:00Z</dcterms:modified>
</cp:coreProperties>
</file>