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651BEA" w14:textId="06D90E36" w:rsidR="00B45FE9" w:rsidRDefault="00CA6675" w:rsidP="00CA6675">
      <w:pPr>
        <w:pStyle w:val="Heading1"/>
      </w:pPr>
      <w:r>
        <w:t xml:space="preserve">2NC Re-presentation </w:t>
      </w:r>
      <w:proofErr w:type="spellStart"/>
      <w:r>
        <w:t>Kritik</w:t>
      </w:r>
      <w:proofErr w:type="spellEnd"/>
      <w:r w:rsidR="003B4E8E">
        <w:t>-Gordon</w:t>
      </w:r>
    </w:p>
    <w:p w14:paraId="5DECAE9B" w14:textId="77777777" w:rsidR="00CA6675" w:rsidRDefault="00CA6675" w:rsidP="00CA6675">
      <w:pPr>
        <w:pStyle w:val="Heading2"/>
      </w:pPr>
      <w:r>
        <w:lastRenderedPageBreak/>
        <w:t>Overview</w:t>
      </w:r>
    </w:p>
    <w:p w14:paraId="5BF35EE7" w14:textId="77777777" w:rsidR="00CA6675" w:rsidRDefault="00CA6675" w:rsidP="00CA6675"/>
    <w:p w14:paraId="228CA1A8" w14:textId="77777777" w:rsidR="00CA6675" w:rsidRDefault="00CA6675" w:rsidP="00CA6675">
      <w:pPr>
        <w:pStyle w:val="Heading4"/>
      </w:pPr>
      <w:r>
        <w:t xml:space="preserve">Their solvency is based on constantly remembering the bodies from the </w:t>
      </w:r>
      <w:proofErr w:type="spellStart"/>
      <w:r>
        <w:t>Zong</w:t>
      </w:r>
      <w:proofErr w:type="spellEnd"/>
      <w:r>
        <w:t xml:space="preserve">. They do this through re-presenting their story in this round. The story of the </w:t>
      </w:r>
      <w:proofErr w:type="spellStart"/>
      <w:r>
        <w:t>Zong</w:t>
      </w:r>
      <w:proofErr w:type="spellEnd"/>
      <w:r>
        <w:t xml:space="preserve"> is a paradox though. On one end of the paradox, we don’t remember the </w:t>
      </w:r>
      <w:proofErr w:type="spellStart"/>
      <w:r>
        <w:t>Zong</w:t>
      </w:r>
      <w:proofErr w:type="spellEnd"/>
      <w:r>
        <w:t xml:space="preserve">. We both agree that is bad because it doesn’t pay fidelity to the other. On the other end is the act of constantly remembering and re-presenting the dead from the </w:t>
      </w:r>
      <w:proofErr w:type="spellStart"/>
      <w:r>
        <w:t>Zong</w:t>
      </w:r>
      <w:proofErr w:type="spellEnd"/>
      <w:r>
        <w:t xml:space="preserve">. That doesn’t pay fidelity to the other either though because you internalize the Other’s experiences when you present them. That means you incorporate your own representations onto the </w:t>
      </w:r>
      <w:proofErr w:type="gramStart"/>
      <w:r>
        <w:t>other which</w:t>
      </w:r>
      <w:proofErr w:type="gramEnd"/>
      <w:r>
        <w:t xml:space="preserve"> is violent assimilation. Voting </w:t>
      </w:r>
      <w:proofErr w:type="spellStart"/>
      <w:r>
        <w:t>neg</w:t>
      </w:r>
      <w:proofErr w:type="spellEnd"/>
      <w:r>
        <w:t xml:space="preserve"> is an act of deconstructing the </w:t>
      </w:r>
      <w:proofErr w:type="gramStart"/>
      <w:r>
        <w:t>1AC which</w:t>
      </w:r>
      <w:proofErr w:type="gramEnd"/>
      <w:r>
        <w:t xml:space="preserve"> means we deconstruct the paradox by exposing it. We problematize your remembering through the </w:t>
      </w:r>
      <w:proofErr w:type="spellStart"/>
      <w:proofErr w:type="gramStart"/>
      <w:r>
        <w:t>aporia</w:t>
      </w:r>
      <w:proofErr w:type="spellEnd"/>
      <w:r>
        <w:t xml:space="preserve"> which</w:t>
      </w:r>
      <w:proofErr w:type="gramEnd"/>
      <w:r>
        <w:t xml:space="preserve"> creates a disjunction where we can acknowledge the other without imposing our own representations and experiences onto the other.</w:t>
      </w:r>
    </w:p>
    <w:p w14:paraId="0822666D" w14:textId="77777777" w:rsidR="00CA6675" w:rsidRDefault="00CA6675" w:rsidP="00CA6675"/>
    <w:p w14:paraId="2AC02683" w14:textId="77777777" w:rsidR="00CA6675" w:rsidRDefault="00CA6675" w:rsidP="00CA6675"/>
    <w:p w14:paraId="28922AEF" w14:textId="14925D70" w:rsidR="00CA6675" w:rsidRDefault="00CA6675" w:rsidP="00CA6675">
      <w:pPr>
        <w:pStyle w:val="Heading4"/>
      </w:pPr>
      <w:r>
        <w:t xml:space="preserve">2AC #1—permutation—the perm tries to make the </w:t>
      </w:r>
      <w:proofErr w:type="spellStart"/>
      <w:r>
        <w:t>aporia</w:t>
      </w:r>
      <w:proofErr w:type="spellEnd"/>
      <w:r>
        <w:t xml:space="preserve"> coherent but voting negative is to embrace the unintelligibility of the other</w:t>
      </w:r>
      <w:r w:rsidR="000761ED">
        <w:t xml:space="preserve"> otherwise we impose our representations violently onto the other</w:t>
      </w:r>
      <w:r>
        <w:t xml:space="preserve">. We embrace this instance of </w:t>
      </w:r>
      <w:proofErr w:type="spellStart"/>
      <w:r>
        <w:t>aporia</w:t>
      </w:r>
      <w:proofErr w:type="spellEnd"/>
      <w:r>
        <w:t xml:space="preserve">, not the concept in the abstract. We expose the disjunction of the paradox via deconstruction. The </w:t>
      </w:r>
      <w:proofErr w:type="spellStart"/>
      <w:r>
        <w:t>aff</w:t>
      </w:r>
      <w:proofErr w:type="spellEnd"/>
      <w:r>
        <w:t xml:space="preserve"> is still an example of mourning and remembering the other, which means it still links to the criticism. The </w:t>
      </w:r>
      <w:proofErr w:type="spellStart"/>
      <w:r>
        <w:t>kritik</w:t>
      </w:r>
      <w:proofErr w:type="spellEnd"/>
      <w:r>
        <w:t xml:space="preserve"> is based off of the affirmative’s </w:t>
      </w:r>
      <w:proofErr w:type="gramStart"/>
      <w:r>
        <w:t>method</w:t>
      </w:r>
      <w:r w:rsidR="004D4976">
        <w:t xml:space="preserve"> which</w:t>
      </w:r>
      <w:proofErr w:type="gramEnd"/>
      <w:r w:rsidR="004D4976">
        <w:t xml:space="preserve"> means they’d have to sever their advocacy to not link</w:t>
      </w:r>
      <w:r>
        <w:t xml:space="preserve">. </w:t>
      </w:r>
      <w:r w:rsidR="004D4976">
        <w:t>That’s a voter b/c it moots negative ground.</w:t>
      </w:r>
      <w:r>
        <w:t xml:space="preserve"> I’ll do the link proper debate here.</w:t>
      </w:r>
    </w:p>
    <w:p w14:paraId="0A85E746" w14:textId="77777777" w:rsidR="00CA6675" w:rsidRDefault="00CA6675" w:rsidP="00CA6675"/>
    <w:p w14:paraId="4E0610BE" w14:textId="77777777" w:rsidR="00CA6675" w:rsidRDefault="00CA6675" w:rsidP="00CA6675">
      <w:pPr>
        <w:pStyle w:val="Heading4"/>
        <w:numPr>
          <w:ilvl w:val="0"/>
          <w:numId w:val="5"/>
        </w:numPr>
      </w:pPr>
      <w:r>
        <w:t xml:space="preserve">Psychic </w:t>
      </w:r>
      <w:proofErr w:type="spellStart"/>
      <w:r>
        <w:t>plagerism</w:t>
      </w:r>
      <w:proofErr w:type="spellEnd"/>
      <w:r>
        <w:t>—introjection means you assimilate the other into the self. You internalize the death of the other</w:t>
      </w:r>
      <w:r w:rsidR="000761ED">
        <w:t xml:space="preserve"> over-representing and over-incorporating their stories</w:t>
      </w:r>
      <w:r>
        <w:t xml:space="preserve">.  Your total internalization means that you apply your own representations </w:t>
      </w:r>
      <w:r w:rsidR="000761ED">
        <w:t xml:space="preserve">and experiences </w:t>
      </w:r>
      <w:r>
        <w:t xml:space="preserve">to these images. </w:t>
      </w:r>
    </w:p>
    <w:p w14:paraId="59BD1839" w14:textId="62A86B6B" w:rsidR="00CA6675" w:rsidRDefault="00CA6675" w:rsidP="00CA6675">
      <w:pPr>
        <w:pStyle w:val="Heading4"/>
        <w:numPr>
          <w:ilvl w:val="0"/>
          <w:numId w:val="5"/>
        </w:numPr>
      </w:pPr>
      <w:r>
        <w:t xml:space="preserve">Goal--The self is narcissistic so you use their images for yourself when you re-present them. </w:t>
      </w:r>
      <w:r w:rsidR="004D4976">
        <w:t xml:space="preserve">You claim to solve for white supremacy in cx. </w:t>
      </w:r>
      <w:r>
        <w:t>When you attach a goal or purpose—that’s the ultimate form of using the other for your own benefit.</w:t>
      </w:r>
      <w:r w:rsidR="000761ED">
        <w:t xml:space="preserve"> That turns the case because that’s the logic of the slave master or seller who threw the slaves off of the ship when they no longer served their personal goal.</w:t>
      </w:r>
    </w:p>
    <w:p w14:paraId="46571C52" w14:textId="77777777" w:rsidR="00CA6675" w:rsidRDefault="00CA6675" w:rsidP="00CA6675"/>
    <w:p w14:paraId="16E658EC" w14:textId="77777777" w:rsidR="00CA6675" w:rsidRDefault="00CA6675" w:rsidP="00CA6675">
      <w:pPr>
        <w:pStyle w:val="Heading4"/>
      </w:pPr>
      <w:r>
        <w:t xml:space="preserve">Each link is a </w:t>
      </w:r>
      <w:proofErr w:type="spellStart"/>
      <w:r>
        <w:t>disad</w:t>
      </w:r>
      <w:proofErr w:type="spellEnd"/>
      <w:r>
        <w:t xml:space="preserve"> to the permutation and a reason the perm could never solve.</w:t>
      </w:r>
    </w:p>
    <w:p w14:paraId="1DEE1520" w14:textId="77777777" w:rsidR="00CA6675" w:rsidRDefault="00CA6675" w:rsidP="00CA6675"/>
    <w:p w14:paraId="462AFEC7" w14:textId="2AA055D7" w:rsidR="001927D2" w:rsidRDefault="00CA6675" w:rsidP="00CA6675">
      <w:pPr>
        <w:pStyle w:val="Heading4"/>
      </w:pPr>
      <w:r>
        <w:t xml:space="preserve">2AC #2—We need to be haunted by the </w:t>
      </w:r>
      <w:proofErr w:type="spellStart"/>
      <w:r>
        <w:t>Zong</w:t>
      </w:r>
      <w:proofErr w:type="spellEnd"/>
      <w:r>
        <w:t xml:space="preserve"> and the alt is violence—this evidence flows </w:t>
      </w:r>
      <w:proofErr w:type="spellStart"/>
      <w:r>
        <w:t>neg</w:t>
      </w:r>
      <w:proofErr w:type="spellEnd"/>
      <w:r>
        <w:t>—</w:t>
      </w:r>
      <w:r w:rsidR="001927D2">
        <w:t xml:space="preserve">It says we should focus on the paradox. We aren’t pragmatism. </w:t>
      </w:r>
    </w:p>
    <w:p w14:paraId="51AD39BA" w14:textId="7A7D0443" w:rsidR="00CA6675" w:rsidRDefault="00CA6675" w:rsidP="00CA6675">
      <w:pPr>
        <w:pStyle w:val="Heading4"/>
      </w:pPr>
      <w:proofErr w:type="gramStart"/>
      <w:r>
        <w:t>it’s</w:t>
      </w:r>
      <w:proofErr w:type="gramEnd"/>
      <w:r>
        <w:t xml:space="preserve"> a Derrida card about how </w:t>
      </w:r>
      <w:proofErr w:type="spellStart"/>
      <w:r>
        <w:t>hauntology</w:t>
      </w:r>
      <w:proofErr w:type="spellEnd"/>
      <w:r>
        <w:t xml:space="preserve"> is deconstructive. Also, it’s descriptive of the affirmative so either </w:t>
      </w:r>
      <w:proofErr w:type="spellStart"/>
      <w:r>
        <w:t>hauntology</w:t>
      </w:r>
      <w:proofErr w:type="spellEnd"/>
      <w:r>
        <w:t xml:space="preserve"> is okay or the affirmative is an act of violence. Haunting is key to solve. This card is about pragmatic solutions but that’s not the </w:t>
      </w:r>
      <w:proofErr w:type="spellStart"/>
      <w:r>
        <w:t>aff</w:t>
      </w:r>
      <w:proofErr w:type="spellEnd"/>
      <w:r>
        <w:t xml:space="preserve"> and it’s also not a question of pragmatism but rather a question of the </w:t>
      </w:r>
      <w:proofErr w:type="spellStart"/>
      <w:r>
        <w:t>kritik</w:t>
      </w:r>
      <w:proofErr w:type="spellEnd"/>
      <w:r>
        <w:t xml:space="preserve">. This argument is a mischaracterization of the alternative. I explained the alternative above. It’s an act of knowing the other but remaining skeptical of the other. We acknowledge that it exists and that the </w:t>
      </w:r>
      <w:proofErr w:type="spellStart"/>
      <w:r>
        <w:t>Zong</w:t>
      </w:r>
      <w:proofErr w:type="spellEnd"/>
      <w:r>
        <w:t xml:space="preserve"> was a traumatic historical moment but we recognize that the other is foreign to us. This inter</w:t>
      </w:r>
      <w:r w:rsidR="004D4976">
        <w:t>action with the other is key to</w:t>
      </w:r>
      <w:r w:rsidR="00F23CCB">
        <w:t xml:space="preserve"> the </w:t>
      </w:r>
      <w:proofErr w:type="spellStart"/>
      <w:r w:rsidR="00F23CCB">
        <w:t>aporia</w:t>
      </w:r>
      <w:proofErr w:type="spellEnd"/>
      <w:r w:rsidR="00F23CCB">
        <w:t xml:space="preserve"> and deconstructing the paradox.</w:t>
      </w:r>
    </w:p>
    <w:p w14:paraId="7D8C6AE2" w14:textId="77777777" w:rsidR="00F23CCB" w:rsidRDefault="00F23CCB" w:rsidP="00F23CCB"/>
    <w:p w14:paraId="0EED69E6" w14:textId="58656760" w:rsidR="00F23CCB" w:rsidRDefault="00F23CCB" w:rsidP="00F23CCB">
      <w:pPr>
        <w:pStyle w:val="Heading4"/>
      </w:pPr>
      <w:r>
        <w:t xml:space="preserve">2AC #3—Perm solves—I answered this above.  But endlessly deconstructing means we cannot have a political option, which is what this evidence suggests. </w:t>
      </w:r>
    </w:p>
    <w:p w14:paraId="45045187" w14:textId="5F135304" w:rsidR="00F23CCB" w:rsidRDefault="00F23CCB" w:rsidP="00F23CCB">
      <w:pPr>
        <w:pStyle w:val="Heading4"/>
      </w:pPr>
      <w:r>
        <w:t xml:space="preserve">The perm would still trigger the impacts of the criticism—still violently assimilates the other in a way that inflicts violence similar to that which the bodies on the </w:t>
      </w:r>
      <w:proofErr w:type="spellStart"/>
      <w:r>
        <w:t>Zong</w:t>
      </w:r>
      <w:proofErr w:type="spellEnd"/>
      <w:r>
        <w:t xml:space="preserve"> experienced. They were </w:t>
      </w:r>
      <w:proofErr w:type="spellStart"/>
      <w:r>
        <w:t>otherized</w:t>
      </w:r>
      <w:proofErr w:type="spellEnd"/>
      <w:r>
        <w:t xml:space="preserve"> and exploited. That turns the case and makes future violence inevitable in the framing of the </w:t>
      </w:r>
      <w:proofErr w:type="spellStart"/>
      <w:r>
        <w:t>aff</w:t>
      </w:r>
      <w:proofErr w:type="spellEnd"/>
      <w:r>
        <w:t xml:space="preserve">. </w:t>
      </w:r>
    </w:p>
    <w:p w14:paraId="6409F2F1" w14:textId="77777777" w:rsidR="001927D2" w:rsidRDefault="001927D2" w:rsidP="001927D2"/>
    <w:p w14:paraId="6CB9FF95" w14:textId="77777777" w:rsidR="001927D2" w:rsidRDefault="001927D2" w:rsidP="001927D2"/>
    <w:p w14:paraId="368EF6E2" w14:textId="1936B215" w:rsidR="001927D2" w:rsidRDefault="001927D2" w:rsidP="001927D2">
      <w:r>
        <w:t>W</w:t>
      </w:r>
      <w:bookmarkStart w:id="0" w:name="_GoBack"/>
      <w:bookmarkEnd w:id="0"/>
      <w:r>
        <w:t>hy it’s colonial in nature and why it perpetuates violence.</w:t>
      </w:r>
    </w:p>
    <w:p w14:paraId="0364AC47" w14:textId="77777777" w:rsidR="001927D2" w:rsidRDefault="001927D2" w:rsidP="001927D2"/>
    <w:p w14:paraId="51B891FE" w14:textId="02A98513" w:rsidR="00F23CCB" w:rsidRDefault="001927D2" w:rsidP="001927D2">
      <w:r>
        <w:t>Starts the overview with the beginning of the paradox.</w:t>
      </w:r>
    </w:p>
    <w:p w14:paraId="3C62E565" w14:textId="64B25456" w:rsidR="001927D2" w:rsidRDefault="001927D2" w:rsidP="001927D2">
      <w:proofErr w:type="gramStart"/>
      <w:r>
        <w:t>The advocacy statement and their narrative.</w:t>
      </w:r>
      <w:proofErr w:type="gramEnd"/>
    </w:p>
    <w:p w14:paraId="39073613" w14:textId="65D9F80A" w:rsidR="001927D2" w:rsidRDefault="001927D2" w:rsidP="001927D2">
      <w:r>
        <w:t xml:space="preserve">It’s the </w:t>
      </w:r>
      <w:proofErr w:type="spellStart"/>
      <w:r>
        <w:t>aff’s</w:t>
      </w:r>
      <w:proofErr w:type="spellEnd"/>
      <w:r>
        <w:t xml:space="preserve"> endlessly remembering and exploring it.</w:t>
      </w:r>
    </w:p>
    <w:p w14:paraId="08DB7311" w14:textId="77777777" w:rsidR="001927D2" w:rsidRDefault="001927D2" w:rsidP="001927D2"/>
    <w:p w14:paraId="760D7F8E" w14:textId="43E2A0E6" w:rsidR="001927D2" w:rsidRDefault="001927D2" w:rsidP="001927D2">
      <w:r>
        <w:t xml:space="preserve">Take out the reference to the </w:t>
      </w:r>
      <w:proofErr w:type="spellStart"/>
      <w:r>
        <w:t>Zong</w:t>
      </w:r>
      <w:proofErr w:type="spellEnd"/>
      <w:r>
        <w:t>.</w:t>
      </w:r>
    </w:p>
    <w:p w14:paraId="7525BD78" w14:textId="77777777" w:rsidR="001927D2" w:rsidRDefault="001927D2" w:rsidP="001927D2"/>
    <w:p w14:paraId="68437E94" w14:textId="6143F2EE" w:rsidR="001927D2" w:rsidRDefault="001927D2" w:rsidP="001927D2">
      <w:r>
        <w:t>Explain the paradox more clearly. Paradox is key to the alternative.</w:t>
      </w:r>
    </w:p>
    <w:p w14:paraId="005BEA9B" w14:textId="77777777" w:rsidR="001927D2" w:rsidRDefault="001927D2" w:rsidP="001927D2"/>
    <w:p w14:paraId="06CB7E44" w14:textId="4324B6A0" w:rsidR="001927D2" w:rsidRDefault="001927D2" w:rsidP="001927D2">
      <w:proofErr w:type="spellStart"/>
      <w:r>
        <w:t>Hauntology</w:t>
      </w:r>
      <w:proofErr w:type="spellEnd"/>
      <w:r>
        <w:t xml:space="preserve">—see what the conclusion is. </w:t>
      </w:r>
      <w:proofErr w:type="spellStart"/>
      <w:r>
        <w:t>Hagland</w:t>
      </w:r>
      <w:proofErr w:type="spellEnd"/>
      <w:r>
        <w:t xml:space="preserve">.  We are not remembering or forgetting. We are not </w:t>
      </w:r>
      <w:proofErr w:type="spellStart"/>
      <w:r>
        <w:t>hauntology</w:t>
      </w:r>
      <w:proofErr w:type="spellEnd"/>
      <w:r>
        <w:t xml:space="preserve">. They cannot read </w:t>
      </w:r>
      <w:proofErr w:type="spellStart"/>
      <w:r>
        <w:t>Baucom</w:t>
      </w:r>
      <w:proofErr w:type="spellEnd"/>
      <w:r>
        <w:t xml:space="preserve"> and claim they are not haunting. Influential events in history never end.</w:t>
      </w:r>
      <w:r w:rsidR="00F822B5">
        <w:t xml:space="preserve">  Some stuff </w:t>
      </w:r>
      <w:proofErr w:type="gramStart"/>
      <w:r w:rsidR="00F822B5">
        <w:t>do</w:t>
      </w:r>
      <w:proofErr w:type="gramEnd"/>
      <w:r w:rsidR="00F822B5">
        <w:t xml:space="preserve"> end.</w:t>
      </w:r>
    </w:p>
    <w:p w14:paraId="27820C75" w14:textId="77777777" w:rsidR="00F822B5" w:rsidRDefault="00F822B5" w:rsidP="001927D2"/>
    <w:p w14:paraId="727EF4F5" w14:textId="0B885D3C" w:rsidR="00F822B5" w:rsidRDefault="00F822B5" w:rsidP="001927D2">
      <w:r>
        <w:t>Question the difference b/w one and three.</w:t>
      </w:r>
    </w:p>
    <w:p w14:paraId="096D6E96" w14:textId="77777777" w:rsidR="00F822B5" w:rsidRDefault="00F822B5" w:rsidP="001927D2"/>
    <w:p w14:paraId="46383547" w14:textId="1A086F57" w:rsidR="00F822B5" w:rsidRDefault="00F822B5" w:rsidP="001927D2">
      <w:r>
        <w:t>Their perm</w:t>
      </w:r>
    </w:p>
    <w:p w14:paraId="7560B4E3" w14:textId="50A40E48" w:rsidR="00F822B5" w:rsidRPr="00F23CCB" w:rsidRDefault="00F822B5" w:rsidP="001927D2">
      <w:proofErr w:type="gramStart"/>
      <w:r>
        <w:t>Their</w:t>
      </w:r>
      <w:proofErr w:type="gramEnd"/>
      <w:r>
        <w:t xml:space="preserve"> 2 haunting</w:t>
      </w:r>
    </w:p>
    <w:sectPr w:rsidR="00F822B5" w:rsidRPr="00F23CCB" w:rsidSect="00D362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0C5C43" w14:textId="77777777" w:rsidR="001927D2" w:rsidRDefault="001927D2" w:rsidP="00E46E7E">
      <w:r>
        <w:separator/>
      </w:r>
    </w:p>
  </w:endnote>
  <w:endnote w:type="continuationSeparator" w:id="0">
    <w:p w14:paraId="07DEB846" w14:textId="77777777" w:rsidR="001927D2" w:rsidRDefault="001927D2" w:rsidP="00E4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C590F8" w14:textId="77777777" w:rsidR="001927D2" w:rsidRDefault="001927D2" w:rsidP="00E46E7E">
      <w:r>
        <w:separator/>
      </w:r>
    </w:p>
  </w:footnote>
  <w:footnote w:type="continuationSeparator" w:id="0">
    <w:p w14:paraId="7E9DB09B" w14:textId="77777777" w:rsidR="001927D2" w:rsidRDefault="001927D2" w:rsidP="00E46E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C71383"/>
    <w:multiLevelType w:val="hybridMultilevel"/>
    <w:tmpl w:val="4A0E4CEC"/>
    <w:lvl w:ilvl="0" w:tplc="D73A560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F3275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>
    <w:nsid w:val="425F790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51ED36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623E402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88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675"/>
    <w:rsid w:val="000140EC"/>
    <w:rsid w:val="00016A35"/>
    <w:rsid w:val="000761ED"/>
    <w:rsid w:val="000C16B3"/>
    <w:rsid w:val="001408C0"/>
    <w:rsid w:val="00143FD7"/>
    <w:rsid w:val="001463FB"/>
    <w:rsid w:val="00186DB7"/>
    <w:rsid w:val="001927D2"/>
    <w:rsid w:val="001D7626"/>
    <w:rsid w:val="002613DA"/>
    <w:rsid w:val="002B6353"/>
    <w:rsid w:val="002B68C8"/>
    <w:rsid w:val="002F35F4"/>
    <w:rsid w:val="002F3E28"/>
    <w:rsid w:val="002F40E6"/>
    <w:rsid w:val="00301F21"/>
    <w:rsid w:val="00303E5B"/>
    <w:rsid w:val="00313226"/>
    <w:rsid w:val="0031425E"/>
    <w:rsid w:val="00325059"/>
    <w:rsid w:val="00357719"/>
    <w:rsid w:val="00374144"/>
    <w:rsid w:val="003B3EC7"/>
    <w:rsid w:val="003B4E8E"/>
    <w:rsid w:val="003F42AF"/>
    <w:rsid w:val="00412F6D"/>
    <w:rsid w:val="0042635A"/>
    <w:rsid w:val="00466B6F"/>
    <w:rsid w:val="004B3188"/>
    <w:rsid w:val="004B3DB3"/>
    <w:rsid w:val="004C63B5"/>
    <w:rsid w:val="004D461E"/>
    <w:rsid w:val="004D4976"/>
    <w:rsid w:val="00517479"/>
    <w:rsid w:val="005A0BE5"/>
    <w:rsid w:val="005C0E1F"/>
    <w:rsid w:val="005E0D2B"/>
    <w:rsid w:val="005E2C99"/>
    <w:rsid w:val="00672258"/>
    <w:rsid w:val="0067575B"/>
    <w:rsid w:val="00692C26"/>
    <w:rsid w:val="006F2D3D"/>
    <w:rsid w:val="00700835"/>
    <w:rsid w:val="00726F87"/>
    <w:rsid w:val="007333B9"/>
    <w:rsid w:val="00791B7D"/>
    <w:rsid w:val="007A3515"/>
    <w:rsid w:val="007D7924"/>
    <w:rsid w:val="007E470C"/>
    <w:rsid w:val="007E5F71"/>
    <w:rsid w:val="00821415"/>
    <w:rsid w:val="0083768F"/>
    <w:rsid w:val="0091595A"/>
    <w:rsid w:val="009165EA"/>
    <w:rsid w:val="00940927"/>
    <w:rsid w:val="009829F2"/>
    <w:rsid w:val="00993F61"/>
    <w:rsid w:val="009B0746"/>
    <w:rsid w:val="009C198B"/>
    <w:rsid w:val="009D207E"/>
    <w:rsid w:val="009E5822"/>
    <w:rsid w:val="009E691A"/>
    <w:rsid w:val="00A074CB"/>
    <w:rsid w:val="00A369C4"/>
    <w:rsid w:val="00A47986"/>
    <w:rsid w:val="00A91A24"/>
    <w:rsid w:val="00AC0E99"/>
    <w:rsid w:val="00AF1E67"/>
    <w:rsid w:val="00AF5046"/>
    <w:rsid w:val="00AF70D4"/>
    <w:rsid w:val="00B169A1"/>
    <w:rsid w:val="00B33E0C"/>
    <w:rsid w:val="00B45FE9"/>
    <w:rsid w:val="00B55D49"/>
    <w:rsid w:val="00B65E97"/>
    <w:rsid w:val="00B84180"/>
    <w:rsid w:val="00BE63EA"/>
    <w:rsid w:val="00C42A3C"/>
    <w:rsid w:val="00CA6675"/>
    <w:rsid w:val="00CD2C6D"/>
    <w:rsid w:val="00CF1A0F"/>
    <w:rsid w:val="00D36252"/>
    <w:rsid w:val="00D4330B"/>
    <w:rsid w:val="00D460F1"/>
    <w:rsid w:val="00D51B44"/>
    <w:rsid w:val="00D6085D"/>
    <w:rsid w:val="00D66D57"/>
    <w:rsid w:val="00D81480"/>
    <w:rsid w:val="00DA2E40"/>
    <w:rsid w:val="00DA5BF8"/>
    <w:rsid w:val="00DA6A1C"/>
    <w:rsid w:val="00DC71AA"/>
    <w:rsid w:val="00DD2FAB"/>
    <w:rsid w:val="00DE627C"/>
    <w:rsid w:val="00DF1850"/>
    <w:rsid w:val="00E46E7E"/>
    <w:rsid w:val="00E95631"/>
    <w:rsid w:val="00F1173B"/>
    <w:rsid w:val="00F23CCB"/>
    <w:rsid w:val="00F45F2E"/>
    <w:rsid w:val="00F822B5"/>
    <w:rsid w:val="00FA538E"/>
    <w:rsid w:val="00FD50BA"/>
    <w:rsid w:val="00FE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0C9665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7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DF1850"/>
    <w:rPr>
      <w:rFonts w:ascii="Calibri" w:hAnsi="Calibri"/>
      <w:sz w:val="22"/>
    </w:rPr>
  </w:style>
  <w:style w:type="paragraph" w:styleId="Heading1">
    <w:name w:val="heading 1"/>
    <w:aliases w:val="Pocket"/>
    <w:basedOn w:val="Normal"/>
    <w:next w:val="Normal"/>
    <w:link w:val="Heading1Char"/>
    <w:uiPriority w:val="9"/>
    <w:qFormat/>
    <w:rsid w:val="00DF1850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Heading2">
    <w:name w:val="heading 2"/>
    <w:aliases w:val="Hat"/>
    <w:basedOn w:val="Normal"/>
    <w:next w:val="Normal"/>
    <w:link w:val="Heading2Char"/>
    <w:uiPriority w:val="9"/>
    <w:unhideWhenUsed/>
    <w:qFormat/>
    <w:rsid w:val="00DF1850"/>
    <w:pPr>
      <w:keepNext/>
      <w:keepLines/>
      <w:pageBreakBefore/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9"/>
    <w:unhideWhenUsed/>
    <w:qFormat/>
    <w:rsid w:val="00DF1850"/>
    <w:pPr>
      <w:keepNext/>
      <w:keepLines/>
      <w:pageBreakBefore/>
      <w:spacing w:before="200"/>
      <w:jc w:val="center"/>
      <w:outlineLvl w:val="2"/>
    </w:pPr>
    <w:rPr>
      <w:rFonts w:asciiTheme="majorHAnsi" w:eastAsiaTheme="majorEastAsia" w:hAnsiTheme="majorHAnsi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9"/>
    <w:unhideWhenUsed/>
    <w:qFormat/>
    <w:rsid w:val="00DF185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7"/>
    <w:qFormat/>
    <w:rsid w:val="00DF1850"/>
    <w:rPr>
      <w:rFonts w:ascii="Calibri" w:hAnsi="Calibri"/>
      <w:b/>
      <w:i w:val="0"/>
      <w:iCs/>
      <w:sz w:val="22"/>
      <w:u w:val="single"/>
      <w:bdr w:val="none" w:sz="0" w:space="0" w:color="auto"/>
    </w:rPr>
  </w:style>
  <w:style w:type="character" w:customStyle="1" w:styleId="Heading1Char">
    <w:name w:val="Heading 1 Char"/>
    <w:aliases w:val="Pocket Char"/>
    <w:basedOn w:val="DefaultParagraphFont"/>
    <w:link w:val="Heading1"/>
    <w:uiPriority w:val="9"/>
    <w:rsid w:val="00DF1850"/>
    <w:rPr>
      <w:rFonts w:asciiTheme="majorHAnsi" w:eastAsiaTheme="majorEastAsia" w:hAnsiTheme="majorHAnsi" w:cstheme="majorBidi"/>
      <w:b/>
      <w:bCs/>
      <w:sz w:val="52"/>
      <w:szCs w:val="52"/>
    </w:rPr>
  </w:style>
  <w:style w:type="character" w:customStyle="1" w:styleId="Heading2Char">
    <w:name w:val="Heading 2 Char"/>
    <w:aliases w:val="Hat Char"/>
    <w:basedOn w:val="DefaultParagraphFont"/>
    <w:link w:val="Heading2"/>
    <w:uiPriority w:val="9"/>
    <w:rsid w:val="00DF1850"/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9"/>
    <w:rsid w:val="00DF1850"/>
    <w:rPr>
      <w:rFonts w:asciiTheme="majorHAnsi" w:eastAsiaTheme="majorEastAsia" w:hAnsiTheme="majorHAnsi" w:cstheme="majorBidi"/>
      <w:b/>
      <w:bCs/>
      <w:sz w:val="32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9"/>
    <w:rsid w:val="00DF1850"/>
    <w:rPr>
      <w:rFonts w:asciiTheme="majorHAnsi" w:eastAsiaTheme="majorEastAsia" w:hAnsiTheme="majorHAnsi" w:cstheme="majorBidi"/>
      <w:b/>
      <w:bCs/>
      <w:iCs/>
      <w:sz w:val="26"/>
    </w:rPr>
  </w:style>
  <w:style w:type="paragraph" w:styleId="NoSpacing">
    <w:name w:val="No Spacing"/>
    <w:uiPriority w:val="1"/>
    <w:rsid w:val="00DF1850"/>
  </w:style>
  <w:style w:type="character" w:customStyle="1" w:styleId="StyleStyleBold12pt">
    <w:name w:val="Style Style Bold + 12 pt"/>
    <w:aliases w:val="Cite"/>
    <w:basedOn w:val="DefaultParagraphFont"/>
    <w:uiPriority w:val="1"/>
    <w:qFormat/>
    <w:rsid w:val="00DF1850"/>
    <w:rPr>
      <w:b/>
      <w:sz w:val="26"/>
      <w:u w:val="none"/>
    </w:rPr>
  </w:style>
  <w:style w:type="character" w:customStyle="1" w:styleId="StyleBoldUnderline">
    <w:name w:val="Style Bold Underline"/>
    <w:aliases w:val="Underline"/>
    <w:basedOn w:val="DefaultParagraphFont"/>
    <w:uiPriority w:val="1"/>
    <w:qFormat/>
    <w:rsid w:val="00DF1850"/>
    <w:rPr>
      <w:b w:val="0"/>
      <w:sz w:val="22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F1850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F1850"/>
    <w:rPr>
      <w:rFonts w:ascii="Lucida Grande" w:hAnsi="Lucida Grande" w:cs="Lucida Grande"/>
      <w:sz w:val="22"/>
    </w:rPr>
  </w:style>
  <w:style w:type="paragraph" w:styleId="ListParagraph">
    <w:name w:val="List Paragraph"/>
    <w:basedOn w:val="Normal"/>
    <w:uiPriority w:val="34"/>
    <w:rsid w:val="00DF18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185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850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DF185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850"/>
    <w:rPr>
      <w:rFonts w:ascii="Calibri" w:hAnsi="Calibr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DF1850"/>
  </w:style>
  <w:style w:type="character" w:styleId="Hyperlink">
    <w:name w:val="Hyperlink"/>
    <w:basedOn w:val="DefaultParagraphFont"/>
    <w:uiPriority w:val="99"/>
    <w:unhideWhenUsed/>
    <w:rsid w:val="00DF185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7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DF1850"/>
    <w:rPr>
      <w:rFonts w:ascii="Calibri" w:hAnsi="Calibri"/>
      <w:sz w:val="22"/>
    </w:rPr>
  </w:style>
  <w:style w:type="paragraph" w:styleId="Heading1">
    <w:name w:val="heading 1"/>
    <w:aliases w:val="Pocket"/>
    <w:basedOn w:val="Normal"/>
    <w:next w:val="Normal"/>
    <w:link w:val="Heading1Char"/>
    <w:uiPriority w:val="9"/>
    <w:qFormat/>
    <w:rsid w:val="00DF1850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Heading2">
    <w:name w:val="heading 2"/>
    <w:aliases w:val="Hat"/>
    <w:basedOn w:val="Normal"/>
    <w:next w:val="Normal"/>
    <w:link w:val="Heading2Char"/>
    <w:uiPriority w:val="9"/>
    <w:unhideWhenUsed/>
    <w:qFormat/>
    <w:rsid w:val="00DF1850"/>
    <w:pPr>
      <w:keepNext/>
      <w:keepLines/>
      <w:pageBreakBefore/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9"/>
    <w:unhideWhenUsed/>
    <w:qFormat/>
    <w:rsid w:val="00DF1850"/>
    <w:pPr>
      <w:keepNext/>
      <w:keepLines/>
      <w:pageBreakBefore/>
      <w:spacing w:before="200"/>
      <w:jc w:val="center"/>
      <w:outlineLvl w:val="2"/>
    </w:pPr>
    <w:rPr>
      <w:rFonts w:asciiTheme="majorHAnsi" w:eastAsiaTheme="majorEastAsia" w:hAnsiTheme="majorHAnsi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9"/>
    <w:unhideWhenUsed/>
    <w:qFormat/>
    <w:rsid w:val="00DF185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7"/>
    <w:qFormat/>
    <w:rsid w:val="00DF1850"/>
    <w:rPr>
      <w:rFonts w:ascii="Calibri" w:hAnsi="Calibri"/>
      <w:b/>
      <w:i w:val="0"/>
      <w:iCs/>
      <w:sz w:val="22"/>
      <w:u w:val="single"/>
      <w:bdr w:val="none" w:sz="0" w:space="0" w:color="auto"/>
    </w:rPr>
  </w:style>
  <w:style w:type="character" w:customStyle="1" w:styleId="Heading1Char">
    <w:name w:val="Heading 1 Char"/>
    <w:aliases w:val="Pocket Char"/>
    <w:basedOn w:val="DefaultParagraphFont"/>
    <w:link w:val="Heading1"/>
    <w:uiPriority w:val="9"/>
    <w:rsid w:val="00DF1850"/>
    <w:rPr>
      <w:rFonts w:asciiTheme="majorHAnsi" w:eastAsiaTheme="majorEastAsia" w:hAnsiTheme="majorHAnsi" w:cstheme="majorBidi"/>
      <w:b/>
      <w:bCs/>
      <w:sz w:val="52"/>
      <w:szCs w:val="52"/>
    </w:rPr>
  </w:style>
  <w:style w:type="character" w:customStyle="1" w:styleId="Heading2Char">
    <w:name w:val="Heading 2 Char"/>
    <w:aliases w:val="Hat Char"/>
    <w:basedOn w:val="DefaultParagraphFont"/>
    <w:link w:val="Heading2"/>
    <w:uiPriority w:val="9"/>
    <w:rsid w:val="00DF1850"/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9"/>
    <w:rsid w:val="00DF1850"/>
    <w:rPr>
      <w:rFonts w:asciiTheme="majorHAnsi" w:eastAsiaTheme="majorEastAsia" w:hAnsiTheme="majorHAnsi" w:cstheme="majorBidi"/>
      <w:b/>
      <w:bCs/>
      <w:sz w:val="32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9"/>
    <w:rsid w:val="00DF1850"/>
    <w:rPr>
      <w:rFonts w:asciiTheme="majorHAnsi" w:eastAsiaTheme="majorEastAsia" w:hAnsiTheme="majorHAnsi" w:cstheme="majorBidi"/>
      <w:b/>
      <w:bCs/>
      <w:iCs/>
      <w:sz w:val="26"/>
    </w:rPr>
  </w:style>
  <w:style w:type="paragraph" w:styleId="NoSpacing">
    <w:name w:val="No Spacing"/>
    <w:uiPriority w:val="1"/>
    <w:rsid w:val="00DF1850"/>
  </w:style>
  <w:style w:type="character" w:customStyle="1" w:styleId="StyleStyleBold12pt">
    <w:name w:val="Style Style Bold + 12 pt"/>
    <w:aliases w:val="Cite"/>
    <w:basedOn w:val="DefaultParagraphFont"/>
    <w:uiPriority w:val="1"/>
    <w:qFormat/>
    <w:rsid w:val="00DF1850"/>
    <w:rPr>
      <w:b/>
      <w:sz w:val="26"/>
      <w:u w:val="none"/>
    </w:rPr>
  </w:style>
  <w:style w:type="character" w:customStyle="1" w:styleId="StyleBoldUnderline">
    <w:name w:val="Style Bold Underline"/>
    <w:aliases w:val="Underline"/>
    <w:basedOn w:val="DefaultParagraphFont"/>
    <w:uiPriority w:val="1"/>
    <w:qFormat/>
    <w:rsid w:val="00DF1850"/>
    <w:rPr>
      <w:b w:val="0"/>
      <w:sz w:val="22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F1850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F1850"/>
    <w:rPr>
      <w:rFonts w:ascii="Lucida Grande" w:hAnsi="Lucida Grande" w:cs="Lucida Grande"/>
      <w:sz w:val="22"/>
    </w:rPr>
  </w:style>
  <w:style w:type="paragraph" w:styleId="ListParagraph">
    <w:name w:val="List Paragraph"/>
    <w:basedOn w:val="Normal"/>
    <w:uiPriority w:val="34"/>
    <w:rsid w:val="00DF18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185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850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DF185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850"/>
    <w:rPr>
      <w:rFonts w:ascii="Calibri" w:hAnsi="Calibr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DF1850"/>
  </w:style>
  <w:style w:type="character" w:styleId="Hyperlink">
    <w:name w:val="Hyperlink"/>
    <w:basedOn w:val="DefaultParagraphFont"/>
    <w:uiPriority w:val="99"/>
    <w:unhideWhenUsed/>
    <w:rsid w:val="00DF18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emilygordon:Library:Application%20Support:Microsoft:Office:User%20Templates:My%20Templates: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40</TotalTime>
  <Pages>4</Pages>
  <Words>644</Words>
  <Characters>3677</Characters>
  <Application>Microsoft Macintosh Word</Application>
  <DocSecurity>0</DocSecurity>
  <Lines>30</Lines>
  <Paragraphs>8</Paragraphs>
  <ScaleCrop>false</ScaleCrop>
  <Company>Whitman College</Company>
  <LinksUpToDate>false</LinksUpToDate>
  <CharactersWithSpaces>4313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2014-08-01T01:45:00Z</dcterms:created>
  <dcterms:modified xsi:type="dcterms:W3CDTF">2014-08-03T18:09:00Z</dcterms:modified>
</cp:coreProperties>
</file>