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FE9" w:rsidRDefault="00B45FE9" w:rsidP="007A3515">
      <w:bookmarkStart w:id="0" w:name="_GoBack"/>
      <w:bookmarkEnd w:id="0"/>
    </w:p>
    <w:p w:rsidR="00811DE8" w:rsidRDefault="00811DE8" w:rsidP="00811DE8">
      <w:pPr>
        <w:pStyle w:val="Heading3"/>
        <w:rPr>
          <w:rStyle w:val="StyleStyleBold12pt"/>
          <w:b/>
          <w:iCs/>
          <w:sz w:val="24"/>
        </w:rPr>
      </w:pPr>
      <w:r>
        <w:rPr>
          <w:rStyle w:val="StyleStyleBold12pt"/>
          <w:b/>
          <w:iCs/>
          <w:sz w:val="24"/>
        </w:rPr>
        <w:t>AT: Race/Gender K</w:t>
      </w:r>
    </w:p>
    <w:p w:rsidR="00BB3F59" w:rsidRPr="00A53B25" w:rsidRDefault="00BB3F59" w:rsidP="00BB3F59">
      <w:pPr>
        <w:keepNext/>
        <w:keepLines/>
        <w:spacing w:before="200"/>
        <w:outlineLvl w:val="3"/>
        <w:rPr>
          <w:rFonts w:eastAsiaTheme="majorEastAsia" w:cstheme="majorBidi"/>
          <w:b/>
          <w:bCs/>
          <w:iCs/>
          <w:sz w:val="24"/>
        </w:rPr>
      </w:pPr>
      <w:r w:rsidRPr="00A53B25">
        <w:rPr>
          <w:rFonts w:eastAsiaTheme="majorEastAsia" w:cstheme="majorBidi"/>
          <w:b/>
          <w:bCs/>
          <w:iCs/>
          <w:sz w:val="24"/>
        </w:rPr>
        <w:t>Attempts to combine activism with policy deliberation kills the potential to create any change, the activism will always be co-opted and incorporated into current strategies of dominance employed within the public.</w:t>
      </w:r>
    </w:p>
    <w:p w:rsidR="00BB3F59" w:rsidRPr="00A53B25" w:rsidRDefault="00BB3F59" w:rsidP="00BB3F59">
      <w:r w:rsidRPr="00A53B25">
        <w:rPr>
          <w:b/>
        </w:rPr>
        <w:t xml:space="preserve">Young, 1 </w:t>
      </w:r>
      <w:r w:rsidRPr="00A53B25">
        <w:t>(Iris Marion, “Activist Challenges to Deliberative Democracy”, Political Theory, Vol. 29, No. 5 (Oct., 2001), pp. 670-690)</w:t>
      </w:r>
    </w:p>
    <w:p w:rsidR="00BB3F59" w:rsidRDefault="00BB3F59" w:rsidP="00BB3F59">
      <w:pPr>
        <w:rPr>
          <w:sz w:val="16"/>
        </w:rPr>
      </w:pPr>
      <w:r w:rsidRPr="00ED45B1">
        <w:rPr>
          <w:bCs/>
          <w:u w:val="single"/>
        </w:rPr>
        <w:t xml:space="preserve">Let us suppose that by some combination of activist agitation and deliberative persuasion, some deliberative settings emerge that approximately rep- resent all those affected by the outcome of certain policy decisions. Given the </w:t>
      </w:r>
      <w:r w:rsidRPr="00BB3F59">
        <w:rPr>
          <w:bCs/>
          <w:u w:val="single"/>
        </w:rPr>
        <w:t>world of structural inequality</w:t>
      </w:r>
      <w:r w:rsidRPr="00BB3F59">
        <w:rPr>
          <w:sz w:val="16"/>
        </w:rPr>
        <w:t xml:space="preserve"> as we know it, </w:t>
      </w:r>
      <w:r w:rsidRPr="00BB3F59">
        <w:rPr>
          <w:bCs/>
          <w:u w:val="single"/>
        </w:rPr>
        <w:t xml:space="preserve">the activist believes such a circumstance will be rare </w:t>
      </w:r>
      <w:r w:rsidRPr="00BB3F59">
        <w:rPr>
          <w:sz w:val="16"/>
        </w:rPr>
        <w:t xml:space="preserve">at best but is willing to entertain the possibility for the sake of this argument. </w:t>
      </w:r>
      <w:r w:rsidRPr="00BB3F59">
        <w:rPr>
          <w:bCs/>
          <w:u w:val="single"/>
        </w:rPr>
        <w:t>The activist remains suspicious of the deliberative democrat's exhortation to engage</w:t>
      </w:r>
      <w:r w:rsidRPr="00BB3F59">
        <w:rPr>
          <w:sz w:val="16"/>
        </w:rPr>
        <w:t xml:space="preserve"> in reasoned and critical discussion </w:t>
      </w:r>
      <w:r w:rsidRPr="00BB3F59">
        <w:rPr>
          <w:bCs/>
          <w:u w:val="single"/>
        </w:rPr>
        <w:t>with people he disagrees with, even on the supposition that the public where he engages in such discussion really includes the diversity of interests and per- spectives</w:t>
      </w:r>
      <w:r w:rsidRPr="00BB3F59">
        <w:rPr>
          <w:sz w:val="16"/>
        </w:rPr>
        <w:t xml:space="preserve"> potentially affected by policies. That is </w:t>
      </w:r>
      <w:r w:rsidRPr="00BB3F59">
        <w:rPr>
          <w:bCs/>
          <w:u w:val="single"/>
        </w:rPr>
        <w:t xml:space="preserve">because he perceives that </w:t>
      </w:r>
      <w:r w:rsidRPr="00BB3F59">
        <w:rPr>
          <w:rStyle w:val="StyleBoldUnderline"/>
        </w:rPr>
        <w:t>existing social and economic structures have set unacceptable constraints on</w:t>
      </w:r>
      <w:r w:rsidRPr="00BB3F59">
        <w:rPr>
          <w:bCs/>
          <w:u w:val="single"/>
        </w:rPr>
        <w:t xml:space="preserve"> </w:t>
      </w:r>
      <w:r w:rsidRPr="00BB3F59">
        <w:rPr>
          <w:sz w:val="16"/>
        </w:rPr>
        <w:t xml:space="preserve">the terms of </w:t>
      </w:r>
      <w:r w:rsidRPr="00BB3F59">
        <w:rPr>
          <w:rStyle w:val="StyleBoldUnderline"/>
        </w:rPr>
        <w:t>deliberation and its agenda.</w:t>
      </w:r>
      <w:r w:rsidRPr="00BB3F59">
        <w:rPr>
          <w:sz w:val="16"/>
        </w:rPr>
        <w:t xml:space="preserve"> </w:t>
      </w:r>
      <w:r w:rsidRPr="00BB3F59">
        <w:rPr>
          <w:bCs/>
          <w:u w:val="single"/>
        </w:rPr>
        <w:t xml:space="preserve">Problems and disagreements in the real world of </w:t>
      </w:r>
      <w:r w:rsidRPr="00BB3F59">
        <w:rPr>
          <w:sz w:val="16"/>
        </w:rPr>
        <w:t xml:space="preserve">democratic </w:t>
      </w:r>
      <w:r w:rsidRPr="00BB3F59">
        <w:rPr>
          <w:bCs/>
          <w:u w:val="single"/>
        </w:rPr>
        <w:t xml:space="preserve">politics </w:t>
      </w:r>
      <w:r w:rsidRPr="00BB3F59">
        <w:rPr>
          <w:sz w:val="16"/>
        </w:rPr>
        <w:t xml:space="preserve">appear and </w:t>
      </w:r>
      <w:r w:rsidRPr="00BB3F59">
        <w:rPr>
          <w:bCs/>
          <w:u w:val="single"/>
        </w:rPr>
        <w:t xml:space="preserve">are addressed against the background of </w:t>
      </w:r>
      <w:r w:rsidRPr="00BB3F59">
        <w:rPr>
          <w:sz w:val="16"/>
        </w:rPr>
        <w:t xml:space="preserve">a given history and sedi- mentation of </w:t>
      </w:r>
      <w:r w:rsidRPr="00BB3F59">
        <w:rPr>
          <w:bCs/>
          <w:u w:val="single"/>
        </w:rPr>
        <w:t>unjust structural inequality, says the activist, which</w:t>
      </w:r>
      <w:r w:rsidRPr="00BB3F59">
        <w:rPr>
          <w:sz w:val="16"/>
        </w:rPr>
        <w:t xml:space="preserve"> helps </w:t>
      </w:r>
      <w:r w:rsidRPr="00BB3F59">
        <w:rPr>
          <w:bCs/>
          <w:u w:val="single"/>
        </w:rPr>
        <w:t xml:space="preserve">set agenda </w:t>
      </w:r>
      <w:r w:rsidRPr="00BB3F59">
        <w:rPr>
          <w:rStyle w:val="StyleBoldUnderline"/>
        </w:rPr>
        <w:t>priorities and constrains the alternatives that political actors may con-sider in their deliberations</w:t>
      </w:r>
      <w:r w:rsidRPr="00BB3F59">
        <w:rPr>
          <w:sz w:val="16"/>
        </w:rPr>
        <w:t xml:space="preserve">. </w:t>
      </w:r>
      <w:r w:rsidRPr="00BB3F59">
        <w:rPr>
          <w:bCs/>
          <w:u w:val="single"/>
        </w:rPr>
        <w:t>When this is so</w:t>
      </w:r>
      <w:r w:rsidRPr="00BB3F59">
        <w:rPr>
          <w:sz w:val="16"/>
        </w:rPr>
        <w:t xml:space="preserve">, both </w:t>
      </w:r>
      <w:r w:rsidRPr="00BB3F59">
        <w:rPr>
          <w:bCs/>
          <w:u w:val="single"/>
        </w:rPr>
        <w:t xml:space="preserve">the deliberative agenda and </w:t>
      </w:r>
      <w:r w:rsidRPr="00BB3F59">
        <w:rPr>
          <w:sz w:val="16"/>
        </w:rPr>
        <w:t xml:space="preserve">the </w:t>
      </w:r>
      <w:r w:rsidRPr="00BB3F59">
        <w:rPr>
          <w:bCs/>
          <w:u w:val="single"/>
        </w:rPr>
        <w:t>institutional constraints</w:t>
      </w:r>
      <w:r w:rsidRPr="00BB3F59">
        <w:rPr>
          <w:sz w:val="16"/>
        </w:rPr>
        <w:t xml:space="preserve"> it mirrors </w:t>
      </w:r>
      <w:r w:rsidRPr="00BB3F59">
        <w:rPr>
          <w:bCs/>
          <w:u w:val="single"/>
        </w:rPr>
        <w:t>should</w:t>
      </w:r>
      <w:r w:rsidRPr="00BB3F59">
        <w:rPr>
          <w:sz w:val="16"/>
        </w:rPr>
        <w:t xml:space="preserve"> themselves </w:t>
      </w:r>
      <w:r w:rsidRPr="00BB3F59">
        <w:rPr>
          <w:bCs/>
          <w:u w:val="single"/>
        </w:rPr>
        <w:t xml:space="preserve">be subject to </w:t>
      </w:r>
      <w:r w:rsidRPr="00004A61">
        <w:rPr>
          <w:rStyle w:val="StyleBoldUnderline"/>
        </w:rPr>
        <w:t>criticism, protest, and resistance.</w:t>
      </w:r>
      <w:r w:rsidRPr="00BB3F59">
        <w:rPr>
          <w:bCs/>
          <w:u w:val="single"/>
        </w:rPr>
        <w:t>7 Going to the table to meet with representatives of those interests</w:t>
      </w:r>
      <w:r w:rsidRPr="00BB3F59">
        <w:rPr>
          <w:sz w:val="16"/>
        </w:rPr>
        <w:t xml:space="preserve"> typically </w:t>
      </w:r>
      <w:r w:rsidRPr="00BB3F59">
        <w:rPr>
          <w:bCs/>
          <w:u w:val="single"/>
        </w:rPr>
        <w:t xml:space="preserve">served by existing institutional relations, to discuss how to deal </w:t>
      </w:r>
      <w:r w:rsidRPr="00BB3F59">
        <w:rPr>
          <w:sz w:val="16"/>
        </w:rPr>
        <w:t xml:space="preserve">most </w:t>
      </w:r>
      <w:r w:rsidRPr="00BB3F59">
        <w:rPr>
          <w:bCs/>
          <w:u w:val="single"/>
        </w:rPr>
        <w:t>justly with issues</w:t>
      </w:r>
      <w:r w:rsidRPr="00BB3F59">
        <w:rPr>
          <w:sz w:val="16"/>
        </w:rPr>
        <w:t xml:space="preserve"> that presuppose those institutional rela- tions, </w:t>
      </w:r>
      <w:r w:rsidRPr="00BB3F59">
        <w:rPr>
          <w:bCs/>
          <w:u w:val="single"/>
        </w:rPr>
        <w:t xml:space="preserve">gives both those institutions and deliberative process </w:t>
      </w:r>
      <w:r w:rsidRPr="00004A61">
        <w:rPr>
          <w:rStyle w:val="StyleBoldUnderline"/>
        </w:rPr>
        <w:t>too much legitimacy. It co-opts the energy</w:t>
      </w:r>
      <w:r w:rsidRPr="00BB3F59">
        <w:rPr>
          <w:bCs/>
          <w:u w:val="single"/>
        </w:rPr>
        <w:t xml:space="preserve"> of citizens committed to justice, leaving little time for mobilizing people to bash the institutional constraints and decision- making process from the outside</w:t>
      </w:r>
      <w:r w:rsidRPr="00BB3F59">
        <w:rPr>
          <w:sz w:val="16"/>
        </w:rPr>
        <w:t xml:space="preserve">. Thus, </w:t>
      </w:r>
      <w:r w:rsidRPr="00BB3F59">
        <w:rPr>
          <w:bCs/>
          <w:u w:val="single"/>
        </w:rPr>
        <w:t xml:space="preserve">the responsible citizen ought to with- draw from implicit acceptance of structural and institutional constraints by </w:t>
      </w:r>
      <w:r w:rsidRPr="00004A61">
        <w:rPr>
          <w:rStyle w:val="StyleBoldUnderline"/>
        </w:rPr>
        <w:t>refusing to deliberate about policies</w:t>
      </w:r>
      <w:r w:rsidRPr="00BB3F59">
        <w:rPr>
          <w:bCs/>
          <w:u w:val="single"/>
        </w:rPr>
        <w:t xml:space="preserve"> within them</w:t>
      </w:r>
      <w:r w:rsidRPr="00BB3F59">
        <w:rPr>
          <w:sz w:val="16"/>
        </w:rPr>
        <w:t>. Let me give some examples. 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 grams. Since passage of the legislation, the anti-poverty advocacy group has organized recipients and others who care about welfare</w:t>
      </w:r>
      <w:r w:rsidRPr="00A53B25">
        <w:rPr>
          <w:sz w:val="16"/>
        </w:rPr>
        <w:t xml:space="preserve"> justice to protest and lobby the state house to increase welfare funding and to count serving as a welfare rights advocate in local welfare offices as a "work activity."</w:t>
      </w:r>
    </w:p>
    <w:p w:rsidR="00BB3F59" w:rsidRDefault="00BB3F59" w:rsidP="00BB3F59">
      <w:pPr>
        <w:rPr>
          <w:sz w:val="16"/>
        </w:rPr>
      </w:pPr>
    </w:p>
    <w:p w:rsidR="00BB3F59" w:rsidRPr="002C3DA5" w:rsidRDefault="00BB3F59" w:rsidP="00BB3F59">
      <w:pPr>
        <w:keepNext/>
        <w:keepLines/>
        <w:spacing w:before="200"/>
        <w:outlineLvl w:val="3"/>
        <w:rPr>
          <w:rFonts w:eastAsiaTheme="majorEastAsia" w:cstheme="majorBidi"/>
          <w:b/>
          <w:bCs/>
          <w:iCs/>
          <w:sz w:val="24"/>
        </w:rPr>
      </w:pPr>
      <w:r w:rsidRPr="00C511B1">
        <w:rPr>
          <w:rFonts w:eastAsiaTheme="majorEastAsia" w:cstheme="majorBidi"/>
          <w:b/>
          <w:bCs/>
          <w:iCs/>
          <w:sz w:val="24"/>
        </w:rPr>
        <w:t xml:space="preserve">The law is insufficient </w:t>
      </w:r>
      <w:r>
        <w:rPr>
          <w:rFonts w:eastAsiaTheme="majorEastAsia" w:cstheme="majorBidi"/>
          <w:b/>
          <w:bCs/>
          <w:iCs/>
          <w:sz w:val="24"/>
        </w:rPr>
        <w:t>to address oppression</w:t>
      </w:r>
    </w:p>
    <w:p w:rsidR="00BB3F59" w:rsidRPr="00C511B1" w:rsidRDefault="00BB3F59" w:rsidP="00BB3F59">
      <w:r w:rsidRPr="00C511B1">
        <w:t>Nancy Levit 06 (CARDOZO LAW REVIEW, 2006, CARDOZO LAW REVIEW Vol. 28:1 CONFRONTING CONVENTIONAL THINKING, http://cardozolawreview.com/Joomla1.5/content/28-1/LEVIT.WEBSITE.pdf)</w:t>
      </w:r>
    </w:p>
    <w:p w:rsidR="00BB3F59" w:rsidRPr="00C511B1" w:rsidRDefault="00BB3F59" w:rsidP="00BB3F59">
      <w:r w:rsidRPr="00C511B1">
        <w:t xml:space="preserve">Feminist legal theorists also relied on social cognition theory to </w:t>
      </w:r>
      <w:r w:rsidRPr="00C511B1">
        <w:rPr>
          <w:sz w:val="12"/>
        </w:rPr>
        <w:t xml:space="preserve">  </w:t>
      </w:r>
      <w:r w:rsidRPr="00C511B1">
        <w:t xml:space="preserve">address Title VII antidiscrimination doctrine and the intractability of </w:t>
      </w:r>
      <w:r w:rsidRPr="00C511B1">
        <w:rPr>
          <w:sz w:val="12"/>
        </w:rPr>
        <w:t xml:space="preserve">  </w:t>
      </w:r>
      <w:r w:rsidRPr="00C511B1">
        <w:t xml:space="preserve">prejudices. Professor Linda Krieger, for example, explained </w:t>
      </w:r>
      <w:r w:rsidRPr="00BB3F59">
        <w:t xml:space="preserve">that </w:t>
      </w:r>
      <w:r w:rsidRPr="00BB3F59">
        <w:rPr>
          <w:sz w:val="12"/>
        </w:rPr>
        <w:t xml:space="preserve">  </w:t>
      </w:r>
      <w:r w:rsidRPr="00BB3F59">
        <w:rPr>
          <w:bCs/>
          <w:u w:val="single"/>
        </w:rPr>
        <w:t>stereotypes are one form of heuristic: a shorthand mechanism of   processing information about people</w:t>
      </w:r>
      <w:r w:rsidRPr="00BB3F59">
        <w:t xml:space="preserve">.92 </w:t>
      </w:r>
      <w:r w:rsidRPr="00BB3F59">
        <w:rPr>
          <w:bCs/>
          <w:u w:val="single"/>
        </w:rPr>
        <w:t>Humans often, and usually   unthinkingly, categorize based on race, gender, and ethnicity</w:t>
      </w:r>
      <w:r w:rsidRPr="00BB3F59">
        <w:t>—</w:t>
      </w:r>
      <w:r w:rsidRPr="00BB3F59">
        <w:rPr>
          <w:sz w:val="12"/>
        </w:rPr>
        <w:t xml:space="preserve">  </w:t>
      </w:r>
      <w:r w:rsidRPr="00BB3F59">
        <w:t xml:space="preserve">characteristics which are visible, as well as historically and culturally </w:t>
      </w:r>
      <w:r w:rsidRPr="00BB3F59">
        <w:rPr>
          <w:sz w:val="12"/>
        </w:rPr>
        <w:t xml:space="preserve">  </w:t>
      </w:r>
      <w:r w:rsidRPr="00BB3F59">
        <w:t xml:space="preserve">important categories.93 </w:t>
      </w:r>
      <w:r w:rsidRPr="00BB3F59">
        <w:rPr>
          <w:bCs/>
          <w:u w:val="single"/>
        </w:rPr>
        <w:t>People internalize prevailing social stereotypes</w:t>
      </w:r>
      <w:r w:rsidRPr="00BB3F59">
        <w:t xml:space="preserve"> </w:t>
      </w:r>
      <w:r w:rsidRPr="00BB3F59">
        <w:rPr>
          <w:sz w:val="12"/>
        </w:rPr>
        <w:t xml:space="preserve">  </w:t>
      </w:r>
      <w:r w:rsidRPr="00BB3F59">
        <w:t xml:space="preserve">and tend to interpret facts consistently with the stereotypes. Meanwhile, </w:t>
      </w:r>
      <w:r w:rsidRPr="00BB3F59">
        <w:rPr>
          <w:sz w:val="12"/>
        </w:rPr>
        <w:t xml:space="preserve">  </w:t>
      </w:r>
      <w:r w:rsidRPr="00BB3F59">
        <w:rPr>
          <w:bCs/>
          <w:u w:val="single"/>
        </w:rPr>
        <w:t>they discard facts that are stereotype-inconsistent</w:t>
      </w:r>
      <w:r w:rsidRPr="00BB3F59">
        <w:t xml:space="preserve">, so that the </w:t>
      </w:r>
      <w:r w:rsidRPr="00BB3F59">
        <w:rPr>
          <w:sz w:val="12"/>
        </w:rPr>
        <w:t xml:space="preserve">  </w:t>
      </w:r>
      <w:r w:rsidRPr="00BB3F59">
        <w:t xml:space="preserve">stereotypes themselves influence recollections of events, perceptions </w:t>
      </w:r>
      <w:r w:rsidRPr="00BB3F59">
        <w:rPr>
          <w:sz w:val="12"/>
        </w:rPr>
        <w:t xml:space="preserve">  </w:t>
      </w:r>
      <w:r w:rsidRPr="00BB3F59">
        <w:t xml:space="preserve">and evaluations of others, and interpretations of situations. An important feature of stereotyping is that the biases it introduces “are </w:t>
      </w:r>
      <w:r w:rsidRPr="00BB3F59">
        <w:rPr>
          <w:sz w:val="12"/>
        </w:rPr>
        <w:t xml:space="preserve">  </w:t>
      </w:r>
      <w:r w:rsidRPr="00BB3F59">
        <w:t xml:space="preserve">cognitive rather than motivational; in other words, they occur </w:t>
      </w:r>
      <w:r w:rsidRPr="00BB3F59">
        <w:rPr>
          <w:sz w:val="12"/>
        </w:rPr>
        <w:t xml:space="preserve">  </w:t>
      </w:r>
      <w:r w:rsidRPr="00BB3F59">
        <w:t xml:space="preserve">independently of decision makers’ group interests or their conscious </w:t>
      </w:r>
      <w:r w:rsidRPr="00BB3F59">
        <w:rPr>
          <w:sz w:val="12"/>
        </w:rPr>
        <w:t xml:space="preserve">  </w:t>
      </w:r>
      <w:r w:rsidRPr="00BB3F59">
        <w:t xml:space="preserve">desire to favor or harm others.”94 As Krieger and others have shown, </w:t>
      </w:r>
      <w:r w:rsidRPr="00BB3F59">
        <w:rPr>
          <w:bCs/>
          <w:u w:val="single"/>
        </w:rPr>
        <w:t>if   much discrimination is unconscious, many subtle discriminatory   practices remain outside the reach of antidiscrimination laws</w:t>
      </w:r>
      <w:r w:rsidRPr="00BB3F59">
        <w:t xml:space="preserve">.95 </w:t>
      </w:r>
      <w:r w:rsidRPr="00BB3F59">
        <w:rPr>
          <w:sz w:val="12"/>
        </w:rPr>
        <w:t xml:space="preserve">  </w:t>
      </w:r>
      <w:r w:rsidRPr="00BB3F59">
        <w:t xml:space="preserve">Cognition theory understands mental functions as information </w:t>
      </w:r>
      <w:r w:rsidRPr="00BB3F59">
        <w:rPr>
          <w:sz w:val="12"/>
        </w:rPr>
        <w:t xml:space="preserve">  </w:t>
      </w:r>
      <w:r w:rsidRPr="00BB3F59">
        <w:t xml:space="preserve">processing models. Stereotypical assumptions about people are just one </w:t>
      </w:r>
      <w:r w:rsidRPr="00BB3F59">
        <w:rPr>
          <w:sz w:val="12"/>
        </w:rPr>
        <w:t xml:space="preserve">  </w:t>
      </w:r>
      <w:r w:rsidRPr="00BB3F59">
        <w:t xml:space="preserve">type of automatic cognitive categorizing structure. The errors of </w:t>
      </w:r>
      <w:r w:rsidRPr="00BB3F59">
        <w:rPr>
          <w:sz w:val="12"/>
        </w:rPr>
        <w:t xml:space="preserve">  </w:t>
      </w:r>
      <w:r w:rsidRPr="00BB3F59">
        <w:t>stereotyping are tied to errors of salience and representativeness.96</w:t>
      </w:r>
    </w:p>
    <w:p w:rsidR="00BB3F59" w:rsidRPr="00A53B25" w:rsidRDefault="00BB3F59" w:rsidP="00BB3F59">
      <w:pPr>
        <w:rPr>
          <w:sz w:val="16"/>
        </w:rPr>
      </w:pPr>
    </w:p>
    <w:p w:rsidR="00BB3F59" w:rsidRPr="00D17C4E" w:rsidRDefault="00BB3F59" w:rsidP="00BB3F59"/>
    <w:p w:rsidR="00811DE8" w:rsidRPr="00811DE8" w:rsidRDefault="00811DE8" w:rsidP="00811DE8">
      <w:pPr>
        <w:pStyle w:val="Heading4"/>
      </w:pPr>
      <w:r>
        <w:t>Without an analysis of intersectionality, they ignore scores of people that are marginalized for more than one reason</w:t>
      </w:r>
    </w:p>
    <w:p w:rsidR="00004A61" w:rsidRPr="00941D40" w:rsidRDefault="00004A61" w:rsidP="00004A61">
      <w:r w:rsidRPr="00941D40">
        <w:rPr>
          <w:rStyle w:val="StyleStyleBold12pt"/>
        </w:rPr>
        <w:t xml:space="preserve">Collins </w:t>
      </w:r>
      <w:r>
        <w:rPr>
          <w:rStyle w:val="StyleStyleBold12pt"/>
        </w:rPr>
        <w:t xml:space="preserve">says in 2013 that </w:t>
      </w:r>
      <w:r>
        <w:t xml:space="preserve">(Patricia Hill, Prof of Sociology @ University of Maryland at College Park, </w:t>
      </w:r>
      <w:r>
        <w:rPr>
          <w:i/>
        </w:rPr>
        <w:t>On Intellectual Activism</w:t>
      </w:r>
      <w:r>
        <w:t xml:space="preserve">) </w:t>
      </w:r>
    </w:p>
    <w:p w:rsidR="00004A61" w:rsidRPr="00C01428" w:rsidRDefault="00004A61" w:rsidP="00004A61">
      <w:pPr>
        <w:rPr>
          <w:sz w:val="16"/>
        </w:rPr>
      </w:pPr>
      <w:r w:rsidRPr="00811DE8">
        <w:rPr>
          <w:u w:val="single"/>
        </w:rPr>
        <w:t xml:space="preserve">The true focus of revolutionary change is never merely the oppressive situations </w:t>
      </w:r>
      <w:r w:rsidRPr="00811DE8">
        <w:rPr>
          <w:sz w:val="16"/>
        </w:rPr>
        <w:t xml:space="preserve">which </w:t>
      </w:r>
      <w:r w:rsidRPr="00811DE8">
        <w:rPr>
          <w:u w:val="single"/>
        </w:rPr>
        <w:t>we seek to escape</w:t>
      </w:r>
      <w:r w:rsidRPr="00811DE8">
        <w:rPr>
          <w:sz w:val="16"/>
        </w:rPr>
        <w:t xml:space="preserve">, </w:t>
      </w:r>
      <w:r w:rsidRPr="00811DE8">
        <w:rPr>
          <w:u w:val="single"/>
        </w:rPr>
        <w:t xml:space="preserve">but </w:t>
      </w:r>
      <w:r w:rsidRPr="00811DE8">
        <w:rPr>
          <w:rStyle w:val="Emphasis"/>
        </w:rPr>
        <w:t>that Piece of the oppressor which is planted deep within each of us</w:t>
      </w:r>
      <w:r w:rsidRPr="00811DE8">
        <w:rPr>
          <w:sz w:val="16"/>
        </w:rPr>
        <w:t xml:space="preserve">. -AUDRE LORDE, from Sister Outsider (123) AUDRE LORDE'S STATEMENT raises a troublesome issue for scholars and activists working for social change. While </w:t>
      </w:r>
      <w:r w:rsidRPr="00811DE8">
        <w:rPr>
          <w:u w:val="single"/>
        </w:rPr>
        <w:t xml:space="preserve">many of us </w:t>
      </w:r>
      <w:r w:rsidRPr="00811DE8">
        <w:rPr>
          <w:rStyle w:val="Emphasis"/>
        </w:rPr>
        <w:t>have little difficulty assessing our own victimization</w:t>
      </w:r>
      <w:r w:rsidRPr="00811DE8">
        <w:rPr>
          <w:u w:val="single"/>
        </w:rPr>
        <w:t xml:space="preserve"> </w:t>
      </w:r>
      <w:r w:rsidRPr="00811DE8">
        <w:rPr>
          <w:sz w:val="16"/>
        </w:rPr>
        <w:t xml:space="preserve">within some major system of oppression, whether it be by race, social class, religion, sexual orientation, ethnicity, age, or gender, </w:t>
      </w:r>
      <w:r w:rsidRPr="00811DE8">
        <w:rPr>
          <w:u w:val="single"/>
        </w:rPr>
        <w:t xml:space="preserve">we typically </w:t>
      </w:r>
      <w:r w:rsidRPr="00811DE8">
        <w:rPr>
          <w:rStyle w:val="Emphasis"/>
        </w:rPr>
        <w:t>fail to see how our thoughts and actions uphold someone else's subordination</w:t>
      </w:r>
      <w:r w:rsidRPr="00811DE8">
        <w:rPr>
          <w:sz w:val="16"/>
        </w:rPr>
        <w:t xml:space="preserve">. Thus, White feminists routinely point with confidence to their oppression as women but resist seeing how much their white skin privileges them. African Americans who possess eloquent analyses of racism often persist in viewing poor White women as symbols of white power. The radical Left fares little better. "If only people of color and women could see their true class interests," they argue, "class solidarity would eliminate racism and sexism." In essence, </w:t>
      </w:r>
      <w:r w:rsidRPr="00811DE8">
        <w:rPr>
          <w:u w:val="single"/>
        </w:rPr>
        <w:t xml:space="preserve">each group identifies the type of oppression with which it feels </w:t>
      </w:r>
      <w:r w:rsidRPr="00811DE8">
        <w:rPr>
          <w:rStyle w:val="Emphasis"/>
        </w:rPr>
        <w:t>most comfortable</w:t>
      </w:r>
      <w:r w:rsidRPr="00811DE8">
        <w:rPr>
          <w:u w:val="single"/>
        </w:rPr>
        <w:t xml:space="preserve"> as being </w:t>
      </w:r>
      <w:r w:rsidRPr="00811DE8">
        <w:rPr>
          <w:rStyle w:val="Emphasis"/>
        </w:rPr>
        <w:t>fundamental</w:t>
      </w:r>
      <w:r w:rsidRPr="00811DE8">
        <w:rPr>
          <w:u w:val="single"/>
        </w:rPr>
        <w:t xml:space="preserve"> and </w:t>
      </w:r>
      <w:r w:rsidRPr="00811DE8">
        <w:rPr>
          <w:rStyle w:val="Emphasis"/>
        </w:rPr>
        <w:t>classifies</w:t>
      </w:r>
      <w:r w:rsidRPr="00811DE8">
        <w:rPr>
          <w:u w:val="single"/>
        </w:rPr>
        <w:t xml:space="preserve"> all other types as being of </w:t>
      </w:r>
      <w:r w:rsidRPr="00811DE8">
        <w:rPr>
          <w:rStyle w:val="Emphasis"/>
        </w:rPr>
        <w:t>lesser importance</w:t>
      </w:r>
      <w:r w:rsidRPr="00811DE8">
        <w:rPr>
          <w:sz w:val="16"/>
        </w:rPr>
        <w:t xml:space="preserve">. Oppression is full of such contradictions. Errors in political judgment that we make concerning how we teach our courses, what we tell our children, and which organizations are worthy of our time, talents, and financial support flow smoothly from errors in theoretical analysis about the nature of oppression and activism. </w:t>
      </w:r>
      <w:r w:rsidRPr="00811DE8">
        <w:rPr>
          <w:u w:val="single"/>
        </w:rPr>
        <w:t xml:space="preserve">Once we realize that there are few pure victims or oppressors, </w:t>
      </w:r>
      <w:r w:rsidRPr="00811DE8">
        <w:rPr>
          <w:sz w:val="16"/>
        </w:rPr>
        <w:t xml:space="preserve">and </w:t>
      </w:r>
      <w:r w:rsidRPr="00811DE8">
        <w:rPr>
          <w:u w:val="single"/>
        </w:rPr>
        <w:t>that each one of us derives varying amounts of penalty and privilege from the multiple systems of oppression that frame our lives, then we will be in a position to see the need for new ways of thought and action</w:t>
      </w:r>
      <w:r w:rsidRPr="00811DE8">
        <w:rPr>
          <w:sz w:val="16"/>
        </w:rPr>
        <w:t xml:space="preserve">. To get at that "piece of the oppressor which is planted deep within each of us," we need at least two things. First, </w:t>
      </w:r>
      <w:r w:rsidRPr="00811DE8">
        <w:rPr>
          <w:u w:val="single"/>
        </w:rPr>
        <w:t>we need new visions of what oppression is</w:t>
      </w:r>
      <w:r w:rsidRPr="00811DE8">
        <w:rPr>
          <w:sz w:val="16"/>
        </w:rPr>
        <w:t xml:space="preserve">, new categories of analysis that are inclusive of race, class, and gender </w:t>
      </w:r>
      <w:r w:rsidRPr="00811DE8">
        <w:rPr>
          <w:u w:val="single"/>
        </w:rPr>
        <w:t xml:space="preserve">as </w:t>
      </w:r>
      <w:r w:rsidRPr="00811DE8">
        <w:rPr>
          <w:rStyle w:val="Emphasis"/>
        </w:rPr>
        <w:t>distinctive yet interlocking</w:t>
      </w:r>
      <w:r w:rsidRPr="00811DE8">
        <w:rPr>
          <w:u w:val="single"/>
        </w:rPr>
        <w:t xml:space="preserve"> structures of oppression</w:t>
      </w:r>
      <w:r w:rsidRPr="00811DE8">
        <w:rPr>
          <w:sz w:val="16"/>
        </w:rPr>
        <w:t xml:space="preserve">. </w:t>
      </w:r>
      <w:r w:rsidRPr="00811DE8">
        <w:rPr>
          <w:u w:val="single"/>
        </w:rPr>
        <w:t xml:space="preserve">Adhering to </w:t>
      </w:r>
      <w:r w:rsidRPr="00811DE8">
        <w:rPr>
          <w:sz w:val="16"/>
        </w:rPr>
        <w:t xml:space="preserve">a stance of </w:t>
      </w:r>
      <w:r w:rsidRPr="00811DE8">
        <w:rPr>
          <w:rStyle w:val="Emphasis"/>
        </w:rPr>
        <w:t>comparing and ranking oppressions</w:t>
      </w:r>
      <w:r w:rsidRPr="00811DE8">
        <w:rPr>
          <w:sz w:val="16"/>
        </w:rPr>
        <w:t>-the proverbial "I'm more oppressed than you"-</w:t>
      </w:r>
      <w:r w:rsidRPr="00811DE8">
        <w:rPr>
          <w:rStyle w:val="Emphasis"/>
        </w:rPr>
        <w:t>locks us all into</w:t>
      </w:r>
      <w:r w:rsidRPr="00811DE8">
        <w:rPr>
          <w:u w:val="single"/>
        </w:rPr>
        <w:t xml:space="preserve"> a </w:t>
      </w:r>
      <w:r w:rsidRPr="00811DE8">
        <w:rPr>
          <w:rStyle w:val="Emphasis"/>
        </w:rPr>
        <w:t>dangerous dance</w:t>
      </w:r>
      <w:r w:rsidRPr="00811DE8">
        <w:rPr>
          <w:u w:val="single"/>
        </w:rPr>
        <w:t xml:space="preserve"> of </w:t>
      </w:r>
      <w:r w:rsidRPr="00811DE8">
        <w:rPr>
          <w:rStyle w:val="Emphasis"/>
        </w:rPr>
        <w:t>competing for attention, resources, and theoretical supremacy.</w:t>
      </w:r>
      <w:r w:rsidRPr="00811DE8">
        <w:rPr>
          <w:sz w:val="16"/>
        </w:rPr>
        <w:t xml:space="preserve"> Instead, I suggest that we examine our different experiences within the more fundamental relationship of domination and subordination. To focus on the particular arrangements that race or class or gender take in our time and place without seeing these structures as sometimes parallel and sometimes interlocking dimensions of the more fundamental relationship of domination and subordination may temporarily ease our consciences. But while </w:t>
      </w:r>
      <w:r w:rsidRPr="00811DE8">
        <w:rPr>
          <w:rStyle w:val="Emphasis"/>
        </w:rPr>
        <w:t>such thinking may lead to short-term social reforms, it is simply inadequate for the task of bringing about long-term social transformation</w:t>
      </w:r>
      <w:r w:rsidRPr="00811DE8">
        <w:rPr>
          <w:u w:val="single"/>
        </w:rPr>
        <w:t xml:space="preserve">. </w:t>
      </w:r>
      <w:r w:rsidRPr="00811DE8">
        <w:rPr>
          <w:sz w:val="16"/>
        </w:rPr>
        <w:t xml:space="preserve">While race, class, and gender as categories of analysis are essential in helping us understand the structural bases of domination and subordination, new ways of thinking that are not accompanied by new ways of acting offer incomplete prospects for change. To get at that "piece of the oppressor which is planted deep within each of us," </w:t>
      </w:r>
      <w:r w:rsidRPr="00811DE8">
        <w:rPr>
          <w:rStyle w:val="Emphasis"/>
        </w:rPr>
        <w:t>we</w:t>
      </w:r>
      <w:r w:rsidRPr="00811DE8">
        <w:rPr>
          <w:u w:val="single"/>
        </w:rPr>
        <w:t xml:space="preserve"> </w:t>
      </w:r>
      <w:r w:rsidRPr="00811DE8">
        <w:rPr>
          <w:sz w:val="16"/>
        </w:rPr>
        <w:t xml:space="preserve">also </w:t>
      </w:r>
      <w:r w:rsidRPr="00811DE8">
        <w:rPr>
          <w:rStyle w:val="Emphasis"/>
        </w:rPr>
        <w:t>need to change our daily behavior</w:t>
      </w:r>
      <w:r w:rsidRPr="00811DE8">
        <w:rPr>
          <w:u w:val="single"/>
        </w:rPr>
        <w:t xml:space="preserve">. </w:t>
      </w:r>
      <w:r w:rsidRPr="00811DE8">
        <w:rPr>
          <w:sz w:val="16"/>
        </w:rPr>
        <w:t xml:space="preserve">Currently, we are all enmeshed in a complex web of problematic relationships that grant our mirror images full human subjectivity while stereotyping and objectifying those most different from ourselves. We often assume that the people we work with, teach, send our children to school with, and sit next to in conferences such as this will act and feel in prescribed ways because they belong to given race, social class, or gender categories. These judgments by category must be replaced with fully human relationships that transcend the legitimate differences created by race, class, and gender as categories of analysis. We require new categories of connection, new visions of what our relationships with one another can be. Our task is immense. We must first recognize race, class, and gender as interlocking categories of analysis that together cultivate profound differences in our personal biographies. But then we must transcend those very differences by reconceptualizing race, class, and gender to create new categories of connection. My presentation today addresses this need for new patterns of thought and action. I focus on two basic questions. First, how can we reconceptualize race, class, and gender as categories of analysis? Second, how can we transcend the barriers created by our experiences with race, class, and gender oppression to build the types of coalitions essential for social change? To address these questions, I contend that we must acquire new theories of how race, class, and gender have shaped the experiences not just of women of color but also of all groups. Moreover, we must see the connections between these categories of analysis and the personal issues in our everyday lives, particularly our scholarship, our teaching, and our relationships with our colleagues and students. As Audre Lorde points out, </w:t>
      </w:r>
      <w:r w:rsidRPr="00811DE8">
        <w:rPr>
          <w:rStyle w:val="Emphasis"/>
        </w:rPr>
        <w:t>change starts with self, and relationships that we have with those around us must always be the primary site for social change</w:t>
      </w:r>
      <w:r w:rsidRPr="00811DE8">
        <w:rPr>
          <w:sz w:val="16"/>
        </w:rPr>
        <w:t xml:space="preserve">. How Can We Reconceptualize Race, Class, and Gender as Categories of Analysis? To me, </w:t>
      </w:r>
      <w:r w:rsidRPr="00811DE8">
        <w:rPr>
          <w:u w:val="single"/>
        </w:rPr>
        <w:t xml:space="preserve">we must shift our discourse away from </w:t>
      </w:r>
      <w:r w:rsidRPr="00811DE8">
        <w:rPr>
          <w:rStyle w:val="Emphasis"/>
        </w:rPr>
        <w:t>additive analyses of oppression</w:t>
      </w:r>
      <w:r w:rsidRPr="00811DE8">
        <w:rPr>
          <w:sz w:val="16"/>
        </w:rPr>
        <w:t>.</w:t>
      </w:r>
      <w:r w:rsidRPr="00811DE8">
        <w:rPr>
          <w:u w:val="single"/>
        </w:rPr>
        <w:t xml:space="preserve"> Such approaches </w:t>
      </w:r>
      <w:r w:rsidRPr="00811DE8">
        <w:rPr>
          <w:sz w:val="16"/>
        </w:rPr>
        <w:t xml:space="preserve">are typically based on two key premises. First, they </w:t>
      </w:r>
      <w:r w:rsidRPr="00811DE8">
        <w:rPr>
          <w:rStyle w:val="Emphasis"/>
        </w:rPr>
        <w:t>depend on either/or, dichotomous thinking</w:t>
      </w:r>
      <w:r w:rsidRPr="00811DE8">
        <w:rPr>
          <w:sz w:val="16"/>
        </w:rPr>
        <w:t xml:space="preserve">. </w:t>
      </w:r>
      <w:r w:rsidRPr="00811DE8">
        <w:rPr>
          <w:u w:val="single"/>
        </w:rPr>
        <w:t>Persons, things, and ideas are conceptualized in terms of their opposites</w:t>
      </w:r>
      <w:r w:rsidRPr="00811DE8">
        <w:rPr>
          <w:sz w:val="16"/>
        </w:rPr>
        <w:t xml:space="preserve">. For example, Black/White, man/woman, thought/ feeling, and fact/opinion are defined in oppositional terms. </w:t>
      </w:r>
      <w:r w:rsidRPr="00811DE8">
        <w:rPr>
          <w:u w:val="single"/>
        </w:rPr>
        <w:t>Thought and feeling are not seen as two different and interconnected ways of approaching truth that can coexist in scholarship and teaching</w:t>
      </w:r>
      <w:r w:rsidRPr="00811DE8">
        <w:rPr>
          <w:sz w:val="16"/>
        </w:rPr>
        <w:t xml:space="preserve">. Instead, feeling is defined as antithetical to reason, as its opposite. </w:t>
      </w:r>
      <w:r w:rsidRPr="00811DE8">
        <w:rPr>
          <w:u w:val="single"/>
        </w:rPr>
        <w:t xml:space="preserve">Despite the fact that we all have "both/and" identities </w:t>
      </w:r>
      <w:r w:rsidRPr="00811DE8">
        <w:rPr>
          <w:sz w:val="16"/>
        </w:rPr>
        <w:t xml:space="preserve">(I am both a college professor and a mother-I don't stop being a mother when I drop my child off at school, or forget everything I learned while scrubbing the toilet), </w:t>
      </w:r>
      <w:r w:rsidRPr="00811DE8">
        <w:rPr>
          <w:u w:val="single"/>
        </w:rPr>
        <w:t>we persist in trying to classify each other in either/or categories</w:t>
      </w:r>
      <w:r w:rsidRPr="00811DE8">
        <w:rPr>
          <w:sz w:val="16"/>
        </w:rPr>
        <w:t xml:space="preserve">. I live each day as an African American woman, a race/gender-specific experience. And I am not alone. Everyone in this room has a race/gender/class-specific identity. </w:t>
      </w:r>
      <w:r w:rsidRPr="00811DE8">
        <w:rPr>
          <w:u w:val="single"/>
        </w:rPr>
        <w:t xml:space="preserve">Either/or, dichotomous thinking is especially </w:t>
      </w:r>
      <w:r w:rsidRPr="00811DE8">
        <w:rPr>
          <w:rStyle w:val="Emphasis"/>
        </w:rPr>
        <w:t>troublesome</w:t>
      </w:r>
      <w:r w:rsidRPr="00811DE8">
        <w:rPr>
          <w:u w:val="single"/>
        </w:rPr>
        <w:t xml:space="preserve"> when applied to theories of oppression because every individual must be classified as being either oppressed or not oppressed. The both/and</w:t>
      </w:r>
      <w:r w:rsidRPr="00811DE8">
        <w:rPr>
          <w:sz w:val="12"/>
          <w:u w:val="single"/>
        </w:rPr>
        <w:t xml:space="preserve"> </w:t>
      </w:r>
      <w:r w:rsidRPr="00811DE8">
        <w:rPr>
          <w:u w:val="single"/>
        </w:rPr>
        <w:t xml:space="preserve">position of simultaneously being oppressed and oppressor becomes conceptually impossible. A second premise of additive analyses </w:t>
      </w:r>
      <w:r w:rsidRPr="00811DE8">
        <w:rPr>
          <w:sz w:val="16"/>
        </w:rPr>
        <w:t xml:space="preserve">of oppression </w:t>
      </w:r>
      <w:r w:rsidRPr="00811DE8">
        <w:rPr>
          <w:u w:val="single"/>
        </w:rPr>
        <w:t>is that these dichotomous differences must be ranked</w:t>
      </w:r>
      <w:r w:rsidRPr="00811DE8">
        <w:rPr>
          <w:sz w:val="16"/>
        </w:rPr>
        <w:t xml:space="preserve">. One side of the dichotomy is typically labeled "dominant" and the other "subordinate." Thus, Whites rule Blacks, men are deemed superior to women, and reason is seen as being preferable to emotion. Applying </w:t>
      </w:r>
      <w:r w:rsidRPr="00811DE8">
        <w:rPr>
          <w:u w:val="single"/>
        </w:rPr>
        <w:t xml:space="preserve">this premise </w:t>
      </w:r>
      <w:r w:rsidRPr="00811DE8">
        <w:rPr>
          <w:sz w:val="16"/>
        </w:rPr>
        <w:t xml:space="preserve">to discussions of oppression </w:t>
      </w:r>
      <w:r w:rsidRPr="00811DE8">
        <w:rPr>
          <w:u w:val="single"/>
        </w:rPr>
        <w:t>leads to the assumption that oppression can be quantified</w:t>
      </w:r>
      <w:r w:rsidRPr="00811DE8">
        <w:rPr>
          <w:sz w:val="16"/>
        </w:rPr>
        <w:t xml:space="preserve">, and that some groups are oppressed more than others. I am frequently asked, "Which has been most oppressive to you, your status as a Black person or your status as a woman?" What I am really being asked to do is divide myself into little boxes and rank my various statuses. If I experience oppression as a both/and phenomenon, why should I analyze it any differently? </w:t>
      </w:r>
      <w:r w:rsidRPr="00811DE8">
        <w:rPr>
          <w:rStyle w:val="Emphasis"/>
        </w:rPr>
        <w:t>Additive analyses of oppression rest squarely on the twin pillars of either/or thinking and the necessity to quantify and rank all relationships to know where one stands.</w:t>
      </w:r>
      <w:r w:rsidRPr="00811DE8">
        <w:rPr>
          <w:sz w:val="16"/>
        </w:rPr>
        <w:t xml:space="preserve"> Such approaches typically see African American women as being more oppressed than everyone else because the majority of Black women experience the negative effects of race, class, and gender oppression simultaneously. In essence, if you add together separate oppressions, you are left with a grand oppression greater than the sum of its parts. I am not denying that specific groups experience oppression more harshly than others-lynching is certainly objectively worse than being held up as a sex object. But we must be careful not to confuse this issue of the saliency of one type of oppression in people's lives with a theoretical stance positing the interlocking nature of oppression. Race, class, and gender may all structure a situation but may not be equally visible and/or important in people's self-definitions. In certain contexts, such as the antebellum American South and contemporary South Africa, racial oppression is more visibly salient, while in other contexts, such as Haiti, El Salvador, and Nicaragua, social class oppression may be more apparent. For middle-class White women, gender may assume experiential primacy unavailable to poor Hispanic women struggling with the ongoing issues of low-paid jobs and the frustrations of the welfare bureaucracy. This recognition that one category may have salience over another in a given time and place does not minimize the theoretical importance of assuming that race, class, and gender as categories of analysis structure all relationships. To move toward new visions of what oppression is, I think that we need to ask new questions. How are relationships of domination and subordination structured and maintained in the American political economy? How do race, class, and gender function as parallel and interlocking systems that shape this basic relationship of domination and subordination? </w:t>
      </w:r>
      <w:r w:rsidRPr="00811DE8">
        <w:rPr>
          <w:rStyle w:val="Emphasis"/>
        </w:rPr>
        <w:t>Questions such as these promise to move us away from futile theoretical struggles concerned with ranking oppressions</w:t>
      </w:r>
      <w:r w:rsidRPr="00811DE8">
        <w:rPr>
          <w:u w:val="single"/>
        </w:rPr>
        <w:t xml:space="preserve"> </w:t>
      </w:r>
      <w:r w:rsidRPr="00811DE8">
        <w:rPr>
          <w:sz w:val="16"/>
        </w:rPr>
        <w:t>and toward analyses that assume race, class, and gender are all present in any given setting, even if one appears more visible and salient than the others. Our task becomes redefined as one of reconceptualizing oppression by uncovering the connections among race, class, and gender as categories of analysis.</w:t>
      </w:r>
    </w:p>
    <w:p w:rsidR="00811DE8" w:rsidRDefault="00811DE8" w:rsidP="00811DE8">
      <w:pPr>
        <w:pStyle w:val="Heading3"/>
      </w:pPr>
      <w:r>
        <w:t>AT: Framework</w:t>
      </w:r>
    </w:p>
    <w:p w:rsidR="00811DE8" w:rsidRPr="0031795E" w:rsidRDefault="00811DE8" w:rsidP="00811DE8">
      <w:pPr>
        <w:pStyle w:val="Heading4"/>
      </w:pPr>
      <w:r>
        <w:t>We are in the right forum- if debate is the only place that we have to speak out, then they shouldn’t be able to exclude our conversation</w:t>
      </w:r>
    </w:p>
    <w:p w:rsidR="00811DE8" w:rsidRPr="00F72CDF" w:rsidRDefault="00811DE8" w:rsidP="00811DE8">
      <w:pPr>
        <w:pStyle w:val="tag"/>
        <w:rPr>
          <w:b w:val="0"/>
          <w:sz w:val="16"/>
        </w:rPr>
      </w:pPr>
      <w:r w:rsidRPr="006A68E9">
        <w:rPr>
          <w:b w:val="0"/>
          <w:sz w:val="16"/>
        </w:rPr>
        <w:t xml:space="preserve">Rebecca </w:t>
      </w:r>
      <w:r w:rsidRPr="00F72CDF">
        <w:t xml:space="preserve">Bjork, </w:t>
      </w:r>
      <w:r w:rsidRPr="006A68E9">
        <w:rPr>
          <w:b w:val="0"/>
          <w:sz w:val="16"/>
        </w:rPr>
        <w:t xml:space="preserve">former college debater, coach, and professor in </w:t>
      </w:r>
      <w:r w:rsidRPr="00F72CDF">
        <w:t xml:space="preserve">‘93 </w:t>
      </w:r>
      <w:r w:rsidRPr="00F72CDF">
        <w:rPr>
          <w:b w:val="0"/>
          <w:sz w:val="16"/>
        </w:rPr>
        <w:t>(former college debater and former associate professor at the University of Utah, where she taught graduate and undergraduate courses in Communication and Women in Debate, Reflections on the Ongoing Struggle, Debater's Research Guide 1992-1993: Wake Forest University.Symposium, web.archive.org/web/20011012220529/members.aol.com/womynindebate/article3.htm)</w:t>
      </w:r>
    </w:p>
    <w:p w:rsidR="00811DE8" w:rsidRDefault="00811DE8" w:rsidP="00811DE8">
      <w:pPr>
        <w:pStyle w:val="card"/>
        <w:rPr>
          <w:sz w:val="16"/>
        </w:rPr>
      </w:pPr>
    </w:p>
    <w:p w:rsidR="00811DE8" w:rsidRPr="00F72CDF" w:rsidRDefault="00811DE8" w:rsidP="00811DE8">
      <w:r w:rsidRPr="00F72CDF">
        <w:t>While reflecting on my experiences as a woman in academic debate in preparation for this essay, I realized that I have been involved in debate for more than half of my life. </w:t>
      </w:r>
      <w:r w:rsidRPr="00F72CDF">
        <w:rPr>
          <w:rStyle w:val="underline"/>
        </w:rPr>
        <w:t xml:space="preserve"> </w:t>
      </w:r>
      <w:r w:rsidRPr="00F72CDF">
        <w:t xml:space="preserve">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w:t>
      </w:r>
      <w:r w:rsidRPr="00811DE8">
        <w:t xml:space="preserve">separate my involvement in debate from the rest of who I am as an individual. Northwestern </w:t>
      </w:r>
      <w:r w:rsidRPr="00811DE8">
        <w:rPr>
          <w:rStyle w:val="underline"/>
        </w:rPr>
        <w:t>I remember listening to a lecture a few years ago given by Tom Goodnight at the University summer debate camp</w:t>
      </w:r>
      <w:r w:rsidRPr="00811DE8">
        <w:t xml:space="preserve">.  </w:t>
      </w:r>
      <w:r w:rsidRPr="00811DE8">
        <w:rPr>
          <w:rStyle w:val="underline"/>
        </w:rPr>
        <w:t>Goodnight lamented what he saw as the debate community's participation in, and unthinking perpetuation of what he termed the "death culture</w:t>
      </w:r>
      <w:r w:rsidRPr="00811DE8">
        <w:rPr>
          <w:b/>
        </w:rPr>
        <w:t>." </w:t>
      </w:r>
      <w:r w:rsidRPr="00811DE8">
        <w:t xml:space="preserve"> He argued that </w:t>
      </w:r>
      <w:r w:rsidRPr="00811DE8">
        <w:rPr>
          <w:rStyle w:val="underline"/>
        </w:rPr>
        <w:t>the embracing of "big impact" arguments</w:t>
      </w:r>
      <w:r w:rsidRPr="00811DE8">
        <w:t>--</w:t>
      </w:r>
      <w:r w:rsidRPr="00811DE8">
        <w:rPr>
          <w:rStyle w:val="underline"/>
        </w:rPr>
        <w:t>nuclear war, environmental destruction, genocide, famine, and the like-by debaters and coaches signals a morbid and detached fascination with such events, one that views these real human tragedies as part of a "game" in which so-called "objective and neutral" advocates actively seek to find in their research the "impact to outweigh all other impacts</w:t>
      </w:r>
      <w:r w:rsidRPr="00811DE8">
        <w:t>"--</w:t>
      </w:r>
      <w:r w:rsidRPr="00811DE8">
        <w:rPr>
          <w:rStyle w:val="underline"/>
        </w:rPr>
        <w:t>the round-winning argument that will carry them to their goal of winning tournament X, Y, or Z</w:t>
      </w:r>
      <w:r w:rsidRPr="00811DE8">
        <w:t xml:space="preserve">. </w:t>
      </w:r>
      <w:r w:rsidRPr="00811DE8">
        <w:rPr>
          <w:rStyle w:val="underline"/>
        </w:rPr>
        <w:t>He concluded that our "use" of such events in this way is tantamount to a celebration of them; our detached, rational discussions reinforce a detached, rational viewpoint, when emotional and moral outrage may be a more appropriate response</w:t>
      </w:r>
      <w:r w:rsidRPr="00811DE8">
        <w:t xml:space="preserve">.  In the last few years, </w:t>
      </w:r>
      <w:r w:rsidRPr="00811DE8">
        <w:rPr>
          <w:rStyle w:val="underline"/>
        </w:rPr>
        <w:t>my academic research has led me to be persuaded by Goodnight's unspoken assumption</w:t>
      </w:r>
      <w:r w:rsidRPr="00811DE8">
        <w:t xml:space="preserve">; </w:t>
      </w:r>
      <w:r w:rsidRPr="00811DE8">
        <w:rPr>
          <w:rStyle w:val="underline"/>
        </w:rPr>
        <w:t>language is not merely some transparent tool used to transmit information, but rather is an incredibly powerful medium, the use of which inevitably has real political and material consequences</w:t>
      </w:r>
      <w:r w:rsidRPr="00811DE8">
        <w:t xml:space="preserve">. Given this assumption, I believe that </w:t>
      </w:r>
      <w:r w:rsidRPr="00811DE8">
        <w:rPr>
          <w:rStyle w:val="underline"/>
        </w:rPr>
        <w:t>it is important for us to examine the "discourse of debate practice:" that is, the language, discourses, and meanings that we, as a community of debaters and coaches, unthinkingly employ in academic debate</w:t>
      </w:r>
      <w:r w:rsidRPr="00811DE8">
        <w:t xml:space="preserve">.  </w:t>
      </w:r>
      <w:r w:rsidRPr="00811DE8">
        <w:rPr>
          <w:rStyle w:val="underline"/>
        </w:rPr>
        <w:t xml:space="preserve">If it is the case that the language we use has real implications for how we view the world, how we view others, and how we act in the world, then </w:t>
      </w:r>
      <w:r w:rsidRPr="00811DE8">
        <w:rPr>
          <w:rStyle w:val="underline"/>
          <w:sz w:val="28"/>
        </w:rPr>
        <w:t>it is imperative that we critically examine our own discourse practices with an eye to how our language does violence to others</w:t>
      </w:r>
      <w:r w:rsidRPr="00811DE8">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w:t>
      </w:r>
      <w:r w:rsidRPr="00811DE8">
        <w:rPr>
          <w:rStyle w:val="underline"/>
        </w:rPr>
        <w:t>As members of this community, however, we have great freedom to define it in whatever ways we see fit.  After all, what is debate except a collection of shared understandings and explicit or implicit rules for interaction?</w:t>
      </w:r>
      <w:r w:rsidRPr="00811DE8">
        <w:t xml:space="preserve">  </w:t>
      </w:r>
      <w:r w:rsidRPr="00811DE8">
        <w:rPr>
          <w:rStyle w:val="underline"/>
        </w:rPr>
        <w:t>What I am calling for is a critical examination of how we, as individual members of this community, characterize our activity, ourselves, and our interactions with others through language</w:t>
      </w:r>
      <w:r w:rsidRPr="00811DE8">
        <w:t xml:space="preserv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w:t>
      </w:r>
      <w:r w:rsidRPr="00811DE8">
        <w:rPr>
          <w:rStyle w:val="underline"/>
        </w:rPr>
        <w:t>it is not acceptable anymore for us to go along as we always have, assuming that things will straighten themselves out</w:t>
      </w:r>
      <w:r w:rsidRPr="00811DE8">
        <w:t xml:space="preserve">. If the rioting in Los Angeles taught us anything, it is that </w:t>
      </w:r>
      <w:r w:rsidRPr="00811DE8">
        <w:rPr>
          <w:rStyle w:val="underline"/>
        </w:rPr>
        <w:t>complacency breeds resentment and frustration</w:t>
      </w:r>
      <w:r w:rsidRPr="00811DE8">
        <w:t xml:space="preserve">.  </w:t>
      </w:r>
      <w:r w:rsidRPr="00811DE8">
        <w:rPr>
          <w:rStyle w:val="underline"/>
        </w:rPr>
        <w:t>We may not be able to change the world, but we can change our own community, and if we fail to do so, we give up the only real power that we have</w:t>
      </w:r>
      <w:r w:rsidRPr="00811DE8">
        <w:t>.</w:t>
      </w:r>
    </w:p>
    <w:p w:rsidR="00811DE8" w:rsidRDefault="00811DE8" w:rsidP="00811DE8">
      <w:pPr>
        <w:pStyle w:val="Heading4"/>
      </w:pPr>
      <w:r w:rsidRPr="008A4B22">
        <w:br w:type="column"/>
      </w:r>
      <w:r>
        <w:t>Multifaceted identity politics is key- they can’t solve without acknowledging other forms of oppression</w:t>
      </w:r>
    </w:p>
    <w:p w:rsidR="00811DE8" w:rsidRDefault="00811DE8" w:rsidP="00811DE8">
      <w:r w:rsidRPr="00DA5B97">
        <w:rPr>
          <w:rStyle w:val="StyleStyleBold12pt"/>
        </w:rPr>
        <w:t>Chun et. al 13</w:t>
      </w:r>
      <w:r w:rsidRPr="00DA5B97">
        <w:t xml:space="preserve"> (Jennifer Jihye - Department of Sociology @ the U of Toronto Scarborough, George Lipsitz - Department of Sociology and Department of Black Studies @ UC Santa Barbara, Young Shin - Asian Immigrant Women Advocates, "Intersectionality as a Social Movement StrategyL Asian Immigrant Women Advocates," Signs, Vol. 38 No. 4, Intersectionality: Theorizing Power, Empowering Theory, (Summer 2013), pp. 917-940)</w:t>
      </w:r>
    </w:p>
    <w:p w:rsidR="00811DE8" w:rsidRDefault="00811DE8" w:rsidP="00811DE8">
      <w:pPr>
        <w:rPr>
          <w:u w:val="single"/>
        </w:rPr>
      </w:pPr>
      <w:r w:rsidRPr="000423B9">
        <w:rPr>
          <w:sz w:val="16"/>
        </w:rPr>
        <w:t xml:space="preserve">In both academics and activism, the concept of </w:t>
      </w:r>
      <w:r w:rsidRPr="000423B9">
        <w:rPr>
          <w:u w:val="single"/>
        </w:rPr>
        <w:t xml:space="preserve">intersectionality </w:t>
      </w:r>
      <w:r w:rsidRPr="000423B9">
        <w:rPr>
          <w:sz w:val="16"/>
        </w:rPr>
        <w:t xml:space="preserve">can be used to clear up the confusions about sameness and difference that dominant ways of knowing both permit and promote. It </w:t>
      </w:r>
      <w:r w:rsidRPr="000423B9">
        <w:rPr>
          <w:u w:val="single"/>
        </w:rPr>
        <w:t>can be a tool for refining understanding of the relationships that link individuals to social groups</w:t>
      </w:r>
      <w:r w:rsidRPr="000423B9">
        <w:rPr>
          <w:sz w:val="16"/>
        </w:rPr>
        <w:t xml:space="preserve">. </w:t>
      </w:r>
      <w:r w:rsidRPr="000423B9">
        <w:rPr>
          <w:u w:val="single"/>
        </w:rPr>
        <w:t>No individual lives every aspect of his or her existence within a single identity category</w:t>
      </w:r>
      <w:r w:rsidRPr="000423B9">
        <w:rPr>
          <w:sz w:val="16"/>
        </w:rPr>
        <w:t xml:space="preserve">. </w:t>
      </w:r>
      <w:r w:rsidRPr="000423B9">
        <w:rPr>
          <w:u w:val="single"/>
        </w:rPr>
        <w:t>Every person is a crowd, characterized by multiple identities</w:t>
      </w:r>
      <w:r w:rsidRPr="000423B9">
        <w:rPr>
          <w:sz w:val="16"/>
        </w:rPr>
        <w:t xml:space="preserve">, identifications, and allegiances. Yet the process of racial formation set in motion by dominant racial projects brings individuals together in particular groups with shared and linked fates ð Omi and Winant 1994 Þ . </w:t>
      </w:r>
      <w:r w:rsidRPr="000423B9">
        <w:rPr>
          <w:rStyle w:val="StyleBoldUnderline"/>
        </w:rPr>
        <w:t>Collective political struggle requires the creation of strategic group positions adaptable to forging coalitions within and across identity groups.</w:t>
      </w:r>
      <w:r w:rsidRPr="000423B9">
        <w:rPr>
          <w:u w:val="single"/>
        </w:rPr>
        <w:t xml:space="preserve"> </w:t>
      </w:r>
      <w:r w:rsidRPr="000423B9">
        <w:rPr>
          <w:sz w:val="16"/>
        </w:rPr>
        <w:t xml:space="preserve">These positions are always partial, perspectival, and performative. They never encompass all dimensions of people’s identities. Yet as an analytic tool </w:t>
      </w:r>
      <w:r w:rsidRPr="000423B9">
        <w:rPr>
          <w:u w:val="single"/>
        </w:rPr>
        <w:t>intersectionality can be used strategically to take inventory of differences, to identify potential contradictions and conflicts, and to recognize split and conflicting identities not as obstacles to solidarity but as valuable evidence about problems unsolved and as new coalitions that need to be formed</w:t>
      </w:r>
      <w:r w:rsidRPr="000423B9">
        <w:rPr>
          <w:sz w:val="16"/>
        </w:rPr>
        <w:t xml:space="preserve">. Group identities are vital for collective mobilizations for rights, resources, and recognition, yet </w:t>
      </w:r>
      <w:r w:rsidRPr="000423B9">
        <w:rPr>
          <w:rStyle w:val="StyleBoldUnderline"/>
        </w:rPr>
        <w:t>every collective identity expressed through solidarities of sameness runs the risk of occluding differences within the group</w:t>
      </w:r>
      <w:r w:rsidRPr="000423B9">
        <w:rPr>
          <w:sz w:val="16"/>
        </w:rPr>
        <w:t xml:space="preserve">. In its most sophisticated articulations, intersectionality acknowledges both the plurality and diversity of identities that comprise any group and the common concerns that create aggregate identities. In Crenshaw’s deft formulation, the utility of intersectionality flows from its ability to mediate “the tension between assertions of multiple identity and the ongoing necessity of group politics” ð 1991, 1296 Þ . </w:t>
      </w:r>
      <w:r w:rsidRPr="000423B9">
        <w:rPr>
          <w:rStyle w:val="StyleBoldUnderline"/>
        </w:rPr>
        <w:t>Without intersectionality, group unity threatens to degenerate into a compulsory uniformity that benefits some members of the group at the expense of others.</w:t>
      </w:r>
      <w:r w:rsidRPr="000423B9">
        <w:rPr>
          <w:sz w:val="16"/>
        </w:rPr>
        <w:t xml:space="preserve"> For example, employment opportunities and promotions for Black workers do not necessarily provide justice for Black women. Anti- racist organizing can be uncritical about misogyny. Homophobia can seep into feminist and antiracist mobilizations alike, while race and class privilege can be unexamined within queer politics. Still, </w:t>
      </w:r>
      <w:r w:rsidRPr="000423B9">
        <w:rPr>
          <w:u w:val="single"/>
        </w:rPr>
        <w:t>Crenshaw does not advocate the abandonment of identity categories and the embrace of a disembodied universalism</w:t>
      </w:r>
      <w:r w:rsidRPr="000423B9">
        <w:rPr>
          <w:sz w:val="16"/>
        </w:rPr>
        <w:t xml:space="preserve">. Instead, </w:t>
      </w:r>
      <w:r w:rsidRPr="000423B9">
        <w:rPr>
          <w:u w:val="single"/>
        </w:rPr>
        <w:t>she recognizes that identities can contain situated knowledges with valuable vantage points on power</w:t>
      </w:r>
      <w:r w:rsidRPr="000423B9">
        <w:rPr>
          <w:sz w:val="16"/>
        </w:rPr>
        <w:t xml:space="preserve">. In the tradition of Aime ́ Cesaire, </w:t>
      </w:r>
      <w:r w:rsidRPr="000423B9">
        <w:rPr>
          <w:u w:val="single"/>
        </w:rPr>
        <w:t xml:space="preserve">she </w:t>
      </w:r>
      <w:r w:rsidRPr="000423B9">
        <w:rPr>
          <w:rStyle w:val="StyleBoldUnderline"/>
        </w:rPr>
        <w:t>rejects both parochial particularism and disembodied universalism</w:t>
      </w:r>
      <w:r w:rsidRPr="000423B9">
        <w:rPr>
          <w:sz w:val="16"/>
        </w:rPr>
        <w:t xml:space="preserve">. Instead, </w:t>
      </w:r>
      <w:r w:rsidRPr="000423B9">
        <w:rPr>
          <w:u w:val="single"/>
        </w:rPr>
        <w:t>she argues for a “universal” that is contingent, provisional, and rich with particulars, that entails the dialogue of all</w:t>
      </w:r>
      <w:r w:rsidRPr="000423B9">
        <w:rPr>
          <w:sz w:val="16"/>
        </w:rPr>
        <w:t xml:space="preserve">, the autonomy of each, and the dictatorship of none ð Cesaire 2000, 25 – 26 Þ . Crenshaw’s intersectionality promotes struggles that are race-based but not race-bound, feminist but not essentialist, always pro-Black and pro-woman but never only pro-Black and pro-woman. </w:t>
      </w:r>
      <w:r w:rsidRPr="000423B9">
        <w:rPr>
          <w:u w:val="single"/>
        </w:rPr>
        <w:t xml:space="preserve">Seeking unity without uniformity, mobilizing identities without demanding that people be identical, intersectionality matters </w:t>
      </w:r>
      <w:r w:rsidRPr="000423B9">
        <w:rPr>
          <w:sz w:val="16"/>
        </w:rPr>
        <w:t xml:space="preserve">from Crenshaw’s perspective </w:t>
      </w:r>
      <w:r w:rsidRPr="000423B9">
        <w:rPr>
          <w:u w:val="single"/>
        </w:rPr>
        <w:t>because it is an indispensible tool for creating new democratic institutions, identities, and practices.</w:t>
      </w:r>
      <w:r w:rsidRPr="00A16A12">
        <w:rPr>
          <w:u w:val="single"/>
        </w:rPr>
        <w:t xml:space="preserve"> </w:t>
      </w:r>
    </w:p>
    <w:p w:rsidR="00811DE8" w:rsidRPr="00A867E8" w:rsidRDefault="00811DE8" w:rsidP="00811DE8"/>
    <w:p w:rsidR="009E0A60" w:rsidRPr="00F65282" w:rsidRDefault="009E0A60" w:rsidP="009E0A60">
      <w:pPr>
        <w:pStyle w:val="Heading4"/>
        <w:rPr>
          <w:b w:val="0"/>
          <w:u w:val="single"/>
          <w:lang w:eastAsia="zh-TW"/>
        </w:rPr>
      </w:pPr>
      <w:r w:rsidRPr="00811DE8">
        <w:rPr>
          <w:rStyle w:val="StyleStyleBold12pt"/>
          <w:b/>
          <w:iCs w:val="0"/>
          <w:sz w:val="24"/>
        </w:rPr>
        <w:t>Framework</w:t>
      </w:r>
      <w:r w:rsidRPr="00035CD9">
        <w:rPr>
          <w:rFonts w:eastAsia="Calibri" w:cs="Times New Roman"/>
        </w:rPr>
        <w:t xml:space="preserve"> uses masculine </w:t>
      </w:r>
      <w:r>
        <w:rPr>
          <w:rFonts w:eastAsia="Calibri" w:cs="Times New Roman"/>
        </w:rPr>
        <w:t xml:space="preserve">claims of rationality </w:t>
      </w:r>
      <w:r w:rsidRPr="00035CD9">
        <w:rPr>
          <w:rFonts w:eastAsia="Calibri" w:cs="Times New Roman"/>
        </w:rPr>
        <w:t xml:space="preserve">to determine what knowledge is legitimate for public debate pushing unproductive </w:t>
      </w:r>
      <w:r>
        <w:rPr>
          <w:rFonts w:eastAsia="Calibri" w:cs="Times New Roman"/>
        </w:rPr>
        <w:t xml:space="preserve">knowledge to the private sphere </w:t>
      </w:r>
      <w:r w:rsidRPr="00035CD9">
        <w:rPr>
          <w:rFonts w:eastAsia="Calibri" w:cs="Times New Roman"/>
        </w:rPr>
        <w:t>–</w:t>
      </w:r>
      <w:r>
        <w:rPr>
          <w:rFonts w:eastAsia="Calibri" w:cs="Times New Roman"/>
        </w:rPr>
        <w:t xml:space="preserve"> T</w:t>
      </w:r>
      <w:r w:rsidRPr="00035CD9">
        <w:rPr>
          <w:rFonts w:eastAsia="Calibri" w:cs="Times New Roman"/>
        </w:rPr>
        <w:t xml:space="preserve">here is only a risk </w:t>
      </w:r>
      <w:r>
        <w:rPr>
          <w:rFonts w:eastAsia="Calibri" w:cs="Times New Roman"/>
        </w:rPr>
        <w:t>that interruptions like the affirmative</w:t>
      </w:r>
      <w:r w:rsidRPr="00035CD9">
        <w:rPr>
          <w:rFonts w:eastAsia="Calibri" w:cs="Times New Roman"/>
        </w:rPr>
        <w:t xml:space="preserve"> are able to reclaim the public s</w:t>
      </w:r>
      <w:r>
        <w:rPr>
          <w:rFonts w:eastAsia="Calibri" w:cs="Times New Roman"/>
        </w:rPr>
        <w:t xml:space="preserve">phere </w:t>
      </w:r>
    </w:p>
    <w:p w:rsidR="009E0A60" w:rsidRPr="00C12C36" w:rsidRDefault="009E0A60" w:rsidP="009E0A60">
      <w:pPr>
        <w:rPr>
          <w:rStyle w:val="StyleStyleBold12pt"/>
        </w:rPr>
      </w:pPr>
      <w:r w:rsidRPr="00C12C36">
        <w:rPr>
          <w:rStyle w:val="StyleStyleBold12pt"/>
        </w:rPr>
        <w:t>Peterson in 2000</w:t>
      </w:r>
    </w:p>
    <w:p w:rsidR="009E0A60" w:rsidRPr="003D66D0" w:rsidRDefault="009E0A60" w:rsidP="009E0A60">
      <w:pPr>
        <w:rPr>
          <w:rFonts w:eastAsia="Calibri"/>
        </w:rPr>
      </w:pPr>
      <w:r w:rsidRPr="003D66D0">
        <w:rPr>
          <w:rFonts w:eastAsia="Calibri"/>
        </w:rPr>
        <w:t xml:space="preserve">V. Spike Peterson. “Rereading Public and Private: The Dichotomy that is Not One1” SAIS Review. Vol 20, Num </w:t>
      </w:r>
      <w:r>
        <w:rPr>
          <w:rFonts w:eastAsia="Calibri"/>
        </w:rPr>
        <w:t xml:space="preserve">2. Pp 11-29. Summer-Fall 2000. </w:t>
      </w:r>
    </w:p>
    <w:p w:rsidR="009E0A60" w:rsidRDefault="009E0A60" w:rsidP="009E0A60">
      <w:pPr>
        <w:rPr>
          <w:rFonts w:eastAsia="Calibri"/>
        </w:rPr>
      </w:pPr>
      <w:r w:rsidRPr="003D66D0">
        <w:rPr>
          <w:rFonts w:eastAsia="Calibri"/>
        </w:rPr>
        <w:t xml:space="preserve"> In Homer and Thucydides, </w:t>
      </w:r>
      <w:r w:rsidRPr="003D66D0">
        <w:rPr>
          <w:rFonts w:eastAsia="Calibri"/>
          <w:b/>
          <w:u w:val="single"/>
        </w:rPr>
        <w:t>the meanings of public and private are delineated in relation to the demands of war and the moral  dilemmas they pose.</w:t>
      </w:r>
      <w:r w:rsidRPr="003D66D0">
        <w:rPr>
          <w:rFonts w:eastAsia="Calibri"/>
        </w:rPr>
        <w:t xml:space="preserve"> In this sense</w:t>
      </w:r>
      <w:r w:rsidRPr="003D66D0">
        <w:rPr>
          <w:rFonts w:eastAsia="Calibri"/>
          <w:b/>
          <w:u w:val="single"/>
        </w:rPr>
        <w:t>, their accounts link the state’s  external affairs to “impossible” internal dilemmas.</w:t>
      </w:r>
      <w:r w:rsidRPr="003D66D0">
        <w:rPr>
          <w:rFonts w:eastAsia="Calibri"/>
        </w:rPr>
        <w:t xml:space="preserve"> In contrast, the  most familiar account of public and private, provided by Aristotle,  avoids the question of war and external affairs. Instead of a tragic  choice between competing but parallel claims to loyalty, </w:t>
      </w:r>
      <w:r w:rsidRPr="003D66D0">
        <w:rPr>
          <w:rFonts w:eastAsia="Calibri"/>
          <w:b/>
          <w:u w:val="single"/>
        </w:rPr>
        <w:t>Aristotle  “resolves” the dilemma by privileging the public sphere over the  private.</w:t>
      </w:r>
      <w:r w:rsidRPr="003D66D0">
        <w:rPr>
          <w:rFonts w:eastAsia="Calibri"/>
        </w:rPr>
        <w:t xml:space="preserve"> </w:t>
      </w:r>
      <w:r w:rsidRPr="00BB3F59">
        <w:rPr>
          <w:rFonts w:eastAsia="Calibri"/>
        </w:rPr>
        <w:t xml:space="preserve">Here, </w:t>
      </w:r>
      <w:r w:rsidRPr="00BB3F59">
        <w:rPr>
          <w:rFonts w:eastAsia="Calibri"/>
          <w:b/>
          <w:u w:val="single"/>
        </w:rPr>
        <w:t>the public realm of politics constitutes the highest  association, a realm of freedom and equality, where citizens pursue  the good life. This higher realm depends upon but encompasses the  private sphere, which is characterized not by freedom but necessity,  and involves not equal but naturally hierarchical relationships.</w:t>
      </w:r>
      <w:r w:rsidRPr="00BB3F59">
        <w:rPr>
          <w:rFonts w:eastAsia="Calibri"/>
        </w:rPr>
        <w:t xml:space="preserve"> In  this account</w:t>
      </w:r>
      <w:r w:rsidRPr="00BB3F59">
        <w:rPr>
          <w:rFonts w:eastAsia="Calibri"/>
          <w:b/>
          <w:u w:val="single"/>
        </w:rPr>
        <w:t>, the public sphere of free, equal, reasoning citizens is  masculinized by the exclusion of women and feminized  characteristics, while the private sphere of contingency, inequality,  and emotional attachments is feminized by the relegation of women  and characteristics of femininity to it. This is the “model” of public and private most frequently  assumed in the Western tradition of social and political theory.</w:t>
      </w:r>
      <w:r w:rsidRPr="00BB3F59">
        <w:rPr>
          <w:rFonts w:eastAsia="Calibri"/>
        </w:rPr>
        <w:t xml:space="preserve">  </w:t>
      </w:r>
      <w:r w:rsidRPr="00BB3F59">
        <w:rPr>
          <w:rFonts w:eastAsia="Calibri"/>
          <w:b/>
          <w:u w:val="single"/>
        </w:rPr>
        <w:t>Arguably its greatest significance is in defining the boundary and  elevating the status of “politics”: the dichotomy distinguishes what  is deemed political and therefore what is politicized. That which is  associated with the private sphere is denied the status of being  political, hence, denied the important sense of being contingent</w:t>
      </w:r>
      <w:r w:rsidRPr="00BB3F59">
        <w:rPr>
          <w:rFonts w:eastAsia="Calibri"/>
        </w:rPr>
        <w:t xml:space="preserve"> (not  given), contestable (not fixed), </w:t>
      </w:r>
      <w:r w:rsidRPr="00BB3F59">
        <w:rPr>
          <w:rFonts w:eastAsia="Calibri"/>
          <w:b/>
          <w:u w:val="single"/>
        </w:rPr>
        <w:t>and of collective interest</w:t>
      </w:r>
      <w:r w:rsidRPr="00BB3F59">
        <w:rPr>
          <w:rFonts w:eastAsia="Calibri"/>
        </w:rPr>
        <w:t xml:space="preserve"> (not simply  personal). </w:t>
      </w:r>
      <w:r w:rsidRPr="00BB3F59">
        <w:rPr>
          <w:rFonts w:eastAsia="Calibri"/>
          <w:b/>
          <w:u w:val="single"/>
        </w:rPr>
        <w:t>Not only do we inherit a bounded domain of citizenship  and political power, but we also inherit a subordinated sphere of  naturalized inequality.</w:t>
      </w:r>
      <w:r w:rsidRPr="00BB3F59">
        <w:rPr>
          <w:rFonts w:eastAsia="Calibri"/>
        </w:rPr>
        <w:t xml:space="preserve"> Or so we assume. What Aristotle intended is  the subject of ongoing debate, but he is clear about the  interdependence of public and private, which is often lost in modern  accounts.14 This interdependence was both emotional and economic.  The public sphere depended as much on the cultivation of virtue, love,  and emotional attachments15 as it did on the economic productivity  of the oikos (household). Hence, on the one hand, Aristotle’s account  is more complex and less binary than conventionally assumed. On  the other, however, his characterization does establish the hierarchy  of public over</w:t>
      </w:r>
      <w:r w:rsidRPr="003D66D0">
        <w:rPr>
          <w:rFonts w:eastAsia="Calibri"/>
        </w:rPr>
        <w:t xml:space="preserve"> private (and masculine over feminine), and his  avoidance of war and external affairs and omission of (non-oikos)  market exchanges introduce differently problematic simplifications.</w:t>
      </w:r>
      <w:r>
        <w:rPr>
          <w:rFonts w:eastAsia="Calibri"/>
        </w:rPr>
        <w:t xml:space="preserve"> </w:t>
      </w:r>
    </w:p>
    <w:p w:rsidR="00811DE8" w:rsidRPr="00AF5046" w:rsidRDefault="00811DE8" w:rsidP="007A3515"/>
    <w:sectPr w:rsidR="00811DE8"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1776" w:rsidRDefault="00AA1776" w:rsidP="00E46E7E">
      <w:r>
        <w:separator/>
      </w:r>
    </w:p>
  </w:endnote>
  <w:endnote w:type="continuationSeparator" w:id="0">
    <w:p w:rsidR="00AA1776" w:rsidRDefault="00AA177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1776" w:rsidRDefault="00AA1776" w:rsidP="00E46E7E">
      <w:r>
        <w:separator/>
      </w:r>
    </w:p>
  </w:footnote>
  <w:footnote w:type="continuationSeparator" w:id="0">
    <w:p w:rsidR="00AA1776" w:rsidRDefault="00AA1776"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3B9"/>
    <w:rsid w:val="00004A61"/>
    <w:rsid w:val="000140EC"/>
    <w:rsid w:val="00016A35"/>
    <w:rsid w:val="000423B9"/>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11DE8"/>
    <w:rsid w:val="00821415"/>
    <w:rsid w:val="0083768F"/>
    <w:rsid w:val="0091595A"/>
    <w:rsid w:val="009165EA"/>
    <w:rsid w:val="009829F2"/>
    <w:rsid w:val="00993F61"/>
    <w:rsid w:val="009B0746"/>
    <w:rsid w:val="009C198B"/>
    <w:rsid w:val="009D207E"/>
    <w:rsid w:val="009E0A60"/>
    <w:rsid w:val="009E5822"/>
    <w:rsid w:val="009E691A"/>
    <w:rsid w:val="00A074CB"/>
    <w:rsid w:val="00A369C4"/>
    <w:rsid w:val="00A47986"/>
    <w:rsid w:val="00A91A24"/>
    <w:rsid w:val="00AA1776"/>
    <w:rsid w:val="00AC0E99"/>
    <w:rsid w:val="00AF1E67"/>
    <w:rsid w:val="00AF5046"/>
    <w:rsid w:val="00AF70D4"/>
    <w:rsid w:val="00B169A1"/>
    <w:rsid w:val="00B33E0C"/>
    <w:rsid w:val="00B45FE9"/>
    <w:rsid w:val="00B55D49"/>
    <w:rsid w:val="00B65E97"/>
    <w:rsid w:val="00B84180"/>
    <w:rsid w:val="00BB3F59"/>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0A15"/>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F90493F-C4FD-4545-92E5-36EACBB8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D0A1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DD0A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D0A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D0A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D0A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0A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A15"/>
  </w:style>
  <w:style w:type="character" w:styleId="Emphasis">
    <w:name w:val="Emphasis"/>
    <w:aliases w:val="Evidence,Minimized,minimized,Highlighted,tag2,Size 10,emphasis in card,CD Card,ED - Tag,emphasis,Bold Underline,Emphasis!!,Shrunk,Qualifications,bold underline,normal card text,qualifications in card,qualifications,Underlined,small"/>
    <w:basedOn w:val="DefaultParagraphFont"/>
    <w:uiPriority w:val="7"/>
    <w:qFormat/>
    <w:rsid w:val="00DD0A15"/>
    <w:rPr>
      <w:rFonts w:ascii="Calibri" w:hAnsi="Calibri"/>
      <w:b/>
      <w:i w:val="0"/>
      <w:iCs/>
      <w:sz w:val="22"/>
      <w:u w:val="single"/>
      <w:bdr w:val="single" w:sz="12" w:space="0" w:color="auto"/>
    </w:rPr>
  </w:style>
  <w:style w:type="character" w:customStyle="1" w:styleId="Heading1Char">
    <w:name w:val="Heading 1 Char"/>
    <w:aliases w:val="Pocket Char"/>
    <w:basedOn w:val="DefaultParagraphFont"/>
    <w:link w:val="Heading1"/>
    <w:rsid w:val="00DD0A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0A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0A1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D0A15"/>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DD0A15"/>
    <w:rPr>
      <w:b/>
      <w:bCs/>
      <w:sz w:val="26"/>
      <w:u w:val="none"/>
    </w:rPr>
  </w:style>
  <w:style w:type="character" w:customStyle="1" w:styleId="StyleBoldUnderline">
    <w:name w:val="Style Bold Underline"/>
    <w:aliases w:val="Underline,Intense Emphasis1,apple-style-span + 6 pt,Bold,Kern at 16 pt,Intense Emphasis11,Intense Emphasis2,HHeading 3 + 12 pt,Cards + Font: 12 pt Char,Intense Emphasis111,Style,ci,Citation Char Char Char,Bold Cite Char,c,cite,Bo"/>
    <w:basedOn w:val="DefaultParagraphFont"/>
    <w:uiPriority w:val="6"/>
    <w:qFormat/>
    <w:rsid w:val="00DD0A15"/>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D0A15"/>
    <w:rPr>
      <w:color w:val="auto"/>
      <w:u w:val="none"/>
    </w:rPr>
  </w:style>
  <w:style w:type="paragraph" w:customStyle="1" w:styleId="tag">
    <w:name w:val="tag"/>
    <w:basedOn w:val="Normal"/>
    <w:next w:val="Normal"/>
    <w:link w:val="tagChar"/>
    <w:uiPriority w:val="99"/>
    <w:qFormat/>
    <w:rsid w:val="00811DE8"/>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uiPriority w:val="99"/>
    <w:qFormat/>
    <w:rsid w:val="00811DE8"/>
    <w:rPr>
      <w:rFonts w:ascii="Times New Roman" w:eastAsia="Times New Roman" w:hAnsi="Times New Roman" w:cs="Times New Roman"/>
      <w:b/>
      <w:szCs w:val="20"/>
    </w:rPr>
  </w:style>
  <w:style w:type="paragraph" w:customStyle="1" w:styleId="card">
    <w:name w:val="card"/>
    <w:basedOn w:val="Normal"/>
    <w:next w:val="Normal"/>
    <w:link w:val="cardChar"/>
    <w:qFormat/>
    <w:rsid w:val="00811DE8"/>
    <w:pPr>
      <w:ind w:left="288" w:right="288"/>
    </w:pPr>
    <w:rPr>
      <w:rFonts w:ascii="Times New Roman" w:eastAsia="Times New Roman" w:hAnsi="Times New Roman" w:cs="Times New Roman"/>
      <w:sz w:val="20"/>
      <w:szCs w:val="20"/>
    </w:rPr>
  </w:style>
  <w:style w:type="character" w:customStyle="1" w:styleId="cardChar">
    <w:name w:val="card Char"/>
    <w:link w:val="card"/>
    <w:rsid w:val="00811DE8"/>
    <w:rPr>
      <w:rFonts w:ascii="Times New Roman" w:eastAsia="Times New Roman" w:hAnsi="Times New Roman" w:cs="Times New Roman"/>
      <w:sz w:val="20"/>
      <w:szCs w:val="20"/>
    </w:rPr>
  </w:style>
  <w:style w:type="character" w:customStyle="1" w:styleId="underline">
    <w:name w:val="underline"/>
    <w:link w:val="textbold"/>
    <w:qFormat/>
    <w:rsid w:val="00811DE8"/>
    <w:rPr>
      <w:b/>
      <w:u w:val="single"/>
    </w:rPr>
  </w:style>
  <w:style w:type="paragraph" w:customStyle="1" w:styleId="textbold">
    <w:name w:val="text bold"/>
    <w:basedOn w:val="Normal"/>
    <w:link w:val="underline"/>
    <w:qFormat/>
    <w:rsid w:val="00811DE8"/>
    <w:pPr>
      <w:ind w:left="720"/>
      <w:jc w:val="both"/>
    </w:pPr>
    <w:rPr>
      <w:rFonts w:asciiTheme="minorHAnsi" w:eastAsiaTheme="minorEastAsia" w:hAnsiTheme="minorHAnsi"/>
      <w:b/>
      <w:sz w:val="24"/>
      <w:szCs w:val="24"/>
      <w:u w:val="single"/>
    </w:rPr>
  </w:style>
  <w:style w:type="character" w:styleId="FollowedHyperlink">
    <w:name w:val="FollowedHyperlink"/>
    <w:basedOn w:val="DefaultParagraphFont"/>
    <w:uiPriority w:val="99"/>
    <w:semiHidden/>
    <w:unhideWhenUsed/>
    <w:rsid w:val="00DD0A1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4211</Words>
  <Characters>24008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Cusick</dc:creator>
  <cp:keywords/>
  <dc:description/>
  <cp:lastModifiedBy>16FTomasino</cp:lastModifiedBy>
  <cp:revision>2</cp:revision>
  <dcterms:created xsi:type="dcterms:W3CDTF">2014-08-03T03:27:00Z</dcterms:created>
  <dcterms:modified xsi:type="dcterms:W3CDTF">2014-08-03T03:27:00Z</dcterms:modified>
</cp:coreProperties>
</file>