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0B5" w:rsidRDefault="003D40B5" w:rsidP="003D40B5">
      <w:pPr>
        <w:pStyle w:val="Heading1"/>
      </w:pPr>
      <w:r>
        <w:t>Negative</w:t>
      </w:r>
    </w:p>
    <w:p w:rsidR="003B6415" w:rsidRDefault="003B6415" w:rsidP="003B6415"/>
    <w:p w:rsidR="003B6415" w:rsidRDefault="003B6415" w:rsidP="003B6415">
      <w:pPr>
        <w:pStyle w:val="Heading2"/>
      </w:pPr>
      <w:r>
        <w:lastRenderedPageBreak/>
        <w:t>Its</w:t>
      </w:r>
    </w:p>
    <w:p w:rsidR="003B6415" w:rsidRPr="003B6415" w:rsidRDefault="003B6415" w:rsidP="003B6415"/>
    <w:p w:rsidR="00A95652" w:rsidRDefault="003D40B5" w:rsidP="003D40B5">
      <w:pPr>
        <w:pStyle w:val="Heading3"/>
      </w:pPr>
      <w:r>
        <w:lastRenderedPageBreak/>
        <w:t>Federal/private development distinct</w:t>
      </w:r>
    </w:p>
    <w:p w:rsidR="00E97362" w:rsidRDefault="00A67392" w:rsidP="008B12D2">
      <w:pPr>
        <w:pStyle w:val="Heading4"/>
      </w:pPr>
      <w:r>
        <w:t>Federal development is categorically distinct from private development on federal lands – they wrecked negative ground</w:t>
      </w:r>
    </w:p>
    <w:p w:rsidR="00E97362" w:rsidRDefault="00E97362" w:rsidP="008C1B2E">
      <w:r w:rsidRPr="00A67392">
        <w:rPr>
          <w:b/>
        </w:rPr>
        <w:t>Stroup, 14</w:t>
      </w:r>
      <w:r>
        <w:t xml:space="preserve"> - Michael D. Stroup is currently a professor of economics at Stephen F. Austin State University, where he has also served as Associate Dean of the </w:t>
      </w:r>
      <w:proofErr w:type="spellStart"/>
      <w:r>
        <w:t>Rusche</w:t>
      </w:r>
      <w:proofErr w:type="spellEnd"/>
      <w:r>
        <w:t xml:space="preserve"> College of Business (</w:t>
      </w:r>
      <w:r w:rsidR="003E7A89">
        <w:t>“Economics of the 2014-2015 Debate</w:t>
      </w:r>
      <w:r w:rsidR="003D40B5">
        <w:t xml:space="preserve"> </w:t>
      </w:r>
      <w:r w:rsidR="003E7A89">
        <w:t xml:space="preserve">Topic: Developing Ocean Resources” June, </w:t>
      </w:r>
      <w:hyperlink r:id="rId5" w:history="1">
        <w:r w:rsidR="003E7A89" w:rsidRPr="00A002CF">
          <w:rPr>
            <w:rStyle w:val="Hyperlink"/>
          </w:rPr>
          <w:t>www.ncpa.org/pdfs/bg173.pdf</w:t>
        </w:r>
      </w:hyperlink>
      <w:r w:rsidR="003E7A89">
        <w:t>)</w:t>
      </w:r>
    </w:p>
    <w:p w:rsidR="003E7A89" w:rsidRDefault="003E7A89" w:rsidP="008C1B2E"/>
    <w:p w:rsidR="003D40B5" w:rsidRDefault="00A67392" w:rsidP="008C1B2E">
      <w:r>
        <w:t>Some Examples of Inefficient</w:t>
      </w:r>
      <w:r w:rsidR="003D40B5">
        <w:t xml:space="preserve"> </w:t>
      </w:r>
      <w:r>
        <w:t xml:space="preserve">Public Resource Management. </w:t>
      </w:r>
    </w:p>
    <w:p w:rsidR="00A67392" w:rsidRDefault="00A67392" w:rsidP="008C1B2E">
      <w:r>
        <w:t xml:space="preserve">Historically, </w:t>
      </w:r>
      <w:r w:rsidRPr="00A67392">
        <w:rPr>
          <w:rStyle w:val="StyleUnderline"/>
        </w:rPr>
        <w:t xml:space="preserve">federal development of natural resources on federal lands </w:t>
      </w:r>
      <w:r w:rsidRPr="003D40B5">
        <w:t xml:space="preserve">has received much political support. However, economic theory over the last few decades has begun to recognize and document the inefficiencies of resource management practices on federal lands. </w:t>
      </w:r>
      <w:r>
        <w:t>For example, Alexander Annett examined federal resource management and found many examples of the government itself reporting on its own resource development inefficiencies. For instance:</w:t>
      </w:r>
    </w:p>
    <w:p w:rsidR="00A67392" w:rsidRDefault="00A67392" w:rsidP="008C1B2E">
      <w:r>
        <w:rPr>
          <w:rFonts w:ascii="Arial" w:hAnsi="Arial" w:cs="Arial"/>
        </w:rPr>
        <w:t>■</w:t>
      </w:r>
      <w:r>
        <w:t xml:space="preserve"> The U.S. General Accounting Office (GAO) reported that, in 1999, all federal land agencies together amassed a backlog of unresolved resource maintenance problems totaling about $12 billion. This is an example of the resource users avoiding the full cost of making poor decisions that diminish resource values by sharing these costs across U.S. taxpayers.</w:t>
      </w:r>
    </w:p>
    <w:p w:rsidR="00A67392" w:rsidRDefault="00A67392" w:rsidP="008C1B2E">
      <w:r>
        <w:rPr>
          <w:rFonts w:ascii="Arial" w:hAnsi="Arial" w:cs="Arial"/>
        </w:rPr>
        <w:t>■</w:t>
      </w:r>
      <w:r>
        <w:t xml:space="preserve"> The Inspector General of the U.S. Department of Agriculture found “pervasive errors” in the accounting and financial reporting processes of the U.S. Forest Service. This is an example of not using trustworthy and accurate cost estimates to make good resource development decisions when the developer’s personal funds are not at risk.</w:t>
      </w:r>
    </w:p>
    <w:p w:rsidR="00A67392" w:rsidRDefault="00A67392" w:rsidP="008C1B2E">
      <w:r>
        <w:rPr>
          <w:rFonts w:ascii="Arial" w:hAnsi="Arial" w:cs="Arial"/>
        </w:rPr>
        <w:t>■</w:t>
      </w:r>
      <w:r>
        <w:t xml:space="preserve"> A 1999 Congressional Budget Office (CBO) report addressed a request by the major federal land management agencies to expand their management practices to greater swaths of public lands. The CBO suggested that “environmental objectives such as habitat protection… might be best met by improving the quality of management in currently held areas, rather than trying to manage an even larger domain.” It appears </w:t>
      </w:r>
      <w:r w:rsidRPr="003D40B5">
        <w:t>the CBO recognized that further centralization of resource development</w:t>
      </w:r>
      <w:r w:rsidRPr="00A67392">
        <w:rPr>
          <w:rStyle w:val="StyleUnderline"/>
        </w:rPr>
        <w:t xml:space="preserve"> would produce less efficient</w:t>
      </w:r>
      <w:r>
        <w:t xml:space="preserve">, rather than more efficient, </w:t>
      </w:r>
      <w:r w:rsidRPr="00A67392">
        <w:rPr>
          <w:rStyle w:val="StyleUnderline"/>
        </w:rPr>
        <w:t>resource development.</w:t>
      </w:r>
    </w:p>
    <w:p w:rsidR="00A67392" w:rsidRDefault="00A67392" w:rsidP="008C1B2E">
      <w:r>
        <w:t>Public Resource Managers Do Not Face Effective Incentives.</w:t>
      </w:r>
    </w:p>
    <w:p w:rsidR="00A67392" w:rsidRDefault="00A67392" w:rsidP="008C1B2E">
      <w:r>
        <w:t>Clearly, public-sector managers of the country’s natural resources do not face the same incentive structure as private resource owners when trying to develop resources efficiently. In fact, they are insulated from the same incentives facing private resource developers. For example:</w:t>
      </w:r>
    </w:p>
    <w:p w:rsidR="00A67392" w:rsidRDefault="00A67392" w:rsidP="008C1B2E">
      <w:r>
        <w:rPr>
          <w:rFonts w:ascii="Arial" w:hAnsi="Arial" w:cs="Arial"/>
        </w:rPr>
        <w:t>■</w:t>
      </w:r>
      <w:r>
        <w:t xml:space="preserve"> Public resource managers are not allowed to enjoy the full benefits from making good resource development decisions that raise the market value of the resource. It is perceived as unethical for public resource managers to seek private gains from public resource use.</w:t>
      </w:r>
    </w:p>
    <w:p w:rsidR="00A67392" w:rsidRDefault="00A67392" w:rsidP="008C1B2E">
      <w:r>
        <w:rPr>
          <w:rFonts w:ascii="Arial" w:hAnsi="Arial" w:cs="Arial"/>
        </w:rPr>
        <w:t>■</w:t>
      </w:r>
      <w:r>
        <w:t xml:space="preserve"> Public resource managers are not forced to bear the full costs of making bad resource development decisions that lower the value of the resource. The public resource manager is insulated from making bad resource development decisions, because any resulting losses from diminished resource values are shared across all of the taxpayers.</w:t>
      </w:r>
    </w:p>
    <w:p w:rsidR="00A67392" w:rsidRDefault="00A67392" w:rsidP="008C1B2E">
      <w:r>
        <w:rPr>
          <w:rFonts w:ascii="Arial" w:hAnsi="Arial" w:cs="Arial"/>
        </w:rPr>
        <w:t>■</w:t>
      </w:r>
      <w:r>
        <w:t xml:space="preserve"> </w:t>
      </w:r>
      <w:r w:rsidRPr="00A67392">
        <w:rPr>
          <w:rStyle w:val="StyleUnderline"/>
        </w:rPr>
        <w:t>Public resource managers are less likely to explore and discover innovative uses of the resource that enhance its value through entrepreneurial activity</w:t>
      </w:r>
      <w:r>
        <w:t>. The cost and risks of innovation and discovery outweigh the minimal public-sector rewards a public resource manager can expect for making good resource development choices.</w:t>
      </w:r>
    </w:p>
    <w:p w:rsidR="00A67392" w:rsidRDefault="00A67392" w:rsidP="008C1B2E">
      <w:r>
        <w:rPr>
          <w:rFonts w:ascii="Arial" w:hAnsi="Arial" w:cs="Arial"/>
        </w:rPr>
        <w:lastRenderedPageBreak/>
        <w:t>■</w:t>
      </w:r>
      <w:r>
        <w:t xml:space="preserve"> Public sector managers are less likely to accurately compare true benefits against true costs. When direct rewards and penalties are not connected to specific resource development decisions, public resource managers are motivated to under-estimate the costs, and exaggerate the benefits, of their development policies. Further, it is difficult for voters or members of Congress — the vast majority of whom are not specialists in the resources being managed — to adequately determine the legitimacy of these claims and determine whether the resource is being developed in a way that enhances its economic value to society.</w:t>
      </w:r>
    </w:p>
    <w:p w:rsidR="00A67392" w:rsidRDefault="00A67392" w:rsidP="008C1B2E">
      <w:r>
        <w:t>Indeed, when public resource managers are insulated from being held directly accountable for the quality of their resource development decisions, they are often perceived as being more effective only when their management scope, program budget and agency staffing continue to grow over time. Non-specialists can only assume that demands for ever more funding and staffing will enable public resource managers to make even better resource development decisions. In other words, failure to support these programs with additional funds and staff is perceived by the public as not adequately caring about the resource development issues that the public sector managers are facing. This misperception provides an incentive for public sector resource managers to artificially inflate the potential benefit measures assigned to their proposed resource development decisions, and to artificially deflate the true cost of taking funding away from other important but competing public sector programs. This strategy helps fund an ever larger scope of operations, which justifies bigger budgets and larger staffing needs.</w:t>
      </w:r>
    </w:p>
    <w:p w:rsidR="007E136E" w:rsidRDefault="007E136E" w:rsidP="008C1B2E">
      <w:r>
        <w:t>Who Owns the Earth’s Ocean Resources?</w:t>
      </w:r>
    </w:p>
    <w:p w:rsidR="007E136E" w:rsidRDefault="007E136E" w:rsidP="008C1B2E">
      <w:r>
        <w:t>It is worth considering to what extent the U.S. federal government retains a claim over the Earth’s ocean resources in a way that is recognized by other nations. Indeed, ownership rights for most of the Earth’s vast ocean resources have not yet been fully defined and globally allocated. International maritime laws have been widely recognized since the 17th century. However, under this global institution, a nation’s ownership rights over ocean resources were limited to a relatively small, three-</w:t>
      </w:r>
      <w:proofErr w:type="spellStart"/>
      <w:r>
        <w:t>nauticalmile</w:t>
      </w:r>
      <w:proofErr w:type="spellEnd"/>
      <w:r>
        <w:t xml:space="preserve"> belt of water extending from a nation’s coastlines. All ocean waters beyond that limit were considered international waters where all nations could navigate and exploit the resources in and under the oceans. For the bulk of the Earth’s vast ocean resources, any claims by private parties or governments have not been broadly recognized. Any development that did occur resulted from a nation’s unilateral claim to that specific resource, backed by observable efforts to extract or otherwise utilize the claimed ocean resource. This perspective reflected the natural law principle of mare </w:t>
      </w:r>
      <w:proofErr w:type="spellStart"/>
      <w:r>
        <w:t>liberum</w:t>
      </w:r>
      <w:proofErr w:type="spellEnd"/>
      <w:r>
        <w:t>.</w:t>
      </w:r>
    </w:p>
    <w:p w:rsidR="007E136E" w:rsidRDefault="007E136E" w:rsidP="008C1B2E">
      <w:r>
        <w:t>The Law of the Sea. More recently, however, international treaties that govern ocean resources along the continental shelf outside of national boundaries have been broadly (but not universally) adopted. The largest, most comprehensive treaty is the United Nations Convention on the Law of the Sea (UNCLOS), established in 1982. However, it has been recognized by only 60 of the over 200 countries around the world. This treaty stipulates that:</w:t>
      </w:r>
    </w:p>
    <w:p w:rsidR="007E136E" w:rsidRDefault="007E136E" w:rsidP="008C1B2E">
      <w:r>
        <w:rPr>
          <w:rFonts w:ascii="Arial" w:hAnsi="Arial" w:cs="Arial"/>
        </w:rPr>
        <w:t>■</w:t>
      </w:r>
      <w:r>
        <w:t xml:space="preserve"> Ownership rights to all ocean resources, from the sea surface down to the seabed and below, are granted to a nation within a roughly a 12-nautical-mile extension of that nation’s coastal boundaries.</w:t>
      </w:r>
    </w:p>
    <w:p w:rsidR="007E136E" w:rsidRDefault="007E136E" w:rsidP="008C1B2E">
      <w:r>
        <w:rPr>
          <w:rFonts w:ascii="Arial" w:hAnsi="Arial" w:cs="Arial"/>
        </w:rPr>
        <w:t>■</w:t>
      </w:r>
      <w:r>
        <w:t xml:space="preserve"> Exclusive Economic Zones (EEZs) are defined as roughly 200 nautical miles from the nation’s costal boundaries. In this zone, the country retains all ocean resource ownership rights, but that country must allow free transit (termed innocent passage) to peaceful ocean transport by all private and government-owned shipping vessels.</w:t>
      </w:r>
    </w:p>
    <w:p w:rsidR="007E136E" w:rsidRDefault="007E136E" w:rsidP="008C1B2E">
      <w:r>
        <w:rPr>
          <w:rFonts w:ascii="Arial" w:hAnsi="Arial" w:cs="Arial"/>
        </w:rPr>
        <w:t>■</w:t>
      </w:r>
      <w:r>
        <w:t xml:space="preserve"> </w:t>
      </w:r>
      <w:proofErr w:type="gramStart"/>
      <w:r>
        <w:t>When</w:t>
      </w:r>
      <w:proofErr w:type="gramEnd"/>
      <w:r>
        <w:t xml:space="preserve"> a nation</w:t>
      </w:r>
      <w:r>
        <w:rPr>
          <w:rFonts w:cs="Calibri"/>
        </w:rPr>
        <w:t>’</w:t>
      </w:r>
      <w:r>
        <w:t>s continental shelf extends beyond its EEZ, that nation has unlimited ownership rights to the nonrenewable resources on and under the seabed, but does not have ownership rights to the renewable resources within the sea or on the seabed.</w:t>
      </w:r>
    </w:p>
    <w:p w:rsidR="00A67392" w:rsidRDefault="007E136E" w:rsidP="008C1B2E">
      <w:r>
        <w:rPr>
          <w:rFonts w:ascii="Arial" w:hAnsi="Arial" w:cs="Arial"/>
        </w:rPr>
        <w:t>■</w:t>
      </w:r>
      <w:r>
        <w:t xml:space="preserve"> Outside the EEZ or continental shelf zone, ownership rights to any renewable or nonrenewable ocean resources are not recognized by any one nation. However, many countries have negotiated various multiparty treaties regarding the renewable resources that transit across neighboring ocean areas. </w:t>
      </w:r>
      <w:r>
        <w:lastRenderedPageBreak/>
        <w:t>Further, some nations have tried to amend UNCLOS to allocate ownership rights to nonrenewable resources within the vast areas of the open ocean. The United States does not currently recognize this amendment.</w:t>
      </w:r>
    </w:p>
    <w:p w:rsidR="007E136E" w:rsidRPr="007E136E" w:rsidRDefault="007E136E" w:rsidP="008C1B2E">
      <w:pPr>
        <w:rPr>
          <w:rStyle w:val="Emphasis"/>
        </w:rPr>
      </w:pPr>
      <w:r w:rsidRPr="007E136E">
        <w:rPr>
          <w:rStyle w:val="Emphasis"/>
        </w:rPr>
        <w:t>Private Development of the Earth’s Ocean Resources is the Best Option</w:t>
      </w:r>
    </w:p>
    <w:p w:rsidR="007E136E" w:rsidRDefault="007E136E" w:rsidP="008C1B2E">
      <w:r>
        <w:t>Aligning private rewards with public interests in resource development would encourage private ocean resource owners to develop these resources to their highest market value</w:t>
      </w:r>
      <w:r w:rsidRPr="007E136E">
        <w:rPr>
          <w:rStyle w:val="StyleUnderline"/>
        </w:rPr>
        <w:t>. This</w:t>
      </w:r>
      <w:r>
        <w:rPr>
          <w:rStyle w:val="StyleUnderline"/>
        </w:rPr>
        <w:t xml:space="preserve"> </w:t>
      </w:r>
      <w:r w:rsidRPr="007E136E">
        <w:rPr>
          <w:rStyle w:val="StyleUnderline"/>
        </w:rPr>
        <w:t>is made possible when the federal</w:t>
      </w:r>
      <w:r>
        <w:rPr>
          <w:rStyle w:val="StyleUnderline"/>
        </w:rPr>
        <w:t xml:space="preserve"> </w:t>
      </w:r>
      <w:r w:rsidRPr="007E136E">
        <w:rPr>
          <w:rStyle w:val="StyleUnderline"/>
        </w:rPr>
        <w:t>government creates innovative</w:t>
      </w:r>
      <w:r>
        <w:rPr>
          <w:rStyle w:val="StyleUnderline"/>
        </w:rPr>
        <w:t xml:space="preserve"> </w:t>
      </w:r>
      <w:r w:rsidRPr="007E136E">
        <w:rPr>
          <w:rStyle w:val="StyleUnderline"/>
        </w:rPr>
        <w:t>institutions that allow for the</w:t>
      </w:r>
      <w:r>
        <w:rPr>
          <w:rStyle w:val="StyleUnderline"/>
        </w:rPr>
        <w:t xml:space="preserve"> </w:t>
      </w:r>
      <w:r w:rsidRPr="007E136E">
        <w:rPr>
          <w:rStyle w:val="StyleUnderline"/>
        </w:rPr>
        <w:t>privatization of common use</w:t>
      </w:r>
      <w:r>
        <w:rPr>
          <w:rStyle w:val="StyleUnderline"/>
        </w:rPr>
        <w:t xml:space="preserve"> </w:t>
      </w:r>
      <w:r w:rsidRPr="007E136E">
        <w:rPr>
          <w:rStyle w:val="StyleUnderline"/>
        </w:rPr>
        <w:t>resource development</w:t>
      </w:r>
      <w:r>
        <w:t>. Indeed, an example can be seen from Burnett’s examination of world fisheries that was discussed earlier. His research reveals that some countries have tried privatizing certain types of fish stocks within their own EEZs. A process for scientifically maintaining a healthy fish stock is used to identify a maximum limit on total annual fish harvests. This total limit is then divided into individual transferable quotas (called ITQs), which are tradable units that can be bought and sold by fishing boat captains in a market exchange.</w:t>
      </w:r>
    </w:p>
    <w:p w:rsidR="007E136E" w:rsidRDefault="007E136E" w:rsidP="008C1B2E"/>
    <w:p w:rsidR="007E136E" w:rsidRDefault="007E136E" w:rsidP="008B12D2">
      <w:pPr>
        <w:pStyle w:val="Heading4"/>
      </w:pPr>
      <w:r>
        <w:t xml:space="preserve">Private vs. federal development are distinct concepts that structure the expectation of </w:t>
      </w:r>
      <w:r w:rsidR="009F1A93">
        <w:t xml:space="preserve">all </w:t>
      </w:r>
      <w:r>
        <w:t>negative ground</w:t>
      </w:r>
    </w:p>
    <w:p w:rsidR="007E136E" w:rsidRDefault="007E136E" w:rsidP="007E136E">
      <w:r w:rsidRPr="00A67392">
        <w:rPr>
          <w:b/>
        </w:rPr>
        <w:t>Stroup, 14</w:t>
      </w:r>
      <w:r>
        <w:t xml:space="preserve"> - Michael D. Stroup is currently a professor of economics at Stephen F. Austin State University, where he has also served as Associate Dean of the </w:t>
      </w:r>
      <w:proofErr w:type="spellStart"/>
      <w:r>
        <w:t>Rusche</w:t>
      </w:r>
      <w:proofErr w:type="spellEnd"/>
      <w:r>
        <w:t xml:space="preserve"> College of Business (“Economics of the 2014-2015 </w:t>
      </w:r>
      <w:proofErr w:type="spellStart"/>
      <w:r>
        <w:t>DebateTopic</w:t>
      </w:r>
      <w:proofErr w:type="spellEnd"/>
      <w:r>
        <w:t xml:space="preserve">: Developing Ocean Resources” June, </w:t>
      </w:r>
      <w:hyperlink r:id="rId6" w:history="1">
        <w:r w:rsidRPr="00A002CF">
          <w:rPr>
            <w:rStyle w:val="Hyperlink"/>
          </w:rPr>
          <w:t>www.ncpa.org/pdfs/bg173.pdf</w:t>
        </w:r>
      </w:hyperlink>
      <w:r>
        <w:t>)</w:t>
      </w:r>
    </w:p>
    <w:p w:rsidR="007E136E" w:rsidRPr="007E136E" w:rsidRDefault="007E136E" w:rsidP="007E136E"/>
    <w:p w:rsidR="007E136E" w:rsidRDefault="007E136E" w:rsidP="008C1B2E">
      <w:r w:rsidRPr="007E136E">
        <w:rPr>
          <w:rStyle w:val="StyleUnderline"/>
        </w:rPr>
        <w:t>A careful examination of</w:t>
      </w:r>
      <w:r>
        <w:rPr>
          <w:rStyle w:val="StyleUnderline"/>
        </w:rPr>
        <w:t xml:space="preserve"> </w:t>
      </w:r>
      <w:r w:rsidRPr="007E136E">
        <w:rPr>
          <w:rStyle w:val="Emphasis"/>
        </w:rPr>
        <w:t>public versus private ocean resource development</w:t>
      </w:r>
      <w:r w:rsidRPr="007E136E">
        <w:rPr>
          <w:rStyle w:val="StyleUnderline"/>
        </w:rPr>
        <w:t xml:space="preserve"> indicates</w:t>
      </w:r>
      <w:r>
        <w:rPr>
          <w:rStyle w:val="StyleUnderline"/>
        </w:rPr>
        <w:t xml:space="preserve"> </w:t>
      </w:r>
      <w:r w:rsidRPr="007E136E">
        <w:rPr>
          <w:rStyle w:val="StyleUnderline"/>
        </w:rPr>
        <w:t>that federal policies for ocean</w:t>
      </w:r>
      <w:r>
        <w:rPr>
          <w:rStyle w:val="StyleUnderline"/>
        </w:rPr>
        <w:t xml:space="preserve"> </w:t>
      </w:r>
      <w:r w:rsidRPr="007E136E">
        <w:rPr>
          <w:rStyle w:val="StyleUnderline"/>
        </w:rPr>
        <w:t xml:space="preserve">resource development should </w:t>
      </w:r>
      <w:r w:rsidRPr="007E136E">
        <w:rPr>
          <w:rStyle w:val="Emphasis"/>
        </w:rPr>
        <w:t>avoid</w:t>
      </w:r>
      <w:r>
        <w:rPr>
          <w:rStyle w:val="Emphasis"/>
        </w:rPr>
        <w:t xml:space="preserve"> </w:t>
      </w:r>
      <w:r w:rsidRPr="007E136E">
        <w:rPr>
          <w:rStyle w:val="Emphasis"/>
        </w:rPr>
        <w:t>direct public management</w:t>
      </w:r>
      <w:r>
        <w:t xml:space="preserve"> of these common use resources. The incentive structure facing public sector resource managers does not align private rewards with the public interest in developing ocean resources to their highest market value. As shown above, even a truly democratic setting can fail to produce economically efficient public resource development practices. </w:t>
      </w:r>
      <w:r w:rsidRPr="007E136E">
        <w:rPr>
          <w:rStyle w:val="StyleUnderline"/>
        </w:rPr>
        <w:t>Instead, the federal government should promote innovative ways to allow private ownership</w:t>
      </w:r>
      <w:r>
        <w:t xml:space="preserve"> over common use ocean resources. </w:t>
      </w:r>
      <w:r w:rsidRPr="007E136E">
        <w:rPr>
          <w:rStyle w:val="StyleUnderline"/>
        </w:rPr>
        <w:t>When private</w:t>
      </w:r>
      <w:r>
        <w:t xml:space="preserve"> resource </w:t>
      </w:r>
      <w:r w:rsidRPr="007E136E">
        <w:rPr>
          <w:rStyle w:val="StyleUnderline"/>
        </w:rPr>
        <w:t>development decisions are made while facing the full potential costs and rewards for enhancing the value of ocean resources, this maximizes the motivation for these resource owners to make development decisions that raise the ocean resource to its highest market value</w:t>
      </w:r>
      <w:r>
        <w:t>.</w:t>
      </w:r>
    </w:p>
    <w:p w:rsidR="007E136E" w:rsidRDefault="007E136E" w:rsidP="008C1B2E"/>
    <w:p w:rsidR="003D40B5" w:rsidRDefault="003D40B5" w:rsidP="003D40B5">
      <w:pPr>
        <w:pStyle w:val="Heading3"/>
      </w:pPr>
      <w:r>
        <w:lastRenderedPageBreak/>
        <w:t>Permits not federal</w:t>
      </w:r>
    </w:p>
    <w:p w:rsidR="003D40B5" w:rsidRDefault="003D40B5" w:rsidP="008C1B2E"/>
    <w:p w:rsidR="003D40B5" w:rsidRDefault="003D40B5" w:rsidP="008B12D2">
      <w:pPr>
        <w:pStyle w:val="Heading4"/>
      </w:pPr>
      <w:r>
        <w:t>Permitting and licensing isn’t a ‘federal’ action for development</w:t>
      </w:r>
    </w:p>
    <w:p w:rsidR="003D40B5" w:rsidRDefault="003D40B5" w:rsidP="003D40B5">
      <w:r>
        <w:rPr>
          <w:b/>
        </w:rPr>
        <w:t xml:space="preserve">DOE, 14 </w:t>
      </w:r>
      <w:r>
        <w:t>- Office of Health, Safety, and Security at the Department of Energy (“Coastal Zone Management Act and Related Legislation” 2/27, http://homer.ornl.gov/sesa/environment/policy/czma.html</w:t>
      </w:r>
    </w:p>
    <w:p w:rsidR="003D40B5" w:rsidRDefault="003D40B5" w:rsidP="003D40B5"/>
    <w:p w:rsidR="003D40B5" w:rsidRDefault="003D40B5" w:rsidP="003D40B5">
      <w:r>
        <w:t>Provisions for Federal Agency Actions</w:t>
      </w:r>
    </w:p>
    <w:p w:rsidR="003D40B5" w:rsidRDefault="003D40B5" w:rsidP="003D40B5">
      <w:r>
        <w:t>Congress ensured the representation of federal agency interests when implementing the CZMA by providing administrative grants only to those states that allowed full participation of relevant federal agencies in the development of their management programs (Section 306[d</w:t>
      </w:r>
      <w:proofErr w:type="gramStart"/>
      <w:r>
        <w:t>][</w:t>
      </w:r>
      <w:proofErr w:type="gramEnd"/>
      <w:r>
        <w:t>1]). After such participation in the development of its state management program, Section 307(c</w:t>
      </w:r>
      <w:proofErr w:type="gramStart"/>
      <w:r>
        <w:t>)(</w:t>
      </w:r>
      <w:proofErr w:type="gramEnd"/>
      <w:r>
        <w:t>1)(A) mandates that:</w:t>
      </w:r>
    </w:p>
    <w:p w:rsidR="003D40B5" w:rsidRDefault="003D40B5" w:rsidP="003D40B5">
      <w:r>
        <w:t>Each federal agency activity within or outside the coastal zone that affects any land or water use or natural resource of the coastal zone shall be carried out in a manner which is consistent to the maximum extent practicable with the enforceable policies of approved state management programs.</w:t>
      </w:r>
    </w:p>
    <w:p w:rsidR="003D40B5" w:rsidRDefault="003D40B5" w:rsidP="003D40B5">
      <w:r>
        <w:t>An extensive review and evaluation process (implemented by regulations at 15 Code of Federal Regulations [CFR] part 930) ensures such "federal consistency." The process includes preliminary measures, project review guidelines, and notification and consultation. DOE must comply with federal consistency requirements when construction or other activities potentially affect the coastal zone.</w:t>
      </w:r>
    </w:p>
    <w:p w:rsidR="003D40B5" w:rsidRDefault="003D40B5" w:rsidP="003D40B5">
      <w:r>
        <w:t>Federal consistency is required for federal agency actions that include:</w:t>
      </w:r>
    </w:p>
    <w:p w:rsidR="003D40B5" w:rsidRDefault="003D40B5" w:rsidP="003D40B5">
      <w:proofErr w:type="gramStart"/>
      <w:r>
        <w:t>federal</w:t>
      </w:r>
      <w:proofErr w:type="gramEnd"/>
      <w:r>
        <w:t xml:space="preserve"> agency activities, including development projects (15 CFR part 930, subpart C) (see definitions below);</w:t>
      </w:r>
    </w:p>
    <w:p w:rsidR="003D40B5" w:rsidRDefault="003D40B5" w:rsidP="003D40B5">
      <w:proofErr w:type="gramStart"/>
      <w:r>
        <w:t>actions</w:t>
      </w:r>
      <w:proofErr w:type="gramEnd"/>
      <w:r>
        <w:t xml:space="preserve"> requiring a federal license or permit (15 CFR part 930, subpart D);</w:t>
      </w:r>
    </w:p>
    <w:p w:rsidR="003D40B5" w:rsidRDefault="003D40B5" w:rsidP="003D40B5">
      <w:proofErr w:type="gramStart"/>
      <w:r>
        <w:t>outer</w:t>
      </w:r>
      <w:proofErr w:type="gramEnd"/>
      <w:r>
        <w:t xml:space="preserve"> continental shelf (OCS) exploration, development, and production activities (15 CFR part 930, subpart E); and,</w:t>
      </w:r>
    </w:p>
    <w:p w:rsidR="003D40B5" w:rsidRDefault="003D40B5" w:rsidP="003D40B5">
      <w:proofErr w:type="gramStart"/>
      <w:r>
        <w:t>federal</w:t>
      </w:r>
      <w:proofErr w:type="gramEnd"/>
      <w:r>
        <w:t xml:space="preserve"> assistance to state and local governments (15 CFR part 930, subpart F).</w:t>
      </w:r>
    </w:p>
    <w:p w:rsidR="003D40B5" w:rsidRDefault="003D40B5" w:rsidP="003D40B5">
      <w:r>
        <w:t>"</w:t>
      </w:r>
      <w:r w:rsidRPr="003C7F09">
        <w:rPr>
          <w:rStyle w:val="StyleUnderline"/>
        </w:rPr>
        <w:t>The term 'federal agency activity' means any function performed by</w:t>
      </w:r>
      <w:r>
        <w:t xml:space="preserve"> or on behalf of </w:t>
      </w:r>
      <w:r w:rsidRPr="003C7F09">
        <w:rPr>
          <w:rStyle w:val="StyleUnderline"/>
        </w:rPr>
        <w:t>a federal agency</w:t>
      </w:r>
      <w:r>
        <w:t xml:space="preserve"> in the exercise of its statutory responsibilities." (15 CFR 930.31[a]) </w:t>
      </w:r>
      <w:r w:rsidRPr="003C7F09">
        <w:t>The term</w:t>
      </w:r>
      <w:r>
        <w:t xml:space="preserve"> encompasses a wide range of federal agency activities that initiate an event or series of events where coastal effects are reasonably foreseeable (e.g., a proposal to physically alter coastal resources, a proposed plan that would direct future agency actions, a proposed rulemaking that would alter uses of the coastal zone). </w:t>
      </w:r>
      <w:r w:rsidRPr="003C7F09">
        <w:rPr>
          <w:rStyle w:val="StyleUnderline"/>
        </w:rPr>
        <w:t>The term does not include issuing a federal license or permit to an applicant</w:t>
      </w:r>
      <w:r>
        <w:t xml:space="preserve"> or person </w:t>
      </w:r>
      <w:r w:rsidRPr="003C7F09">
        <w:rPr>
          <w:rStyle w:val="StyleUnderline"/>
        </w:rPr>
        <w:t>or granting federal assistance</w:t>
      </w:r>
      <w:r>
        <w:t xml:space="preserve"> to an applicant agency.</w:t>
      </w:r>
    </w:p>
    <w:p w:rsidR="003D40B5" w:rsidRDefault="003D40B5" w:rsidP="003D40B5">
      <w:r w:rsidRPr="003C7F09">
        <w:rPr>
          <w:rStyle w:val="StyleUnderline"/>
        </w:rPr>
        <w:t>"The term federal 'development project' means a federal agency activity involving the planning, construction, modification, or removal of public works</w:t>
      </w:r>
      <w:r>
        <w:t xml:space="preserve">, facilities, or other structures </w:t>
      </w:r>
      <w:r w:rsidRPr="003C7F09">
        <w:rPr>
          <w:rStyle w:val="StyleUnderline"/>
        </w:rPr>
        <w:t>and includes the acquisition, use, or disposal of any coastal use or resource</w:t>
      </w:r>
      <w:r>
        <w:t>." (15 CFR 930.31[b])</w:t>
      </w:r>
    </w:p>
    <w:p w:rsidR="003D40B5" w:rsidRDefault="003D40B5" w:rsidP="003D40B5"/>
    <w:p w:rsidR="003D40B5" w:rsidRDefault="003D40B5" w:rsidP="008C1B2E"/>
    <w:p w:rsidR="002812BF" w:rsidRDefault="002812BF" w:rsidP="003D40B5"/>
    <w:p w:rsidR="003B6415" w:rsidRDefault="003B6415" w:rsidP="003D40B5"/>
    <w:p w:rsidR="003B6415" w:rsidRDefault="003B6415" w:rsidP="003B6415">
      <w:pPr>
        <w:pStyle w:val="Heading2"/>
      </w:pPr>
      <w:r>
        <w:lastRenderedPageBreak/>
        <w:t>Non-military</w:t>
      </w:r>
    </w:p>
    <w:p w:rsidR="003B6415" w:rsidRDefault="003B6415" w:rsidP="003B6415"/>
    <w:p w:rsidR="003B6415" w:rsidRDefault="003B6415" w:rsidP="003B6415">
      <w:pPr>
        <w:pStyle w:val="Heading3"/>
      </w:pPr>
      <w:r>
        <w:lastRenderedPageBreak/>
        <w:t>Coast Guard is military</w:t>
      </w:r>
    </w:p>
    <w:p w:rsidR="003B6415" w:rsidRDefault="003B6415" w:rsidP="003B6415"/>
    <w:p w:rsidR="003B6415" w:rsidRDefault="003B6415" w:rsidP="008B12D2">
      <w:pPr>
        <w:pStyle w:val="Heading4"/>
      </w:pPr>
      <w:r>
        <w:t>The Coast Guard is a military service at all times</w:t>
      </w:r>
    </w:p>
    <w:p w:rsidR="003B6415" w:rsidRDefault="003B6415" w:rsidP="003B6415">
      <w:r>
        <w:rPr>
          <w:b/>
        </w:rPr>
        <w:t xml:space="preserve">Warren, 12 </w:t>
      </w:r>
      <w:r>
        <w:softHyphen/>
        <w:t xml:space="preserve">– Commander, USCG (Robert, “The Coast Guard’s Critical Role as an Armed Service” </w:t>
      </w:r>
      <w:hyperlink r:id="rId7" w:history="1">
        <w:r w:rsidRPr="00A26162">
          <w:rPr>
            <w:rStyle w:val="Hyperlink"/>
          </w:rPr>
          <w:t>http://oai.dtic.mil/oai/oai?verb=getRecord&amp;metadataPrefix=html&amp;identifier=ADA561453)//DH</w:t>
        </w:r>
      </w:hyperlink>
    </w:p>
    <w:p w:rsidR="003B6415" w:rsidRPr="00905FE2" w:rsidRDefault="003B6415" w:rsidP="003B6415"/>
    <w:p w:rsidR="003B6415" w:rsidRDefault="003B6415" w:rsidP="003B6415">
      <w:r w:rsidRPr="00905FE2">
        <w:rPr>
          <w:rStyle w:val="StyleUnderline"/>
        </w:rPr>
        <w:t>The statutory foundation for the Coast Guard’s</w:t>
      </w:r>
      <w:r>
        <w:t xml:space="preserve"> identity and </w:t>
      </w:r>
      <w:r w:rsidRPr="00905FE2">
        <w:rPr>
          <w:rStyle w:val="StyleUnderline"/>
        </w:rPr>
        <w:t>service as an armed force is robust</w:t>
      </w:r>
      <w:r>
        <w:t xml:space="preserve"> and sound. As mentioned earlier, </w:t>
      </w:r>
      <w:r w:rsidRPr="00694DA3">
        <w:rPr>
          <w:rStyle w:val="StyleUnderline"/>
        </w:rPr>
        <w:t xml:space="preserve">both Title 10 and Title 14 stipulate that the Coast Guard is a military service and branch of the armed forces </w:t>
      </w:r>
      <w:r w:rsidRPr="00694DA3">
        <w:rPr>
          <w:rStyle w:val="Emphasis"/>
        </w:rPr>
        <w:t>at all times.</w:t>
      </w:r>
      <w:r>
        <w:t xml:space="preserve"> Title 14 U.S. Code further outlines the primary duties and authorities of the Coast Guard and requires the service to maintain a state of readiness to serve as a specialized service under the Navy in a time of war. 14 U.S. Code section 89, in addition to identifying the Coast Guard as the nation’s primary maritime law enforcement agency, also authorizes Coast Guard personnel and assets to deploy and operate in support of major combat operations, humanitarian assistance operations, and efforts to combat terrorism. U.S. Code Title 14 section 141 further authorizes the Coast Guard “to assist the Department of Defense in the performance of “any activity for which such personnel and facilities are especially qualified.”16 And finally, U.S. Code Title 10 section 379 authorizes Coast Guard personnel to perform law enforcement duties, including making searches, seizures and arrests from appropriate naval vessels.17 The Coast Guard is unique amongst the U.S. armed services, however, in that it is not restricted by the Posse </w:t>
      </w:r>
      <w:proofErr w:type="spellStart"/>
      <w:r>
        <w:t>Comitatus</w:t>
      </w:r>
      <w:proofErr w:type="spellEnd"/>
      <w:r>
        <w:t xml:space="preserve"> Act, U.S. Code Title 18 section1385, which limits the use of military personnel in domestic law enforcement actions.</w:t>
      </w:r>
    </w:p>
    <w:p w:rsidR="003B6415" w:rsidRDefault="003B6415" w:rsidP="003B6415"/>
    <w:p w:rsidR="003B6415" w:rsidRDefault="003B6415" w:rsidP="008B12D2">
      <w:pPr>
        <w:pStyle w:val="Heading4"/>
      </w:pPr>
      <w:r>
        <w:t>It’s impossible to separate the military role from the Coast Guard</w:t>
      </w:r>
    </w:p>
    <w:p w:rsidR="003B6415" w:rsidRDefault="003B6415" w:rsidP="003B6415">
      <w:r>
        <w:rPr>
          <w:b/>
        </w:rPr>
        <w:t xml:space="preserve">Warren, 12 </w:t>
      </w:r>
      <w:r>
        <w:softHyphen/>
        <w:t xml:space="preserve">– Commander, USCG (Robert, “The Coast Guard’s Critical Role as an Armed Service” </w:t>
      </w:r>
      <w:hyperlink r:id="rId8" w:history="1">
        <w:r w:rsidRPr="00A26162">
          <w:rPr>
            <w:rStyle w:val="Hyperlink"/>
          </w:rPr>
          <w:t>http://oai.dtic.mil/oai/oai?verb=getRecord&amp;metadataPrefix=html&amp;identifier=ADA561453)//DH</w:t>
        </w:r>
      </w:hyperlink>
    </w:p>
    <w:p w:rsidR="003B6415" w:rsidRDefault="003B6415" w:rsidP="003B6415"/>
    <w:p w:rsidR="003B6415" w:rsidRDefault="003B6415" w:rsidP="003B6415">
      <w:r>
        <w:t xml:space="preserve">In addition, </w:t>
      </w:r>
      <w:r w:rsidRPr="00694DA3">
        <w:rPr>
          <w:rStyle w:val="StyleUnderline"/>
        </w:rPr>
        <w:t>due to the Coast Guard’s military status, it has personnel embedded with Navy Training Commands</w:t>
      </w:r>
      <w:r>
        <w:t xml:space="preserve"> conducting training and evaluation of Navy and Coast Guard vessels and their crews. Coast Guard NSCs and High and Medium Endurance Cutters routinely train with these training groups </w:t>
      </w:r>
      <w:r w:rsidRPr="00694DA3">
        <w:rPr>
          <w:rStyle w:val="StyleUnderline"/>
        </w:rPr>
        <w:t>to ensure the crews possess the required war fighting and damage control standards</w:t>
      </w:r>
      <w:r>
        <w:t xml:space="preserve"> </w:t>
      </w:r>
      <w:r w:rsidRPr="00694DA3">
        <w:rPr>
          <w:rStyle w:val="StyleUnderline"/>
        </w:rPr>
        <w:t>and competencies necessary to engage in the full spectrum of military and Homeland Defense missions</w:t>
      </w:r>
      <w:r>
        <w:t>. The teams also ensure the material readiness of the cutters. The training and competencies obtained in the effective use of shipboard weapon, navigation, and damage control systems are critical to the service’s effective operations across all DHS mission sets.</w:t>
      </w:r>
    </w:p>
    <w:p w:rsidR="003B6415" w:rsidRDefault="003B6415" w:rsidP="003B6415">
      <w:r w:rsidRPr="00694DA3">
        <w:rPr>
          <w:rStyle w:val="StyleUnderline"/>
        </w:rPr>
        <w:t>The Coast Guard’s military connections also allow it to leverage new technologies currently being developed by</w:t>
      </w:r>
      <w:r>
        <w:t xml:space="preserve"> its </w:t>
      </w:r>
      <w:r w:rsidRPr="00694DA3">
        <w:rPr>
          <w:rStyle w:val="StyleUnderline"/>
        </w:rPr>
        <w:t>DOD counterparts and apply them to Homeland Security mission sets</w:t>
      </w:r>
      <w:r>
        <w:t xml:space="preserve">. A couple of these projects include vertical takeoff and landing unmanned aerial vehicles and standoff radiological and nuclear detection equipment. The funding, systems, equipment, technology and training received by the Navy in support of defense missions enhances the Coast Guard capability, competence, and capacity to respond to the wide range of maritime Homeland Security threats and missions. </w:t>
      </w:r>
      <w:r w:rsidRPr="00694DA3">
        <w:rPr>
          <w:rStyle w:val="StyleUnderline"/>
        </w:rPr>
        <w:t>Absent DOD’s support, the Coast Guard would have difficulty finding alternate sources of supply for the heavy weapons, training, equipment, and expertise</w:t>
      </w:r>
      <w:r>
        <w:t xml:space="preserve">. </w:t>
      </w:r>
      <w:r>
        <w:lastRenderedPageBreak/>
        <w:t>The Coast Guard’s budget would also have difficulty absorbing the substantial financial burden associated with funding subject equipment and services.</w:t>
      </w:r>
    </w:p>
    <w:p w:rsidR="003B6415" w:rsidRDefault="003B6415" w:rsidP="003B6415"/>
    <w:p w:rsidR="002A1618" w:rsidRPr="001D6F72" w:rsidRDefault="002A1618" w:rsidP="002A1618">
      <w:pPr>
        <w:pStyle w:val="Heading4"/>
      </w:pPr>
      <w:r w:rsidRPr="001D6F72">
        <w:t>Not only is the Coast Guard military, but it’s funded by the DOD</w:t>
      </w:r>
    </w:p>
    <w:p w:rsidR="002A1618" w:rsidRPr="001D6F72" w:rsidRDefault="002A1618" w:rsidP="002A1618">
      <w:r w:rsidRPr="001D6F72">
        <w:rPr>
          <w:rStyle w:val="Style13ptBold"/>
        </w:rPr>
        <w:t>O’Rourke ’12</w:t>
      </w:r>
      <w:r w:rsidRPr="001D6F72">
        <w:t xml:space="preserve"> – specialist in Naval Affairs (“Coast Guard Polar Icebreaker Modernization: Background and Issues for Congress”, April 6th, Congressional Research Service) //J.N.E</w:t>
      </w:r>
    </w:p>
    <w:p w:rsidR="002A1618" w:rsidRPr="001D6F72" w:rsidRDefault="002A1618" w:rsidP="002A1618">
      <w:r w:rsidRPr="001D6F72">
        <w:t xml:space="preserve">The prepared statement of the GAO witness at the December 1, 2011, hearing states: Another alternative option addressed by the Recapitalization report would be to fund new icebreakers through the NSF. However, the analysis of this option concluded that funding a new icebreaker through the existing NSF budget would have significant adverse impacts on NSF operations and that the capability needed for Coast Guard requirements would exceed that needed by the NSF. The Recapitalization report noted that a funding approach similar to the approach used for the Healy, which was funded through the fiscal year 1990 DOD appropriations, should be considered. However, the report did not analyze the feasibility of this option. We have previously reported that </w:t>
      </w:r>
      <w:r w:rsidRPr="001D6F72">
        <w:rPr>
          <w:rStyle w:val="StyleUnderline"/>
        </w:rPr>
        <w:t>because of the Coast Guard’s statutory role as both a federal maritime agency and a branch of the military, it can receive funding through both the Department of Homeland Security (DHS) and DOD</w:t>
      </w:r>
      <w:r w:rsidRPr="001D6F72">
        <w:t xml:space="preserve">. For example, as we previously reported, although the U.S. Navy is not expressly required to provide funding to the Coast Guard, the Coast Guard receives funding from the Navy to purchase and maintain equipment, such as self-defense systems or communication systems, because it is in the Navy’s interest for the Coast Guard systems to be compatible with the Navy’s systems when the Coast Guard is performing national defense missions in support of the Navy. However, according to a Coast Guard budget official, </w:t>
      </w:r>
      <w:r w:rsidRPr="001D6F72">
        <w:rPr>
          <w:rStyle w:val="StyleUnderline"/>
        </w:rPr>
        <w:t>the Coast Guard receives the majority of its funding through the DHS appropriation, with the exception of reimbursements for specific activities</w:t>
      </w:r>
      <w:r w:rsidRPr="001D6F72">
        <w:t xml:space="preserve">. Also, as the Recapitalization plan acknowledges, </w:t>
      </w:r>
      <w:r w:rsidRPr="001D6F72">
        <w:rPr>
          <w:rStyle w:val="StyleUnderline"/>
        </w:rPr>
        <w:t>there is considerable strain on the DOD budget. A recent DOD report on the Arctic also notes budgetary challenges, stating that the near-term fiscal and political environment will make it difficult to support significant new U.S. investments in the Arctic</w:t>
      </w:r>
      <w:r w:rsidRPr="001D6F72">
        <w:t xml:space="preserve">. Furthermore, DOD and the Coast Guard face different mission requirements and timelines. For example, DOD’s recent report states that the current level of human activity in the Arctic is already of concern to DHS, whereas the Arctic is expected to remain a peripheral interest to much of the national security community for the next decade or more. As a result, </w:t>
      </w:r>
      <w:r w:rsidRPr="001D6F72">
        <w:rPr>
          <w:rStyle w:val="StyleUnderline"/>
        </w:rPr>
        <w:t>the Coast Guard has a more immediate need than DOD to acquire Arctic capabilities, such as icebreakers</w:t>
      </w:r>
      <w:r w:rsidRPr="001D6F72">
        <w:t>. For example, with preliminary plans for drilling activity approved in 2011, the Coast Guard must be prepared to provide environmental response in the event of an oil spill. Similarly, as cruise ship traffic continues to increase, the Coast Guard must be prepared to conduct search and rescue operations should an incident occur. For these reasons, it is unlikely that an approach similar to the one that was used to build the Healy would be feasible at this time.54</w:t>
      </w:r>
    </w:p>
    <w:p w:rsidR="002A1618" w:rsidRPr="001D6F72" w:rsidRDefault="002A1618" w:rsidP="002A1618">
      <w:pPr>
        <w:spacing w:before="100" w:beforeAutospacing="1" w:after="100" w:afterAutospacing="1"/>
        <w:rPr>
          <w:rStyle w:val="StyleUnderline"/>
        </w:rPr>
      </w:pPr>
    </w:p>
    <w:p w:rsidR="002A1618" w:rsidRPr="003B6415" w:rsidRDefault="002A1618" w:rsidP="003B6415"/>
    <w:p w:rsidR="003B6415" w:rsidRDefault="003B6415" w:rsidP="003B6415"/>
    <w:p w:rsidR="003B6415" w:rsidRDefault="003B6415" w:rsidP="003B6415">
      <w:pPr>
        <w:pStyle w:val="Heading3"/>
      </w:pPr>
      <w:r>
        <w:lastRenderedPageBreak/>
        <w:t>Icebreakers are a military role</w:t>
      </w:r>
    </w:p>
    <w:p w:rsidR="003B6415" w:rsidRDefault="003B6415" w:rsidP="003B6415"/>
    <w:p w:rsidR="001A4043" w:rsidRPr="001A4043" w:rsidRDefault="001A4043" w:rsidP="001A4043">
      <w:pPr>
        <w:pStyle w:val="Heading4"/>
      </w:pPr>
      <w:r>
        <w:t xml:space="preserve">Coast Guard icebreaking is </w:t>
      </w:r>
      <w:r>
        <w:rPr>
          <w:u w:val="single"/>
        </w:rPr>
        <w:t>explicitly</w:t>
      </w:r>
      <w:r>
        <w:t xml:space="preserve"> connected to the military role by statute</w:t>
      </w:r>
    </w:p>
    <w:p w:rsidR="001A4043" w:rsidRDefault="001A4043" w:rsidP="001A4043">
      <w:r>
        <w:rPr>
          <w:b/>
        </w:rPr>
        <w:t xml:space="preserve">ABS Consulting, 10 </w:t>
      </w:r>
      <w:r>
        <w:t>– study commissioned by the Coast Guard (“United States Coast Guard High Latitude Region Mission Analysis Capstone Summary” assets.fiercemarkets.com/public/sites/govit/hlssummarycapstone.pdf)</w:t>
      </w:r>
    </w:p>
    <w:p w:rsidR="001A4043" w:rsidRPr="001A4043" w:rsidRDefault="001A4043" w:rsidP="001A4043"/>
    <w:p w:rsidR="001A4043" w:rsidRPr="001A4043" w:rsidRDefault="001A4043" w:rsidP="001A4043">
      <w:pPr>
        <w:rPr>
          <w:rStyle w:val="StyleUnderline"/>
        </w:rPr>
      </w:pPr>
      <w:r w:rsidRPr="001A4043">
        <w:rPr>
          <w:rStyle w:val="StyleUnderline"/>
        </w:rPr>
        <w:t>The Coast Guard is assigned a wide range of responsibilities</w:t>
      </w:r>
      <w:r>
        <w:t xml:space="preserve"> that apply to the high latitude regions </w:t>
      </w:r>
      <w:r w:rsidRPr="001A4043">
        <w:rPr>
          <w:rStyle w:val="StyleUnderline"/>
        </w:rPr>
        <w:t>through legislation and executive orders,</w:t>
      </w:r>
      <w:r>
        <w:t xml:space="preserve"> or are transferred to the Coast Guard by agree-</w:t>
      </w:r>
      <w:proofErr w:type="spellStart"/>
      <w:r>
        <w:t>ments</w:t>
      </w:r>
      <w:proofErr w:type="spellEnd"/>
      <w:r>
        <w:t xml:space="preserve"> with other agencies. </w:t>
      </w:r>
      <w:r w:rsidRPr="001A4043">
        <w:rPr>
          <w:rStyle w:val="StyleUnderline"/>
        </w:rPr>
        <w:t>Notably:</w:t>
      </w:r>
    </w:p>
    <w:p w:rsidR="001A4043" w:rsidRDefault="001A4043" w:rsidP="001A4043">
      <w:r w:rsidRPr="001A4043">
        <w:rPr>
          <w:rStyle w:val="StyleUnderline"/>
        </w:rPr>
        <w:t> The Coast Guard shall develop, and operate, with regard to the requirements of national defense, aids to maritime navigation, ice-breaking facilities</w:t>
      </w:r>
      <w:r>
        <w:t xml:space="preserve">, and rescue facilities, </w:t>
      </w:r>
      <w:r w:rsidRPr="001A4043">
        <w:rPr>
          <w:rStyle w:val="StyleUnderline"/>
        </w:rPr>
        <w:t xml:space="preserve">and shall maintain a state of readiness to </w:t>
      </w:r>
      <w:proofErr w:type="spellStart"/>
      <w:r w:rsidRPr="001A4043">
        <w:rPr>
          <w:rStyle w:val="StyleUnderline"/>
        </w:rPr>
        <w:t>func-tion</w:t>
      </w:r>
      <w:proofErr w:type="spellEnd"/>
      <w:r w:rsidRPr="001A4043">
        <w:rPr>
          <w:rStyle w:val="StyleUnderline"/>
        </w:rPr>
        <w:t xml:space="preserve"> as a specialized service in the Navy in time of war </w:t>
      </w:r>
      <w:r>
        <w:t>(14 USC 2).</w:t>
      </w:r>
    </w:p>
    <w:p w:rsidR="001A4043" w:rsidRDefault="001A4043" w:rsidP="001A4043">
      <w:r>
        <w:t> [The Secretary] shall prescribe and enforce rules and regulations for maintenance, and operation of lights and other signals on fixed and floating structures to protect marine navigation (14 USC 85).</w:t>
      </w:r>
    </w:p>
    <w:p w:rsidR="001A4043" w:rsidRPr="001A4043" w:rsidRDefault="001A4043" w:rsidP="001A4043">
      <w:r>
        <w:t> [Congress finds that] the United States has important security, economic, and environ-mental interests in developing and maintaining a fleet of icebreaking vessels capable of operating effectively in the heavy ice regions of the Arctic (15 U.S.C. 4101) and Antarctic (16 USC 2431(d)(6)).</w:t>
      </w:r>
    </w:p>
    <w:p w:rsidR="001A4043" w:rsidRDefault="001A4043" w:rsidP="001A4043">
      <w:r>
        <w:t> [The Secretary] shall develop capabilities to protect borders, preserve the global mobility of U.S. vessels and project a sovereign U.S. maritime presence in the Arctic in support of U.S. interests (NSPD 66/HSPD 25).</w:t>
      </w:r>
    </w:p>
    <w:p w:rsidR="001A4043" w:rsidRDefault="001A4043" w:rsidP="001A4043">
      <w:r>
        <w:t> The Coast Guard shall provide assistance, equipment, and other resources when required by a Federal On-Scene Coordinator, and maintain all Coast Guard response equipment (33 USC).</w:t>
      </w:r>
    </w:p>
    <w:p w:rsidR="001A4043" w:rsidRDefault="001A4043" w:rsidP="001A4043">
      <w:r>
        <w:t> The Coast Guard shall issue safety and manning regulations for vessels, rigs, and platforms (43 USC 1356, 46 USC 3306).</w:t>
      </w:r>
    </w:p>
    <w:p w:rsidR="001A4043" w:rsidRDefault="001A4043" w:rsidP="001A4043">
      <w:r>
        <w:t> The Coast Guard shall provide the logistic support requested by the NSF to allow the U.S. Antarctic Program to maintain an active and influential presence in Antarctica (Presidential Memorandum 6646, 1982).</w:t>
      </w:r>
    </w:p>
    <w:p w:rsidR="001A4043" w:rsidRDefault="001A4043" w:rsidP="001A4043">
      <w:r>
        <w:t xml:space="preserve"> </w:t>
      </w:r>
      <w:r w:rsidRPr="001A4043">
        <w:rPr>
          <w:rStyle w:val="StyleUnderline"/>
        </w:rPr>
        <w:t>The Coast Guard will maintain and operate all U.S. icebreakers, participate in peacetime operations in polar regions</w:t>
      </w:r>
      <w:r>
        <w:rPr>
          <w:rStyle w:val="StyleUnderline"/>
        </w:rPr>
        <w:t xml:space="preserve"> for environmen</w:t>
      </w:r>
      <w:r w:rsidRPr="001A4043">
        <w:rPr>
          <w:rStyle w:val="StyleUnderline"/>
        </w:rPr>
        <w:t>tal and readi</w:t>
      </w:r>
      <w:r>
        <w:rPr>
          <w:rStyle w:val="StyleUnderline"/>
        </w:rPr>
        <w:t>ness training, and provide mobi</w:t>
      </w:r>
      <w:r w:rsidRPr="001A4043">
        <w:rPr>
          <w:rStyle w:val="StyleUnderline"/>
        </w:rPr>
        <w:t>lization capab</w:t>
      </w:r>
      <w:r>
        <w:rPr>
          <w:rStyle w:val="StyleUnderline"/>
        </w:rPr>
        <w:t>ility to support military opera</w:t>
      </w:r>
      <w:r w:rsidRPr="001A4043">
        <w:rPr>
          <w:rStyle w:val="StyleUnderline"/>
        </w:rPr>
        <w:t>tions in high latitudes</w:t>
      </w:r>
      <w:r>
        <w:t xml:space="preserve"> (Department of Navy and Department of Treasury Agreement on the Operation of Icebreakers, 1965).</w:t>
      </w:r>
    </w:p>
    <w:p w:rsidR="001A4043" w:rsidRDefault="001A4043" w:rsidP="001A4043">
      <w:r>
        <w:t> [The Secretary] shall enforce terms of the Antarctic Conservation Act of 1978 regarding disposal of prohibited waste, harmful interference with native birds, mammals or plants (16 USC 2401-2413).</w:t>
      </w:r>
    </w:p>
    <w:p w:rsidR="001A4043" w:rsidRPr="003B6415" w:rsidRDefault="001A4043" w:rsidP="003B6415"/>
    <w:p w:rsidR="003B6415" w:rsidRDefault="003B6415" w:rsidP="008B12D2">
      <w:pPr>
        <w:pStyle w:val="Heading4"/>
      </w:pPr>
      <w:r>
        <w:t>Coast Guard icebreaking is distinct from non-military icebreaking</w:t>
      </w:r>
    </w:p>
    <w:p w:rsidR="003B6415" w:rsidRDefault="003B6415" w:rsidP="003B6415">
      <w:r w:rsidRPr="00360CBF">
        <w:rPr>
          <w:b/>
        </w:rPr>
        <w:t xml:space="preserve">National Research Council, 5 </w:t>
      </w:r>
      <w:r>
        <w:t>(Polar Icebreaker Roles and U.S. Future Needs</w:t>
      </w:r>
      <w:proofErr w:type="gramStart"/>
      <w:r>
        <w:t>::</w:t>
      </w:r>
      <w:proofErr w:type="gramEnd"/>
      <w:r>
        <w:t xml:space="preserve"> A Preliminary Assessment</w:t>
      </w:r>
    </w:p>
    <w:p w:rsidR="003B6415" w:rsidRDefault="003B6415" w:rsidP="003B6415">
      <w:r>
        <w:lastRenderedPageBreak/>
        <w:t xml:space="preserve"> By Committee on the Assessment of U.S. Coast Guard Polar Icebreaker Roles and Future Needs, Polar Research Board, Marine Board, Division on Earth and Life Studies, Transportation Research Board, National Research Council, books.google.com)//DH</w:t>
      </w:r>
    </w:p>
    <w:p w:rsidR="003B6415" w:rsidRPr="00360CBF" w:rsidRDefault="003B6415" w:rsidP="003B6415"/>
    <w:p w:rsidR="003B6415" w:rsidRDefault="003B6415" w:rsidP="003B6415">
      <w:r>
        <w:t xml:space="preserve">In addition, the Committee wishes to emphasize that the issue before us is the viability and need for icebreaking capabilities to support U.S. needs in the </w:t>
      </w:r>
      <w:proofErr w:type="gramStart"/>
      <w:r>
        <w:t>polar regions</w:t>
      </w:r>
      <w:proofErr w:type="gramEnd"/>
      <w:r>
        <w:t xml:space="preserve">. Although our statement of task emphasizes the U.S. Coast Guard role, and this role has been crucial in the past, </w:t>
      </w:r>
      <w:r w:rsidRPr="00360CBF">
        <w:rPr>
          <w:rStyle w:val="StyleUnderline"/>
        </w:rPr>
        <w:t>it is uncertain whether the future will hold the same type of nearly exclusive emphasis on the U.S. Coast Guard to meet the nation's full polar icebreaking needs</w:t>
      </w:r>
      <w:r>
        <w:t xml:space="preserve">. Looking at how </w:t>
      </w:r>
      <w:r w:rsidRPr="00360CBF">
        <w:rPr>
          <w:rStyle w:val="StyleUnderline"/>
        </w:rPr>
        <w:t>other nations</w:t>
      </w:r>
      <w:r>
        <w:t xml:space="preserve"> meet then needs for icebreaking services, many </w:t>
      </w:r>
      <w:r w:rsidRPr="00360CBF">
        <w:rPr>
          <w:rStyle w:val="StyleUnderline"/>
        </w:rPr>
        <w:t xml:space="preserve">rely on </w:t>
      </w:r>
      <w:r w:rsidRPr="00360CBF">
        <w:rPr>
          <w:rStyle w:val="Emphasis"/>
        </w:rPr>
        <w:t>non-military operators</w:t>
      </w:r>
      <w:r w:rsidRPr="00360CBF">
        <w:rPr>
          <w:rStyle w:val="StyleUnderline"/>
        </w:rPr>
        <w:t xml:space="preserve"> as viable alternatives</w:t>
      </w:r>
      <w:r>
        <w:t>, with gains in efficiency of operation and improved continuity of staffing for tins specialized activity, and we will directly address this central issue in our final report. These findings and recommendations will be focused on providing direction for meeting the nation's long-term icebreaking needs for the next several decades.</w:t>
      </w:r>
    </w:p>
    <w:p w:rsidR="003B6415" w:rsidRPr="00F7455F" w:rsidRDefault="003B6415" w:rsidP="003B6415"/>
    <w:p w:rsidR="003B6415" w:rsidRDefault="003B6415" w:rsidP="008B12D2">
      <w:pPr>
        <w:pStyle w:val="Heading4"/>
      </w:pPr>
      <w:r>
        <w:t>Coast Guard icebreakers perform a vital military function</w:t>
      </w:r>
    </w:p>
    <w:p w:rsidR="003B6415" w:rsidRDefault="003B6415" w:rsidP="003B6415">
      <w:r>
        <w:rPr>
          <w:b/>
        </w:rPr>
        <w:t xml:space="preserve">O’Rourke, 14 </w:t>
      </w:r>
      <w:r>
        <w:t>– specialist in Naval Affairs at the Congressional Research Service (Ronald, “Coast Guard Polar Icebreaker Modernization: Background and Issues for Congress” 6/5</w:t>
      </w:r>
      <w:proofErr w:type="gramStart"/>
      <w:r>
        <w:t xml:space="preserve">,  </w:t>
      </w:r>
      <w:proofErr w:type="gramEnd"/>
      <w:r>
        <w:fldChar w:fldCharType="begin"/>
      </w:r>
      <w:r>
        <w:instrText xml:space="preserve"> HYPERLINK "http://fas.org/sgp/crs/weapons/RL34391.pdf" </w:instrText>
      </w:r>
      <w:r>
        <w:fldChar w:fldCharType="separate"/>
      </w:r>
      <w:r w:rsidRPr="00A26162">
        <w:rPr>
          <w:rStyle w:val="Hyperlink"/>
        </w:rPr>
        <w:t>http://fas.org/sgp/crs/weapons/RL34391.pdf</w:t>
      </w:r>
      <w:r>
        <w:fldChar w:fldCharType="end"/>
      </w:r>
      <w:r>
        <w:t>)//DH</w:t>
      </w:r>
    </w:p>
    <w:p w:rsidR="003B6415" w:rsidRPr="00F7455F" w:rsidRDefault="003B6415" w:rsidP="003B6415"/>
    <w:p w:rsidR="003B6415" w:rsidRDefault="003B6415" w:rsidP="003B6415">
      <w:r>
        <w:t xml:space="preserve">In July 2011, </w:t>
      </w:r>
      <w:r w:rsidRPr="00F7455F">
        <w:rPr>
          <w:rStyle w:val="StyleUnderline"/>
        </w:rPr>
        <w:t>the Coast Guard</w:t>
      </w:r>
      <w:r>
        <w:t xml:space="preserve"> provided to Congress a study on the Coast Guard’s missions and capabilities for operations in high-latitude (i.e., polar) areas. The study, commonly known as the High Latitude Study, is dated July 2010 on its cover. The High Latitude Study </w:t>
      </w:r>
      <w:r w:rsidRPr="00F7455F">
        <w:rPr>
          <w:rStyle w:val="StyleUnderline"/>
        </w:rPr>
        <w:t>concluded</w:t>
      </w:r>
      <w:r>
        <w:t xml:space="preserve"> the following:</w:t>
      </w:r>
    </w:p>
    <w:p w:rsidR="003B6415" w:rsidRDefault="003B6415" w:rsidP="003B6415">
      <w:r>
        <w:t>[The study] concludes that future capability and capacity gaps will significantly impact four [Coast Guard] mission areas in the Arctic: Defense Readiness, Ice Operations, Marine Environmental Protection, and Ports, Waterways, and Coastal Security. These mission areas address the protection of important national interests in a geographic area where other nations are actively pursuing their own national goals....</w:t>
      </w:r>
    </w:p>
    <w:p w:rsidR="003B6415" w:rsidRDefault="003B6415" w:rsidP="003B6415">
      <w:r>
        <w:t>The common and dominant contributor to these significant mission impacts is the gap in polar icebreaking capability. The increasing obsolescence of the Coast Guard’s icebreaker fleet will further exacerbate mission performance gaps in the coming years....</w:t>
      </w:r>
    </w:p>
    <w:p w:rsidR="003B6415" w:rsidRDefault="003B6415" w:rsidP="003B6415">
      <w:r>
        <w:t>The gap in polar icebreaking capacity has resulted in a lack of at-sea time for crews and senior personnel and a corresponding gap in training and leadership. In addition to providing multi-mission capability and intrinsic mobility, a helicopter-capable surface unit would eliminate the need for acquiring an expensive shore-based infrastructure that may only be needed on a seasonal or occasional basis. The most capable surface unit would be a polar icebreaker. Polar icebreakers can transit safely in a variety of ice conditions and have the endurance to operate far from logistics bases. The Coast Guard’s polar icebreakers have conducted a wide range of planned and unscheduled Coast Guard missions in the past. Polar icebreakers possess the ability to carry large numbers of passengers, cargo, boats, and helicopters. Polar icebreakers also have substantial command, control, and communications capabilities. The flexibility and mobility of polar icebreakers would assist the Coast Guard in closing future mission performance gaps effectively....</w:t>
      </w:r>
    </w:p>
    <w:p w:rsidR="003B6415" w:rsidRDefault="003B6415" w:rsidP="003B6415">
      <w:r>
        <w:t xml:space="preserve">Existing capability and capacity gaps are expected to significantly impact future Coast Guard performance in two Antarctic mission areas: Defense Readiness and Ice Operations. Future gaps may involve an inability to carry out probable and easily projected mission requirements, such as the McMurdo resupply, or readiness to respond to less-predictable events. By their nature, </w:t>
      </w:r>
      <w:r w:rsidRPr="00F7455F">
        <w:rPr>
          <w:rStyle w:val="StyleUnderline"/>
        </w:rPr>
        <w:t xml:space="preserve">contingencies requiring the use </w:t>
      </w:r>
      <w:r w:rsidRPr="00F7455F">
        <w:rPr>
          <w:rStyle w:val="StyleUnderline"/>
        </w:rPr>
        <w:lastRenderedPageBreak/>
        <w:t xml:space="preserve">of </w:t>
      </w:r>
      <w:r w:rsidRPr="00F7455F">
        <w:rPr>
          <w:rStyle w:val="Emphasis"/>
        </w:rPr>
        <w:t>military capabilities</w:t>
      </w:r>
      <w:r w:rsidRPr="00F7455F">
        <w:rPr>
          <w:rStyle w:val="StyleUnderline"/>
        </w:rPr>
        <w:t xml:space="preserve"> often occur</w:t>
      </w:r>
      <w:r>
        <w:rPr>
          <w:rStyle w:val="StyleUnderline"/>
        </w:rPr>
        <w:t xml:space="preserve"> </w:t>
      </w:r>
      <w:r w:rsidRPr="00F7455F">
        <w:rPr>
          <w:rStyle w:val="StyleUnderline"/>
        </w:rPr>
        <w:t>quickly</w:t>
      </w:r>
      <w:r>
        <w:t xml:space="preserve">. As is the case </w:t>
      </w:r>
      <w:r w:rsidRPr="00F7455F">
        <w:rPr>
          <w:rStyle w:val="StyleUnderline"/>
        </w:rPr>
        <w:t>in the Arctic</w:t>
      </w:r>
      <w:r>
        <w:t xml:space="preserve">, </w:t>
      </w:r>
      <w:r w:rsidRPr="00F7455F">
        <w:rPr>
          <w:rStyle w:val="StyleUnderline"/>
        </w:rPr>
        <w:t>the deterioration of the Coast Guard’s icebreaker fleet is</w:t>
      </w:r>
      <w:r>
        <w:rPr>
          <w:rStyle w:val="StyleUnderline"/>
        </w:rPr>
        <w:t xml:space="preserve"> </w:t>
      </w:r>
      <w:r w:rsidRPr="00F7455F">
        <w:rPr>
          <w:rStyle w:val="StyleUnderline"/>
        </w:rPr>
        <w:t>the primary driver for this significant mission impact</w:t>
      </w:r>
      <w:r>
        <w:t>. This will further widen mission performance gaps in the coming years. The recently issued Naval Operations Concept 2010 requires a surface presence in both the Arctic and Antarctic. This further exacerbates the capability gap left by the deterioration of the icebreaker fleet....</w:t>
      </w:r>
    </w:p>
    <w:p w:rsidR="003B6415" w:rsidRDefault="003B6415" w:rsidP="003B6415">
      <w:r>
        <w:t>The significant deterioration of the Coast Guard icebreaker fleet and the emerging mission demands to meet future functional requirements in the high latitude regions dictate that the Coast Guard acquire material solutions to close the capability gaps....</w:t>
      </w:r>
    </w:p>
    <w:p w:rsidR="003B6415" w:rsidRDefault="003B6415" w:rsidP="003B6415">
      <w:r>
        <w:t>To meet the Coast Guard mission functional requirement, the Coast Guard icebreaking fleet must be capable of supporting the following missions:</w:t>
      </w:r>
    </w:p>
    <w:p w:rsidR="003B6415" w:rsidRDefault="003B6415" w:rsidP="003B6415">
      <w:r>
        <w:t xml:space="preserve">• Arctic North Patrol. Continuous </w:t>
      </w:r>
      <w:proofErr w:type="spellStart"/>
      <w:r>
        <w:t>multimission</w:t>
      </w:r>
      <w:proofErr w:type="spellEnd"/>
      <w:r>
        <w:t xml:space="preserve"> icebreaker presence in the Arctic.</w:t>
      </w:r>
    </w:p>
    <w:p w:rsidR="003B6415" w:rsidRDefault="003B6415" w:rsidP="003B6415">
      <w:r>
        <w:t>• Arctic West Science. Spring and summer science support in the Arctic.</w:t>
      </w:r>
    </w:p>
    <w:p w:rsidR="003B6415" w:rsidRDefault="003B6415" w:rsidP="003B6415">
      <w:r>
        <w:t>• Antarctic, McMurdo Station resupply. Planned deployment for break-in, supply ship escort, and science support. This mission, conducted in the Antarctic summer, also requires standby icebreaker support for backup in the event the primary vessel cannot complete the mission.</w:t>
      </w:r>
    </w:p>
    <w:p w:rsidR="003B6415" w:rsidRDefault="003B6415" w:rsidP="003B6415">
      <w:r>
        <w:t>• Thule Air Base Resupply and Polar Region Freedom of Navigation Transits. Provide vessel escort operations in support of the Military Sealift Command’s Operation Pacer Goose; then complete any Freedom of Navigation exercises in the region.</w:t>
      </w:r>
    </w:p>
    <w:p w:rsidR="003B6415" w:rsidRDefault="003B6415" w:rsidP="003B6415"/>
    <w:p w:rsidR="00AA6284" w:rsidRDefault="00AA6284" w:rsidP="003B6415"/>
    <w:p w:rsidR="00AA6284" w:rsidRDefault="00AA6284" w:rsidP="00AA6284"/>
    <w:p w:rsidR="00AA6284" w:rsidRPr="00AA6284" w:rsidRDefault="00AA6284" w:rsidP="00AA6284"/>
    <w:p w:rsidR="001A4043" w:rsidRDefault="001A4043" w:rsidP="001A4043"/>
    <w:p w:rsidR="003D40B5" w:rsidRDefault="003D40B5" w:rsidP="003D40B5">
      <w:pPr>
        <w:pStyle w:val="Heading1"/>
      </w:pPr>
      <w:r>
        <w:lastRenderedPageBreak/>
        <w:t>Affirmative</w:t>
      </w:r>
    </w:p>
    <w:p w:rsidR="005D64A4" w:rsidRDefault="005D64A4" w:rsidP="005D64A4"/>
    <w:p w:rsidR="005D64A4" w:rsidRPr="005D64A4" w:rsidRDefault="005D64A4" w:rsidP="005D64A4">
      <w:pPr>
        <w:pStyle w:val="Heading2"/>
      </w:pPr>
      <w:r>
        <w:lastRenderedPageBreak/>
        <w:t>Its</w:t>
      </w:r>
    </w:p>
    <w:p w:rsidR="009B22D1" w:rsidRDefault="003D40B5" w:rsidP="003D40B5">
      <w:pPr>
        <w:pStyle w:val="Heading3"/>
      </w:pPr>
      <w:r>
        <w:lastRenderedPageBreak/>
        <w:t>2ac – leases topical</w:t>
      </w:r>
    </w:p>
    <w:p w:rsidR="00EA4CD0" w:rsidRDefault="00EA4CD0" w:rsidP="008C1B2E"/>
    <w:p w:rsidR="003D40B5" w:rsidRDefault="003D40B5" w:rsidP="008B12D2">
      <w:pPr>
        <w:pStyle w:val="Heading4"/>
      </w:pPr>
      <w:r>
        <w:t xml:space="preserve">CI – ‘development’ is </w:t>
      </w:r>
      <w:r w:rsidR="003B6415">
        <w:t xml:space="preserve">exclusively </w:t>
      </w:r>
      <w:r>
        <w:t xml:space="preserve">extracting mineral resources – </w:t>
      </w:r>
      <w:r>
        <w:rPr>
          <w:u w:val="single"/>
        </w:rPr>
        <w:t>federal</w:t>
      </w:r>
      <w:r>
        <w:t xml:space="preserve"> development </w:t>
      </w:r>
      <w:r w:rsidR="003B6415">
        <w:t>means</w:t>
      </w:r>
      <w:r>
        <w:t xml:space="preserve"> granting leasing</w:t>
      </w:r>
    </w:p>
    <w:p w:rsidR="003D40B5" w:rsidRDefault="003D40B5" w:rsidP="003D40B5">
      <w:proofErr w:type="spellStart"/>
      <w:r>
        <w:rPr>
          <w:b/>
        </w:rPr>
        <w:t>Kogan</w:t>
      </w:r>
      <w:proofErr w:type="spellEnd"/>
      <w:r>
        <w:rPr>
          <w:b/>
        </w:rPr>
        <w:t xml:space="preserve">, 13 - </w:t>
      </w:r>
      <w:r w:rsidRPr="001F701E">
        <w:t xml:space="preserve">Managing Principal of The </w:t>
      </w:r>
      <w:proofErr w:type="spellStart"/>
      <w:r w:rsidRPr="001F701E">
        <w:t>Kogan</w:t>
      </w:r>
      <w:proofErr w:type="spellEnd"/>
      <w:r w:rsidRPr="001F701E">
        <w:t xml:space="preserve"> Law Group, P.C., a New York City-based multidisciplinary legal services firm, and President/Director of the Institute for Trade, Standards and Sustainable Development </w:t>
      </w:r>
      <w:r>
        <w:t xml:space="preserve">(Lawrence, “Revised U.S. Deep Seabed Mining Policy Reflects UNCLOS and Other International Environmental Law Obligations” 2013 Emerging Issues 6893, </w:t>
      </w:r>
      <w:hyperlink r:id="rId9" w:history="1">
        <w:r w:rsidRPr="00A26162">
          <w:rPr>
            <w:rStyle w:val="Hyperlink"/>
          </w:rPr>
          <w:t>http://nebula.wsimg.com/f97bfb87d31d68c9fba55f48d125fd8a?AccessKeyId=39A2DC689E4CA87C906D&amp;disposition=0&amp;alloworigin=1</w:t>
        </w:r>
      </w:hyperlink>
      <w:r>
        <w:t>)//DH</w:t>
      </w:r>
    </w:p>
    <w:p w:rsidR="003D40B5" w:rsidRPr="00C5222A" w:rsidRDefault="003D40B5" w:rsidP="003D40B5"/>
    <w:p w:rsidR="003D40B5" w:rsidRDefault="003D40B5" w:rsidP="003D40B5">
      <w:r>
        <w:t xml:space="preserve">OCS. </w:t>
      </w:r>
      <w:r w:rsidRPr="001F701E">
        <w:t xml:space="preserve">The U.S. Outer Continental Shelf Lands Act </w:t>
      </w:r>
      <w:r>
        <w:t>(</w:t>
      </w:r>
      <w:r w:rsidRPr="001F701E">
        <w:rPr>
          <w:rStyle w:val="StyleUnderline"/>
        </w:rPr>
        <w:t>OCSLA</w:t>
      </w:r>
      <w:r>
        <w:t xml:space="preserve">)3 and accompanying U.S. Department of Interior implementing </w:t>
      </w:r>
      <w:r w:rsidRPr="001F701E">
        <w:rPr>
          <w:rStyle w:val="StyleUnderline"/>
        </w:rPr>
        <w:t>regulations</w:t>
      </w:r>
      <w:r>
        <w:t xml:space="preserve"> constitute the primary authority for permitting, and </w:t>
      </w:r>
      <w:r w:rsidRPr="00C5222A">
        <w:rPr>
          <w:rStyle w:val="StyleUnderline"/>
        </w:rPr>
        <w:t>grant</w:t>
      </w:r>
      <w:r>
        <w:t xml:space="preserve">ing the U.S. Secretary of the </w:t>
      </w:r>
      <w:r w:rsidRPr="00C5222A">
        <w:rPr>
          <w:rStyle w:val="StyleUnderline"/>
        </w:rPr>
        <w:t>Interior authority over, approved OCS leasing</w:t>
      </w:r>
      <w:r>
        <w:t xml:space="preserve">4 </w:t>
      </w:r>
      <w:r w:rsidRPr="00C5222A">
        <w:rPr>
          <w:rStyle w:val="StyleUnderline"/>
        </w:rPr>
        <w:t>activities</w:t>
      </w:r>
      <w:r>
        <w:t xml:space="preserve">5 </w:t>
      </w:r>
      <w:r w:rsidRPr="00C5222A">
        <w:rPr>
          <w:rStyle w:val="StyleUnderline"/>
        </w:rPr>
        <w:t>consisting of the exploration,6 development</w:t>
      </w:r>
      <w:r>
        <w:t xml:space="preserve">7 and production8 </w:t>
      </w:r>
      <w:r w:rsidRPr="00C5222A">
        <w:rPr>
          <w:rStyle w:val="StyleUnderline"/>
        </w:rPr>
        <w:t>of minerals</w:t>
      </w:r>
      <w:r>
        <w:t xml:space="preserve">9. The OCSLA defines the OCS as “all submerged lands lying seaward and outside of the areas...[under state control] and of which the subsoil and seabed appertain to the United States and are subject to its jurisdiction and control....”10 In other words, </w:t>
      </w:r>
      <w:r w:rsidRPr="001F701E">
        <w:rPr>
          <w:rStyle w:val="StyleUnderline"/>
        </w:rPr>
        <w:t>the OCS “is a federal offshore area</w:t>
      </w:r>
      <w:r>
        <w:t xml:space="preserve">…[consisting of the submerged lands, subsoil, and seabed lying between11]…the edge of state waters, usually starting at 3 nautical miles from shore…[and a]…seaward…distance of about 200 nautical miles, and may in special cases in the future extend out to 350 nautical miles.”12 The OCS lies below the U.S. exclusive economic zone (‘EEZ’) which generally includes waters extending from 3 to 200 nautical miles from the U.S. shoreline. 13 </w:t>
      </w:r>
      <w:r w:rsidRPr="001F701E">
        <w:t>The U.S. may exercise certain sovereign rights within its EEZ to facilitate the economic exploitation of natural resources</w:t>
      </w:r>
      <w:r>
        <w:t>, including those found in the OCS, and to legally protect those resources and the surrounding marine environment.14</w:t>
      </w:r>
    </w:p>
    <w:p w:rsidR="003D40B5" w:rsidRDefault="003D40B5" w:rsidP="003D40B5">
      <w:r w:rsidRPr="00C5222A">
        <w:rPr>
          <w:rStyle w:val="StyleUnderline"/>
        </w:rPr>
        <w:t xml:space="preserve">OCSLA prescribes “four distinct statutory stages to </w:t>
      </w:r>
      <w:r w:rsidRPr="001F701E">
        <w:rPr>
          <w:rStyle w:val="Emphasis"/>
        </w:rPr>
        <w:t>developing an offshore oil well</w:t>
      </w:r>
      <w:r>
        <w:t xml:space="preserve">: (1) </w:t>
      </w:r>
      <w:r w:rsidRPr="00C5222A">
        <w:rPr>
          <w:rStyle w:val="StyleUnderline"/>
        </w:rPr>
        <w:t>formulation of a</w:t>
      </w:r>
      <w:r>
        <w:t xml:space="preserve"> five year </w:t>
      </w:r>
      <w:r w:rsidRPr="00C5222A">
        <w:rPr>
          <w:rStyle w:val="StyleUnderline"/>
        </w:rPr>
        <w:t>leasing plan</w:t>
      </w:r>
      <w:r>
        <w:t xml:space="preserve"> by the Department of the Interior; (2) </w:t>
      </w:r>
      <w:r w:rsidRPr="00C5222A">
        <w:rPr>
          <w:rStyle w:val="StyleUnderline"/>
        </w:rPr>
        <w:t>lease sales</w:t>
      </w:r>
      <w:r>
        <w:t xml:space="preserve">; (3) </w:t>
      </w:r>
      <w:r w:rsidRPr="00C5222A">
        <w:rPr>
          <w:rStyle w:val="StyleUnderline"/>
        </w:rPr>
        <w:t>exploration</w:t>
      </w:r>
      <w:r>
        <w:t xml:space="preserve"> </w:t>
      </w:r>
      <w:r w:rsidRPr="00C5222A">
        <w:rPr>
          <w:rStyle w:val="StyleUnderline"/>
        </w:rPr>
        <w:t>by the lessees</w:t>
      </w:r>
      <w:r>
        <w:t xml:space="preserve">; (4) </w:t>
      </w:r>
      <w:r w:rsidRPr="00C5222A">
        <w:rPr>
          <w:rStyle w:val="StyleUnderline"/>
        </w:rPr>
        <w:t>development and production</w:t>
      </w:r>
      <w:r>
        <w:t>. Each stage involves separate regulatory reviews [‘tiered reviews’] that may, but need not, conclude in the transfer to lease purchasers of rights to conduct additional activities on the OCS. And each stage includes specific requirements for consultation with Congress, between federal agencies, or with the States. Formal review of consistency with state coastal management plans is expressly reserved for the last two stages.”15</w:t>
      </w:r>
    </w:p>
    <w:p w:rsidR="003D40B5" w:rsidRDefault="003D40B5" w:rsidP="003D40B5">
      <w:pPr>
        <w:rPr>
          <w:b/>
        </w:rPr>
      </w:pPr>
      <w:r>
        <w:rPr>
          <w:b/>
        </w:rPr>
        <w:t>Footnotes</w:t>
      </w:r>
    </w:p>
    <w:p w:rsidR="003D40B5" w:rsidRPr="00C5222A" w:rsidRDefault="003D40B5" w:rsidP="003D40B5">
      <w:r w:rsidRPr="00C5222A">
        <w:t>6 “The term ‘exploration’ means the process of searching for minerals, including (1) geophysical surveys where magnetic, gravity, seismic, or other systems are used to detect or imply the presence of such minerals, and (2) any drilling, whether on or off known geological structures…” See 43 U.S.C. 1331(k).</w:t>
      </w:r>
    </w:p>
    <w:p w:rsidR="003D40B5" w:rsidRPr="00C5222A" w:rsidRDefault="003D40B5" w:rsidP="003D40B5">
      <w:r w:rsidRPr="00C5222A">
        <w:t>7 “</w:t>
      </w:r>
      <w:r w:rsidRPr="00C5222A">
        <w:rPr>
          <w:rStyle w:val="StyleUnderline"/>
        </w:rPr>
        <w:t>The term ‘development’ means those activities which take place following discovery of minerals</w:t>
      </w:r>
      <w:r w:rsidRPr="00C5222A">
        <w:t xml:space="preserve"> in paying quantities</w:t>
      </w:r>
      <w:r w:rsidRPr="00C5222A">
        <w:rPr>
          <w:rStyle w:val="StyleUnderline"/>
        </w:rPr>
        <w:t>, including geophysical activity, drilling, platform construction, and operation of all onshore support facilities</w:t>
      </w:r>
      <w:r w:rsidRPr="00C5222A">
        <w:t xml:space="preserve">, and which are </w:t>
      </w:r>
      <w:r w:rsidRPr="00C5222A">
        <w:rPr>
          <w:rStyle w:val="StyleUnderline"/>
        </w:rPr>
        <w:t>for the purpose of</w:t>
      </w:r>
      <w:r w:rsidRPr="00C5222A">
        <w:t xml:space="preserve"> ultimately </w:t>
      </w:r>
      <w:r w:rsidRPr="00C5222A">
        <w:rPr>
          <w:rStyle w:val="StyleUnderline"/>
        </w:rPr>
        <w:t>producing the minerals discovered</w:t>
      </w:r>
      <w:r w:rsidRPr="00C5222A">
        <w:t xml:space="preserve">”. </w:t>
      </w:r>
      <w:r w:rsidRPr="00C5222A">
        <w:rPr>
          <w:rStyle w:val="StyleUnderline"/>
        </w:rPr>
        <w:t>See 43 U.S.C. 1331</w:t>
      </w:r>
      <w:r w:rsidRPr="00C5222A">
        <w:t>(l).</w:t>
      </w:r>
    </w:p>
    <w:p w:rsidR="003D40B5" w:rsidRDefault="003D40B5" w:rsidP="003D40B5">
      <w:r>
        <w:t>8 “The term ‘production’ means those activities which take place after the successful completion of any means for the removal of minerals, including such removal, field operations, transfer of minerals to shore, operation monitoring, maintenance, and work-over drilling”. See 43 U.S.C. 1331(m).</w:t>
      </w:r>
    </w:p>
    <w:p w:rsidR="003D40B5" w:rsidRDefault="003D40B5" w:rsidP="003D40B5">
      <w:r>
        <w:lastRenderedPageBreak/>
        <w:t>9 “</w:t>
      </w:r>
      <w:r w:rsidRPr="003B6415">
        <w:rPr>
          <w:rStyle w:val="StyleUnderline"/>
        </w:rPr>
        <w:t>The term ‘minerals’ includes oil, gas</w:t>
      </w:r>
      <w:r>
        <w:t xml:space="preserve">, </w:t>
      </w:r>
      <w:proofErr w:type="spellStart"/>
      <w:r>
        <w:t>sulphur</w:t>
      </w:r>
      <w:proofErr w:type="spellEnd"/>
      <w:r>
        <w:t xml:space="preserve">, </w:t>
      </w:r>
      <w:proofErr w:type="spellStart"/>
      <w:r>
        <w:t>geopressured</w:t>
      </w:r>
      <w:proofErr w:type="spellEnd"/>
      <w:r>
        <w:t>-geothermal and associated resources, and all other minerals which are authorized by an Act of Congress to be produced from “public lands…” See 43 U.S.C. 1331(q).</w:t>
      </w:r>
    </w:p>
    <w:p w:rsidR="003D40B5" w:rsidRDefault="003D40B5" w:rsidP="003D40B5"/>
    <w:p w:rsidR="003D40B5" w:rsidRDefault="003D40B5" w:rsidP="003D40B5"/>
    <w:p w:rsidR="003D40B5" w:rsidRDefault="003D40B5" w:rsidP="003D40B5">
      <w:pPr>
        <w:pStyle w:val="Heading3"/>
      </w:pPr>
      <w:r>
        <w:lastRenderedPageBreak/>
        <w:t>AT: Permits aren’t ‘federal actions’</w:t>
      </w:r>
    </w:p>
    <w:p w:rsidR="003D40B5" w:rsidRPr="003D40B5" w:rsidRDefault="003D40B5" w:rsidP="003D40B5"/>
    <w:p w:rsidR="003D40B5" w:rsidRDefault="003D40B5" w:rsidP="008B12D2">
      <w:pPr>
        <w:pStyle w:val="Heading4"/>
      </w:pPr>
      <w:r>
        <w:t xml:space="preserve">Permits are only </w:t>
      </w:r>
      <w:proofErr w:type="spellStart"/>
      <w:r>
        <w:t>nontopical</w:t>
      </w:r>
      <w:proofErr w:type="spellEnd"/>
      <w:r>
        <w:t xml:space="preserve"> if they’re voluntary – </w:t>
      </w:r>
      <w:r>
        <w:rPr>
          <w:u w:val="single"/>
        </w:rPr>
        <w:t>requirements</w:t>
      </w:r>
      <w:r>
        <w:t xml:space="preserve"> are federal actions</w:t>
      </w:r>
    </w:p>
    <w:p w:rsidR="003D40B5" w:rsidRDefault="003D40B5" w:rsidP="003D40B5">
      <w:proofErr w:type="spellStart"/>
      <w:r>
        <w:rPr>
          <w:b/>
        </w:rPr>
        <w:t>Scirica</w:t>
      </w:r>
      <w:proofErr w:type="spellEnd"/>
      <w:r>
        <w:rPr>
          <w:b/>
        </w:rPr>
        <w:t xml:space="preserve">, 94 – </w:t>
      </w:r>
      <w:r>
        <w:t>US Circuit Judge (STATE OF NEW JERSEY, DEPARTMENT OF ENVIRONMENTAL PROTECTION AND ENERGY; JEANNE M. FOX, in her official capacity as Acting Commissioner of the Department of Environmental Protection and Energy v. LONG ISLAND POWER AUTHORITY; THOMAS DE JESU, in his official capacity as Executive Director of the Long Island Power Authority; UNITED STATES NUCLEAR REGULATORY COMMISSION; U.S. COAST GUARD, within the United States Department of Transportation; PHILADELPHIA ELECTRIC COMPANY, New Jersey Department of Environmental Protection and Energy and Jeanne M. Fox, Commissioner of the New Jersey Department of Environmental Protection and Energy, in her official capacity, Appellants No. 93-5613 UNITED STATES COURT OF APPEALS FOR THE THIRD CIRCUIT 30 F.3d 403; 1994 U.S. App. LEXIS 17502; 29 Fed. R. Serv. 3d (Callaghan) 963 December 1, 1993, Argued July 19, 1994, Filed, lexis)//dh</w:t>
      </w:r>
    </w:p>
    <w:p w:rsidR="003D40B5" w:rsidRDefault="003D40B5" w:rsidP="003D40B5"/>
    <w:p w:rsidR="003D40B5" w:rsidRDefault="003D40B5" w:rsidP="003D40B5">
      <w:r w:rsidRPr="00EA4CD0">
        <w:rPr>
          <w:rStyle w:val="StyleUnderline"/>
        </w:rPr>
        <w:t xml:space="preserve">Federal approval of a private party's project, where that approval is not required </w:t>
      </w:r>
      <w:r w:rsidRPr="003D40B5">
        <w:rPr>
          <w:rStyle w:val="StyleUnderline"/>
        </w:rPr>
        <w:t>for the project to go forward</w:t>
      </w:r>
      <w:r w:rsidRPr="00EA4CD0">
        <w:rPr>
          <w:rStyle w:val="StyleUnderline"/>
        </w:rPr>
        <w:t>, does not constitute a major federal action</w:t>
      </w:r>
      <w:r>
        <w:t xml:space="preserve">. 25 In NAACP, we described three classes of agency actions requiring environmental analysis under NEPA: first, where the </w:t>
      </w:r>
      <w:proofErr w:type="gramStart"/>
      <w:r>
        <w:t>agency  [</w:t>
      </w:r>
      <w:proofErr w:type="gramEnd"/>
      <w:r>
        <w:t>**43]  itself undertook a project; second, where the agency supported a project by contract, grant, loan, or other financial assistance; and third, where the agency enabled the project by lease, license, permit, or other entitlement for use. 26 NAACP, 584 F.2d at 630. In NAACP, the Secretary of the Department of Health, Education, and Welfare had approved a hospital's capital expenditure plan after certification by local and state officials that the renovation and expansion were necessary. Without this approval, the Secretary might have withheld a portion of federal payments for patient charges under Medicare, Medicaid, and other health programs. The plaintiffs claimed the Secretary should have filed an environmental impact statement before issuing his approval. Id. at 624.</w:t>
      </w:r>
    </w:p>
    <w:p w:rsidR="003D40B5" w:rsidRDefault="003D40B5" w:rsidP="003D40B5">
      <w:r>
        <w:t>- - - - - - - - - - - - - - Footnotes - - - - - - - - - - - - - - -</w:t>
      </w:r>
    </w:p>
    <w:p w:rsidR="003D40B5" w:rsidRDefault="003D40B5" w:rsidP="003D40B5">
      <w:r>
        <w:t>25 HN21Go to this Headnote in the case.</w:t>
      </w:r>
    </w:p>
    <w:p w:rsidR="003D40B5" w:rsidRDefault="003D40B5" w:rsidP="003D40B5">
      <w:r w:rsidRPr="00EA4CD0">
        <w:rPr>
          <w:rStyle w:val="StyleUnderline"/>
        </w:rPr>
        <w:t>The CEQ lists categories into which federal actions "tend to fall," and among these is "approval of specific projects</w:t>
      </w:r>
      <w:r>
        <w:t xml:space="preserve"> . . . . </w:t>
      </w:r>
      <w:r w:rsidRPr="00EA4CD0">
        <w:rPr>
          <w:rStyle w:val="StyleUnderline"/>
        </w:rPr>
        <w:t>Projects include actions approved by permit</w:t>
      </w:r>
      <w:r>
        <w:t xml:space="preserve"> or other regulatory decision as well as federal and federally assisted activities." 40 C.F.R. § 1508.18(b</w:t>
      </w:r>
      <w:proofErr w:type="gramStart"/>
      <w:r>
        <w:t>)(</w:t>
      </w:r>
      <w:proofErr w:type="gramEnd"/>
      <w:r>
        <w:t>4). It does not, however, define approval. Regardless of whether § 1508.18(b</w:t>
      </w:r>
      <w:proofErr w:type="gramStart"/>
      <w:r>
        <w:t>)(</w:t>
      </w:r>
      <w:proofErr w:type="gramEnd"/>
      <w:r>
        <w:t xml:space="preserve">4) would designate </w:t>
      </w:r>
      <w:r w:rsidRPr="003C7F09">
        <w:rPr>
          <w:rStyle w:val="StyleUnderline"/>
        </w:rPr>
        <w:t>a non-required,</w:t>
      </w:r>
      <w:r w:rsidRPr="00EA4CD0">
        <w:rPr>
          <w:rStyle w:val="StyleUnderline"/>
        </w:rPr>
        <w:t xml:space="preserve"> voluntarily sought approval</w:t>
      </w:r>
      <w:r>
        <w:t xml:space="preserve"> as a federal action, such an approval </w:t>
      </w:r>
      <w:r w:rsidRPr="00EA4CD0">
        <w:rPr>
          <w:rStyle w:val="StyleUnderline"/>
        </w:rPr>
        <w:t>is not a major federal action</w:t>
      </w:r>
      <w:r>
        <w:t>.</w:t>
      </w:r>
    </w:p>
    <w:p w:rsidR="003D40B5" w:rsidRDefault="003D40B5" w:rsidP="003D40B5"/>
    <w:p w:rsidR="003D40B5" w:rsidRDefault="003D40B5" w:rsidP="008B12D2">
      <w:pPr>
        <w:pStyle w:val="Heading4"/>
      </w:pPr>
      <w:r>
        <w:t>Prefer OCSLA to the CZMA – it’s the only thing that defines development of submerged federal mineral resources</w:t>
      </w:r>
    </w:p>
    <w:p w:rsidR="003D40B5" w:rsidRDefault="003D40B5" w:rsidP="003D40B5">
      <w:r w:rsidRPr="001F701E">
        <w:rPr>
          <w:b/>
        </w:rPr>
        <w:t>Vann, 13</w:t>
      </w:r>
      <w:r>
        <w:t xml:space="preserve"> – Legislative Attorney for the Congressional Research Service (Adam, “Offshore Oil and Gas Development: Legal Framework”, 6/25, </w:t>
      </w:r>
      <w:hyperlink r:id="rId10" w:history="1">
        <w:r w:rsidRPr="00A26162">
          <w:rPr>
            <w:rStyle w:val="Hyperlink"/>
          </w:rPr>
          <w:t>http://www.fas.org/sgp/crs/misc/RL33404.pdf</w:t>
        </w:r>
      </w:hyperlink>
      <w:r>
        <w:t>)</w:t>
      </w:r>
    </w:p>
    <w:p w:rsidR="003D40B5" w:rsidRDefault="003D40B5" w:rsidP="003D40B5"/>
    <w:p w:rsidR="003D40B5" w:rsidRDefault="003D40B5" w:rsidP="003D40B5">
      <w:r w:rsidRPr="002C5C5C">
        <w:rPr>
          <w:rStyle w:val="StyleUnderline"/>
        </w:rPr>
        <w:t>The primary federal law governing development of oil and gas in federal waters is</w:t>
      </w:r>
      <w:r>
        <w:t xml:space="preserve"> the Outer Continental Shelf Lands Act (</w:t>
      </w:r>
      <w:r w:rsidRPr="002C5C5C">
        <w:rPr>
          <w:rStyle w:val="StyleUnderline"/>
        </w:rPr>
        <w:t>OCSLA</w:t>
      </w:r>
      <w:r>
        <w:t xml:space="preserve">).16 </w:t>
      </w:r>
      <w:proofErr w:type="gramStart"/>
      <w:r>
        <w:t>As</w:t>
      </w:r>
      <w:proofErr w:type="gramEnd"/>
      <w:r>
        <w:t xml:space="preserve"> stated above, the OCSLA codifies federal control of the OCS, declaring that the submerged lands seaward of the state’s offshore boundaries appertain to the U.S. federal government. More than simply declaring federal control, the OCSLA has as its primary </w:t>
      </w:r>
      <w:r>
        <w:lastRenderedPageBreak/>
        <w:t xml:space="preserve">purpose “expeditious and orderly development [of OCS resources], subject to environmental safeguards, in a manner which is consistent with the maintenance of competition and other national needs.... ”17 To effectuate this purpose, the </w:t>
      </w:r>
      <w:r w:rsidRPr="002C5C5C">
        <w:rPr>
          <w:rStyle w:val="StyleUnderline"/>
        </w:rPr>
        <w:t>OCSLA</w:t>
      </w:r>
      <w:r>
        <w:t xml:space="preserve"> extends application of federal laws to certain structures and devices located on the OCS;18 provides that the law of adjacent states will apply to the OCS when it does not conflict with federal law;19 and, significantly, </w:t>
      </w:r>
      <w:r w:rsidRPr="002C5C5C">
        <w:rPr>
          <w:rStyle w:val="StyleUnderline"/>
        </w:rPr>
        <w:t>provides a comprehensive leasing process for</w:t>
      </w:r>
      <w:r>
        <w:t xml:space="preserve"> certain </w:t>
      </w:r>
      <w:r w:rsidRPr="002C5C5C">
        <w:rPr>
          <w:rStyle w:val="StyleUnderline"/>
        </w:rPr>
        <w:t>OCS mineral resources and a system for collecting and distributing royalties from the sale of these federal mineral resources</w:t>
      </w:r>
      <w:r>
        <w:t>.20 The OCSLA thus provides comprehensive regulation of the development of OCS oil and gas resources.</w:t>
      </w:r>
    </w:p>
    <w:p w:rsidR="00D74956" w:rsidRDefault="00D74956" w:rsidP="008C1B2E"/>
    <w:p w:rsidR="008B12D2" w:rsidRDefault="008B12D2" w:rsidP="008B12D2">
      <w:pPr>
        <w:pStyle w:val="Heading3"/>
      </w:pPr>
      <w:r>
        <w:lastRenderedPageBreak/>
        <w:t>AT: Demonstration projects</w:t>
      </w:r>
      <w:r w:rsidR="002812BF">
        <w:t xml:space="preserve"> solve </w:t>
      </w:r>
      <w:proofErr w:type="spellStart"/>
      <w:r w:rsidR="002812BF">
        <w:t>overlimits</w:t>
      </w:r>
      <w:proofErr w:type="spellEnd"/>
    </w:p>
    <w:p w:rsidR="008B12D2" w:rsidRDefault="008B12D2" w:rsidP="008B12D2"/>
    <w:p w:rsidR="008B12D2" w:rsidRPr="008B12D2" w:rsidRDefault="008B12D2" w:rsidP="008B12D2">
      <w:pPr>
        <w:pStyle w:val="Heading4"/>
        <w:rPr>
          <w:rStyle w:val="Style13ptBold"/>
          <w:b/>
        </w:rPr>
      </w:pPr>
      <w:bookmarkStart w:id="0" w:name="_GoBack"/>
      <w:bookmarkEnd w:id="0"/>
      <w:r w:rsidRPr="008B12D2">
        <w:rPr>
          <w:rStyle w:val="Style13ptBold"/>
          <w:b/>
        </w:rPr>
        <w:t xml:space="preserve">Those </w:t>
      </w:r>
      <w:proofErr w:type="spellStart"/>
      <w:r w:rsidRPr="008B12D2">
        <w:rPr>
          <w:rStyle w:val="Style13ptBold"/>
          <w:b/>
        </w:rPr>
        <w:t>affs</w:t>
      </w:r>
      <w:proofErr w:type="spellEnd"/>
      <w:r w:rsidRPr="008B12D2">
        <w:rPr>
          <w:rStyle w:val="Style13ptBold"/>
          <w:b/>
        </w:rPr>
        <w:t xml:space="preserve"> lose to the private CP</w:t>
      </w:r>
      <w:r>
        <w:rPr>
          <w:rStyle w:val="Style13ptBold"/>
          <w:b/>
        </w:rPr>
        <w:t xml:space="preserve"> – solvency advocates are only regulatory</w:t>
      </w:r>
    </w:p>
    <w:p w:rsidR="008B12D2" w:rsidRDefault="008B12D2" w:rsidP="00D74956">
      <w:r>
        <w:rPr>
          <w:b/>
        </w:rPr>
        <w:t>Sterne, 9</w:t>
      </w:r>
      <w:r>
        <w:t xml:space="preserve"> - the principal of Rising Tide Strategies LLC, which provides strategic advice to environmental organizations and renewable energy companies. He has been actively involved in shaping and implementing ocean legislation and policy at the national level for the last ten years, (Jack, “Ocean Renewable Energy”, </w:t>
      </w:r>
      <w:hyperlink r:id="rId11" w:history="1">
        <w:r w:rsidRPr="00790065">
          <w:rPr>
            <w:rStyle w:val="Hyperlink"/>
          </w:rPr>
          <w:t>http://geni.org/globalenergy/library/technical-articles/generation/tidal-wave-ocean-energy/environmental-defense-fund/ocean-energy-agenda-supported-by-coastal-mayors-industrial-leaders-academics-and-environmentalist/OceanRenewableEnergy.pdf)//DH</w:t>
        </w:r>
      </w:hyperlink>
    </w:p>
    <w:p w:rsidR="008B12D2" w:rsidRPr="008B12D2" w:rsidRDefault="008B12D2" w:rsidP="00D74956"/>
    <w:p w:rsidR="008B12D2" w:rsidRDefault="008B12D2" w:rsidP="00D74956">
      <w:r>
        <w:t>2. State and federal regulatory policy should explicitly encourage pilot and demonstration scale projects under permitting conditions that assure protection of ocean resources (e.g., an obligation to achieve performance standards for such protection, not just implementation of mitigation measures).</w:t>
      </w:r>
    </w:p>
    <w:p w:rsidR="008B12D2" w:rsidRDefault="008B12D2" w:rsidP="00D74956">
      <w:r>
        <w:t>For the most part, wave, tidal and current energy technologies are at least several years from being ready for full-scale commercial deployment. Getting small-scale projects in the water will speed the development of technologies, allow their refinement, produce relevant environmental data, and advance the competitive market. The technologies will continue to mature for years to come, and there will be a long-term need for ocean resource managers to be able to accommodate pilot or demonstration projects.</w:t>
      </w:r>
    </w:p>
    <w:p w:rsidR="008B12D2" w:rsidRDefault="008B12D2" w:rsidP="00D74956">
      <w:r w:rsidRPr="008B12D2">
        <w:rPr>
          <w:rStyle w:val="StyleUnderline"/>
        </w:rPr>
        <w:t>State and federal governments should create licensing</w:t>
      </w:r>
      <w:r>
        <w:t xml:space="preserve">/permitting </w:t>
      </w:r>
      <w:r w:rsidRPr="008B12D2">
        <w:rPr>
          <w:rStyle w:val="StyleUnderline"/>
        </w:rPr>
        <w:t xml:space="preserve">processes that </w:t>
      </w:r>
      <w:r w:rsidRPr="008B12D2">
        <w:rPr>
          <w:rStyle w:val="Emphasis"/>
        </w:rPr>
        <w:t>encourage</w:t>
      </w:r>
      <w:r w:rsidRPr="008B12D2">
        <w:rPr>
          <w:rStyle w:val="StyleUnderline"/>
        </w:rPr>
        <w:t xml:space="preserve"> development</w:t>
      </w:r>
      <w:r>
        <w:t xml:space="preserve"> of these pilot and </w:t>
      </w:r>
      <w:r w:rsidRPr="008B12D2">
        <w:rPr>
          <w:rStyle w:val="StyleUnderline"/>
        </w:rPr>
        <w:t>demonstration projects</w:t>
      </w:r>
      <w:r>
        <w:t xml:space="preserve"> while ensuring protection of the marine environment. State and federal governments should work together to streamline and standardize the licensing/permitting processes to make it more efficient to obtain regulatory approvals. Agencies should also award licenses based on clear and </w:t>
      </w:r>
      <w:proofErr w:type="spellStart"/>
      <w:r>
        <w:t>trackable</w:t>
      </w:r>
      <w:proofErr w:type="spellEnd"/>
      <w:r>
        <w:t xml:space="preserve"> performance standards for protection of the marine environment, wildlife, and existing uses.</w:t>
      </w:r>
    </w:p>
    <w:p w:rsidR="00FC12E8" w:rsidRDefault="00FC12E8" w:rsidP="008126D7"/>
    <w:sectPr w:rsidR="00FC1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4B7D1E"/>
    <w:multiLevelType w:val="hybridMultilevel"/>
    <w:tmpl w:val="79726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1FC454E"/>
    <w:multiLevelType w:val="hybridMultilevel"/>
    <w:tmpl w:val="0CB01A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C40165"/>
    <w:multiLevelType w:val="hybridMultilevel"/>
    <w:tmpl w:val="7FB81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455A29"/>
    <w:multiLevelType w:val="hybridMultilevel"/>
    <w:tmpl w:val="7F346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4D2B47"/>
    <w:multiLevelType w:val="hybridMultilevel"/>
    <w:tmpl w:val="8D684C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8D7FFC"/>
    <w:multiLevelType w:val="hybridMultilevel"/>
    <w:tmpl w:val="AD1E0860"/>
    <w:lvl w:ilvl="0" w:tplc="4FEA3092">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5929A6"/>
    <w:multiLevelType w:val="hybridMultilevel"/>
    <w:tmpl w:val="36826138"/>
    <w:lvl w:ilvl="0" w:tplc="BAAAAE5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A206D4B"/>
    <w:multiLevelType w:val="hybridMultilevel"/>
    <w:tmpl w:val="E0047844"/>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51199F"/>
    <w:multiLevelType w:val="hybridMultilevel"/>
    <w:tmpl w:val="2F926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FF7DE5"/>
    <w:multiLevelType w:val="hybridMultilevel"/>
    <w:tmpl w:val="E646C1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224267"/>
    <w:multiLevelType w:val="hybridMultilevel"/>
    <w:tmpl w:val="8A3C8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E4C1B8F"/>
    <w:multiLevelType w:val="hybridMultilevel"/>
    <w:tmpl w:val="4BE0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086A74"/>
    <w:multiLevelType w:val="hybridMultilevel"/>
    <w:tmpl w:val="627A4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D823F62"/>
    <w:multiLevelType w:val="hybridMultilevel"/>
    <w:tmpl w:val="69F423E2"/>
    <w:lvl w:ilvl="0" w:tplc="6382F3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23"/>
  </w:num>
  <w:num w:numId="13">
    <w:abstractNumId w:val="11"/>
  </w:num>
  <w:num w:numId="14">
    <w:abstractNumId w:val="16"/>
  </w:num>
  <w:num w:numId="15">
    <w:abstractNumId w:val="12"/>
  </w:num>
  <w:num w:numId="16">
    <w:abstractNumId w:val="14"/>
  </w:num>
  <w:num w:numId="17">
    <w:abstractNumId w:val="13"/>
  </w:num>
  <w:num w:numId="18">
    <w:abstractNumId w:val="10"/>
  </w:num>
  <w:num w:numId="19">
    <w:abstractNumId w:val="21"/>
  </w:num>
  <w:num w:numId="20">
    <w:abstractNumId w:val="20"/>
  </w:num>
  <w:num w:numId="21">
    <w:abstractNumId w:val="22"/>
  </w:num>
  <w:num w:numId="22">
    <w:abstractNumId w:val="19"/>
  </w:num>
  <w:num w:numId="23">
    <w:abstractNumId w:val="15"/>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67527960"/>
    <w:docVar w:name="VerbatimVersion" w:val="5.0"/>
  </w:docVars>
  <w:rsids>
    <w:rsidRoot w:val="00E97362"/>
    <w:rsid w:val="000139A3"/>
    <w:rsid w:val="00063B9D"/>
    <w:rsid w:val="0009597B"/>
    <w:rsid w:val="000A724B"/>
    <w:rsid w:val="000E29DC"/>
    <w:rsid w:val="00100833"/>
    <w:rsid w:val="00104529"/>
    <w:rsid w:val="00113A1E"/>
    <w:rsid w:val="00177B7D"/>
    <w:rsid w:val="0018322D"/>
    <w:rsid w:val="00184147"/>
    <w:rsid w:val="001A4043"/>
    <w:rsid w:val="001B5776"/>
    <w:rsid w:val="001E2C1C"/>
    <w:rsid w:val="00251FC7"/>
    <w:rsid w:val="00281248"/>
    <w:rsid w:val="002812BF"/>
    <w:rsid w:val="002855A7"/>
    <w:rsid w:val="002A1618"/>
    <w:rsid w:val="00302C50"/>
    <w:rsid w:val="00315690"/>
    <w:rsid w:val="00325646"/>
    <w:rsid w:val="00342FCB"/>
    <w:rsid w:val="003902BA"/>
    <w:rsid w:val="0039116E"/>
    <w:rsid w:val="003A06F7"/>
    <w:rsid w:val="003A09E2"/>
    <w:rsid w:val="003B2141"/>
    <w:rsid w:val="003B6415"/>
    <w:rsid w:val="003C7F09"/>
    <w:rsid w:val="003D40B5"/>
    <w:rsid w:val="003E7A89"/>
    <w:rsid w:val="00407037"/>
    <w:rsid w:val="00413987"/>
    <w:rsid w:val="004605D6"/>
    <w:rsid w:val="004718B3"/>
    <w:rsid w:val="0048779D"/>
    <w:rsid w:val="004C60E8"/>
    <w:rsid w:val="004E2066"/>
    <w:rsid w:val="004E3579"/>
    <w:rsid w:val="004E4727"/>
    <w:rsid w:val="004F2692"/>
    <w:rsid w:val="004F39E0"/>
    <w:rsid w:val="00523F9F"/>
    <w:rsid w:val="00537BD5"/>
    <w:rsid w:val="005A09DD"/>
    <w:rsid w:val="005C27D2"/>
    <w:rsid w:val="005C5BFB"/>
    <w:rsid w:val="005D64A4"/>
    <w:rsid w:val="005E3331"/>
    <w:rsid w:val="006065BD"/>
    <w:rsid w:val="0062535F"/>
    <w:rsid w:val="00626289"/>
    <w:rsid w:val="0062681D"/>
    <w:rsid w:val="0063147E"/>
    <w:rsid w:val="00665003"/>
    <w:rsid w:val="006672AA"/>
    <w:rsid w:val="0074330C"/>
    <w:rsid w:val="007B3692"/>
    <w:rsid w:val="007E136E"/>
    <w:rsid w:val="007F5B66"/>
    <w:rsid w:val="00806BA3"/>
    <w:rsid w:val="008116E3"/>
    <w:rsid w:val="008126D7"/>
    <w:rsid w:val="00823A1C"/>
    <w:rsid w:val="00845B9D"/>
    <w:rsid w:val="00860984"/>
    <w:rsid w:val="00862C02"/>
    <w:rsid w:val="00893D15"/>
    <w:rsid w:val="008B12D2"/>
    <w:rsid w:val="008B3ECB"/>
    <w:rsid w:val="008C1B2E"/>
    <w:rsid w:val="008F222E"/>
    <w:rsid w:val="0091627E"/>
    <w:rsid w:val="00933336"/>
    <w:rsid w:val="0096722F"/>
    <w:rsid w:val="009B22D1"/>
    <w:rsid w:val="009C66C7"/>
    <w:rsid w:val="009E1922"/>
    <w:rsid w:val="009F1A93"/>
    <w:rsid w:val="00A67392"/>
    <w:rsid w:val="00A84B39"/>
    <w:rsid w:val="00A93661"/>
    <w:rsid w:val="00A95652"/>
    <w:rsid w:val="00AA6284"/>
    <w:rsid w:val="00AD5607"/>
    <w:rsid w:val="00B33C6D"/>
    <w:rsid w:val="00B4508F"/>
    <w:rsid w:val="00B8057C"/>
    <w:rsid w:val="00BC0655"/>
    <w:rsid w:val="00BF593B"/>
    <w:rsid w:val="00C33F66"/>
    <w:rsid w:val="00C46A3D"/>
    <w:rsid w:val="00C57187"/>
    <w:rsid w:val="00C70ECC"/>
    <w:rsid w:val="00C83417"/>
    <w:rsid w:val="00C96DBF"/>
    <w:rsid w:val="00CD736E"/>
    <w:rsid w:val="00CE0C27"/>
    <w:rsid w:val="00CE161E"/>
    <w:rsid w:val="00CF59A8"/>
    <w:rsid w:val="00D00E69"/>
    <w:rsid w:val="00D0632A"/>
    <w:rsid w:val="00D2067D"/>
    <w:rsid w:val="00D325A9"/>
    <w:rsid w:val="00D36A8A"/>
    <w:rsid w:val="00D71170"/>
    <w:rsid w:val="00D74956"/>
    <w:rsid w:val="00D81FF1"/>
    <w:rsid w:val="00D820A2"/>
    <w:rsid w:val="00DA6538"/>
    <w:rsid w:val="00E04DD1"/>
    <w:rsid w:val="00E51613"/>
    <w:rsid w:val="00E97362"/>
    <w:rsid w:val="00EA4CD0"/>
    <w:rsid w:val="00EB1AFA"/>
    <w:rsid w:val="00ED30CF"/>
    <w:rsid w:val="00EE70A7"/>
    <w:rsid w:val="00F176EF"/>
    <w:rsid w:val="00FA26CF"/>
    <w:rsid w:val="00FC12E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D53117-86BC-42BC-836B-3BA6F0025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23F9F"/>
    <w:pPr>
      <w:spacing w:after="160"/>
    </w:pPr>
    <w:rPr>
      <w:rFonts w:ascii="Georgia" w:hAnsi="Georgia"/>
      <w:sz w:val="20"/>
    </w:rPr>
  </w:style>
  <w:style w:type="paragraph" w:styleId="Heading1">
    <w:name w:val="heading 1"/>
    <w:aliases w:val="Pocket"/>
    <w:basedOn w:val="Normal"/>
    <w:next w:val="Normal"/>
    <w:link w:val="Heading1Char"/>
    <w:autoRedefine/>
    <w:qFormat/>
    <w:rsid w:val="00523F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23F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23F9F"/>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523F9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523F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3F9F"/>
  </w:style>
  <w:style w:type="character" w:customStyle="1" w:styleId="Heading1Char">
    <w:name w:val="Heading 1 Char"/>
    <w:aliases w:val="Pocket Char"/>
    <w:basedOn w:val="DefaultParagraphFont"/>
    <w:link w:val="Heading1"/>
    <w:rsid w:val="00523F9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23F9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23F9F"/>
    <w:rPr>
      <w:rFonts w:ascii="Georgia" w:eastAsiaTheme="majorEastAsia" w:hAnsi="Georgia" w:cstheme="majorBidi"/>
      <w:b/>
      <w:sz w:val="36"/>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23F9F"/>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
    <w:basedOn w:val="DefaultParagraphFont"/>
    <w:uiPriority w:val="7"/>
    <w:qFormat/>
    <w:rsid w:val="00523F9F"/>
    <w:rPr>
      <w:rFonts w:ascii="Georgia" w:hAnsi="Georgia"/>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523F9F"/>
    <w:rPr>
      <w:b/>
      <w:bCs/>
      <w:sz w:val="24"/>
      <w:u w:val="single"/>
    </w:rPr>
  </w:style>
  <w:style w:type="character" w:customStyle="1" w:styleId="StyleUnderline">
    <w:name w:val="Style Underline"/>
    <w:aliases w:val="Intense Emphasis1,Underline,Style Bold Underline,apple-style-span + 6 pt,Bold,Kern at 16 pt,Intense Emphasis3,Thick Underline Char,Intense Emphasis111,Intense Emphasis1111,Intense Emphasis11111,Intense Emphasis11,Intense Emphasis4,Style"/>
    <w:basedOn w:val="DefaultParagraphFont"/>
    <w:uiPriority w:val="6"/>
    <w:qFormat/>
    <w:rsid w:val="00523F9F"/>
    <w:rPr>
      <w:b w:val="0"/>
      <w:sz w:val="24"/>
      <w:u w:val="single"/>
    </w:rPr>
  </w:style>
  <w:style w:type="character" w:styleId="Hyperlink">
    <w:name w:val="Hyperlink"/>
    <w:aliases w:val="heading 1 (block title),Important,Read,Card Text,Internet Link"/>
    <w:basedOn w:val="DefaultParagraphFont"/>
    <w:uiPriority w:val="99"/>
    <w:unhideWhenUsed/>
    <w:rsid w:val="00523F9F"/>
    <w:rPr>
      <w:color w:val="auto"/>
      <w:u w:val="none"/>
    </w:rPr>
  </w:style>
  <w:style w:type="character" w:styleId="FollowedHyperlink">
    <w:name w:val="FollowedHyperlink"/>
    <w:basedOn w:val="DefaultParagraphFont"/>
    <w:uiPriority w:val="99"/>
    <w:semiHidden/>
    <w:unhideWhenUsed/>
    <w:rsid w:val="00523F9F"/>
    <w:rPr>
      <w:color w:val="auto"/>
      <w:u w:val="none"/>
    </w:rPr>
  </w:style>
  <w:style w:type="paragraph" w:styleId="ListParagraph">
    <w:name w:val="List Paragraph"/>
    <w:basedOn w:val="Normal"/>
    <w:uiPriority w:val="99"/>
    <w:unhideWhenUsed/>
    <w:qFormat/>
    <w:rsid w:val="00FA26CF"/>
    <w:pPr>
      <w:ind w:left="720"/>
      <w:contextualSpacing/>
    </w:pPr>
  </w:style>
  <w:style w:type="paragraph" w:customStyle="1" w:styleId="Cards">
    <w:name w:val="Cards"/>
    <w:next w:val="Normal"/>
    <w:link w:val="CardsChar"/>
    <w:rsid w:val="004718B3"/>
    <w:pPr>
      <w:widowControl w:val="0"/>
      <w:spacing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4718B3"/>
    <w:rPr>
      <w:rFonts w:ascii="Times New Roman" w:hAnsi="Times New Roman"/>
      <w:sz w:val="20"/>
      <w:u w:val="thick"/>
    </w:rPr>
  </w:style>
  <w:style w:type="character" w:customStyle="1" w:styleId="CardsChar">
    <w:name w:val="Cards Char"/>
    <w:link w:val="Cards"/>
    <w:locked/>
    <w:rsid w:val="004718B3"/>
    <w:rPr>
      <w:rFonts w:ascii="Times New Roman" w:eastAsia="Times New Roman" w:hAnsi="Times New Roman" w:cs="Times New Roman"/>
      <w:sz w:val="20"/>
      <w:szCs w:val="24"/>
    </w:rPr>
  </w:style>
  <w:style w:type="character" w:customStyle="1" w:styleId="UnderlineBold">
    <w:name w:val="Underline + Bold"/>
    <w:uiPriority w:val="1"/>
    <w:qFormat/>
    <w:rsid w:val="00AA6284"/>
    <w:rPr>
      <w:b w:val="0"/>
      <w:sz w:val="20"/>
      <w:u w:val="single"/>
    </w:rPr>
  </w:style>
  <w:style w:type="paragraph" w:customStyle="1" w:styleId="ANALYTICS">
    <w:name w:val="ANALYTICS"/>
    <w:link w:val="ANALYTICSChar"/>
    <w:uiPriority w:val="4"/>
    <w:qFormat/>
    <w:rsid w:val="00523F9F"/>
    <w:pPr>
      <w:spacing w:after="160"/>
    </w:pPr>
    <w:rPr>
      <w:rFonts w:ascii="Georgia" w:eastAsiaTheme="majorEastAsia" w:hAnsi="Georgia" w:cstheme="majorBidi"/>
      <w:b/>
      <w:iCs/>
    </w:rPr>
  </w:style>
  <w:style w:type="character" w:customStyle="1" w:styleId="ANALYTICSChar">
    <w:name w:val="ANALYTICS Char"/>
    <w:basedOn w:val="DefaultParagraphFont"/>
    <w:link w:val="ANALYTICS"/>
    <w:uiPriority w:val="4"/>
    <w:rsid w:val="00523F9F"/>
    <w:rPr>
      <w:rFonts w:ascii="Georgia" w:eastAsiaTheme="majorEastAsia" w:hAnsi="Georgia" w:cstheme="majorBidi"/>
      <w:b/>
      <w:iCs/>
    </w:rPr>
  </w:style>
  <w:style w:type="paragraph" w:customStyle="1" w:styleId="analytics0">
    <w:name w:val="analytics"/>
    <w:link w:val="analyticsChar0"/>
    <w:uiPriority w:val="4"/>
    <w:qFormat/>
    <w:rsid w:val="00523F9F"/>
    <w:pPr>
      <w:spacing w:after="160"/>
    </w:pPr>
    <w:rPr>
      <w:rFonts w:ascii="Georgia" w:eastAsiaTheme="majorEastAsia" w:hAnsi="Georgia" w:cstheme="majorBidi"/>
      <w:b/>
      <w:iCs/>
      <w:sz w:val="24"/>
    </w:rPr>
  </w:style>
  <w:style w:type="character" w:customStyle="1" w:styleId="analyticsChar0">
    <w:name w:val="analytics Char"/>
    <w:basedOn w:val="DefaultParagraphFont"/>
    <w:link w:val="analytics0"/>
    <w:uiPriority w:val="4"/>
    <w:rsid w:val="00523F9F"/>
    <w:rPr>
      <w:rFonts w:ascii="Georgia" w:eastAsiaTheme="majorEastAsia" w:hAnsi="Georgia"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ai.dtic.mil/oai/oai?verb=getRecord&amp;metadataPrefix=html&amp;identifier=ADA561453)//D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oai.dtic.mil/oai/oai?verb=getRecord&amp;metadataPrefix=html&amp;identifier=ADA561453)//D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cpa.org/pdfs/bg173.pdf" TargetMode="External"/><Relationship Id="rId11" Type="http://schemas.openxmlformats.org/officeDocument/2006/relationships/hyperlink" Target="http://geni.org/globalenergy/library/technical-articles/generation/tidal-wave-ocean-energy/environmental-defense-fund/ocean-energy-agenda-supported-by-coastal-mayors-industrial-leaders-academics-and-environmentalist/OceanRenewableEnergy.pdf)//DH" TargetMode="External"/><Relationship Id="rId5" Type="http://schemas.openxmlformats.org/officeDocument/2006/relationships/hyperlink" Target="http://www.ncpa.org/pdfs/bg173.pdf" TargetMode="External"/><Relationship Id="rId10" Type="http://schemas.openxmlformats.org/officeDocument/2006/relationships/hyperlink" Target="http://www.fas.org/sgp/crs/misc/RL33404.pdf" TargetMode="External"/><Relationship Id="rId4" Type="http://schemas.openxmlformats.org/officeDocument/2006/relationships/webSettings" Target="webSettings.xml"/><Relationship Id="rId9" Type="http://schemas.openxmlformats.org/officeDocument/2006/relationships/hyperlink" Target="http://nebula.wsimg.com/f97bfb87d31d68c9fba55f48d125fd8a?AccessKeyId=39A2DC689E4CA87C906D&amp;disposition=0&amp;alloworigin=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57</TotalTime>
  <Pages>20</Pages>
  <Words>5966</Words>
  <Characters>32819</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15kwells</cp:lastModifiedBy>
  <cp:revision>3</cp:revision>
  <dcterms:created xsi:type="dcterms:W3CDTF">2014-07-25T19:45:00Z</dcterms:created>
  <dcterms:modified xsi:type="dcterms:W3CDTF">2014-07-26T03:09:00Z</dcterms:modified>
</cp:coreProperties>
</file>