
<file path=[Content_Types].xml><?xml version="1.0" encoding="utf-8"?>
<Types xmlns="http://schemas.openxmlformats.org/package/2006/content-types">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header2.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854" w:rsidRDefault="005E406D" w:rsidP="005E406D">
      <w:pPr>
        <w:pStyle w:val="Heading1"/>
        <w:rPr>
          <w:rStyle w:val="Style13ptBold"/>
          <w:szCs w:val="26"/>
        </w:rPr>
      </w:pPr>
      <w:r w:rsidRPr="005E406D">
        <w:rPr>
          <w:rStyle w:val="Style13ptBold"/>
          <w:b/>
          <w:bCs w:val="0"/>
          <w:sz w:val="52"/>
        </w:rPr>
        <w:t>Zong Case Neg</w:t>
      </w:r>
    </w:p>
    <w:p w:rsidR="005A7217" w:rsidRDefault="005A7217" w:rsidP="005A7217">
      <w:pPr>
        <w:pStyle w:val="Heading2"/>
      </w:pPr>
      <w:r>
        <w:t>Medical K</w:t>
      </w:r>
    </w:p>
    <w:p w:rsidR="000A039C" w:rsidRPr="000A039C" w:rsidRDefault="000A039C" w:rsidP="000A039C">
      <w:pPr>
        <w:pStyle w:val="Heading3"/>
      </w:pPr>
      <w:r>
        <w:t>1NC</w:t>
      </w:r>
    </w:p>
    <w:p w:rsidR="000A039C" w:rsidRDefault="000A039C" w:rsidP="00EF58FB">
      <w:pPr>
        <w:pStyle w:val="Heading4"/>
      </w:pPr>
      <w:r>
        <w:t>Insert Link Card</w:t>
      </w:r>
    </w:p>
    <w:p w:rsidR="000A039C" w:rsidRDefault="000A039C" w:rsidP="00EF58FB">
      <w:pPr>
        <w:pStyle w:val="Heading4"/>
        <w:rPr>
          <w:shd w:val="clear" w:color="auto" w:fill="FFFFFF"/>
        </w:rPr>
      </w:pPr>
      <w:r>
        <w:rPr>
          <w:shd w:val="clear" w:color="auto" w:fill="FFFFFF"/>
        </w:rPr>
        <w:t>Medicalization enables biological categorization that systematically devalues and excludes huge portions of the populations—culminates in racism, social death and genocide</w:t>
      </w:r>
    </w:p>
    <w:p w:rsidR="000A039C" w:rsidRPr="000A039C" w:rsidRDefault="000A039C" w:rsidP="000A039C">
      <w:pPr>
        <w:rPr>
          <w:rStyle w:val="Style13ptBold"/>
          <w:rFonts w:eastAsiaTheme="majorEastAsia" w:cstheme="majorBidi"/>
          <w:b w:val="0"/>
          <w:iCs/>
        </w:rPr>
      </w:pPr>
      <w:r>
        <w:rPr>
          <w:rStyle w:val="Style13ptBold"/>
        </w:rPr>
        <w:t>Hughes 02 (</w:t>
      </w:r>
      <w:r w:rsidRPr="000A039C">
        <w:t>Bill, Professor of Social Policy at the University of Glasgow, “Disability Studies Today,” Ed. Barnes, p. 60-62, CH</w:t>
      </w:r>
      <w:r>
        <w:rPr>
          <w:rStyle w:val="Style13ptBold"/>
        </w:rPr>
        <w:t>)</w:t>
      </w:r>
    </w:p>
    <w:p w:rsidR="000A039C" w:rsidRDefault="000A039C" w:rsidP="000A039C">
      <w:pPr>
        <w:rPr>
          <w:rStyle w:val="StyleUnderline"/>
        </w:rPr>
      </w:pPr>
      <w:r w:rsidRPr="00E632A0">
        <w:rPr>
          <w:sz w:val="16"/>
        </w:rPr>
        <w:t xml:space="preserve">The dominant framework for understanding disability in the modern period has been the medical model (Oliver 1990). </w:t>
      </w:r>
      <w:r w:rsidRPr="000A039C">
        <w:rPr>
          <w:rStyle w:val="StyleUnderline"/>
        </w:rPr>
        <w:t>From the early nine</w:t>
      </w:r>
      <w:r w:rsidRPr="000A039C">
        <w:rPr>
          <w:rStyle w:val="StyleUnderline"/>
        </w:rPr>
        <w:softHyphen/>
        <w:t xml:space="preserve">teenth century onwards, </w:t>
      </w:r>
      <w:r w:rsidRPr="00EF58FB">
        <w:rPr>
          <w:rStyle w:val="StyleUnderline"/>
          <w:highlight w:val="yellow"/>
        </w:rPr>
        <w:t>biomedicine legitimated the view that biophys</w:t>
      </w:r>
      <w:r w:rsidRPr="00EF58FB">
        <w:rPr>
          <w:rStyle w:val="StyleUnderline"/>
          <w:highlight w:val="yellow"/>
        </w:rPr>
        <w:softHyphen/>
        <w:t>ical ‘abnormality’ or ‘maladaptation’</w:t>
      </w:r>
      <w:r w:rsidRPr="000A039C">
        <w:rPr>
          <w:rStyle w:val="StyleUnderline"/>
        </w:rPr>
        <w:t xml:space="preserve"> leads to, or </w:t>
      </w:r>
      <w:r w:rsidRPr="00EF58FB">
        <w:rPr>
          <w:rStyle w:val="StyleUnderline"/>
          <w:highlight w:val="yellow"/>
        </w:rPr>
        <w:t>is the cause of, social ‘abnormality’</w:t>
      </w:r>
      <w:r w:rsidRPr="000A039C">
        <w:rPr>
          <w:rStyle w:val="StyleUnderline"/>
        </w:rPr>
        <w:t xml:space="preserve"> or ‘maladaptation'. </w:t>
      </w:r>
      <w:r w:rsidRPr="00EF58FB">
        <w:rPr>
          <w:rStyle w:val="StyleUnderline"/>
          <w:highlight w:val="yellow"/>
        </w:rPr>
        <w:t>In other words, to be defined as a ‘flawed' body is simultaneously to be defined as incapable of adequate social participation</w:t>
      </w:r>
      <w:r w:rsidRPr="000A039C">
        <w:rPr>
          <w:rStyle w:val="StyleUnderline"/>
        </w:rPr>
        <w:t>.</w:t>
      </w:r>
      <w:r w:rsidRPr="00E632A0">
        <w:rPr>
          <w:sz w:val="16"/>
        </w:rPr>
        <w:t xml:space="preserve"> The corporealization of disability meant, in practical terms, the segregation of those so labelled. </w:t>
      </w:r>
      <w:r w:rsidRPr="00EF58FB">
        <w:rPr>
          <w:rStyle w:val="StyleUnderline"/>
          <w:highlight w:val="yellow"/>
        </w:rPr>
        <w:t>The logic of the medical model runs from diagnosis to social response</w:t>
      </w:r>
      <w:r w:rsidRPr="000A039C">
        <w:rPr>
          <w:rStyle w:val="StyleUnderline"/>
        </w:rPr>
        <w:t xml:space="preserve">. In causal terms, there seem to be three linked elements in the chain: </w:t>
      </w:r>
      <w:r w:rsidRPr="00EF58FB">
        <w:rPr>
          <w:rStyle w:val="StyleUnderline"/>
          <w:highlight w:val="yellow"/>
        </w:rPr>
        <w:t>impairment leads to disability, which in turn leads to confinement</w:t>
      </w:r>
      <w:r w:rsidRPr="000A039C">
        <w:rPr>
          <w:rStyle w:val="StyleUnderline"/>
        </w:rPr>
        <w:t xml:space="preserve"> or ‘institutionalization'. The social response to the ‘flawed’ body - particularly in the nineteenth century - was</w:t>
      </w:r>
      <w:r w:rsidRPr="00E632A0">
        <w:rPr>
          <w:sz w:val="16"/>
        </w:rPr>
        <w:t xml:space="preserve"> anthropoemic. This concept refers to the </w:t>
      </w:r>
      <w:r w:rsidRPr="000A039C">
        <w:rPr>
          <w:rStyle w:val="StyleUnderline"/>
        </w:rPr>
        <w:t>expulsion or exile of alien persons.</w:t>
      </w:r>
      <w:r w:rsidRPr="00E632A0">
        <w:rPr>
          <w:sz w:val="16"/>
        </w:rPr>
        <w:t xml:space="preserve"> The Victorian penchant for excluding people from social participation on the ground of what today might be called ‘difference’ was summed up by Foucault’s (1969) notion of the ‘great confinement’. The </w:t>
      </w:r>
      <w:r w:rsidRPr="00EF58FB">
        <w:rPr>
          <w:rStyle w:val="StyleUnderline"/>
          <w:highlight w:val="yellow"/>
        </w:rPr>
        <w:t>segregation</w:t>
      </w:r>
      <w:r w:rsidRPr="000A039C">
        <w:rPr>
          <w:rStyle w:val="StyleUnderline"/>
        </w:rPr>
        <w:t xml:space="preserve"> associated with confinement was not only equivalent to a custodial sentence - often for life - but </w:t>
      </w:r>
      <w:r w:rsidRPr="00EF58FB">
        <w:rPr>
          <w:rStyle w:val="StyleUnderline"/>
          <w:highlight w:val="yellow"/>
        </w:rPr>
        <w:t>was</w:t>
      </w:r>
      <w:r w:rsidRPr="000A039C">
        <w:rPr>
          <w:rStyle w:val="StyleUnderline"/>
        </w:rPr>
        <w:t xml:space="preserve"> also </w:t>
      </w:r>
      <w:r w:rsidRPr="00EF58FB">
        <w:rPr>
          <w:rStyle w:val="StyleUnderline"/>
          <w:highlight w:val="yellow"/>
        </w:rPr>
        <w:t>a sentence of ‘social death’</w:t>
      </w:r>
      <w:r w:rsidRPr="00EF58FB">
        <w:rPr>
          <w:rStyle w:val="StyleUnderline"/>
        </w:rPr>
        <w:t>, which was - in itself a sort of tacit legitimation for the denial of human rights and the application of oppressive</w:t>
      </w:r>
      <w:r w:rsidRPr="000A039C">
        <w:rPr>
          <w:rStyle w:val="StyleUnderline"/>
        </w:rPr>
        <w:t xml:space="preserve"> practices of care</w:t>
      </w:r>
      <w:r w:rsidRPr="00E632A0">
        <w:rPr>
          <w:sz w:val="16"/>
        </w:rPr>
        <w:t xml:space="preserve"> (Barnes 1990). </w:t>
      </w:r>
      <w:r w:rsidRPr="000A039C">
        <w:rPr>
          <w:rStyle w:val="StyleUnderline"/>
        </w:rPr>
        <w:t>These institutional spaces of exclusion</w:t>
      </w:r>
      <w:r w:rsidRPr="00E632A0">
        <w:rPr>
          <w:sz w:val="16"/>
        </w:rPr>
        <w:t xml:space="preserve">, into which disabled people were cast, </w:t>
      </w:r>
      <w:r w:rsidRPr="000A039C">
        <w:rPr>
          <w:rStyle w:val="StyleUnderline"/>
        </w:rPr>
        <w:t>were, after all</w:t>
      </w:r>
      <w:r w:rsidRPr="00E632A0">
        <w:rPr>
          <w:sz w:val="16"/>
        </w:rPr>
        <w:t xml:space="preserve">, </w:t>
      </w:r>
      <w:r w:rsidRPr="00EF58FB">
        <w:rPr>
          <w:sz w:val="16"/>
          <w:highlight w:val="yellow"/>
        </w:rPr>
        <w:t>‘</w:t>
      </w:r>
      <w:r w:rsidRPr="00EF58FB">
        <w:rPr>
          <w:rStyle w:val="StyleUnderline"/>
          <w:highlight w:val="yellow"/>
        </w:rPr>
        <w:t>civilized’ by medical jurisdiction</w:t>
      </w:r>
      <w:r w:rsidRPr="00E632A0">
        <w:rPr>
          <w:sz w:val="16"/>
        </w:rPr>
        <w:t>. The very authority that had objectified disabled people by reducing them to their impairments now had the opportunity to define disabled people’s needs and, in many cases, act in loco parentis. However, the transformation of impairment into a social problem is not simply a story of medical intervention. Political economy was a major protagonist (Finkelstein 1980: Oliver 1990). The capitalist system that emerged in full-blooded form out of the rapid econo</w:t>
      </w:r>
      <w:r w:rsidR="00E632A0" w:rsidRPr="00E632A0">
        <w:rPr>
          <w:sz w:val="16"/>
        </w:rPr>
        <w:t>mic changes of the early to mid-</w:t>
      </w:r>
      <w:r w:rsidRPr="00E632A0">
        <w:rPr>
          <w:sz w:val="16"/>
        </w:rPr>
        <w:t>nineteenth century made wage slavery - for the vast majority of people - the sole option for survival. Disabled people did not have this option. They were excluded from industrial production on the grounds that their labour power was impaired. The labour market, which prized above all the skill of corporeal repetition that was matched to a pace set by machinery and later the production line, was closed to ‘cripples’. ‘Mechanised production required a uniform work-force, who could perform similar tasks and work was not organised to cater for the range of intellectual and bodily differences between people’ (Marks 1999: 80). Further, the pool of disabled people was refreshed continu</w:t>
      </w:r>
      <w:r w:rsidRPr="00E632A0">
        <w:rPr>
          <w:sz w:val="16"/>
        </w:rPr>
        <w:softHyphen/>
        <w:t>ously as other people became - to use a contemporary military euphem</w:t>
      </w:r>
      <w:r w:rsidRPr="00E632A0">
        <w:rPr>
          <w:sz w:val="16"/>
        </w:rPr>
        <w:softHyphen/>
        <w:t>ism - ‘collateral damage’ of the capitalist mode of production. Not regarded as ‘fit’ to join the reserve army of labour, in a society where labour power determined one’s place, disabled people became materially constituted as a waste product. At best, they were defined as a class of unfortunates who had better be thankful that the goodness of the com</w:t>
      </w:r>
      <w:r w:rsidRPr="00E632A0">
        <w:rPr>
          <w:sz w:val="16"/>
        </w:rPr>
        <w:softHyphen/>
        <w:t>munity or the largesse of the infant ‘therapeutic state’ (O’Neil 1986) was on hand to save them from destitution and starvation</w:t>
      </w:r>
      <w:r w:rsidRPr="00E632A0">
        <w:rPr>
          <w:rStyle w:val="StyleUnderline"/>
        </w:rPr>
        <w:t xml:space="preserve">. </w:t>
      </w:r>
      <w:r w:rsidRPr="00EF58FB">
        <w:rPr>
          <w:rStyle w:val="StyleUnderline"/>
          <w:highlight w:val="yellow"/>
        </w:rPr>
        <w:t>The medical model</w:t>
      </w:r>
      <w:r w:rsidRPr="00E632A0">
        <w:rPr>
          <w:sz w:val="16"/>
        </w:rPr>
        <w:t xml:space="preserve"> of disability is, and </w:t>
      </w:r>
      <w:r w:rsidRPr="00EF58FB">
        <w:rPr>
          <w:rStyle w:val="StyleUnderline"/>
          <w:highlight w:val="yellow"/>
        </w:rPr>
        <w:t>has been, strongly associated with the</w:t>
      </w:r>
      <w:r w:rsidRPr="00E632A0">
        <w:rPr>
          <w:rStyle w:val="StyleUnderline"/>
        </w:rPr>
        <w:t xml:space="preserve"> potentially </w:t>
      </w:r>
      <w:r w:rsidRPr="00EF58FB">
        <w:rPr>
          <w:rStyle w:val="StyleUnderline"/>
          <w:highlight w:val="yellow"/>
        </w:rPr>
        <w:t>reactionary theme that ‘biology is destiny’,</w:t>
      </w:r>
      <w:r w:rsidRPr="00E632A0">
        <w:rPr>
          <w:rStyle w:val="StyleUnderline"/>
        </w:rPr>
        <w:t xml:space="preserve"> and is embedded in popular culture by the ‘naturalization’ of the view that natural aptitudes determine life chances. Nurture is causally impotent. In the social world, it is natural endowment that is the most efficacious variable.</w:t>
      </w:r>
      <w:r w:rsidRPr="00E632A0">
        <w:rPr>
          <w:sz w:val="16"/>
        </w:rPr>
        <w:t xml:space="preserve"> At its worst, in the nineteenth century, the </w:t>
      </w:r>
      <w:r w:rsidRPr="00EF58FB">
        <w:rPr>
          <w:rStyle w:val="StyleUnderline"/>
          <w:highlight w:val="yellow"/>
        </w:rPr>
        <w:t>medicalization</w:t>
      </w:r>
      <w:r w:rsidRPr="00E632A0">
        <w:rPr>
          <w:sz w:val="16"/>
        </w:rPr>
        <w:t xml:space="preserve"> of disability </w:t>
      </w:r>
      <w:r w:rsidRPr="00EF58FB">
        <w:rPr>
          <w:rStyle w:val="StyleUnderline"/>
          <w:highlight w:val="yellow"/>
        </w:rPr>
        <w:t>dovetailed with</w:t>
      </w:r>
      <w:r w:rsidRPr="00E632A0">
        <w:rPr>
          <w:rStyle w:val="StyleUnderline"/>
        </w:rPr>
        <w:t xml:space="preserve"> what Foucault called ‘</w:t>
      </w:r>
      <w:r w:rsidRPr="00EF58FB">
        <w:rPr>
          <w:rStyle w:val="StyleUnderline"/>
          <w:highlight w:val="yellow"/>
        </w:rPr>
        <w:t>the racisms of the state’</w:t>
      </w:r>
      <w:r w:rsidRPr="00E632A0">
        <w:rPr>
          <w:sz w:val="16"/>
        </w:rPr>
        <w:t xml:space="preserve"> ( 1979: 54), </w:t>
      </w:r>
      <w:r w:rsidRPr="00EF58FB">
        <w:rPr>
          <w:rStyle w:val="StyleUnderline"/>
          <w:highlight w:val="yellow"/>
        </w:rPr>
        <w:t>with the Darwinist and eugenicist perspectives which prom</w:t>
      </w:r>
      <w:r w:rsidRPr="00EF58FB">
        <w:rPr>
          <w:rStyle w:val="StyleUnderline"/>
          <w:highlight w:val="yellow"/>
        </w:rPr>
        <w:softHyphen/>
        <w:t>ised to cleanse the social body of impurity</w:t>
      </w:r>
      <w:r w:rsidRPr="00E632A0">
        <w:rPr>
          <w:rStyle w:val="StyleUnderline"/>
        </w:rPr>
        <w:t>,</w:t>
      </w:r>
      <w:r w:rsidRPr="00E632A0">
        <w:rPr>
          <w:sz w:val="16"/>
        </w:rPr>
        <w:t xml:space="preserve"> </w:t>
      </w:r>
      <w:r w:rsidRPr="00E632A0">
        <w:rPr>
          <w:rStyle w:val="StyleUnderline"/>
        </w:rPr>
        <w:t>imperfection, degeneracy and defectiveness.</w:t>
      </w:r>
      <w:r w:rsidRPr="00E632A0">
        <w:rPr>
          <w:sz w:val="16"/>
        </w:rPr>
        <w:t xml:space="preserve"> Even in the twentieth century, not only in Fascist Germany, but also in post-World War 11 Social Democratic Sweden, the view that disability represents a contaminant within and a threat to the physical and moral integrity of the population was manifest in state-sponsored programmes of sterilization (Muller-Hill 1994). In the United States, Margaret Sanger, a major proponent of birth control, declared in 1919: ‘More children from the fit, less from the unfit - that is the chief issue of birth control’ (quoted in Lupton 1994: 139). The concept of ‘fitness' was used, in such contexts, as a criterion for making ‘humanity' - defined in terms of aesthetic ideals of embodiment - into a relative term. Modernity is riddled with such eugenic conceptions of ‘social hygiene'. They are based on the view that disabled people are either ‘unfit’ to be in society or to reproduce. The eugenic gaze proposes collective solutions to the contaminant that disabled bodies represent, but does not propose col</w:t>
      </w:r>
      <w:r w:rsidRPr="00E632A0">
        <w:rPr>
          <w:sz w:val="16"/>
        </w:rPr>
        <w:softHyphen/>
        <w:t>lectivist explanations. It is imprisoned in the repertoire of sociology and social Darwinism, and treats disability as an error of nature that should be righted.</w:t>
      </w:r>
      <w:r w:rsidRPr="00E632A0">
        <w:rPr>
          <w:rStyle w:val="StyleUnderline"/>
        </w:rPr>
        <w:t xml:space="preserve"> When wedded to a rigid concept of heredity</w:t>
      </w:r>
      <w:r w:rsidRPr="00EF58FB">
        <w:rPr>
          <w:rStyle w:val="StyleUnderline"/>
          <w:highlight w:val="yellow"/>
        </w:rPr>
        <w:t>, biological reductionism m</w:t>
      </w:r>
      <w:r w:rsidRPr="00E632A0">
        <w:rPr>
          <w:rStyle w:val="StyleUnderline"/>
        </w:rPr>
        <w:t>ay</w:t>
      </w:r>
      <w:r w:rsidRPr="00E632A0">
        <w:rPr>
          <w:sz w:val="16"/>
        </w:rPr>
        <w:t xml:space="preserve"> - at its worst - </w:t>
      </w:r>
      <w:r w:rsidRPr="00EF58FB">
        <w:rPr>
          <w:rStyle w:val="StyleUnderline"/>
          <w:highlight w:val="yellow"/>
        </w:rPr>
        <w:t>translate into a politics of genocide.</w:t>
      </w:r>
    </w:p>
    <w:p w:rsidR="00EF58FB" w:rsidRPr="00EF58FB" w:rsidRDefault="00EF58FB" w:rsidP="00EF58FB">
      <w:pPr>
        <w:pStyle w:val="Heading4"/>
        <w:rPr>
          <w:rStyle w:val="StyleUnderline"/>
          <w:rFonts w:eastAsiaTheme="minorHAnsi" w:cstheme="minorBidi"/>
          <w:b w:val="0"/>
          <w:iCs w:val="0"/>
        </w:rPr>
      </w:pPr>
      <w:r w:rsidRPr="00EF58FB">
        <w:rPr>
          <w:rStyle w:val="StyleUnderline"/>
          <w:u w:val="none"/>
        </w:rPr>
        <w:t>Insert Alt Card</w:t>
      </w:r>
    </w:p>
    <w:p w:rsidR="000A039C" w:rsidRDefault="000A039C" w:rsidP="000A039C">
      <w:pPr>
        <w:pStyle w:val="Heading3"/>
        <w:rPr>
          <w:shd w:val="clear" w:color="auto" w:fill="FFFFFF"/>
        </w:rPr>
      </w:pPr>
      <w:r>
        <w:rPr>
          <w:shd w:val="clear" w:color="auto" w:fill="FFFFFF"/>
        </w:rPr>
        <w:t>***2NC/1NR***</w:t>
      </w:r>
    </w:p>
    <w:p w:rsidR="000A039C" w:rsidRPr="000A039C" w:rsidRDefault="000A039C" w:rsidP="000A039C">
      <w:pPr>
        <w:pStyle w:val="Heading3"/>
      </w:pPr>
      <w:r>
        <w:t>Overview</w:t>
      </w:r>
    </w:p>
    <w:p w:rsidR="000A039C" w:rsidRDefault="000A039C" w:rsidP="00EF58FB">
      <w:pPr>
        <w:pStyle w:val="Heading4"/>
        <w:rPr>
          <w:shd w:val="clear" w:color="auto" w:fill="FFFFFF"/>
        </w:rPr>
      </w:pPr>
      <w:r>
        <w:rPr>
          <w:shd w:val="clear" w:color="auto" w:fill="FFFFFF"/>
        </w:rPr>
        <w:t>Their analogy posits medicine as the basis for understanding social phenomena—this simultaneously devalues alternatives to social death by implying that they are merely physical conditions and paradoxically fuels racist and colonialist civilizing missions wrapped in the trope of “healing”</w:t>
      </w:r>
    </w:p>
    <w:p w:rsidR="008B6AD1" w:rsidRPr="008B6AD1" w:rsidRDefault="008B6AD1" w:rsidP="008B6AD1">
      <w:pPr>
        <w:rPr>
          <w:rStyle w:val="Style13ptBold"/>
          <w:rFonts w:eastAsiaTheme="majorEastAsia" w:cstheme="majorBidi"/>
          <w:b w:val="0"/>
          <w:iCs/>
        </w:rPr>
      </w:pPr>
      <w:r>
        <w:rPr>
          <w:rStyle w:val="Style13ptBold"/>
        </w:rPr>
        <w:t>Norridge 12 (</w:t>
      </w:r>
      <w:r w:rsidRPr="008B6AD1">
        <w:t>Zoe, Lecturer in English and Comparative Literature at King’s College London, “Perceiving Pain in African Literature,” p. 177-179, CH</w:t>
      </w:r>
      <w:r>
        <w:rPr>
          <w:rStyle w:val="Style13ptBold"/>
        </w:rPr>
        <w:t>)</w:t>
      </w:r>
    </w:p>
    <w:p w:rsidR="008B6AD1" w:rsidRPr="000A039C" w:rsidRDefault="00BE5144" w:rsidP="008B6AD1">
      <w:pPr>
        <w:rPr>
          <w:sz w:val="14"/>
        </w:rPr>
      </w:pPr>
      <w:r w:rsidRPr="000A039C">
        <w:rPr>
          <w:sz w:val="14"/>
        </w:rPr>
        <w:t xml:space="preserve">Alongside socio-economic considerations about the nature of healing work, there are further contextual features worth bearing in mind when considering what we mean by healing. In an article entitled 'Healing the Nation: Medicolonial Discourse and the State of Emergency from Apartheid to Truth and Reconciliation', Giuliana </w:t>
      </w:r>
      <w:r w:rsidRPr="000A039C">
        <w:rPr>
          <w:rStyle w:val="StyleUnderline"/>
          <w:highlight w:val="yellow"/>
        </w:rPr>
        <w:t>Lund is very criti</w:t>
      </w:r>
      <w:r w:rsidRPr="000A039C">
        <w:rPr>
          <w:rStyle w:val="StyleUnderline"/>
          <w:highlight w:val="yellow"/>
        </w:rPr>
        <w:softHyphen/>
        <w:t xml:space="preserve">cal of </w:t>
      </w:r>
      <w:r w:rsidRPr="000A039C">
        <w:rPr>
          <w:rStyle w:val="StyleUnderline"/>
        </w:rPr>
        <w:t>using medical analogies to interpret political situations.</w:t>
      </w:r>
      <w:r w:rsidRPr="000A039C">
        <w:rPr>
          <w:sz w:val="14"/>
        </w:rPr>
        <w:t xml:space="preserve"> She acknowledges that </w:t>
      </w:r>
      <w:r w:rsidRPr="000A039C">
        <w:rPr>
          <w:rStyle w:val="StyleUnderline"/>
        </w:rPr>
        <w:t>it is not surprising that leaders</w:t>
      </w:r>
      <w:r w:rsidRPr="000A039C">
        <w:rPr>
          <w:sz w:val="14"/>
        </w:rPr>
        <w:t xml:space="preserve"> of the new South Africa </w:t>
      </w:r>
      <w:r w:rsidRPr="000A039C">
        <w:rPr>
          <w:rStyle w:val="StyleUnderline"/>
        </w:rPr>
        <w:t>'have recourse to metaphors of illness and healing' given that there is 'a</w:t>
      </w:r>
      <w:r w:rsidRPr="000A039C">
        <w:rPr>
          <w:sz w:val="14"/>
        </w:rPr>
        <w:t xml:space="preserve"> long-standing </w:t>
      </w:r>
      <w:r w:rsidRPr="000A039C">
        <w:rPr>
          <w:rStyle w:val="StyleUnderline"/>
        </w:rPr>
        <w:t>tradition</w:t>
      </w:r>
      <w:r w:rsidRPr="000A039C">
        <w:rPr>
          <w:sz w:val="14"/>
        </w:rPr>
        <w:t xml:space="preserve"> in South Africa </w:t>
      </w:r>
      <w:r w:rsidRPr="000A039C">
        <w:rPr>
          <w:rStyle w:val="StyleUnderline"/>
        </w:rPr>
        <w:t xml:space="preserve">of </w:t>
      </w:r>
      <w:r w:rsidRPr="000A039C">
        <w:rPr>
          <w:rStyle w:val="StyleUnderline"/>
          <w:highlight w:val="yellow"/>
        </w:rPr>
        <w:t>using biological analogies to interpret social phenomena</w:t>
      </w:r>
      <w:r w:rsidRPr="000A039C">
        <w:rPr>
          <w:sz w:val="14"/>
        </w:rPr>
        <w:t xml:space="preserve"> and promote national causes' (88). </w:t>
      </w:r>
      <w:r w:rsidRPr="000A039C">
        <w:rPr>
          <w:rStyle w:val="StyleUnderline"/>
          <w:highlight w:val="yellow"/>
        </w:rPr>
        <w:t>Lund traces this tendency for biological analogy back to colonial conceptions of Africa as a place of disease and death, examining how</w:t>
      </w:r>
      <w:r w:rsidRPr="000A039C">
        <w:rPr>
          <w:rStyle w:val="StyleUnderline"/>
        </w:rPr>
        <w:t xml:space="preserve">, at first, </w:t>
      </w:r>
      <w:r w:rsidRPr="000A039C">
        <w:rPr>
          <w:rStyle w:val="StyleUnderline"/>
          <w:highlight w:val="yellow"/>
        </w:rPr>
        <w:t>the 'civilizing mission' of colonialism was conceived as a 'healing mission' supposedly bringing to the continent</w:t>
      </w:r>
      <w:r w:rsidRPr="000A039C">
        <w:rPr>
          <w:rStyle w:val="StyleUnderline"/>
        </w:rPr>
        <w:t xml:space="preserve"> both </w:t>
      </w:r>
      <w:r w:rsidRPr="000A039C">
        <w:rPr>
          <w:rStyle w:val="StyleUnderline"/>
          <w:highlight w:val="yellow"/>
        </w:rPr>
        <w:t>physical emancipa</w:t>
      </w:r>
      <w:r w:rsidRPr="000A039C">
        <w:rPr>
          <w:rStyle w:val="StyleUnderline"/>
          <w:highlight w:val="yellow"/>
        </w:rPr>
        <w:softHyphen/>
        <w:t>tion and spiritual enlightenment.</w:t>
      </w:r>
      <w:r w:rsidRPr="000A039C">
        <w:rPr>
          <w:rStyle w:val="StyleUnderline"/>
        </w:rPr>
        <w:t xml:space="preserve"> The reality, of course, could not have been more different, but the rhetoric of physical and spiritual salvation continues from the missionaries of past centuries, right through to</w:t>
      </w:r>
      <w:r w:rsidRPr="000A039C">
        <w:rPr>
          <w:sz w:val="14"/>
        </w:rPr>
        <w:t xml:space="preserve"> the work of religious NGOs in Africa </w:t>
      </w:r>
      <w:r w:rsidRPr="000A039C">
        <w:rPr>
          <w:rStyle w:val="StyleUnderline"/>
        </w:rPr>
        <w:t>today</w:t>
      </w:r>
      <w:r w:rsidRPr="000A039C">
        <w:rPr>
          <w:sz w:val="14"/>
        </w:rPr>
        <w:t xml:space="preserve">. Not only does Lund suggest that </w:t>
      </w:r>
      <w:r w:rsidRPr="000A039C">
        <w:rPr>
          <w:rStyle w:val="StyleUnderline"/>
          <w:highlight w:val="yellow"/>
        </w:rPr>
        <w:t>the current discourses used</w:t>
      </w:r>
      <w:r w:rsidRPr="000A039C">
        <w:rPr>
          <w:sz w:val="14"/>
        </w:rPr>
        <w:t xml:space="preserve"> by the South African government </w:t>
      </w:r>
      <w:r w:rsidRPr="000A039C">
        <w:rPr>
          <w:rStyle w:val="StyleUnderline"/>
          <w:highlight w:val="yellow"/>
        </w:rPr>
        <w:t>have their roots in misleading and destruc</w:t>
      </w:r>
      <w:r w:rsidRPr="000A039C">
        <w:rPr>
          <w:rStyle w:val="StyleUnderline"/>
          <w:highlight w:val="yellow"/>
        </w:rPr>
        <w:softHyphen/>
        <w:t>tive colonial rhetoric</w:t>
      </w:r>
      <w:r w:rsidRPr="000A039C">
        <w:rPr>
          <w:sz w:val="14"/>
        </w:rPr>
        <w:t xml:space="preserve">, she also proposes that the science of public health in South Africa specifically contributed to the evolution of apartheid, explaining that racial segregation was first introduced to 'protect' the health of different racial groups (93). In addition, </w:t>
      </w:r>
      <w:r w:rsidRPr="000A039C">
        <w:rPr>
          <w:rStyle w:val="StyleUnderline"/>
        </w:rPr>
        <w:t>she has two further objections concerning the political use of metaphors of sickness and healing on two more levels. Firstly, she claims that the Christian dimen</w:t>
      </w:r>
      <w:r w:rsidRPr="000A039C">
        <w:rPr>
          <w:rStyle w:val="StyleUnderline"/>
        </w:rPr>
        <w:softHyphen/>
        <w:t>sion of such language threatens the democratic separation of church and state</w:t>
      </w:r>
      <w:r w:rsidRPr="000A039C">
        <w:rPr>
          <w:sz w:val="14"/>
        </w:rPr>
        <w:t xml:space="preserve">. </w:t>
      </w:r>
      <w:r w:rsidRPr="000A039C">
        <w:rPr>
          <w:rStyle w:val="StyleUnderline"/>
        </w:rPr>
        <w:t xml:space="preserve">Secondly, she argues that </w:t>
      </w:r>
      <w:r w:rsidRPr="000A039C">
        <w:rPr>
          <w:rStyle w:val="StyleUnderline"/>
          <w:highlight w:val="yellow"/>
        </w:rPr>
        <w:t>in medicalising</w:t>
      </w:r>
      <w:r w:rsidRPr="000A039C">
        <w:rPr>
          <w:sz w:val="14"/>
        </w:rPr>
        <w:t xml:space="preserve"> the </w:t>
      </w:r>
      <w:r w:rsidRPr="000A039C">
        <w:rPr>
          <w:rStyle w:val="StyleUnderline"/>
          <w:highlight w:val="yellow"/>
        </w:rPr>
        <w:t>traumatic expe</w:t>
      </w:r>
      <w:r w:rsidRPr="000A039C">
        <w:rPr>
          <w:rStyle w:val="StyleUnderline"/>
          <w:highlight w:val="yellow"/>
        </w:rPr>
        <w:softHyphen/>
        <w:t>riences</w:t>
      </w:r>
      <w:r w:rsidRPr="000A039C">
        <w:rPr>
          <w:sz w:val="14"/>
        </w:rPr>
        <w:t xml:space="preserve"> of apartheid, </w:t>
      </w:r>
      <w:r w:rsidRPr="000A039C">
        <w:rPr>
          <w:rStyle w:val="StyleUnderline"/>
          <w:highlight w:val="yellow"/>
        </w:rPr>
        <w:t>organisations</w:t>
      </w:r>
      <w:r w:rsidRPr="000A039C">
        <w:rPr>
          <w:sz w:val="14"/>
        </w:rPr>
        <w:t xml:space="preserve"> working for reconciliation both </w:t>
      </w:r>
      <w:r w:rsidRPr="000A039C">
        <w:rPr>
          <w:rStyle w:val="StyleUnderline"/>
          <w:highlight w:val="yellow"/>
        </w:rPr>
        <w:t>reduce the responsibility of perpetrators and deny the autonomy of their victims</w:t>
      </w:r>
      <w:r w:rsidRPr="000A039C">
        <w:rPr>
          <w:sz w:val="14"/>
        </w:rPr>
        <w:t xml:space="preserve">. She explains: </w:t>
      </w:r>
      <w:r w:rsidRPr="000A039C">
        <w:rPr>
          <w:rStyle w:val="StyleUnderline"/>
          <w:highlight w:val="yellow"/>
        </w:rPr>
        <w:t>Medical rhetoric thus creates a catch-22 situation: to depict perpetra</w:t>
      </w:r>
      <w:r w:rsidRPr="000A039C">
        <w:rPr>
          <w:rStyle w:val="StyleUnderline"/>
          <w:highlight w:val="yellow"/>
        </w:rPr>
        <w:softHyphen/>
        <w:t>tors as ill could be seen as excusing their behaviour; treating survivors as in need of healing could be viewed as insulting, underestimating both their suffering and their ability to cope; seeing perpetrators and survivors alike as victims</w:t>
      </w:r>
      <w:r w:rsidRPr="000A039C">
        <w:rPr>
          <w:rStyle w:val="StyleUnderline"/>
        </w:rPr>
        <w:t xml:space="preserve"> of the plague of apartheid </w:t>
      </w:r>
      <w:r w:rsidRPr="000A039C">
        <w:rPr>
          <w:rStyle w:val="StyleUnderline"/>
          <w:highlight w:val="yellow"/>
        </w:rPr>
        <w:t>equalizes their situations, denying the stark differences between their behaviour and the type and degree of their trauma</w:t>
      </w:r>
      <w:r w:rsidRPr="000A039C">
        <w:rPr>
          <w:rStyle w:val="StyleUnderline"/>
        </w:rPr>
        <w:t xml:space="preserve">. </w:t>
      </w:r>
      <w:r w:rsidRPr="000A039C">
        <w:rPr>
          <w:sz w:val="14"/>
        </w:rPr>
        <w:t>(108) Here Lund is objecting not to the concept of healing I discussed in the opening of this section but instead to how ideas of healing are used in the context of political power. Country of My Skull actively engages with the sort of criticisms that Lund raises, showing the anger of those who fail to identify with the Commission's terminology and even making use of humour to question the hyper-theorised official line. Orbinski, on the other hand, treating civilian casualties in conflict situations in Somalia, Rwanda and the DRC, is well aware of the political machina</w:t>
      </w:r>
      <w:r w:rsidRPr="000A039C">
        <w:rPr>
          <w:sz w:val="14"/>
        </w:rPr>
        <w:softHyphen/>
        <w:t>tions of governments and the uncomfortable legacies of international relations in the regions where he works. It is in bearing witness to the human rights abuses that he sees that Orbinski deliberately attempts to distance himself from any form of</w:t>
      </w:r>
      <w:r w:rsidR="008B6AD1" w:rsidRPr="000A039C">
        <w:rPr>
          <w:sz w:val="14"/>
        </w:rPr>
        <w:t xml:space="preserve"> complicity. Krog and Orbinski then engage with the flaws and shortcomings on the healing systems within which they work.</w:t>
      </w:r>
    </w:p>
    <w:p w:rsidR="008B6AD1" w:rsidRDefault="008B6AD1" w:rsidP="008B6AD1">
      <w:pPr>
        <w:rPr>
          <w:rFonts w:ascii="Arial" w:hAnsi="Arial" w:cs="Arial"/>
          <w:color w:val="4D4D4D"/>
          <w:sz w:val="21"/>
          <w:szCs w:val="21"/>
          <w:shd w:val="clear" w:color="auto" w:fill="FFFFFF"/>
        </w:rPr>
      </w:pPr>
    </w:p>
    <w:p w:rsidR="000A039C" w:rsidRDefault="000A039C" w:rsidP="00EF58FB">
      <w:pPr>
        <w:pStyle w:val="Heading4"/>
        <w:rPr>
          <w:shd w:val="clear" w:color="auto" w:fill="FFFFFF"/>
        </w:rPr>
      </w:pPr>
      <w:r>
        <w:rPr>
          <w:shd w:val="clear" w:color="auto" w:fill="FFFFFF"/>
        </w:rPr>
        <w:t>Political struggles have nothing to do with medicine—their analogy provides zero productive value</w:t>
      </w:r>
    </w:p>
    <w:p w:rsidR="008B6AD1" w:rsidRPr="008B6AD1" w:rsidRDefault="008B6AD1" w:rsidP="008B6AD1">
      <w:pPr>
        <w:rPr>
          <w:rStyle w:val="Style13ptBold"/>
          <w:rFonts w:eastAsiaTheme="majorEastAsia" w:cstheme="majorBidi"/>
          <w:b w:val="0"/>
          <w:iCs/>
        </w:rPr>
      </w:pPr>
      <w:r>
        <w:rPr>
          <w:rStyle w:val="Style13ptBold"/>
        </w:rPr>
        <w:t>Eysenck 84 (</w:t>
      </w:r>
      <w:r w:rsidRPr="008B6AD1">
        <w:t>Hans J., Professor Emeritus of Psychology at the University of London, “Psychology and Its Allied Disciplines: Psychology and the Social Sciences,” Ed. Bornstein, p. 39-41, CH</w:t>
      </w:r>
      <w:r>
        <w:rPr>
          <w:rStyle w:val="Style13ptBold"/>
        </w:rPr>
        <w:t>)</w:t>
      </w:r>
    </w:p>
    <w:p w:rsidR="000658D3" w:rsidRDefault="008B6AD1" w:rsidP="007E6641">
      <w:pPr>
        <w:rPr>
          <w:rFonts w:ascii="Arial" w:hAnsi="Arial" w:cs="Arial"/>
          <w:color w:val="4D4D4D"/>
          <w:sz w:val="21"/>
          <w:szCs w:val="21"/>
          <w:shd w:val="clear" w:color="auto" w:fill="FFFFFF"/>
        </w:rPr>
      </w:pPr>
      <w:r w:rsidRPr="008B6AD1">
        <w:t>Of major social importance is the use of the medical model of neurosis by psychiatrists to justify their central role in the treatment of neurotic disorders. The evidence suggests stro</w:t>
      </w:r>
      <w:r w:rsidR="000A039C">
        <w:t>ngly that neurotic disorders are</w:t>
      </w:r>
      <w:r w:rsidRPr="008B6AD1">
        <w:t xml:space="preserve"> learned behavior patterns and emotional reactions, acquired according to Pavlovian conditioning model and best treated by Pavlovian extinction methods (Eysenck, 1979); retention of the medical model assigns to psy</w:t>
      </w:r>
      <w:r w:rsidRPr="008B6AD1">
        <w:softHyphen/>
        <w:t>chiatrists, medically trained but ignorant of the relevant psychological principles, a leading role in treatment, and it relegates psychologists, trained in the relevant psychological principles and their application to neurotic disorders and their treatment, to a secondary position as “medi</w:t>
      </w:r>
      <w:r w:rsidRPr="008B6AD1">
        <w:softHyphen/>
        <w:t>cal auxiliaries”. This is clearly absurd and constitutes an attempt to use scientific models as arguments in favor of preserving superior social status.</w:t>
      </w:r>
      <w:r w:rsidRPr="000A039C">
        <w:rPr>
          <w:rStyle w:val="StyleUnderline"/>
        </w:rPr>
        <w:t xml:space="preserve"> Science should remain independent of political </w:t>
      </w:r>
      <w:r w:rsidRPr="008B6AD1">
        <w:t xml:space="preserve">power </w:t>
      </w:r>
      <w:r w:rsidRPr="000A039C">
        <w:rPr>
          <w:rStyle w:val="StyleUnderline"/>
        </w:rPr>
        <w:t>struggles</w:t>
      </w:r>
      <w:r w:rsidRPr="008B6AD1">
        <w:t>. It might be answered that this example is taken from a rather old source and that surely modern psychiatrists are more cautious in their writings. But this is not so; in fact, exactly the opposite is true. Psychoanalysts in particular assure us that strikes, wars, accidents, and many other ills our flesh is heir to are in fact neurotic disorders caused by Freudian mecha</w:t>
      </w:r>
      <w:r w:rsidRPr="008B6AD1">
        <w:softHyphen/>
        <w:t>nisms and complexes. One example may suffice to illustrate this curious tendency. In the Uses and Abuses of Psychology, I quote a report made by a psychoanalytically oriented research institute to a Government De</w:t>
      </w:r>
      <w:r w:rsidRPr="008B6AD1">
        <w:softHyphen/>
        <w:t>partment which had asked questions about the causation of strikes in the coal industry (Eysenck, 1953). The answer was very simple: Coal miners developed complexes because they were “hacking away at mother earth;” such an ambiguous activity naturally gave rise to repressed anxiety and people indulge may be hateful, deplorable, despicable, obscene, undesir</w:t>
      </w:r>
      <w:r w:rsidRPr="008B6AD1">
        <w:softHyphen/>
        <w:t>able, absurd, comical, infantile, dangerous, odd, scurrilous, unusual, queer, and outrageous; but unless they meet the clear requirements of psychiatric diagnosis, society will have to deal with these oddities without recourse to psychiatry. There may be in this field psychological problems in reawakened the Oedipus complex, which then led to strikes and other irrational activities. In other words, when miners ask for more money it is simply a “symptom” of a far more serious “disease.” You must treat the disease, not the symptom—which presumably means that all coal miners must be relieved of their Oedipus complexes by a long continued, per</w:t>
      </w:r>
      <w:r w:rsidRPr="008B6AD1">
        <w:softHyphen/>
        <w:t>sonal psychoanalysis if strikes are to be avoided. It hardly needs saying that these suppositious Oedipus complexes are about as real and meaning</w:t>
      </w:r>
      <w:r w:rsidRPr="008B6AD1">
        <w:softHyphen/>
        <w:t>ful as Dr. Cartwright’s drapetomania and synesthesia aethiopsis. The evidence for either is nil, and the very notion that the behaviors com</w:t>
      </w:r>
      <w:r w:rsidRPr="008B6AD1">
        <w:softHyphen/>
        <w:t>plained about are diseases, and consequently subject to medical scrutiny, is insulting and completely unrealistic. Strikes and running away are not “diseases” in any recognized medical sense. At this writing, homosexual</w:t>
      </w:r>
      <w:r w:rsidRPr="008B6AD1">
        <w:softHyphen/>
        <w:t xml:space="preserve">ity is still defined as a “disease” by the American Psychiatric Association; unnatural it may be, a socially undesirable practice it certainly seems to many people, but a disease? Hardly. </w:t>
      </w:r>
      <w:r w:rsidRPr="000A039C">
        <w:rPr>
          <w:rStyle w:val="StyleUnderline"/>
        </w:rPr>
        <w:t>The medical model is clearly inap</w:t>
      </w:r>
      <w:r w:rsidRPr="000A039C">
        <w:rPr>
          <w:rStyle w:val="StyleUnderline"/>
        </w:rPr>
        <w:softHyphen/>
        <w:t>propriate to social behaviors</w:t>
      </w:r>
      <w:r w:rsidRPr="008B6AD1">
        <w:t xml:space="preserve"> of this kind, and efforts made by many modem psychoanalysts to extend medical practices unduly so as to em</w:t>
      </w:r>
      <w:r w:rsidRPr="008B6AD1">
        <w:softHyphen/>
        <w:t>brace ordinary human behaviors should be resisted—particularly when the theories advanced are as absurd as that of miner's Oedipus complexes mentioned above. The practice of using medical analogies for social ills is of course not new; it has existed for a long time. Writers have for many centuries declared the “body politic” to be ill. They have prescribed remedies, and they have predicted death to follow if these prescriptions were not fol</w:t>
      </w:r>
      <w:r w:rsidRPr="008B6AD1">
        <w:softHyphen/>
        <w:t>lowed. The Turk was declared in Victorian times to be “the ill man of Europe,” a place now occupied by Italy and perhaps in the near future by Britain. Strikes, wars, and other social upheavals are declared to be “in</w:t>
      </w:r>
      <w:r w:rsidRPr="008B6AD1">
        <w:softHyphen/>
        <w:t>fectious,” as are mutinies and riots. But writers using these metaphors were quite consciously using them as analogies; they were not suggesting that these eruptions were in fact “diseases" comparable to smallpox and lung cancer. They might call a political enemy’s speeches and suggestions “pestilential” without implying that the behaviors produced as a conse</w:t>
      </w:r>
      <w:r w:rsidRPr="008B6AD1">
        <w:softHyphen/>
        <w:t xml:space="preserve">quence were in fact in any way like the bubonic plague—other than that the consequences would be very serious. </w:t>
      </w:r>
      <w:r w:rsidRPr="00A84488">
        <w:rPr>
          <w:rStyle w:val="StyleUnderline"/>
        </w:rPr>
        <w:t>Medicine has nothing to say about the behavior and the social actions of normal people</w:t>
      </w:r>
      <w:r w:rsidRPr="008B6AD1">
        <w:t>, and psychiatry as part of medicine should follow this rule and concern itself with medical disorders to which its teachings and prescriptions are rele</w:t>
      </w:r>
      <w:r w:rsidRPr="008B6AD1">
        <w:softHyphen/>
        <w:t xml:space="preserve">vant. This is of course realized by the great majority of psychiatrists, who have no wish to be called upon to cure the ills of society, knowing full well that their training is quite irrelevant to any such grandiose endeavor. We may conclude that </w:t>
      </w:r>
      <w:r w:rsidRPr="00A84488">
        <w:rPr>
          <w:rStyle w:val="StyleUnderline"/>
        </w:rPr>
        <w:t>attempts to extend the medical model</w:t>
      </w:r>
      <w:r w:rsidRPr="008B6AD1">
        <w:t xml:space="preserve"> of psychiatry </w:t>
      </w:r>
      <w:r w:rsidRPr="00A84488">
        <w:rPr>
          <w:rStyle w:val="StyleUnderline"/>
        </w:rPr>
        <w:t xml:space="preserve">to include social activities of the most varied sort have failed and have no substance to support them. </w:t>
      </w:r>
      <w:r w:rsidRPr="008B6AD1">
        <w:t>The activities in which normal people indulge may be hateful, deplorable, despicable, obscene, undesir</w:t>
      </w:r>
      <w:r w:rsidRPr="008B6AD1">
        <w:softHyphen/>
        <w:t>able, absurd, comical, infantile, dangerous, odd, scurrilous, unusual, queer, and outrageous; but unless they meet the clear requirements of psychiatric diagnosis, society will have to deal with these oddities without recourse to psychiatry. There may be in this field psychological problems in great number, but these are the province of psychology, not of medicine or psychiatry.</w:t>
      </w:r>
    </w:p>
    <w:p w:rsidR="00A84488" w:rsidRDefault="00A84488" w:rsidP="00EF58FB">
      <w:pPr>
        <w:pStyle w:val="Heading4"/>
        <w:rPr>
          <w:shd w:val="clear" w:color="auto" w:fill="FFFFFF"/>
        </w:rPr>
      </w:pPr>
      <w:r>
        <w:rPr>
          <w:shd w:val="clear" w:color="auto" w:fill="FFFFFF"/>
        </w:rPr>
        <w:t>Medicalizing sociality as “death” obscures immanent and contingent decisions that sustain systems of violence—this undermines resistance</w:t>
      </w:r>
    </w:p>
    <w:p w:rsidR="000658D3" w:rsidRPr="000658D3" w:rsidRDefault="000658D3" w:rsidP="000658D3">
      <w:pPr>
        <w:rPr>
          <w:rStyle w:val="Style13ptBold"/>
          <w:rFonts w:eastAsiaTheme="majorEastAsia" w:cstheme="majorBidi"/>
          <w:b w:val="0"/>
          <w:iCs/>
        </w:rPr>
      </w:pPr>
      <w:r>
        <w:rPr>
          <w:rStyle w:val="Style13ptBold"/>
        </w:rPr>
        <w:t>Adam 05 (</w:t>
      </w:r>
      <w:r w:rsidRPr="000658D3">
        <w:t>Heribert, Professor of Sociology at Simon Fraser University, and Kogila Moodley, Professor of Sociology in the Department of Educational Studies, University of British Columbia, “Seeking Mandela: Peacemaking Between Israelis and Palestinians,” p. xvi-xvii, CH</w:t>
      </w:r>
      <w:r>
        <w:rPr>
          <w:rStyle w:val="Style13ptBold"/>
        </w:rPr>
        <w:t>)</w:t>
      </w:r>
    </w:p>
    <w:p w:rsidR="008745B6" w:rsidRDefault="000658D3" w:rsidP="007E6641">
      <w:pPr>
        <w:rPr>
          <w:rFonts w:ascii="Arial" w:hAnsi="Arial" w:cs="Arial"/>
          <w:color w:val="4D4D4D"/>
          <w:sz w:val="21"/>
          <w:szCs w:val="21"/>
          <w:shd w:val="clear" w:color="auto" w:fill="FFFFFF"/>
        </w:rPr>
      </w:pPr>
      <w:r w:rsidRPr="000658D3">
        <w:t xml:space="preserve">One note on our methodological guiding thread: </w:t>
      </w:r>
      <w:r w:rsidRPr="00A84488">
        <w:rPr>
          <w:rStyle w:val="StyleUnderline"/>
        </w:rPr>
        <w:t>In analyzing emotionally charged conflicts, one ought to guard against</w:t>
      </w:r>
      <w:r w:rsidRPr="000658D3">
        <w:t xml:space="preserve"> four traps: moralizing, theologizing, </w:t>
      </w:r>
      <w:r w:rsidRPr="00A84488">
        <w:rPr>
          <w:rStyle w:val="StyleUnderline"/>
        </w:rPr>
        <w:t>medicalizing</w:t>
      </w:r>
      <w:r w:rsidRPr="000658D3">
        <w:t>, and personalizing.</w:t>
      </w:r>
      <w:r>
        <w:t xml:space="preserve"> </w:t>
      </w:r>
      <w:r w:rsidRPr="000658D3">
        <w:t xml:space="preserve">Moralizing focuses on what ought to happen rather than what is likely to occur. We all have our moral preferences, but we must avoid being blinded by them. Wishful thinking all too often overrides the need for a hard-nosed reality check. Realistic accounting turns out to be depressing and uncomfortable but is preferable to living with illusions about the inevitable triumph of good over evil. “Restoring Hope” is an inspiring theme for an academic conference on a seemingly intractable conflict, but the hope must also be grounded in realism. Self-serving moral sermons about the evils of the adversary or the need for justice only preach to the converted. Laments about broken international laws or unheeded UN resolutions obscure why the lawbreaker gets away with it. Theologizing mystifies sociopolitical events </w:t>
      </w:r>
      <w:r>
        <w:t>as resulting from divine inter</w:t>
      </w:r>
      <w:r w:rsidRPr="000658D3">
        <w:t>vention or inexplicable developments. To dub the South African negotiated revolution a “miracle” sounds impressive but explains nothing. The popular concept of evil does not explain terrorism. In fact, it shuts off understanding of the phenomenon by labeling it beyond understanding. The concept of evil avoids the important questions of why and when evil expresses itself. The resurrection of the term evil has been mainly used for denunciation. As Robert Fine has argued, the prevailing usage of evil tends to exonerate us—the good—from any responsibility other than that of destroying evil, and forcibly divides the world between Abso</w:t>
      </w:r>
      <w:r>
        <w:t>lute Innocence and the Unspeak</w:t>
      </w:r>
      <w:r w:rsidRPr="000658D3">
        <w:t>able Beast. Praying for better times may comfort the soul, but resting hopes on the outcome means being paralyzed. At the same time, religious beliefs must be taken seriously because people act on the basis of their firmly held faith. However, we doubt that rising religious fundamentalism in a “clash of civilizations” with secular values can adequately explain militancy. The conflict between Islamists and Arab governments, even in the occupied Palestinian territory, is better understood as a class struggle between the disenfranchised poor and the countries’ aut</w:t>
      </w:r>
      <w:r>
        <w:t>ocratic and corrupt elites. Re</w:t>
      </w:r>
      <w:r w:rsidRPr="000658D3">
        <w:t>ligion serves as a mobilizing device that gives the poor a moral identity and promises security and certainty in a climate of fear.</w:t>
      </w:r>
      <w:r>
        <w:t xml:space="preserve"> </w:t>
      </w:r>
      <w:r w:rsidRPr="00A84488">
        <w:rPr>
          <w:rStyle w:val="StyleUnderline"/>
        </w:rPr>
        <w:t xml:space="preserve">Medicalizing a </w:t>
      </w:r>
      <w:r w:rsidRPr="00A84488">
        <w:t>deplorable</w:t>
      </w:r>
      <w:r w:rsidRPr="00A84488">
        <w:rPr>
          <w:rStyle w:val="StyleUnderline"/>
        </w:rPr>
        <w:t xml:space="preserve"> social condition as a disease</w:t>
      </w:r>
      <w:r w:rsidRPr="000658D3">
        <w:t>—a cancer—</w:t>
      </w:r>
      <w:r w:rsidRPr="007E6641">
        <w:rPr>
          <w:rStyle w:val="StyleUnderline"/>
        </w:rPr>
        <w:t>that needs to be eradicated, or as a pathological condition to be cured, resonates as an enticing metaphor.</w:t>
      </w:r>
      <w:r w:rsidRPr="000658D3">
        <w:t xml:space="preserve"> What does Tony Blair’s phrase of “terrorism as a spreading virus” explain? </w:t>
      </w:r>
      <w:r w:rsidRPr="007E6641">
        <w:rPr>
          <w:rStyle w:val="StyleUnderline"/>
        </w:rPr>
        <w:t>Medical analogies assume involuntary destiny, which obscures the conscious forces and interests behind specific policies. They do not help to evaluate policy.</w:t>
      </w:r>
    </w:p>
    <w:p w:rsidR="00A84488" w:rsidRDefault="007E6641" w:rsidP="007E6641">
      <w:pPr>
        <w:pStyle w:val="Heading4"/>
      </w:pPr>
      <w:r>
        <w:t>You can agree with the other portions of their method and vote neg—the alternative is functionally a refinement of the 1AC—debate is a method of contesting scholarship and we have criticized part of the way in which they presented their ideas – it’s better to encourage dialogue and disagreement, but to have the corrective of exposing ideas to contestation, as in debate</w:t>
      </w:r>
    </w:p>
    <w:p w:rsidR="008B6AD1" w:rsidRPr="008745B6" w:rsidRDefault="008745B6" w:rsidP="008B6AD1">
      <w:pPr>
        <w:rPr>
          <w:rStyle w:val="Style13ptBold"/>
          <w:rFonts w:eastAsiaTheme="majorEastAsia" w:cstheme="majorBidi"/>
          <w:b w:val="0"/>
          <w:iCs/>
        </w:rPr>
      </w:pPr>
      <w:r>
        <w:rPr>
          <w:rStyle w:val="Style13ptBold"/>
        </w:rPr>
        <w:t>Bridges 01 (</w:t>
      </w:r>
      <w:r w:rsidRPr="008745B6">
        <w:t>David, Centre for Applied Research in Education, University of East Anglia, “The Ethics of Outsider Research,” Journal of Philosophy of Education, Volume 35, Number 3, 2001,</w:t>
      </w:r>
      <w:r>
        <w:t xml:space="preserve"> </w:t>
      </w:r>
      <w:hyperlink r:id="rId7" w:history="1">
        <w:r w:rsidRPr="00470920">
          <w:rPr>
            <w:rStyle w:val="Hyperlink"/>
          </w:rPr>
          <w:t>http://onlinelibrary.wiley.com/doi/10.1111/1467-9752.00233/pdf</w:t>
        </w:r>
      </w:hyperlink>
      <w:r>
        <w:t>,</w:t>
      </w:r>
      <w:r w:rsidRPr="008745B6">
        <w:t xml:space="preserve"> CH</w:t>
      </w:r>
      <w:r>
        <w:rPr>
          <w:rStyle w:val="Style13ptBold"/>
        </w:rPr>
        <w:t>)</w:t>
      </w:r>
    </w:p>
    <w:p w:rsidR="00BE5144" w:rsidRPr="00BE5144" w:rsidRDefault="008745B6" w:rsidP="00BE5144">
      <w:r w:rsidRPr="008745B6">
        <w:t>First, it is argued that only those who have shared in, and have been part of, a particular experience can understand or can properly understand (and perhaps ‘properly’ is particularly heavily loaded here) what it is like. You need to be a woman to understand what it is like to live as a woman; to be disabled to understand what it is like to live as a disabled person etc. Thus Charlton writes of ‘the innate inability of able-bodied people, regardless of fancy credentials and awards, to understand the disability experience’ (Charlton, 1998, p. 128).</w:t>
      </w:r>
      <w:r>
        <w:t xml:space="preserve"> </w:t>
      </w:r>
      <w:r w:rsidRPr="008745B6">
        <w:t>Charlton’s choice of language here is indicative of the rhetorical character which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experience which is the experience of disability, whatever solidarity disabled people might feel for each other?</w:t>
      </w:r>
      <w:r>
        <w:t xml:space="preserve"> </w:t>
      </w:r>
      <w:r w:rsidRPr="008745B6">
        <w:t>The understanding that any of us have of our own conditions or experience is unique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However, once this argument is applied to such broad categories as ‘women’ or ‘blacks’, it has to deal with some very heterogeneous groups; the different social, personal and situational characteristics that constitute their individuality may well outweigh the shared characteristics; and there may indeed be greater barriers to mutual understanding than there are gateways.</w:t>
      </w:r>
      <w:r>
        <w:t xml:space="preserve"> </w:t>
      </w:r>
      <w:r w:rsidRPr="008745B6">
        <w:t>These arguments, however, all risk a descent into solipsism: if our individual understanding is so particular, how can we have communication with or any understanding of anyone else? But, granted Wittgenstein’s persuasive argument against a private language (Wittgenstein, 1963, perhaps more straightforwardly presented in Rhees, 1970), we cannot in these circumstances even describe or have any real understanding of our own condition in such an isolated world. Rather it is in talking to each other, in participating in a shared language, that we construct the conceptual apparatus that allows us to understand our own situation in relation to others—and this is a construction which involves under</w:t>
      </w:r>
      <w:r w:rsidRPr="008745B6">
        <w:softHyphen/>
        <w:t>standing differences as well as similarities.</w:t>
      </w:r>
      <w:r>
        <w:t xml:space="preserve"> </w:t>
      </w:r>
      <w:r w:rsidRPr="008745B6">
        <w:t>Besides, we have good reason to treat with some scepticism accounts provided by individuals of their own experience and by extension accounts provided by members of a particular category or community of people. We know that such accounts can be riddled with special pleading, selective memory, careless error, self-centredness, myopia, prejudice and a good deal more. A lesbian scholar illustrates some of the pressures that can bear, for example, on an insider researcher in her own community:</w:t>
      </w:r>
      <w:r>
        <w:t xml:space="preserve"> </w:t>
      </w:r>
      <w:r w:rsidRPr="008745B6">
        <w:t>As an insider, the lesbian has an important sensitivity to offer, yet she is also more vulnerable than the non-lesbian researcher, both to the pressure from the heterosexual world—that her studies conform to previous works and describe lesbian reality in terms of its relationship with the outside— and to pressure from the inside, from within the lesbian community itself—that her studies mirror not the reality of that community but its self-protective ideology. (Kreiger, 1982, p. 108)</w:t>
      </w:r>
      <w:r>
        <w:t xml:space="preserve"> </w:t>
      </w:r>
      <w:r w:rsidRPr="008745B6">
        <w:t>In other words, while individuals from within a community have access to a particular kind of understanding of their experience, this does not automatically attach special authority (though it might attach special interest) to their own representations of that experience. Moreover, while we might acknowledge the limitations of the under</w:t>
      </w:r>
      <w:r w:rsidRPr="008745B6">
        <w:softHyphen/>
        <w:t>standing which someone from outside a community (or someone other than the individual who is the focus of the research) can develop, this does not entail that they cannot develop and present an understanding or that such understanding is worthless. Individuals can indeed find benefit in the understandings that others offer of their experience in, for example, a counselling relationship, or when a researcher adopts a supportive role with teachers engaged in reflection on or research into their own practice. Many have echoed the plea of the Scottish poet, Robert Burns (in ‘To a louse’):</w:t>
      </w:r>
      <w:r>
        <w:t xml:space="preserve"> </w:t>
      </w:r>
      <w:r w:rsidRPr="008745B6">
        <w:t>O wad some Pow’r the giftie gie us To see oursels as others see us!3</w:t>
      </w:r>
      <w:r>
        <w:t xml:space="preserve"> </w:t>
      </w:r>
      <w:r w:rsidRPr="008745B6">
        <w:t>—even if they might have been horrified with what such power revealed to them. Russell argued that it was the function of philosophy (and why not research too?) ‘to suggest many possibilities which enlarge our thoughts and free them from the tyranny of custom . . .It keeps alive our sense of wonder by showing familiar things in an unfamiliar aspect’ (Russell, 1912, p. 91). ‘Making the familiar strange’, as Stenhouse called it, often requires the assistance of someone unfamiliar with our own world who can look at our taken-for-granted experience through, precisely, the eye of a stranger. Sparkes (1994) writes very much in these terms in describing his own research, as a white, heterosexual middle- aged male, into the life history of a lesbian PE teacher. He describes his own struggle with the question ‘is it possible for heterosexual people to undertake research into homosexual populations?’ but he concludes that being a ‘phenomenological stranger’ who asks ‘dumb questions’ may be a useful and illuminating experience for the research subject in that they may have to return to first principles in reviewing their story. This could, of course be an elaborate piece of self-justification, but it is interesting that someone like Max Biddulph, who writes from a gay/bisexual stand</w:t>
      </w:r>
      <w:r w:rsidRPr="008745B6">
        <w:softHyphen/>
        <w:t>point, can quote this conclusion with apparent approval (Biddulph, 1996).</w:t>
      </w:r>
      <w:r>
        <w:t xml:space="preserve"> </w:t>
      </w:r>
      <w:r w:rsidRPr="008745B6">
        <w:t>People from outside a community clearly can have an understanding of the experience of those who are inside that community. It is almost certainly a different understanding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(Barone, 1992). Nevertheless, this value will also depend on qualities derived from the researchers’ exter</w:t>
      </w:r>
      <w:r w:rsidRPr="008745B6">
        <w:softHyphen/>
        <w:t>nality: their capacity to relate one set of experiences to others (perhaps from their own community); their outsider perspective on the structures which surround and help to define the experience of the community; on the reactions and responses to that community of individuals and groups external to it.4</w:t>
      </w:r>
      <w:r>
        <w:t xml:space="preserve"> </w:t>
      </w:r>
      <w:r w:rsidRPr="008745B6">
        <w:t>Finally, it must surely follow that if we hold that a researcher, who (to take the favourable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The argument which excludes the outsider from under</w:t>
      </w:r>
      <w:r w:rsidRPr="008745B6">
        <w:softHyphen/>
        <w:t>standing a community through the effort of their own research, a fortiori excludes the outsider from that understanding through the secondary source in the form of the effort of an insider researcher or indeed any other means. Again, the point can only be maintained by insisting that a particular (and itself ill-defined) understanding is the only kind of understanding which is worth having.</w:t>
      </w:r>
      <w:r>
        <w:t xml:space="preserve"> </w:t>
      </w:r>
      <w:r w:rsidRPr="008745B6">
        <w:t>The epistemological argument (that outsiders cannot understand the experience of a community to which they do not belong) becomes an ethical argument when this is taken to entail the further proposition that they ought not therefore attempt to research that community. I hope to have shown that this argument is based on a false premise. Even if the premise were sound, however, it would not necessarily follow that researchers should be prevented or excluded from attempting to under</w:t>
      </w:r>
      <w:r w:rsidRPr="008745B6">
        <w:softHyphen/>
        <w:t>stand this experience, unless it could be shown that in so doing they would cause some harm. This is indeed part of the argument emerging from disempowered communities and it is to this that I shall now turn.</w:t>
      </w:r>
      <w:r>
        <w:t xml:space="preserve"> </w:t>
      </w:r>
      <w:r w:rsidRPr="008745B6">
        <w:t>Ill OUTSIDERS IMPORT DAMAGING FRAMEWORKS OF UNDERSTANDING</w:t>
      </w:r>
      <w:r>
        <w:t xml:space="preserve"> </w:t>
      </w:r>
      <w:r w:rsidRPr="008745B6">
        <w:t>Frequent in the literature about research into disability, women’s experience, race and homosexuality is the claim that people from outside these particular communities will import into their research, for example, homophobic, sexist or racist frameworks of understanding, which damage the interests of those being researched.</w:t>
      </w:r>
      <w:r>
        <w:t xml:space="preserve"> </w:t>
      </w:r>
      <w:r w:rsidRPr="008745B6">
        <w:t>In the case of research into disability it has been argued that outsider researchers carry with them assumptions that the problem of disability lies with the disabled rather than with the society which frames and defines disability. ‘The essential problem of recent anthropological work on culture and disability is that it perpetuates outmoded beliefs and continues to distance research from lived oppression’ (Charlton, 1998, p. 27). By contrast: ‘a growing number of people with disabilities have developed a consciousness that transforms the notion and concept of disability from a medical condition to a political and social condition’ (Charlton, 1998, p. 17). Charlton goes on to criticise, for example, a publication by Ingstad and Reynolds Whyte (1995), Disability and Culture. He claims that, although it does add to our understanding of how the conceptualisation and symbolisation of disability takes place, ‘its language is and perspective are still lodged in the past. In the first forty pages alone we find the words suffering, lameness, interest group, incapacitated, handicapped, deformities. Notions of oppression, dominant culture, justice, human rights, political movement, and self</w:t>
      </w:r>
      <w:r w:rsidRPr="008745B6">
        <w:softHyphen/>
        <w:t>determination are conspicuously absent’ (Charlton, 1998 p. 27).</w:t>
      </w:r>
      <w:r>
        <w:t xml:space="preserve"> </w:t>
      </w:r>
      <w:r w:rsidRPr="008745B6">
        <w:t>Discussing the neo-colonialism of outsider research into Maori experience, Smith extends this type of claim to embrace the wider methodological and metaphysical framing of outsider research: ‘From an indigenous perspective Western research is more than just research that is located in a positivist tradition. It is research which brings to bear, on any study of indigenous peoples, a cultural orientation, a set of values, a different conceptualization of such things as time, space and subjectivity, different and competing theories of knowledge, highly specialized forms of language, and structures of power’ (Smith, 1999, p.42).5</w:t>
      </w:r>
      <w:r>
        <w:t xml:space="preserve"> </w:t>
      </w:r>
      <w:r w:rsidRPr="008745B6">
        <w:t>This position requires, I think, some qualification. First, researchers are clearly not immune from some of the damaging and prejudicial attitudes on matters of race, sexuality, disability and gender which are found among the rest of the population, though I might hope that their training and experience might give them above-average awareness of these issues and above-average alertness to their expression in their own work. Even where such attitudes remain in researchers’ consciousness, this intelligent self-awareness and social sensitivity mean on the whole that they are able to deploy sufficient self-censorship not to expose it in a damaging way. Researchers may thus remain morally culpable for their thoughts, but, at least, communities can be spared the harm of their expression. It is also a matter of some significance that researchers are more exposed than most to public criticism, not least from critics from within these disempowered communities, when such prejudices do enter and are revealed in their work. If they employ the rhetoric of, for example, anti-racist or anti-sexist conviction, they are at least in their public pronouncements exposed to the humiliation of being hoisted by their own petard. It is difficult to see the fairness in excluding all outsider researchers on the a priori supposition of universal prejudice. It is better, surely, to expose it where it is revealed and, if absolutely necessary, to debar individuals who ignore such criticism and persist in using the privilege of their research position to peddle what can then only be regarded as damaging and prejudicial propaganda. Secondly, it is plainly not the case that Western research is located exclusively (as is implied) in a positivist tradition, even if this tradition has been a dominant one. Phenomenology, ethnography, life history, even, more recently, the use of narrative fiction and poetry as forms of research representation, are all established ingredients of the educational research worlds in the UK, USA or Australasia. Contemporary research literature abounds with critiques of positivism as well as examples of its continuing expression.</w:t>
      </w:r>
      <w:r>
        <w:t xml:space="preserve"> </w:t>
      </w:r>
      <w:r w:rsidRPr="008745B6">
        <w:t>I have placed much weight in these considerations on the importance of any research being exposed to criticism—most importantly, perhaps, but by no means exclusively by the people whose experience it claims to represent. This principle is not simply an ethical principle associated with the obligations that a researcher might accept towards participants in the research, but it is a fundamental feature of the processes of research and its claims to command our attention. It is precisely exposure to, modification through and survival of a process of vigorous public scrutiny that provides research with whatever authority it can claim. In contemporary ethnographic research, case-study and life-history research, for example, this expectancy of exposure to correction and criticism is one which runs right through the research process. The methodological requirement is for participants to have several oppor</w:t>
      </w:r>
      <w:r w:rsidRPr="008745B6">
        <w:softHyphen/>
        <w:t>tunities to challenge any prejudices which researchers may bring with them: at the point where the terms of the research are first negotiated and they agree to participate (or not); during any conversations or interviews that take place in the course of the research; in responding to any record which is produced of the data gathering; in response to any draft or final publication. Indeed, engagement with a researcher pro</w:t>
      </w:r>
      <w:r w:rsidRPr="008745B6">
        <w:softHyphen/>
        <w:t>vides any group with what is potentially a richly educative opportunity: an opportunity to open their eyes and to see things differently. It is, moreover, an opportunity which any researcher worth his or her salt will welcome.</w:t>
      </w:r>
      <w:r>
        <w:t xml:space="preserve"> </w:t>
      </w:r>
      <w:r w:rsidRPr="008745B6">
        <w:t>Not all researchers or research processes will be as open as are described here to that educative opportunity, and not all participants (least of all those who are self-defining as ‘disempowered’) will feel the confidence to take them even if they are there. This may be seen as a reason to set up barriers to the outsider researcher, but they can and should more often be seen as problems for researchers and participants to address together in the interests of their mutual understanding and benefit.</w:t>
      </w:r>
      <w:r>
        <w:t xml:space="preserve"> </w:t>
      </w:r>
      <w:r w:rsidRPr="008745B6">
        <w:t>Notwithstanding these considerations, one of the chief complaints coming out of disempowered communities is that this kind of mutual interest and benefit is precisely what is lacking in their experience of research. It is to this consideration that I shall now turn.</w:t>
      </w:r>
      <w:r>
        <w:t xml:space="preserve"> </w:t>
      </w:r>
      <w:bookmarkStart w:id="0" w:name="bookmark5"/>
      <w:r w:rsidRPr="008745B6">
        <w:t>IV OUTSIDERS EXPLOIT INSIDER PARTICIPANTS IN THE COMMUNITIES THEY RESEARCH</w:t>
      </w:r>
      <w:bookmarkEnd w:id="0"/>
      <w:r>
        <w:t xml:space="preserve"> </w:t>
      </w:r>
      <w:r w:rsidRPr="008745B6">
        <w:t>Ellen describes how fieldwork has become ‘a rite of passage by which the novice is transformed into the rounded anthropologist and initiated into the ranks of the profession’—a ritual by which ‘the student of anthropology dies and a professional anthropologist is born’ (Ellen, 1984, p. 23). This is a reminder that research can carry benefits to the researcher which go beyond those associated with the ‘pure’ pursuit of understanding. As participants in research become more aware of this, their attitudes towards research and researchers can, understandably, change. The following observation was made by a woman from a community that had experienced several waves of enthusiastic researchers:</w:t>
      </w:r>
      <w:r>
        <w:t xml:space="preserve"> </w:t>
      </w:r>
      <w:r w:rsidRPr="008745B6">
        <w:t>The kind of behaviour researchers have towards locals tells us that they just want to exploit them and take from them their ideas and information.</w:t>
      </w:r>
      <w:r>
        <w:t xml:space="preserve"> </w:t>
      </w:r>
      <w:r w:rsidRPr="008745B6">
        <w:t>It also tells us that they don’t really care at all. They want the information to use in front of a group of people at home, so that they can be seen as clever academics. Then in the end they publish books, reviews, articles etc in order to spread their popularities. So what is this, and what is research really about? Not all researchers are exploiters, but most are, and I think it is time up now for this, and that these researchers should also be exploited by local people. (Florence Shumba, quoted in Wilson, 1992, p. 199)</w:t>
      </w:r>
      <w:r>
        <w:t xml:space="preserve"> </w:t>
      </w:r>
      <w:r w:rsidRPr="008745B6">
        <w:t>Researchers who are sensitive to this issue typically look for ways to counter the imbalance of benefit. They will sometimes discuss with participants ways in which the research could be designed to benefit all parties, by, for example, ensuring that it addresses issues on which the participants need information as well as the researchers or by providing data that the research participants can use independently and for their own purposes. In the absence of any other perceived benefit, some schools in the UK have responded to researchers’ requests for access and time for interviews by proposing to charge by the hour for teachers’ time. Of course sometimes participants will be persuaded to participate on the grounds that some other people whose interests they care about— pupils in schools, for example, or children currently excluded from education—will secure the benefit of the research, but there has to be the link between something which they perceive to be a benefit (albeit altruistically) and the commitment which they are asked to make.</w:t>
      </w:r>
      <w:r>
        <w:t xml:space="preserve"> </w:t>
      </w:r>
      <w:r w:rsidRPr="008745B6">
        <w:t>These illustrations of the terms of engagement between researchers and their participants present a picture of a trade in benefit, the negotiation of a utilitarian equation of mutual happiness and, perhaps, pain, though one in which higher satisfactions (e.g. new insights and the improvements to the future education of children) have a place alongside lower ones (a bit of self-publicity or cash in the school fund). Questions of exploitation, in Kantian terms of treating people as means rather than ends (see Kant, 1964)6 come in if, as is sometimes alleged, researchers use their positions of authority or their sophistication to establish relationships in which the benefits are very one-sided in their favour.</w:t>
      </w:r>
      <w:r>
        <w:t xml:space="preserve"> </w:t>
      </w:r>
      <w:r w:rsidRPr="008745B6">
        <w:t>This distinction between the utilitarian principle and the Kantian one is crucial here. The utilitarian principle might require us to measure in the scales a much wider community of benefit. If, for example, the researcher could show that, even though the Maori community he or she was researching experienced the inconvenience of the research without the benefit, thousands of other people would benefit from it, then the utilitarian equation might provide justification for the research. But this is precisely one of the weaknesses of the utilitarian principle of the greatest happiness of the greatest number—at least when it is applied with this sort of simplicity. It requires either a broader take on the utilitarian principle (which might observe that a programme of action which allocates all the benefits to one group and all the ‘pain’ to another will not be conducive to the greatest aggregation of happiness) or the invoking of something closer to the Kantian principle, which would demand that we do not exploit one group of people to the exclusive benefit of another. Researchers seeking collaboration with participants in disempowered communities have essentially two forms of appeal—to their self-interest or to their generosity. Either they need to see some benefit to themselves which is at least roughly commensurate to the effort that is required of them (or in some cases the value of what they have to offer); or they need knowingly to contribute out of their own benevolence towards the researcher or others whom they believe the research will benefit.</w:t>
      </w:r>
      <w:r>
        <w:t xml:space="preserve"> </w:t>
      </w:r>
      <w:r w:rsidRPr="008745B6">
        <w:t>In this second case, the researcher is placed in something of the position of the receiver of a gift and he or she needs to recognise con</w:t>
      </w:r>
      <w:r w:rsidRPr="008745B6">
        <w:softHyphen/>
        <w:t>sequently the quite elaborate ethical apparatus that surrounds such receipt. There is a particular ‘spirit’ in which we might be expected to receive a gift: a spirit of gratitude, of humility, of mutuality in the relationship. There may also be a network of social expectations, which flow from such giving—of being in thrall to the giver, of being in his or her debt—but on the whole anyone contributing to an educational research project would be naive to assume that such ‘debts’ might be repaid. Most of the time, researchers are in fact inviting the generosity of their participants, and perhaps there is something more ethically elevated in responding to such generosity with a true spirit of gratitude and a recognition of the mutuality of relationship which binds giver and receiver, than in seeking to establish a trade in dubious benefits. Smith (1999) provides a wonderful picture of the combination of spirit and benefits that might be involved in establishing this relationship (as well as a whole new angle on the notion of ‘empowerment’!) when she outlines the range of issues on which a researcher approaching a Maori community might need to satisfy them: ‘Is her spirit clear? Does he have a good heart? What other baggage are they carrying? Are they useful to us? Can they fix up our generator? Can they actually do anything?’ (Smith, 1999, p. 10). Perhaps all educational researchers should be required to satisfy participants on these questions.</w:t>
      </w:r>
      <w:r>
        <w:t xml:space="preserve"> </w:t>
      </w:r>
      <w:r w:rsidRPr="008745B6">
        <w:t>I conclude that the possibility that outsider educational research may be conducted in an exploitative manner is not an argument for obstructing it comprehensively, but it is an argument for requiring that it be conducted under an appropriate set of principles and obligations and in a proper spirit. ‘Qualitative researchers’, argued Stake, ‘are guests in the private spaces of the world. Their manners should be good and their code of ethics strict’ (Stake, 1998, p. 103). Any community may legitimately reject a researcher (insider or outsider) who fails to establish and conduct relationships under these require</w:t>
      </w:r>
      <w:r w:rsidRPr="008745B6">
        <w:softHyphen/>
        <w:t>ments.</w:t>
      </w:r>
      <w:r>
        <w:t xml:space="preserve"> </w:t>
      </w:r>
      <w:r w:rsidRPr="008745B6">
        <w:t>In this field, ethics is never far removed from politics. This essay has focused on the relationship between educational researchers and communities that are self-defined as ‘disempowered’ but has not really addressed the issue of power. At the heart of the objections to outsider research is a view that such research, far from challenging and removing such disempowerment, operates to reinforce it. It is this argument which I shall now address.</w:t>
      </w:r>
      <w:r>
        <w:t xml:space="preserve"> </w:t>
      </w:r>
      <w:r w:rsidRPr="008745B6">
        <w:t>V OUTSIDERS’ RESEARCH DISEMPOWERS INSIDERS</w:t>
      </w:r>
      <w:r>
        <w:t xml:space="preserve"> </w:t>
      </w:r>
      <w:r w:rsidRPr="008745B6">
        <w:t>At least one of the arguments against outsider research into self-defined ‘disempowered’ sections of the population is made independently of the measure of sensitivity and care, which the outsider researchers demon</w:t>
      </w:r>
      <w:r w:rsidRPr="008745B6">
        <w:softHyphen/>
        <w:t>strate in its conduct. ‘If we have learned one thing from the civil rights movement in the US’, wrote Ed Roberts, a leading figure in the Disability Rights Movement (DRM), ‘it’s that when others speak for you, you lose’ (quoted in Driedger, 1989, p. 28). Roberts’ case is in part that for so long as such groups depend on outsiders to represent them on the wider stage, they will be reinforcing both the fact and the perception of their subordination and dependency as well as exposing themselves to potential misrepresentation. They have to break the vicious circle of dependency—and that means taking control for themselves of the ways in which their experience is represented more widely:</w:t>
      </w:r>
      <w:r>
        <w:t xml:space="preserve"> </w:t>
      </w:r>
      <w:r w:rsidRPr="008745B6">
        <w:t>The DRM’s demand for control is the essential theme that runs through all its work, regardless of political-economic or cultural differences. Control has universal appeal for DRM activists because their needs are everywhere conditioned by a dependency born of powerlessness, poverty, degradation, and institutionalisation. This dependency, saturated with paternalism, begins with the onset of disability and continues until death. (Charlton, 1998, p. 3)</w:t>
      </w:r>
      <w:r>
        <w:t xml:space="preserve"> </w:t>
      </w:r>
      <w:r w:rsidRPr="008745B6">
        <w:t>Outsider researchers sometimes persuade themselves that they are acting in an emancipatory way by ‘giving voice to’ neglected or disenfranchised sections of the community. Their research may indeed push the evident voice of the researcher far into the background as he or she ‘simply presents’, perhaps as large chunks of direct transcription and without commentary, what participants have to say. But, as Reinharz has warned, this is by no means as simple as it might appear:</w:t>
      </w:r>
      <w:r>
        <w:t xml:space="preserve"> </w:t>
      </w:r>
      <w:r w:rsidRPr="008745B6">
        <w:t>To listen to people is to empower them. But if you want to hear it, you have to go hear it, in their space, or in a safe space. Before you can expect</w:t>
      </w:r>
      <w:r>
        <w:t xml:space="preserve"> </w:t>
      </w:r>
      <w:r w:rsidRPr="008745B6">
        <w:t>to hear anything worth hearing, you have to examine the power dynamics of the space and the social actors . . .</w:t>
      </w:r>
      <w:r>
        <w:t xml:space="preserve"> </w:t>
      </w:r>
      <w:r w:rsidRPr="008745B6">
        <w:t>Second, you have to be the person someone else can talk to, and you have to be able to create a context where the person can speak and you can listen. That means we have to study who we are and who we are in relation to those we study . . .</w:t>
      </w:r>
      <w:r>
        <w:t xml:space="preserve"> </w:t>
      </w:r>
      <w:r w:rsidRPr="008745B6">
        <w:t>Third, you have to be willing to hear what someone is saying, even when it violates your expectations or threatens your interests. In other words, if you want someone to tell it like it is, you have to hear it like it is. (Reinharz, 1988, pp. 15-16)</w:t>
      </w:r>
      <w:r>
        <w:t xml:space="preserve"> </w:t>
      </w:r>
      <w:r w:rsidRPr="008745B6">
        <w:t>Even with this level of self knowledge, sensitivity and discipline, there is a significant temptation in such situations to what is sometimes called ventriloquy: the using of the voice of the participant to give expression to the things which the researcher wants to say or to have said. This is a process which is present in the selection of participants, in the framing of the questions which they are encouraged to answer, in the verbal and visual cues which they are given of the researcher’s pleasure or excitement with their responses, and, later, in the researcher’s selection of material for publication. Such ventriloquy, argues Fine, disguises ‘the usually unacknowledged stances of researchers who navigate and camouflage theory through the richness of ‘‘native voices’’’ (Fine, 1994, p.22).</w:t>
      </w:r>
      <w:r>
        <w:t xml:space="preserve"> </w:t>
      </w:r>
      <w:r w:rsidRPr="008745B6">
        <w:t>The argument that insiders within ‘disempowered’ communities (or any other communities for that matter) should be researching and, where appropriate, giving public expression to their own experience is surely uncontroversial. In a context in which insider research has been negligible and hugely subordinated to waves of outsider research, there is a good case for taking practical steps to correct that balance and spare a community what can understandably be experienced as an increasingly oppressive relationship with research.</w:t>
      </w:r>
      <w:r>
        <w:t xml:space="preserve"> </w:t>
      </w:r>
      <w:r w:rsidRPr="008745B6">
        <w:t>There are, however, at last three reasons in principle for keeping the possibility of outsider research open: (i) that such enquiry might enhance the understanding of the researcher; (ii) that it might enhance the understanding of the community itself; and (iii) that it might enhance the understanding of a wider public. There is no doubt a place for researching our own experience and that of our own communities, but surely we cannot be condemned lifelong to such social solipsism? Notwithstanding some postmodernist misgivings, ‘There is still a world out there, much to learn, much to discover; and the exploration of ourselves, however laudable in that at least it risks no new imperialistic gesture, is not, in the end, capable of sustaining lasting interest’ (Patai, 1994, p. 67). The issue is not, however, merely one of satisfying curiosity. There is a real danger that if we become persuaded that we cannot understand the experience of others and that ‘we have no right to speak for anyone but ourselves’, then we will all too easily find ourselves epistemologically and morally isolated, furnished with a comfortable legitimation for ignoring the condition of anyone but ourselves. This is not, any more than the paternalism of the powerful, the route to a more just society.</w:t>
      </w:r>
      <w:r>
        <w:t xml:space="preserve"> </w:t>
      </w:r>
      <w:r w:rsidRPr="008745B6">
        <w:t>How, then can we reconcile the importance of (1) wider social under</w:t>
      </w:r>
      <w:r w:rsidRPr="008745B6">
        <w:softHyphen/>
        <w:t>standing of the world of ‘disempowered’ communities and of the structures which contribute to that disempowerment, (2) the openness of those communities and structures to the outsider researcher, and (3) the determination that the researcher should not wittingly or unwittingly reinforce that disempowerment? The literature (from which a few selected examples are quoted below) provides some clues as to the character of relations between researcher and researched which ‘emancipatory’, ‘participatory’ or ‘educative’ research might take.</w:t>
      </w:r>
      <w:r>
        <w:t xml:space="preserve"> </w:t>
      </w:r>
      <w:r w:rsidRPr="008745B6">
        <w:t>To begin with, we need to re-examine the application of the notion of ‘property’ to the ownership of knowledge. In economic terms, know</w:t>
      </w:r>
      <w:r w:rsidRPr="008745B6">
        <w:softHyphen/>
        <w:t>ledge is not a competitive good. It has the distinctive virtue that (at least in terms of its educative function) it can be infinitely distributed without loss to any of those who are sharing in it. Similarly the researcher can acquire it from people without denying it to them and can return it enriched. However, it is easy to neglect the processes of reporting back to people and sharing in knowledge and the importance which can be attached to this process by those concerned. For Smith, a Maori woman working with research students from the indigenous people of New Zealand, ‘Reporting back to the people is never a one-off exercise or a task that can be signed off on completion of the written report’. She describes how one of her students took her work back to the people she interviewed. ‘The family was waiting for her; they cooked food and made us welcome. We left knowing that her work will be passed around the family to be read and eventually will have a place in the living room along with other valued family books and family photographs’ (Smith, 1999, pp. 15-16).</w:t>
      </w:r>
      <w:r>
        <w:t xml:space="preserve"> </w:t>
      </w:r>
      <w:r w:rsidRPr="008745B6">
        <w:t>For some, what is required is a moving away from regarding research as a property and towards seeing it as a dialogic enquiry designed to assist the understanding of all concerned:</w:t>
      </w:r>
      <w:r>
        <w:t xml:space="preserve"> </w:t>
      </w:r>
      <w:r w:rsidRPr="008745B6">
        <w:t>Educative research attempts to restructure the traditional relationship between researcher and ‘subject’. Instead of a one-way process where researchers extract data from ‘subjects’, Educational Research encourages a dialogic process where participants negotiate meanings at the level of question posing, data collection and analysis . . . It . . . encourages participants to work together on an equal basis to reach a mutual understanding. Neither participant should stand apart in an aloof or judgmental manner; neither should be silenced in the process. (Gitlin and Russell, 1994, p. 185)</w:t>
      </w:r>
    </w:p>
    <w:p w:rsidR="005A7217" w:rsidRDefault="005A7217" w:rsidP="005A7217">
      <w:pPr>
        <w:pStyle w:val="Heading3"/>
      </w:pPr>
      <w:r>
        <w:t>AT Perm</w:t>
      </w:r>
    </w:p>
    <w:p w:rsidR="00BE5144" w:rsidRDefault="00BE5144" w:rsidP="00BE5144">
      <w:pPr>
        <w:rPr>
          <w:rFonts w:ascii="Arial" w:hAnsi="Arial" w:cs="Arial"/>
          <w:color w:val="4D4D4D"/>
          <w:sz w:val="21"/>
          <w:szCs w:val="21"/>
          <w:shd w:val="clear" w:color="auto" w:fill="FFFFFF"/>
        </w:rPr>
      </w:pPr>
      <w:r>
        <w:rPr>
          <w:rFonts w:ascii="Arial" w:hAnsi="Arial" w:cs="Arial"/>
          <w:color w:val="4D4D4D"/>
          <w:sz w:val="21"/>
          <w:szCs w:val="21"/>
          <w:shd w:val="clear" w:color="auto" w:fill="FFFFFF"/>
        </w:rPr>
        <w:t>The permutation cannot overcome the link---body metaphors reinscribe harmful power structures  </w:t>
      </w:r>
    </w:p>
    <w:p w:rsidR="00A84488" w:rsidRPr="00BE5144" w:rsidRDefault="00A84488" w:rsidP="00EF58FB">
      <w:pPr>
        <w:pStyle w:val="Heading4"/>
      </w:pPr>
      <w:r>
        <w:t>The permutation cannot overcome the link—body metaphors reinscribe harmful power structures</w:t>
      </w:r>
    </w:p>
    <w:p w:rsidR="00BE5144" w:rsidRPr="00BE5144" w:rsidRDefault="00BE5144" w:rsidP="00BE5144">
      <w:pPr>
        <w:rPr>
          <w:rStyle w:val="Style13ptBold"/>
          <w:rFonts w:eastAsiaTheme="majorEastAsia" w:cstheme="majorBidi"/>
          <w:b w:val="0"/>
          <w:iCs/>
        </w:rPr>
      </w:pPr>
      <w:r>
        <w:rPr>
          <w:rStyle w:val="Style13ptBold"/>
        </w:rPr>
        <w:t>Schlosser 07 (</w:t>
      </w:r>
      <w:r w:rsidRPr="00BE5144">
        <w:t>Kolson, Visiting Assistant Professor in the Department of Geography and Geology at Western Kentucky University, “The Bio-Politics of Bodies Politic: Nature and Intertextuality in Classic US Geopolitical Discourse,” GeoJournal 69(3), p. 200-202, http://www.jstor.org/stable/41148188, CH</w:t>
      </w:r>
      <w:r>
        <w:rPr>
          <w:rStyle w:val="Style13ptBold"/>
        </w:rPr>
        <w:t>)</w:t>
      </w:r>
    </w:p>
    <w:p w:rsidR="00BE5144" w:rsidRPr="00A84488" w:rsidRDefault="00BE5144" w:rsidP="00BE5144">
      <w:pPr>
        <w:rPr>
          <w:sz w:val="16"/>
        </w:rPr>
      </w:pPr>
      <w:r w:rsidRPr="00A84488">
        <w:rPr>
          <w:sz w:val="16"/>
        </w:rPr>
        <w:t>The above quote from Haass is only a very recent example, but such representations have been exceedingly common in US geopolitical discourse. This paper provides a genealogy of these kinds of organic representation of the state from the early 19th century to the present day. While I focus on geopolitical literatures such as the propaganda of the National Security League (NSL) during WWI and important Cold War doc</w:t>
      </w:r>
      <w:r w:rsidRPr="00A84488">
        <w:rPr>
          <w:sz w:val="16"/>
        </w:rPr>
        <w:softHyphen/>
        <w:t xml:space="preserve">uments such as George Kennan’s ‘X-telegram’, I actually analyze a wide range of literatures both topically and temporally in order to emphasize the depth of this genealogy. I also employ the concept of intertextuality as a key analytical tool to examine not precisely what the documents say, but rather how they are rendered intelligible by other previous and concurrent texts. For that reason </w:t>
      </w:r>
      <w:r w:rsidRPr="00BE5144">
        <w:rPr>
          <w:rStyle w:val="StyleUnderline"/>
        </w:rPr>
        <w:t>I situate</w:t>
      </w:r>
      <w:r w:rsidRPr="00A84488">
        <w:rPr>
          <w:sz w:val="16"/>
        </w:rPr>
        <w:t xml:space="preserve"> these texts within 19th and 20th century </w:t>
      </w:r>
      <w:r w:rsidRPr="00BE5144">
        <w:rPr>
          <w:rStyle w:val="StyleUnderline"/>
        </w:rPr>
        <w:t>bio-medical discourse</w:t>
      </w:r>
      <w:r w:rsidRPr="00A84488">
        <w:rPr>
          <w:sz w:val="16"/>
        </w:rPr>
        <w:t xml:space="preserve">, part of </w:t>
      </w:r>
      <w:r w:rsidRPr="00BE5144">
        <w:rPr>
          <w:rStyle w:val="StyleUnderline"/>
        </w:rPr>
        <w:t>what Foucault</w:t>
      </w:r>
      <w:r w:rsidRPr="00A84488">
        <w:rPr>
          <w:sz w:val="16"/>
        </w:rPr>
        <w:t xml:space="preserve"> (1978, 1980) </w:t>
      </w:r>
      <w:r w:rsidRPr="00BE5144">
        <w:rPr>
          <w:rStyle w:val="StyleUnderline"/>
        </w:rPr>
        <w:t>identifies as a</w:t>
      </w:r>
      <w:r w:rsidRPr="00A84488">
        <w:rPr>
          <w:sz w:val="16"/>
        </w:rPr>
        <w:t xml:space="preserve">n emergent </w:t>
      </w:r>
      <w:r w:rsidRPr="00BE5144">
        <w:rPr>
          <w:rStyle w:val="StyleUnderline"/>
        </w:rPr>
        <w:t xml:space="preserve">bio-politics of health. </w:t>
      </w:r>
      <w:r w:rsidRPr="00A84488">
        <w:rPr>
          <w:sz w:val="16"/>
        </w:rPr>
        <w:t>This paper is thus an analysis of the intertextuality of two discourses (geopolitics and the body) as a means to show how the mobilization of body metaphors to describe the state serves to naturalize territorial</w:t>
      </w:r>
      <w:r w:rsidRPr="00A84488">
        <w:rPr>
          <w:sz w:val="16"/>
        </w:rPr>
        <w:softHyphen/>
        <w:t>ized national identities. It is also this intertextu</w:t>
      </w:r>
      <w:r w:rsidRPr="00A84488">
        <w:rPr>
          <w:sz w:val="16"/>
        </w:rPr>
        <w:softHyphen/>
        <w:t xml:space="preserve">ality which brings me to the title “the bio-politics of bodies politic.’’ I will argue that this ‘bio-politics of bodies politic’ breaks down into at least two main themes. First, </w:t>
      </w:r>
      <w:r w:rsidRPr="00A84488">
        <w:rPr>
          <w:rStyle w:val="StyleUnderline"/>
          <w:highlight w:val="yellow"/>
        </w:rPr>
        <w:t>body metaphors discursively reduce society into an unbroken unity,</w:t>
      </w:r>
      <w:r w:rsidRPr="00BE5144">
        <w:rPr>
          <w:rStyle w:val="StyleUnderline"/>
        </w:rPr>
        <w:t xml:space="preserve"> a system with inter-working parts that fulfill a role towards the reproduction of that unity. The unity is coded as fundamentally moral, but endangered by the infiltration of foreign contagion, coded as immor</w:t>
      </w:r>
      <w:r w:rsidRPr="00BE5144">
        <w:rPr>
          <w:rStyle w:val="StyleUnderline"/>
        </w:rPr>
        <w:softHyphen/>
        <w:t xml:space="preserve">al. In many ways, then, </w:t>
      </w:r>
      <w:r w:rsidRPr="00A84488">
        <w:rPr>
          <w:rStyle w:val="StyleUnderline"/>
          <w:highlight w:val="yellow"/>
        </w:rPr>
        <w:t>body metaphors are discourses of power which</w:t>
      </w:r>
      <w:r w:rsidRPr="00BE5144">
        <w:rPr>
          <w:rStyle w:val="StyleUnderline"/>
        </w:rPr>
        <w:t xml:space="preserve"> work to produce what Anderson</w:t>
      </w:r>
      <w:r w:rsidRPr="00A84488">
        <w:rPr>
          <w:sz w:val="16"/>
        </w:rPr>
        <w:t xml:space="preserve"> (1991) terms ‘imagined communities.’ </w:t>
      </w:r>
      <w:r w:rsidRPr="00A84488">
        <w:rPr>
          <w:rStyle w:val="StyleUnderline"/>
        </w:rPr>
        <w:t xml:space="preserve">They </w:t>
      </w:r>
      <w:r w:rsidRPr="00A84488">
        <w:rPr>
          <w:rStyle w:val="StyleUnderline"/>
          <w:highlight w:val="yellow"/>
        </w:rPr>
        <w:t>obscure internal exclusions and dominations by abstracting and universalizing populations. They also</w:t>
      </w:r>
      <w:r w:rsidRPr="00A84488">
        <w:rPr>
          <w:rStyle w:val="StyleUnderline"/>
        </w:rPr>
        <w:t xml:space="preserve"> help </w:t>
      </w:r>
      <w:r w:rsidRPr="00A84488">
        <w:rPr>
          <w:rStyle w:val="StyleUnderline"/>
          <w:highlight w:val="yellow"/>
        </w:rPr>
        <w:t>reproduce understandings of threat as always emanating from outside the body</w:t>
      </w:r>
      <w:r w:rsidRPr="00A84488">
        <w:rPr>
          <w:rStyle w:val="StyleUnderline"/>
        </w:rPr>
        <w:t>, and enabled by those who would destabilize this perfect unity of inter-working parts. The second theme is the performative constitution of ‘self’ and ‘other’ as the body politic is policed for those who would destabilize this unity, just as the human immune system identifies and expels foreign contagions.</w:t>
      </w:r>
      <w:r w:rsidRPr="00A84488">
        <w:rPr>
          <w:sz w:val="16"/>
        </w:rPr>
        <w:t xml:space="preserve"> In other words, the social construction of national identity in contradistinc</w:t>
      </w:r>
      <w:r w:rsidRPr="00A84488">
        <w:rPr>
          <w:sz w:val="16"/>
        </w:rPr>
        <w:softHyphen/>
        <w:t>tion to a foreign enemy is an ongoing process that is at least partly informed by this intertextuality of geopolitical and bio-medical discourse. Although this paper is first and foremost a discourse analysis about the social construction of a very binary geopolitical imaginary, I connect this construction to militarism in a couple of different ways. First, as will be shown, the NSL very directly used it to advocate militarism and US involvement in WWI. Second, this intertex</w:t>
      </w:r>
      <w:r w:rsidRPr="00A84488">
        <w:rPr>
          <w:sz w:val="16"/>
        </w:rPr>
        <w:softHyphen/>
        <w:t>tuality is a crucial discursive component of the policies of Soviet ‘containment’ and the mythical ‘domino effect.’ These discourses were operation</w:t>
      </w:r>
      <w:r w:rsidRPr="00A84488">
        <w:rPr>
          <w:sz w:val="16"/>
        </w:rPr>
        <w:softHyphen/>
        <w:t>alized in the form of, for example, the construc</w:t>
      </w:r>
      <w:r w:rsidRPr="00A84488">
        <w:rPr>
          <w:sz w:val="16"/>
        </w:rPr>
        <w:softHyphen/>
        <w:t>tion of foreign military bases and the direct and indirect involvement of the US in various inter and intra-state conflicts around the world during the Cold War.</w:t>
      </w:r>
      <w:r w:rsidRPr="00A84488">
        <w:rPr>
          <w:sz w:val="16"/>
        </w:rPr>
        <w:footnoteReference w:id="1"/>
      </w:r>
      <w:r w:rsidRPr="00A84488">
        <w:rPr>
          <w:sz w:val="16"/>
        </w:rPr>
        <w:t xml:space="preserve"> The political construction of militarism in the name of discursively naturalized territorial national identities and binary geopolit</w:t>
      </w:r>
      <w:r w:rsidRPr="00A84488">
        <w:rPr>
          <w:sz w:val="16"/>
        </w:rPr>
        <w:softHyphen/>
        <w:t>ical imaginaries further shows, in Woodward’s (2004, p. 3) terms, how “militarism and military activities create spaces, places, environments and landscapes with reference to a distinct moral order.</w:t>
      </w:r>
      <w:r w:rsidRPr="00A84488">
        <w:rPr>
          <w:sz w:val="16"/>
        </w:rPr>
        <w:footnoteReference w:id="2"/>
      </w:r>
      <w:r w:rsidRPr="00A84488">
        <w:rPr>
          <w:sz w:val="16"/>
        </w:rPr>
        <w:t xml:space="preserve">” In section “Intertextuality and metaphor”, I offer a few brief observations on the role of metaphor in language, but focus on how Julia Kristeva, and to a lesser extent Roland Barthes, originally formulated the term intertextuality. I also indicate how it is applicable to this research. The third section reviews the significance of the geopolitical texts under scrutiny in this paper to the development of militarism and Cold War foreign policy, and briefly reviews how they are informed by 18th century naturalist epistemology. In the fourth section, I first examine what Foucault calls the bio-politics of health and how it intertexts with geopolitical discourse. The bulk of that section, however, analyzes the actual texts selected by interrogating how they discursively construct the state in metaphorically organic terms, as well as how they promote Cold War policies of ‘containment’ of an alleged ‘domino effect.’ </w:t>
      </w:r>
      <w:bookmarkStart w:id="1" w:name="bookmark4"/>
      <w:r w:rsidRPr="00A84488">
        <w:rPr>
          <w:sz w:val="16"/>
        </w:rPr>
        <w:t>Intertextuality and metaphor</w:t>
      </w:r>
      <w:bookmarkEnd w:id="1"/>
      <w:r w:rsidRPr="00A84488">
        <w:rPr>
          <w:sz w:val="16"/>
        </w:rPr>
        <w:t xml:space="preserve"> The geopolitical and bio-medical texts under scrutiny in this paper are intertextual in the sense that the authors of the former mobilize the latter in order to legitimate their own discourse; it is for that reason that intertextuality and metaphor are the salient theoretical concepts of this paper. Smith and Katz (1993, p. 68) correctly point out that “metaphor is inseparable from the genera</w:t>
      </w:r>
      <w:r w:rsidRPr="00A84488">
        <w:rPr>
          <w:sz w:val="16"/>
        </w:rPr>
        <w:softHyphen/>
        <w:t>tion of meaning, from language and thought,” and that metaphor is thus highly implicated in the social production of space. Aiken, Brigham, Marston, and Waterstone (1998, p. 4) argue that metaphors are important symbolic constructs that perform “cultural and political work,” reducing otherwise elusive or ambiguous concepts into something known, familiar, or static. Conse</w:t>
      </w:r>
      <w:r w:rsidRPr="00A84488">
        <w:rPr>
          <w:sz w:val="16"/>
        </w:rPr>
        <w:softHyphen/>
        <w:t xml:space="preserve">quently, </w:t>
      </w:r>
      <w:r w:rsidRPr="00A84488">
        <w:rPr>
          <w:rStyle w:val="StyleUnderline"/>
        </w:rPr>
        <w:t>metaphors “open up some avenues of thought and necessarily close down others</w:t>
      </w:r>
      <w:r w:rsidRPr="00A84488">
        <w:rPr>
          <w:sz w:val="16"/>
        </w:rPr>
        <w:t xml:space="preserve">” (Pratt, 1998, p. 13). </w:t>
      </w:r>
      <w:r w:rsidRPr="00A84488">
        <w:rPr>
          <w:rStyle w:val="StyleUnderline"/>
          <w:highlight w:val="yellow"/>
        </w:rPr>
        <w:t>It might be objected that all language is essentially metaphorical, such that body meta</w:t>
      </w:r>
      <w:r w:rsidRPr="00A84488">
        <w:rPr>
          <w:rStyle w:val="StyleUnderline"/>
          <w:highlight w:val="yellow"/>
        </w:rPr>
        <w:softHyphen/>
        <w:t>phors are a natural part of linguistic expression</w:t>
      </w:r>
      <w:r w:rsidRPr="00A84488">
        <w:rPr>
          <w:rStyle w:val="StyleUnderline"/>
        </w:rPr>
        <w:t>.</w:t>
      </w:r>
      <w:r w:rsidRPr="00A84488">
        <w:rPr>
          <w:sz w:val="16"/>
        </w:rPr>
        <w:t xml:space="preserve"> Indeed, as work in structural and post-structural linguistics (including, for example, the work of Ferdinand Saussure and Jacques Derrida, respec</w:t>
      </w:r>
      <w:r w:rsidRPr="00A84488">
        <w:rPr>
          <w:sz w:val="16"/>
        </w:rPr>
        <w:softHyphen/>
        <w:t>tively) has long since shown, word signifiers such as ‘body,’ ‘virus’ and ‘homegrown’ do not have inherent, stable meanings. Rather, semiotic anal</w:t>
      </w:r>
      <w:r w:rsidRPr="00A84488">
        <w:rPr>
          <w:sz w:val="16"/>
        </w:rPr>
        <w:softHyphen/>
        <w:t xml:space="preserve">ysis can show that the meaning of signs rises from a structure of difference; that is, signs can only be defined relative to what they are </w:t>
      </w:r>
      <w:r w:rsidRPr="00A84488">
        <w:rPr>
          <w:sz w:val="16"/>
          <w:szCs w:val="16"/>
        </w:rPr>
        <w:t>not, making the ultimate meaning of any sign always contingent on some other meaning. In this paper I apply the same concept to an analysis of texts: “Just as signs refer only to other signs, texts can refer only to other texts, generating an intersecting and indef</w:t>
      </w:r>
      <w:r w:rsidRPr="00A84488">
        <w:rPr>
          <w:sz w:val="16"/>
          <w:szCs w:val="16"/>
        </w:rPr>
        <w:softHyphen/>
        <w:t>initely expandable web called intertextuality” (Sarup, 1988, pp. 57-58; italics in original). Moreover, if all language is basically meta</w:t>
      </w:r>
      <w:r w:rsidRPr="00A84488">
        <w:rPr>
          <w:sz w:val="16"/>
          <w:szCs w:val="16"/>
        </w:rPr>
        <w:softHyphen/>
        <w:t>phorical, then it might be objected that natural</w:t>
      </w:r>
      <w:r w:rsidRPr="00A84488">
        <w:rPr>
          <w:sz w:val="16"/>
          <w:szCs w:val="16"/>
        </w:rPr>
        <w:softHyphen/>
        <w:t>istic metaphors of the body could, and perhaps have been, mobilized toward peaceful or liberatory ends, rather than militaristic and destructive ends. This is debatable</w:t>
      </w:r>
      <w:r w:rsidRPr="00A84488">
        <w:rPr>
          <w:sz w:val="16"/>
        </w:rPr>
        <w:t>, but this paper is specif</w:t>
      </w:r>
      <w:r w:rsidRPr="00A84488">
        <w:rPr>
          <w:sz w:val="16"/>
        </w:rPr>
        <w:softHyphen/>
        <w:t>ically about how the use of such metaphors has played out in the particular texts of US geopol</w:t>
      </w:r>
      <w:r w:rsidRPr="00A84488">
        <w:rPr>
          <w:sz w:val="16"/>
        </w:rPr>
        <w:softHyphen/>
        <w:t xml:space="preserve">itics under scrutiny here. I say that this is debatable </w:t>
      </w:r>
      <w:r w:rsidRPr="00A84488">
        <w:rPr>
          <w:rStyle w:val="StyleUnderline"/>
        </w:rPr>
        <w:t xml:space="preserve">because </w:t>
      </w:r>
      <w:r w:rsidRPr="00A84488">
        <w:rPr>
          <w:rStyle w:val="StyleUnderline"/>
          <w:highlight w:val="yellow"/>
        </w:rPr>
        <w:t>even if all language is meta</w:t>
      </w:r>
      <w:r w:rsidRPr="00A84488">
        <w:rPr>
          <w:rStyle w:val="StyleUnderline"/>
          <w:highlight w:val="yellow"/>
        </w:rPr>
        <w:softHyphen/>
        <w:t>phorical, it is nevertheless possible that some metaphors are more dangerous or misleading than others. Organic or bodily metaphors</w:t>
      </w:r>
      <w:r w:rsidRPr="00A84488">
        <w:rPr>
          <w:sz w:val="16"/>
        </w:rPr>
        <w:t xml:space="preserve"> to describe the state </w:t>
      </w:r>
      <w:r w:rsidRPr="00A84488">
        <w:rPr>
          <w:rStyle w:val="StyleUnderline"/>
          <w:highlight w:val="yellow"/>
        </w:rPr>
        <w:t>can be particularly dangerous because they naturalize what is social and polit</w:t>
      </w:r>
      <w:r w:rsidRPr="00A84488">
        <w:rPr>
          <w:rStyle w:val="StyleUnderline"/>
          <w:highlight w:val="yellow"/>
        </w:rPr>
        <w:softHyphen/>
        <w:t>ical (regardless of how they are used).</w:t>
      </w:r>
      <w:r w:rsidRPr="00A84488">
        <w:rPr>
          <w:rStyle w:val="StyleUnderline"/>
        </w:rPr>
        <w:t xml:space="preserve"> This paper focuses on intertextuality because, as an analyt</w:t>
      </w:r>
      <w:r w:rsidRPr="00A84488">
        <w:rPr>
          <w:rStyle w:val="StyleUnderline"/>
        </w:rPr>
        <w:softHyphen/>
        <w:t xml:space="preserve">ical tool, it can help show how </w:t>
      </w:r>
      <w:r w:rsidRPr="00A84488">
        <w:rPr>
          <w:rStyle w:val="StyleUnderline"/>
          <w:highlight w:val="yellow"/>
        </w:rPr>
        <w:t>body metaphors as linguistic signifiers are reductive in particularly dangerous ways, in the sense that this form of metaphor “suppresses and normalizes the individual by emphasizing the whole”</w:t>
      </w:r>
      <w:r w:rsidRPr="00A84488">
        <w:rPr>
          <w:rStyle w:val="StyleUnderline"/>
        </w:rPr>
        <w:t xml:space="preserve"> </w:t>
      </w:r>
      <w:r w:rsidRPr="00A84488">
        <w:rPr>
          <w:sz w:val="16"/>
        </w:rPr>
        <w:t>(Mountz, 2004, p. 329). The following paragraphs explain how intertextuality accomplishes this.</w:t>
      </w:r>
    </w:p>
    <w:p w:rsidR="00E632A0" w:rsidRDefault="00E632A0" w:rsidP="00EF58FB">
      <w:pPr>
        <w:pStyle w:val="Heading4"/>
      </w:pPr>
      <w:r>
        <w:t>The permutation makes it more difficult to solve the aff—they do not have a net benefit to the perm, a reason why including body metaphors is important—that presentation is problematic and solidifies harmful control</w:t>
      </w:r>
    </w:p>
    <w:p w:rsidR="00BE5144" w:rsidRPr="00BE5144" w:rsidRDefault="00BE5144" w:rsidP="00BE5144">
      <w:pPr>
        <w:rPr>
          <w:rStyle w:val="Style13ptBold"/>
          <w:rFonts w:eastAsiaTheme="majorEastAsia" w:cstheme="majorBidi"/>
          <w:b w:val="0"/>
          <w:iCs/>
        </w:rPr>
      </w:pPr>
      <w:r>
        <w:rPr>
          <w:rStyle w:val="Style13ptBold"/>
        </w:rPr>
        <w:t>Halliday 06 (</w:t>
      </w:r>
      <w:r w:rsidRPr="00BE5144">
        <w:t>John, Professor of Education at the University of Strathclyde, “Teacher Education: Professionalism, Social Justice and Teacher Education,” Ed. Hartley and Whitehead, p.157-158, CH</w:t>
      </w:r>
      <w:r>
        <w:rPr>
          <w:rStyle w:val="Style13ptBold"/>
        </w:rPr>
        <w:t>)</w:t>
      </w:r>
    </w:p>
    <w:p w:rsidR="005A7217" w:rsidRPr="00BE5144" w:rsidRDefault="005A7217" w:rsidP="00BE5144">
      <w:pPr>
        <w:rPr>
          <w:rStyle w:val="StyleUnderline"/>
        </w:rPr>
      </w:pPr>
      <w:r w:rsidRPr="00BE5144">
        <w:rPr>
          <w:sz w:val="16"/>
        </w:rPr>
        <w:t>Increasing the political distance between teachers and parents</w:t>
      </w:r>
      <w:r w:rsidR="00BE5144" w:rsidRPr="00BE5144">
        <w:rPr>
          <w:sz w:val="16"/>
        </w:rPr>
        <w:t xml:space="preserve"> </w:t>
      </w:r>
      <w:r w:rsidRPr="00BE5144">
        <w:rPr>
          <w:sz w:val="16"/>
        </w:rPr>
        <w:t xml:space="preserve">One last political implication of the professionalization movement is the danger that, by emphasizing the specialized expertise of teachers, it will undermine democratic control of schools. </w:t>
      </w:r>
      <w:r w:rsidRPr="00BE5144">
        <w:rPr>
          <w:rStyle w:val="StyleUnderline"/>
        </w:rPr>
        <w:t>Sykes</w:t>
      </w:r>
      <w:r w:rsidRPr="00BE5144">
        <w:rPr>
          <w:sz w:val="16"/>
        </w:rPr>
        <w:t xml:space="preserve"> (1990) confronts this issue and. drawing on the work of Amy Gutmann (1987), </w:t>
      </w:r>
      <w:r w:rsidRPr="00BE5144">
        <w:rPr>
          <w:rStyle w:val="StyleUnderline"/>
        </w:rPr>
        <w:t>argues that profes</w:t>
      </w:r>
      <w:r w:rsidRPr="00BE5144">
        <w:rPr>
          <w:rStyle w:val="StyleUnderline"/>
        </w:rPr>
        <w:softHyphen/>
        <w:t>sional autonomy for teachers will actually enhance democratic politics by creating a buffer against the domination of education by the whim of the majority. The problem with this argument, however, is that the source of teachers’ professional authority is a technical rationality that denies that education is a legitimate matter for political debate. The roots of the professionalization movement suggest that education will be considered a technical matter that must be left in the hands of certified experts, and that efforts by the laity to set the direction or shape the content of education will not be seen as an appropriate democratic action, but as an unacceptable form of interference.</w:t>
      </w:r>
      <w:r w:rsidR="00BE5144" w:rsidRPr="00BE5144">
        <w:rPr>
          <w:rStyle w:val="StyleUnderline"/>
        </w:rPr>
        <w:t xml:space="preserve"> </w:t>
      </w:r>
      <w:r w:rsidRPr="00E632A0">
        <w:rPr>
          <w:rStyle w:val="StyleUnderline"/>
          <w:highlight w:val="yellow"/>
        </w:rPr>
        <w:t>The</w:t>
      </w:r>
      <w:r w:rsidRPr="00BE5144">
        <w:rPr>
          <w:rStyle w:val="StyleUnderline"/>
        </w:rPr>
        <w:t xml:space="preserve"> frequent </w:t>
      </w:r>
      <w:r w:rsidRPr="00E632A0">
        <w:rPr>
          <w:rStyle w:val="StyleUnderline"/>
          <w:highlight w:val="yellow"/>
        </w:rPr>
        <w:t>use of medical analogies becomes particularly problematic</w:t>
      </w:r>
      <w:r w:rsidRPr="00BE5144">
        <w:rPr>
          <w:rStyle w:val="StyleUnderline"/>
        </w:rPr>
        <w:t xml:space="preserve"> at this stage of the discussion. The implication is that laypersons should have no more say about how a teacher conducts a class than about how a</w:t>
      </w:r>
      <w:r w:rsidR="00BE5144" w:rsidRPr="00BE5144">
        <w:rPr>
          <w:rStyle w:val="StyleUnderline"/>
        </w:rPr>
        <w:t xml:space="preserve"> </w:t>
      </w:r>
      <w:r w:rsidRPr="00BE5144">
        <w:rPr>
          <w:rStyle w:val="StyleUnderline"/>
        </w:rPr>
        <w:t>surgeon condu</w:t>
      </w:r>
      <w:r w:rsidR="00BE5144" w:rsidRPr="00BE5144">
        <w:rPr>
          <w:rStyle w:val="StyleUnderline"/>
        </w:rPr>
        <w:t>cts an operation; both cases are</w:t>
      </w:r>
      <w:r w:rsidRPr="00BE5144">
        <w:rPr>
          <w:rStyle w:val="StyleUnderline"/>
        </w:rPr>
        <w:t xml:space="preserve"> seen as technical matters of </w:t>
      </w:r>
      <w:r w:rsidR="00BE5144" w:rsidRPr="00BE5144">
        <w:rPr>
          <w:rStyle w:val="StyleUnderline"/>
        </w:rPr>
        <w:t>professional competence that are</w:t>
      </w:r>
      <w:r w:rsidRPr="00BE5144">
        <w:rPr>
          <w:rStyle w:val="StyleUnderline"/>
        </w:rPr>
        <w:t xml:space="preserve"> best dealt with by peer review. But it is not clear that shaping minds, instilling values, and preparing citizens are the same sorts of technical problems as removing an appendix or reducing a fever.</w:t>
      </w:r>
      <w:r w:rsidRPr="00BE5144">
        <w:rPr>
          <w:sz w:val="16"/>
        </w:rPr>
        <w:t xml:space="preserve"> </w:t>
      </w:r>
      <w:r w:rsidRPr="00BE5144">
        <w:rPr>
          <w:rStyle w:val="StyleUnderline"/>
        </w:rPr>
        <w:t>The forme</w:t>
      </w:r>
      <w:r w:rsidR="00BE5144" w:rsidRPr="00BE5144">
        <w:rPr>
          <w:rStyle w:val="StyleUnderline"/>
        </w:rPr>
        <w:t>r tasks have an irre</w:t>
      </w:r>
      <w:r w:rsidRPr="00BE5144">
        <w:rPr>
          <w:rStyle w:val="StyleUnderline"/>
        </w:rPr>
        <w:t>ducibly political character to them— since they involve the teacher in making choices about which ideas, values, and social ends are worth promoting, and since they exert an impact on the way students will make their own choices about these things. Every parent—and, more broadly, every citizen—is constantly making these kinds of decisions and exerting these sorts of influences on their own children and on the adults around them. Therefore, this political component of teaching is not a closely held form of professional expertise, but a capacity that is universally accessible to the lay public, and this makes the construction of professional barriers to public influence over classroom instruction nothing less than a threat to an essential component of democracy.</w:t>
      </w:r>
    </w:p>
    <w:p w:rsidR="005A7217" w:rsidRPr="005A7217" w:rsidRDefault="005A7217" w:rsidP="005A7217"/>
    <w:p w:rsidR="005A7217" w:rsidRPr="00F15F4F" w:rsidRDefault="005A7217" w:rsidP="00EF58FB">
      <w:pPr>
        <w:pStyle w:val="Heading4"/>
      </w:pPr>
      <w:r>
        <w:t>Tag me</w:t>
      </w:r>
    </w:p>
    <w:p w:rsidR="005A7217" w:rsidRDefault="005A7217" w:rsidP="005A7217">
      <w:pPr>
        <w:rPr>
          <w:rStyle w:val="Style13ptBold"/>
          <w:rFonts w:eastAsiaTheme="majorEastAsia" w:cstheme="majorBidi"/>
          <w:b w:val="0"/>
          <w:iCs/>
        </w:rPr>
      </w:pPr>
      <w:r>
        <w:rPr>
          <w:rStyle w:val="Style13ptBold"/>
        </w:rPr>
        <w:t>Krikler 10 (</w:t>
      </w:r>
      <w:r w:rsidRPr="00F15F4F">
        <w:t xml:space="preserve">Jeremy, “A Chain of Murder in the Slave Trade: A Wider Context of the Zong Massacre,” </w:t>
      </w:r>
      <w:r>
        <w:t xml:space="preserve">Published in the </w:t>
      </w:r>
      <w:r w:rsidRPr="00F15F4F">
        <w:t>International Review of Social History </w:t>
      </w:r>
      <w:r>
        <w:t xml:space="preserve">Volume 57, 2012, </w:t>
      </w:r>
      <w:hyperlink r:id="rId8" w:history="1">
        <w:r w:rsidRPr="006D01BD">
          <w:rPr>
            <w:rStyle w:val="Hyperlink"/>
          </w:rPr>
          <w:t>http://journals.cambridge.org/action/displayAbstract?fromPage=online&amp;aid=8744649&amp;fileId=S0020859012000491</w:t>
        </w:r>
      </w:hyperlink>
      <w:r>
        <w:t>, CH</w:t>
      </w:r>
      <w:r>
        <w:rPr>
          <w:rStyle w:val="Style13ptBold"/>
        </w:rPr>
        <w:t>)</w:t>
      </w:r>
    </w:p>
    <w:p w:rsidR="005A7217" w:rsidRPr="00F15F4F" w:rsidRDefault="005A7217" w:rsidP="005A7217">
      <w:pPr>
        <w:rPr>
          <w:rStyle w:val="StyleUnderline"/>
        </w:rPr>
      </w:pPr>
      <w:r w:rsidRPr="00F15F4F">
        <w:rPr>
          <w:rStyle w:val="StyleUnderline"/>
        </w:rPr>
        <w:t>A great deal has now been written about the place of the Zong in the world of eighteenth-century insurance and the law, and how these related to the slave trade</w:t>
      </w:r>
      <w:r w:rsidRPr="00F15F4F">
        <w:rPr>
          <w:sz w:val="16"/>
        </w:rPr>
        <w:t xml:space="preserve">.2 </w:t>
      </w:r>
      <w:r w:rsidRPr="00F15F4F">
        <w:rPr>
          <w:rStyle w:val="StyleUnderline"/>
        </w:rPr>
        <w:t>There has been much emphasis on commercial calculation in explaining the murders:</w:t>
      </w:r>
      <w:r w:rsidRPr="00F15F4F">
        <w:rPr>
          <w:sz w:val="16"/>
        </w:rPr>
        <w:t xml:space="preserve"> the Captain’s mind, according to Simon Schama, had become ‘‘a very abacus of gain and loss’’ as he chose people to be thrown overboard, thinking that insurance could be claimed on those murdered.3 The whole legal and commercial culture of the eighteenth century stands condemned by the fact that the murder of slaves could openly be justified in court, and initially held to be lawful by the Lord Chief Justice</w:t>
      </w:r>
      <w:r w:rsidRPr="00F15F4F">
        <w:rPr>
          <w:rStyle w:val="StyleUnderline"/>
        </w:rPr>
        <w:t xml:space="preserve">. Arguably, however, it is a medical culture as well that stands condemned by the events. We can see this if we move the focus entirely away from insurance and the law, and bring it to bear on aspects of the slave trade that </w:t>
      </w:r>
      <w:r w:rsidRPr="00F15F4F">
        <w:rPr>
          <w:rStyle w:val="Emphasis"/>
        </w:rPr>
        <w:t>have largely been ignored in explorations of the Zong massacre</w:t>
      </w:r>
      <w:r w:rsidRPr="00F15F4F">
        <w:rPr>
          <w:rStyle w:val="StyleUnderline"/>
        </w:rPr>
        <w:t>. These relate to the medical world of the slave trade, to the process of selecting captives for purchase by the traders on the African coast, and to the fate of those not selected. All of these phenomena were enmeshed with each other and helped to create the context in which the decision to engage in mass murder on the Zong became possible. For the selection of slaves for the transatlantic journey could involve some – pre-eminently, ships’ surgeons – in a chain of murder on the African coast. In this way, a key moment of every slaving voyage, the buying of Africans, might be considered to have habituated slavers to the death of those deemed unfit for the trade, even before the voyage commenced. The atrocity of the Zong is made more comprehensible by this fact.</w:t>
      </w:r>
    </w:p>
    <w:p w:rsidR="005A7217" w:rsidRDefault="005A7217" w:rsidP="005A7217"/>
    <w:p w:rsidR="005A7217" w:rsidRPr="005A7217" w:rsidRDefault="005A7217" w:rsidP="005A7217"/>
    <w:p w:rsidR="005A7217" w:rsidRPr="005A7217" w:rsidRDefault="005A7217" w:rsidP="005A7217">
      <w:pPr>
        <w:pStyle w:val="Heading2"/>
      </w:pPr>
      <w:r>
        <w:t>Case</w:t>
      </w:r>
    </w:p>
    <w:p w:rsidR="00DE678E" w:rsidRDefault="002177D3" w:rsidP="00EF58FB">
      <w:pPr>
        <w:pStyle w:val="Heading4"/>
        <w:rPr>
          <w:rStyle w:val="Style13ptBold"/>
          <w:iCs w:val="0"/>
          <w:szCs w:val="26"/>
        </w:rPr>
      </w:pPr>
      <w:r>
        <w:rPr>
          <w:rStyle w:val="Style13ptBold"/>
        </w:rPr>
        <w:t xml:space="preserve">Baucom is wrong – he overlooks the sociopolitical efforts of the slaves to embellish the oppression </w:t>
      </w:r>
      <w:r w:rsidR="000C6642">
        <w:rPr>
          <w:rStyle w:val="Style13ptBold"/>
        </w:rPr>
        <w:t>of the individual</w:t>
      </w:r>
      <w:bookmarkStart w:id="2" w:name="_GoBack"/>
      <w:bookmarkEnd w:id="2"/>
    </w:p>
    <w:p w:rsidR="00397854" w:rsidRDefault="00397854" w:rsidP="00397854">
      <w:pPr>
        <w:rPr>
          <w:rStyle w:val="Style13ptBold"/>
          <w:rFonts w:eastAsiaTheme="majorEastAsia" w:cstheme="majorBidi"/>
          <w:b w:val="0"/>
          <w:iCs/>
        </w:rPr>
      </w:pPr>
      <w:r>
        <w:rPr>
          <w:rStyle w:val="Style13ptBold"/>
        </w:rPr>
        <w:t>Brown 0</w:t>
      </w:r>
      <w:r w:rsidRPr="007C421C">
        <w:rPr>
          <w:rStyle w:val="Style13ptBold"/>
        </w:rPr>
        <w:t>9 (</w:t>
      </w:r>
      <w:r>
        <w:t xml:space="preserve">Vincent, Professor of History and of African and African-American Studies at Harvard, “Social Death and Political Life in the Study of Slavery”, American Historical Review, December 2009, </w:t>
      </w:r>
      <w:hyperlink r:id="rId9" w:history="1">
        <w:r w:rsidRPr="00B27D92">
          <w:rPr>
            <w:rStyle w:val="Hyperlink"/>
          </w:rPr>
          <w:t>http://scholar.harvard.edu/vbrown/publications/social-death-and-political-life-study-slavery</w:t>
        </w:r>
      </w:hyperlink>
      <w:r>
        <w:t>, CH</w:t>
      </w:r>
      <w:r w:rsidRPr="007C421C">
        <w:rPr>
          <w:rStyle w:val="Style13ptBold"/>
        </w:rPr>
        <w:t>)</w:t>
      </w:r>
    </w:p>
    <w:p w:rsidR="00B66B0D" w:rsidRPr="00B66B0D" w:rsidRDefault="00B66B0D" w:rsidP="00B66B0D">
      <w:pPr>
        <w:rPr>
          <w:sz w:val="14"/>
        </w:rPr>
      </w:pPr>
      <w:r w:rsidRPr="00B66B0D">
        <w:rPr>
          <w:sz w:val="14"/>
        </w:rPr>
        <w:t>A fascinating book by</w:t>
      </w:r>
      <w:r w:rsidRPr="00B66B0D">
        <w:rPr>
          <w:rStyle w:val="StyleUnderline"/>
        </w:rPr>
        <w:t xml:space="preserve"> Ian </w:t>
      </w:r>
      <w:r w:rsidRPr="005E406D">
        <w:rPr>
          <w:rStyle w:val="StyleUnderline"/>
        </w:rPr>
        <w:t>Baucom has illuminated the persistence of slavery’s forms of being in our own time. Specters of the Atlantic: Finance Capital, Slavery, and the Philosophy of History excavates the history of the massacre aboard the slave ship Zong in 1781</w:t>
      </w:r>
      <w:r w:rsidRPr="00B66B0D">
        <w:rPr>
          <w:rStyle w:val="StyleUnderline"/>
        </w:rPr>
        <w:t xml:space="preserve">, which came to light as a dispute over an insurance claim for lost cargo, and the reactions to that event in subsequent legal trials, social movements, and literary and artistic discourses. </w:t>
      </w:r>
      <w:r w:rsidRPr="00B66B0D">
        <w:rPr>
          <w:sz w:val="14"/>
        </w:rPr>
        <w:t xml:space="preserve">Writing against the view that would see the massacre as an isolated tragedy, </w:t>
      </w:r>
      <w:r w:rsidRPr="005E406D">
        <w:rPr>
          <w:rStyle w:val="StyleUnderline"/>
          <w:highlight w:val="yellow"/>
        </w:rPr>
        <w:t>Baucom situates the story of the Zong within a logic of violence that underpins a long Atlantic cycle of speculative capital accumulation</w:t>
      </w:r>
      <w:r w:rsidRPr="00B40E02">
        <w:rPr>
          <w:rStyle w:val="StyleUnderline"/>
        </w:rPr>
        <w:t xml:space="preserve"> that began in the eighteenth century and continues today.</w:t>
      </w:r>
      <w:r w:rsidRPr="00B40E02">
        <w:rPr>
          <w:sz w:val="14"/>
        </w:rPr>
        <w:t xml:space="preserve"> Indeed, the logic that governed the transformation of slaughtered human beings into modern abstract forms of property derives in part from social death</w:t>
      </w:r>
      <w:r w:rsidRPr="00B66B0D">
        <w:rPr>
          <w:sz w:val="14"/>
        </w:rPr>
        <w:t xml:space="preserve">, which Baucom glosses as the state of being permanently subject to death by the master’s hand.  Human life is still a commodity—as a brief glimpse at a life insurance policy or a credit score will instantly show— and the abolition of chattel slavery has not solved the problem Baucom has identified. It is therefore within reason for him to identify the Zong as a tragic part of our present and future. </w:t>
      </w:r>
      <w:r w:rsidRPr="005E406D">
        <w:rPr>
          <w:rStyle w:val="StyleUnderline"/>
          <w:highlight w:val="yellow"/>
        </w:rPr>
        <w:t>Specters of the Atlantic is a</w:t>
      </w:r>
      <w:r w:rsidRPr="00B66B0D">
        <w:rPr>
          <w:rStyle w:val="StyleUnderline"/>
        </w:rPr>
        <w:t xml:space="preserve"> compellingly </w:t>
      </w:r>
      <w:r w:rsidRPr="005E406D">
        <w:rPr>
          <w:rStyle w:val="StyleUnderline"/>
          <w:highlight w:val="yellow"/>
        </w:rPr>
        <w:t>sophisticated study of the relation between the epistemologies underwriting</w:t>
      </w:r>
      <w:r w:rsidRPr="00B66B0D">
        <w:rPr>
          <w:rStyle w:val="StyleUnderline"/>
        </w:rPr>
        <w:t xml:space="preserve"> both modern </w:t>
      </w:r>
      <w:r w:rsidRPr="005E406D">
        <w:rPr>
          <w:rStyle w:val="StyleUnderline"/>
          <w:highlight w:val="yellow"/>
        </w:rPr>
        <w:t>slavery and</w:t>
      </w:r>
      <w:r w:rsidRPr="00B66B0D">
        <w:rPr>
          <w:rStyle w:val="StyleUnderline"/>
        </w:rPr>
        <w:t xml:space="preserve"> modern </w:t>
      </w:r>
      <w:r w:rsidRPr="005E406D">
        <w:rPr>
          <w:rStyle w:val="StyleUnderline"/>
          <w:highlight w:val="yellow"/>
        </w:rPr>
        <w:t>capitalism, but the book’s discussion of the politics of anti-slavery is fundamentally incomplete</w:t>
      </w:r>
      <w:r w:rsidRPr="00B66B0D">
        <w:rPr>
          <w:rStyle w:val="StyleUnderline"/>
        </w:rPr>
        <w:t>.</w:t>
      </w:r>
      <w:r w:rsidRPr="00B66B0D">
        <w:rPr>
          <w:sz w:val="14"/>
        </w:rPr>
        <w:t xml:space="preserve"> While </w:t>
      </w:r>
      <w:r w:rsidRPr="005E406D">
        <w:rPr>
          <w:rStyle w:val="StyleUnderline"/>
          <w:highlight w:val="yellow"/>
        </w:rPr>
        <w:t>Baucom</w:t>
      </w:r>
      <w:r w:rsidRPr="00B66B0D">
        <w:rPr>
          <w:sz w:val="14"/>
        </w:rPr>
        <w:t xml:space="preserve"> brilliantly traces the development of “melancholy realism” as an oppositional discourse that ran counter to the logic of slavery and finance capital, </w:t>
      </w:r>
      <w:r w:rsidRPr="00B66B0D">
        <w:rPr>
          <w:rStyle w:val="Emphasis"/>
        </w:rPr>
        <w:t xml:space="preserve">he </w:t>
      </w:r>
      <w:r w:rsidRPr="005E406D">
        <w:rPr>
          <w:rStyle w:val="Emphasis"/>
          <w:highlight w:val="yellow"/>
        </w:rPr>
        <w:t>has very little to say about the enslaved themselves. Social death</w:t>
      </w:r>
      <w:r w:rsidRPr="005E406D">
        <w:rPr>
          <w:rStyle w:val="StyleUnderline"/>
          <w:highlight w:val="yellow"/>
        </w:rPr>
        <w:t xml:space="preserve">, </w:t>
      </w:r>
      <w:r w:rsidRPr="005E406D">
        <w:rPr>
          <w:rStyle w:val="Emphasis"/>
          <w:highlight w:val="yellow"/>
        </w:rPr>
        <w:t>so well suited to the tragic perspective, stands in for the experience of enslavement.</w:t>
      </w:r>
      <w:r w:rsidRPr="00B66B0D">
        <w:rPr>
          <w:rStyle w:val="Emphasis"/>
        </w:rPr>
        <w:t xml:space="preserve"> </w:t>
      </w:r>
      <w:r w:rsidRPr="00B66B0D">
        <w:rPr>
          <w:rStyle w:val="StyleUnderline"/>
        </w:rPr>
        <w:t xml:space="preserve">While this heightens the reader’s sense of the way Atlantic slavery haunts the present, </w:t>
      </w:r>
      <w:r w:rsidRPr="005E406D">
        <w:rPr>
          <w:rStyle w:val="Emphasis"/>
          <w:highlight w:val="yellow"/>
        </w:rPr>
        <w:t>Baucom</w:t>
      </w:r>
      <w:r w:rsidRPr="00B66B0D">
        <w:rPr>
          <w:rStyle w:val="StyleUnderline"/>
        </w:rPr>
        <w:t xml:space="preserve"> largely </w:t>
      </w:r>
      <w:r w:rsidRPr="005E406D">
        <w:rPr>
          <w:rStyle w:val="Emphasis"/>
          <w:highlight w:val="yellow"/>
        </w:rPr>
        <w:t>fails to acknowledge that the enslaved performed melancholy acts of accounting not unlike those that he shows to be a fundamental component of abolitionist</w:t>
      </w:r>
      <w:r w:rsidRPr="00B66B0D">
        <w:rPr>
          <w:rStyle w:val="Emphasis"/>
        </w:rPr>
        <w:t xml:space="preserve"> and human rights </w:t>
      </w:r>
      <w:r w:rsidRPr="005E406D">
        <w:rPr>
          <w:rStyle w:val="Emphasis"/>
          <w:highlight w:val="yellow"/>
        </w:rPr>
        <w:t>discourses</w:t>
      </w:r>
      <w:r w:rsidRPr="00B66B0D">
        <w:rPr>
          <w:rStyle w:val="Emphasis"/>
        </w:rPr>
        <w:t xml:space="preserve">, </w:t>
      </w:r>
      <w:r w:rsidRPr="005E406D">
        <w:rPr>
          <w:rStyle w:val="Emphasis"/>
          <w:highlight w:val="yellow"/>
        </w:rPr>
        <w:t>or that those acts could be a basic element of slaves’ oppositional activities</w:t>
      </w:r>
      <w:r w:rsidRPr="00B66B0D">
        <w:rPr>
          <w:rStyle w:val="Emphasis"/>
        </w:rPr>
        <w:t>.</w:t>
      </w:r>
      <w:r w:rsidRPr="00B66B0D">
        <w:rPr>
          <w:rStyle w:val="StyleUnderline"/>
        </w:rPr>
        <w:t xml:space="preserve"> In many ways, </w:t>
      </w:r>
      <w:r w:rsidRPr="005E406D">
        <w:rPr>
          <w:rStyle w:val="Emphasis"/>
          <w:highlight w:val="yellow"/>
        </w:rPr>
        <w:t>the effectiveness of his text depends upon the silence of slaves</w:t>
      </w:r>
      <w:r w:rsidRPr="00B66B0D">
        <w:rPr>
          <w:rStyle w:val="Emphasis"/>
        </w:rPr>
        <w:t>—</w:t>
      </w:r>
      <w:r w:rsidRPr="005E406D">
        <w:rPr>
          <w:rStyle w:val="Emphasis"/>
          <w:highlight w:val="yellow"/>
        </w:rPr>
        <w:t xml:space="preserve">it is easier to describe </w:t>
      </w:r>
      <w:r w:rsidRPr="00B40E02">
        <w:rPr>
          <w:rStyle w:val="Emphasis"/>
        </w:rPr>
        <w:t xml:space="preserve">the continuity of structures of </w:t>
      </w:r>
      <w:r w:rsidRPr="005E406D">
        <w:rPr>
          <w:rStyle w:val="Emphasis"/>
          <w:highlight w:val="yellow"/>
        </w:rPr>
        <w:t>power when one downplays countervailing forces such as the political activity of the weak</w:t>
      </w:r>
      <w:r w:rsidRPr="005E406D">
        <w:rPr>
          <w:rStyle w:val="StyleUnderline"/>
          <w:highlight w:val="yellow"/>
        </w:rPr>
        <w:t>.</w:t>
      </w:r>
      <w:r w:rsidRPr="00B66B0D">
        <w:rPr>
          <w:rStyle w:val="StyleUnderline"/>
        </w:rPr>
        <w:t xml:space="preserve"> So </w:t>
      </w:r>
      <w:r w:rsidRPr="00B40E02">
        <w:rPr>
          <w:rStyle w:val="Emphasis"/>
        </w:rPr>
        <w:t xml:space="preserve">Baucom’s deep insights into the structural features of Atlantic slave trading and its afterlife come with a cost. </w:t>
      </w:r>
      <w:r w:rsidRPr="005E406D">
        <w:rPr>
          <w:rStyle w:val="Emphasis"/>
          <w:highlight w:val="yellow"/>
        </w:rPr>
        <w:t>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w:t>
      </w:r>
      <w:r w:rsidRPr="00B66B0D">
        <w:rPr>
          <w:rStyle w:val="Emphasis"/>
        </w:rPr>
        <w:t>.</w:t>
      </w:r>
      <w:r w:rsidRPr="00B66B0D">
        <w:rPr>
          <w:sz w:val="14"/>
        </w:rPr>
        <w:t xml:space="preserve">  Specters of the Atlantic is self-consciously a work of theory (despite Baucom’s prodigious archival research), and social death may be largely unproblematic as a matter of theory, or even law.</w:t>
      </w:r>
    </w:p>
    <w:p w:rsidR="00B66B0D" w:rsidRDefault="0031557B" w:rsidP="00EF58FB">
      <w:pPr>
        <w:pStyle w:val="Heading4"/>
        <w:rPr>
          <w:rStyle w:val="Style13ptBold"/>
          <w:rFonts w:eastAsiaTheme="minorHAnsi" w:cstheme="minorBidi"/>
          <w:b/>
          <w:iCs w:val="0"/>
        </w:rPr>
      </w:pPr>
      <w:r>
        <w:rPr>
          <w:rStyle w:val="Style13ptBold"/>
        </w:rPr>
        <w:t>Focus on a single historical event clouds the experience of the individual</w:t>
      </w:r>
    </w:p>
    <w:p w:rsidR="005E406D" w:rsidRPr="005C1584" w:rsidRDefault="005E406D" w:rsidP="005E406D">
      <w:pPr>
        <w:rPr>
          <w:rStyle w:val="Style13ptBold"/>
          <w:rFonts w:eastAsiaTheme="majorEastAsia" w:cstheme="majorBidi"/>
          <w:b w:val="0"/>
          <w:iCs/>
        </w:rPr>
      </w:pPr>
      <w:r>
        <w:rPr>
          <w:rStyle w:val="Style13ptBold"/>
        </w:rPr>
        <w:t>Ehlers 12 (</w:t>
      </w:r>
      <w:r w:rsidRPr="005C1584">
        <w:t>Nadine, Professor University of Wollongong, Australia</w:t>
      </w:r>
      <w:r>
        <w:t>, “Racial Imperatives: Discipline, Performativity, and Str</w:t>
      </w:r>
      <w:r w:rsidR="00B40E02">
        <w:t>uggles against Subjection,” p. 11</w:t>
      </w:r>
      <w:r>
        <w:t>-12, footnote from p. 145</w:t>
      </w:r>
      <w:r w:rsidR="00F61F97">
        <w:t>, CH</w:t>
      </w:r>
      <w:r>
        <w:rPr>
          <w:rStyle w:val="Style13ptBold"/>
        </w:rPr>
        <w:t>)</w:t>
      </w:r>
    </w:p>
    <w:p w:rsidR="005E406D" w:rsidRDefault="005E406D" w:rsidP="005E406D">
      <w:pPr>
        <w:rPr>
          <w:rStyle w:val="StyleUnderline"/>
        </w:rPr>
      </w:pPr>
      <w:r w:rsidRPr="00DE678E">
        <w:rPr>
          <w:rStyle w:val="StyleUnderline"/>
          <w:highlight w:val="yellow"/>
        </w:rPr>
        <w:t>For</w:t>
      </w:r>
      <w:r w:rsidRPr="00352F63">
        <w:rPr>
          <w:sz w:val="16"/>
        </w:rPr>
        <w:t xml:space="preserve"> Vincent </w:t>
      </w:r>
      <w:r w:rsidRPr="00DE678E">
        <w:rPr>
          <w:rStyle w:val="StyleUnderline"/>
          <w:highlight w:val="yellow"/>
        </w:rPr>
        <w:t>Brown</w:t>
      </w:r>
      <w:r w:rsidRPr="00352F63">
        <w:rPr>
          <w:rStyle w:val="StyleUnderline"/>
        </w:rPr>
        <w:t xml:space="preserve">, a historian of slavery, </w:t>
      </w:r>
      <w:r w:rsidRPr="00DE678E">
        <w:rPr>
          <w:rStyle w:val="StyleUnderline"/>
          <w:highlight w:val="yellow"/>
        </w:rPr>
        <w:t>‘‘violence, dislocation, and death actually generate politics, and consequential action by the enslaved’</w:t>
      </w:r>
      <w:r w:rsidRPr="00352F63">
        <w:rPr>
          <w:rStyle w:val="StyleUnderline"/>
        </w:rPr>
        <w:t>’</w:t>
      </w:r>
      <w:r w:rsidRPr="00352F63">
        <w:rPr>
          <w:sz w:val="16"/>
        </w:rPr>
        <w:t xml:space="preserve"> (2009 , 1239) . He warns that </w:t>
      </w:r>
      <w:r w:rsidRPr="00DE678E">
        <w:rPr>
          <w:rStyle w:val="Emphasis"/>
          <w:highlight w:val="yellow"/>
        </w:rPr>
        <w:t xml:space="preserve">focusing on an overarching condition or state </w:t>
      </w:r>
      <w:r w:rsidRPr="00DE678E">
        <w:rPr>
          <w:rStyle w:val="Emphasis"/>
        </w:rPr>
        <w:t xml:space="preserve">potentially </w:t>
      </w:r>
      <w:r w:rsidRPr="00DE678E">
        <w:rPr>
          <w:rStyle w:val="Emphasis"/>
          <w:highlight w:val="yellow"/>
        </w:rPr>
        <w:t xml:space="preserve">obscures </w:t>
      </w:r>
      <w:r w:rsidRPr="00DE678E">
        <w:rPr>
          <w:rStyle w:val="Emphasis"/>
        </w:rPr>
        <w:t xml:space="preserve">seeing </w:t>
      </w:r>
      <w:r w:rsidRPr="00DE678E">
        <w:rPr>
          <w:rStyle w:val="Emphasis"/>
          <w:highlight w:val="yellow"/>
        </w:rPr>
        <w:t xml:space="preserve">these politics. </w:t>
      </w:r>
      <w:r w:rsidRPr="00DE678E">
        <w:rPr>
          <w:rStyle w:val="Emphasis"/>
        </w:rPr>
        <w:t xml:space="preserve">More than this, however, </w:t>
      </w:r>
      <w:r w:rsidRPr="00DE678E">
        <w:rPr>
          <w:rStyle w:val="Emphasis"/>
          <w:highlight w:val="yellow"/>
        </w:rPr>
        <w:t>it risks positioning relations of power as totalizing and transhistorical, and it risks essentializing experience or the lived realities of individuals.</w:t>
      </w:r>
      <w:r w:rsidRPr="00352F63">
        <w:rPr>
          <w:sz w:val="16"/>
        </w:rPr>
        <w:t xml:space="preserve"> I scale down to the level of the subject to analyze both (a) how subjects are formed, and (b) how subjects— black and white alike—have struggled against conditions in ways that refuse totalizing, immutable understandings of race. This book does not seek to mark a condition or situation then, but instead takes up Brown’s challenge (made within the context of studies of slavery) to pay attention to efforts to remake condition. Looking to those efforts to remake condition and identity grapples with the microphysics of power and the practices of daily life, enacted by individuals and in collective politics, to consider what people do with situations: those dynamic, innovative contestations of (a never totalizing) power. </w:t>
      </w:r>
      <w:r w:rsidRPr="00352F63">
        <w:rPr>
          <w:rStyle w:val="StyleUnderline"/>
        </w:rPr>
        <w:t>Echoing the call raised by Brown</w:t>
      </w:r>
      <w:r w:rsidRPr="00352F63">
        <w:rPr>
          <w:sz w:val="16"/>
        </w:rPr>
        <w:t xml:space="preserve"> (2009, 1239), </w:t>
      </w:r>
      <w:r w:rsidRPr="00352F63">
        <w:rPr>
          <w:rStyle w:val="StyleUnderline"/>
        </w:rPr>
        <w:t>my work focuses then on ‘‘examining . . . social and political lives rather than assuming . . . lack of social being’’ in order to think about how subjects can and have ‘‘made a social world out of death itself’’</w:t>
      </w:r>
      <w:r w:rsidRPr="00352F63">
        <w:rPr>
          <w:sz w:val="16"/>
        </w:rPr>
        <w:t xml:space="preserve"> (Brown 2009, 1233) </w:t>
      </w:r>
      <w:r w:rsidRPr="00352F63">
        <w:rPr>
          <w:rStyle w:val="StyleUnderline"/>
        </w:rPr>
        <w:t>or how, more generally, race can be reconfigured within the broader workings of what I am calling racial discipline and performative imperatives.</w:t>
      </w:r>
      <w:r w:rsidRPr="00352F63">
        <w:rPr>
          <w:sz w:val="16"/>
        </w:rPr>
        <w:t xml:space="preserve">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despite the exercise of sovereign forms of power) (Foucault 2003a, 250). For Foucault, this form of power is not absolute, nor does it exist in opposition to resistance. Rather, power is seen as always fragmentary and incoherent, and power and resistance are seen as mutually constitutive. Disciplinary power is productive, in that it generates particular capacities and forms of subjectivity (and, necessarily, agency). And finally, </w:t>
      </w:r>
      <w:r w:rsidRPr="00352F63">
        <w:rPr>
          <w:rStyle w:val="StyleUnderline"/>
        </w:rPr>
        <w:t>though subjects are formed in power, they are not reducible to it, not determined by power.</w:t>
      </w:r>
    </w:p>
    <w:p w:rsidR="005E406D" w:rsidRPr="005E406D" w:rsidRDefault="005E406D" w:rsidP="005E406D">
      <w:pPr>
        <w:rPr>
          <w:rStyle w:val="Style13ptBold"/>
        </w:rPr>
      </w:pPr>
      <w:r>
        <w:rPr>
          <w:rStyle w:val="Style13ptBold"/>
        </w:rPr>
        <w:t xml:space="preserve">Ehlers continues… </w:t>
      </w:r>
    </w:p>
    <w:p w:rsidR="005E406D" w:rsidRDefault="005E406D" w:rsidP="005E406D">
      <w:pPr>
        <w:rPr>
          <w:rStyle w:val="StyleUnderline"/>
        </w:rPr>
      </w:pPr>
      <w:r w:rsidRPr="00352F63">
        <w:rPr>
          <w:rStyle w:val="StyleUnderline"/>
        </w:rPr>
        <w:t xml:space="preserve">Historian Vincent </w:t>
      </w:r>
      <w:r w:rsidRPr="00DE678E">
        <w:rPr>
          <w:rStyle w:val="StyleUnderline"/>
          <w:highlight w:val="yellow"/>
        </w:rPr>
        <w:t>Brown</w:t>
      </w:r>
      <w:r w:rsidRPr="00352F63">
        <w:rPr>
          <w:rStyle w:val="StyleUnderline"/>
        </w:rPr>
        <w:t>, in his ‘‘Social Death and Political Life in the Study of Slavery’’</w:t>
      </w:r>
      <w:r w:rsidRPr="00DE678E">
        <w:rPr>
          <w:sz w:val="16"/>
        </w:rPr>
        <w:t xml:space="preserve"> (2009), </w:t>
      </w:r>
      <w:r w:rsidRPr="00352F63">
        <w:rPr>
          <w:rStyle w:val="StyleUnderline"/>
        </w:rPr>
        <w:t xml:space="preserve">has </w:t>
      </w:r>
      <w:r w:rsidRPr="00DE678E">
        <w:rPr>
          <w:rStyle w:val="StyleUnderline"/>
          <w:highlight w:val="yellow"/>
        </w:rPr>
        <w:t>examined a number of scholars who</w:t>
      </w:r>
      <w:r w:rsidRPr="00352F63">
        <w:rPr>
          <w:rStyle w:val="StyleUnderline"/>
        </w:rPr>
        <w:t xml:space="preserve"> seemingly take up such a viewpoint, in that they broadly </w:t>
      </w:r>
      <w:r w:rsidRPr="00DE678E">
        <w:rPr>
          <w:rStyle w:val="StyleUnderline"/>
          <w:highlight w:val="yellow"/>
        </w:rPr>
        <w:t>position blackness as a totalizing state that</w:t>
      </w:r>
      <w:r w:rsidRPr="00352F63">
        <w:rPr>
          <w:rStyle w:val="StyleUnderline"/>
        </w:rPr>
        <w:t xml:space="preserve">, historically and in the present, </w:t>
      </w:r>
      <w:r w:rsidRPr="00DE678E">
        <w:rPr>
          <w:rStyle w:val="StyleUnderline"/>
          <w:highlight w:val="yellow"/>
        </w:rPr>
        <w:t>renders slavery synonymous with social death and blackness as always already synonymous with slavery</w:t>
      </w:r>
      <w:r w:rsidRPr="00352F63">
        <w:rPr>
          <w:rStyle w:val="StyleUnderline"/>
        </w:rPr>
        <w:t>. Brown focuses specifically on the academic uptake and what he sees as the problematic distillation and extension of Orlando Patterson’s</w:t>
      </w:r>
      <w:r w:rsidRPr="00DE678E">
        <w:rPr>
          <w:sz w:val="16"/>
        </w:rPr>
        <w:t xml:space="preserve"> (1982) </w:t>
      </w:r>
      <w:r w:rsidRPr="00352F63">
        <w:rPr>
          <w:rStyle w:val="StyleUnderline"/>
        </w:rPr>
        <w:t xml:space="preserve">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‘‘slavery as social death,’’ and </w:t>
      </w:r>
      <w:r w:rsidRPr="00DE678E">
        <w:rPr>
          <w:rStyle w:val="StyleUnderline"/>
          <w:highlight w:val="yellow"/>
        </w:rPr>
        <w:t>contemporary usages of this concept</w:t>
      </w:r>
      <w:r w:rsidRPr="00352F63">
        <w:rPr>
          <w:rStyle w:val="StyleUnderline"/>
        </w:rPr>
        <w:t xml:space="preserve"> to account for the present, </w:t>
      </w:r>
      <w:r w:rsidRPr="00DE678E">
        <w:rPr>
          <w:rStyle w:val="StyleUnderline"/>
          <w:highlight w:val="yellow"/>
        </w:rPr>
        <w:t>advance a troubling transhistorical characterization of slavery</w:t>
      </w:r>
      <w:r w:rsidRPr="00352F63">
        <w:rPr>
          <w:rStyle w:val="StyleUnderline"/>
        </w:rPr>
        <w:t>. He argues in line with Herman Bennett</w:t>
      </w:r>
      <w:r w:rsidRPr="00DE678E">
        <w:rPr>
          <w:sz w:val="16"/>
        </w:rPr>
        <w:t xml:space="preserve"> (quoted in Brown 2009, 1233</w:t>
      </w:r>
      <w:r w:rsidRPr="00352F63">
        <w:rPr>
          <w:rStyle w:val="StyleUnderline"/>
        </w:rPr>
        <w:t>), who has observed:</w:t>
      </w:r>
      <w:r w:rsidR="00DE678E">
        <w:rPr>
          <w:rStyle w:val="StyleUnderline"/>
        </w:rPr>
        <w:t xml:space="preserve"> </w:t>
      </w:r>
      <w:r w:rsidRPr="00352F63">
        <w:rPr>
          <w:rStyle w:val="StyleUnderline"/>
        </w:rPr>
        <w:t xml:space="preserve">As the narrative of the slave experience, </w:t>
      </w:r>
      <w:r w:rsidRPr="00DE678E">
        <w:rPr>
          <w:rStyle w:val="StyleUnderline"/>
          <w:highlight w:val="yellow"/>
        </w:rPr>
        <w:t>social death assumes a uniform African, slave, and</w:t>
      </w:r>
      <w:r w:rsidRPr="00352F63">
        <w:rPr>
          <w:rStyle w:val="StyleUnderline"/>
        </w:rPr>
        <w:t xml:space="preserve"> ultimately </w:t>
      </w:r>
      <w:r w:rsidRPr="00DE678E">
        <w:rPr>
          <w:rStyle w:val="StyleUnderline"/>
          <w:highlight w:val="yellow"/>
        </w:rPr>
        <w:t>black subject rooted in a static New World history whose logic originated in being property and remains confined to slavery. It</w:t>
      </w:r>
      <w:r w:rsidRPr="00352F63">
        <w:rPr>
          <w:rStyle w:val="StyleUnderline"/>
        </w:rPr>
        <w:t xml:space="preserve"> absorbs and renders exceptional evidence that underscores the contingent nature of experience and consciousness. Thus, normative assumptions about the experiences of peoples of African descent </w:t>
      </w:r>
      <w:r w:rsidRPr="00BF2457">
        <w:rPr>
          <w:rStyle w:val="StyleUnderline"/>
          <w:highlight w:val="yellow"/>
        </w:rPr>
        <w:t>assert a timeless, ahistorical</w:t>
      </w:r>
      <w:r w:rsidRPr="00352F63">
        <w:rPr>
          <w:rStyle w:val="StyleUnderline"/>
        </w:rPr>
        <w:t>, epiphenomenal ‘‘</w:t>
      </w:r>
      <w:r w:rsidRPr="00BF2457">
        <w:rPr>
          <w:rStyle w:val="StyleUnderline"/>
          <w:highlight w:val="yellow"/>
        </w:rPr>
        <w:t>black’’</w:t>
      </w:r>
      <w:r w:rsidRPr="00352F63">
        <w:rPr>
          <w:rStyle w:val="StyleUnderline"/>
        </w:rPr>
        <w:t xml:space="preserve"> cultural </w:t>
      </w:r>
      <w:r w:rsidRPr="00BF2457">
        <w:rPr>
          <w:rStyle w:val="StyleUnderline"/>
          <w:highlight w:val="yellow"/>
        </w:rPr>
        <w:t>experience</w:t>
      </w:r>
      <w:r w:rsidRPr="00352F63">
        <w:rPr>
          <w:rStyle w:val="StyleUnderline"/>
        </w:rPr>
        <w:t>.</w:t>
      </w:r>
    </w:p>
    <w:p w:rsidR="000C6642" w:rsidRDefault="000C6642" w:rsidP="000C6642">
      <w:pPr>
        <w:pStyle w:val="Heading4"/>
        <w:rPr>
          <w:rStyle w:val="Style13ptBold"/>
          <w:rFonts w:eastAsiaTheme="minorHAnsi" w:cstheme="minorBidi"/>
          <w:b/>
          <w:iCs w:val="0"/>
        </w:rPr>
      </w:pPr>
      <w:r>
        <w:rPr>
          <w:rStyle w:val="Style13ptBold"/>
        </w:rPr>
        <w:t>The event of the Zong must be viewed alongside the oppression of the slave as a whole – the aff can’t solve</w:t>
      </w:r>
    </w:p>
    <w:p w:rsidR="000C6642" w:rsidRPr="00BD4051" w:rsidRDefault="000C6642" w:rsidP="000C6642">
      <w:pPr>
        <w:rPr>
          <w:rStyle w:val="Style13ptBold"/>
          <w:rFonts w:eastAsiaTheme="majorEastAsia" w:cstheme="majorBidi"/>
          <w:b w:val="0"/>
          <w:iCs/>
        </w:rPr>
      </w:pPr>
      <w:r>
        <w:rPr>
          <w:rStyle w:val="Style13ptBold"/>
        </w:rPr>
        <w:t>Armstrong 07 (</w:t>
      </w:r>
      <w:r w:rsidRPr="00BD4051">
        <w:t>Tim, Professor at Royal Holloway, University of London, “Catastrophe and Trauma: a Response to Anita Rupprecht</w:t>
      </w:r>
      <w:r>
        <w:t>,</w:t>
      </w:r>
      <w:r w:rsidRPr="00BD4051">
        <w:t>”</w:t>
      </w:r>
      <w:r>
        <w:t xml:space="preserve"> Published in The Journal of Legal History, Volume 28, Issue 3, 2007, </w:t>
      </w:r>
      <w:hyperlink r:id="rId10" w:anchor=".U9XT4PldV0o" w:history="1">
        <w:r w:rsidRPr="006D01BD">
          <w:rPr>
            <w:rStyle w:val="Hyperlink"/>
          </w:rPr>
          <w:t>http://www.tandfonline.com/doi/abs/10.1080/01440360701698510#.U9XT4PldV0o</w:t>
        </w:r>
      </w:hyperlink>
      <w:r>
        <w:t>, CH</w:t>
      </w:r>
      <w:r>
        <w:rPr>
          <w:rStyle w:val="Style13ptBold"/>
        </w:rPr>
        <w:t>)</w:t>
      </w:r>
    </w:p>
    <w:p w:rsidR="000C6642" w:rsidRDefault="000C6642" w:rsidP="000C6642">
      <w:pPr>
        <w:rPr>
          <w:sz w:val="16"/>
        </w:rPr>
      </w:pPr>
      <w:r w:rsidRPr="00BD4051">
        <w:rPr>
          <w:sz w:val="16"/>
        </w:rPr>
        <w:t xml:space="preserve">The two parts of my response are linked by the discourse of catastrophe. As I have suggested, </w:t>
      </w:r>
      <w:r w:rsidRPr="001A1279">
        <w:rPr>
          <w:rStyle w:val="StyleUnderline"/>
          <w:highlight w:val="yellow"/>
        </w:rPr>
        <w:t>the use of the Zong case</w:t>
      </w:r>
      <w:r w:rsidRPr="00BD4051">
        <w:rPr>
          <w:rStyle w:val="StyleUnderline"/>
        </w:rPr>
        <w:t xml:space="preserve"> in abolitionist tradition </w:t>
      </w:r>
      <w:r w:rsidRPr="001A1279">
        <w:rPr>
          <w:rStyle w:val="StyleUnderline"/>
          <w:highlight w:val="yellow"/>
        </w:rPr>
        <w:t>must be seen as an ambivalent inheritance: one which too readily anchors Africans in the status of victims, and attached</w:t>
      </w:r>
      <w:r w:rsidRPr="001A1279">
        <w:rPr>
          <w:sz w:val="16"/>
          <w:szCs w:val="16"/>
        </w:rPr>
        <w:t>, at least potentially,</w:t>
      </w:r>
      <w:r w:rsidRPr="00BD4051">
        <w:rPr>
          <w:rStyle w:val="StyleUnderline"/>
        </w:rPr>
        <w:t xml:space="preserve"> </w:t>
      </w:r>
      <w:r w:rsidRPr="001A1279">
        <w:rPr>
          <w:rStyle w:val="StyleUnderline"/>
          <w:highlight w:val="yellow"/>
        </w:rPr>
        <w:t>to a view of history which stresses traumatic inheritance on</w:t>
      </w:r>
      <w:r w:rsidRPr="00BD4051">
        <w:rPr>
          <w:rStyle w:val="StyleUnderline"/>
        </w:rPr>
        <w:t xml:space="preserve"> the </w:t>
      </w:r>
      <w:r w:rsidRPr="001A1279">
        <w:rPr>
          <w:rStyle w:val="StyleUnderline"/>
          <w:highlight w:val="yellow"/>
        </w:rPr>
        <w:t>one hand, and sublime and catastrophic spectacle on the other. We seem to need such stories, but they draw us</w:t>
      </w:r>
      <w:r w:rsidRPr="00BD4051">
        <w:rPr>
          <w:rStyle w:val="StyleUnderline"/>
        </w:rPr>
        <w:t>,</w:t>
      </w:r>
      <w:r w:rsidRPr="00BD4051">
        <w:rPr>
          <w:sz w:val="16"/>
        </w:rPr>
        <w:t xml:space="preserve"> as Morrison’s novel makes clear, </w:t>
      </w:r>
      <w:r w:rsidRPr="001A1279">
        <w:rPr>
          <w:rStyle w:val="StyleUnderline"/>
          <w:highlight w:val="yellow"/>
        </w:rPr>
        <w:t>towards a transfixed repetition even as they attempt to address a historical legacy. We need to continue to ask what the terrible history of the Zong means, but</w:t>
      </w:r>
      <w:r w:rsidRPr="00BD4051">
        <w:rPr>
          <w:rStyle w:val="StyleUnderline"/>
        </w:rPr>
        <w:t xml:space="preserve"> perhaps </w:t>
      </w:r>
      <w:r w:rsidRPr="001A1279">
        <w:rPr>
          <w:rStyle w:val="StyleUnderline"/>
          <w:highlight w:val="yellow"/>
        </w:rPr>
        <w:t>also to resist its pull, instead placing it alongside the everyday life of slavery</w:t>
      </w:r>
      <w:r w:rsidRPr="00BD4051">
        <w:rPr>
          <w:rStyle w:val="StyleUnderline"/>
        </w:rPr>
        <w:t xml:space="preserve"> and slavery’s many diffuse inheritances in our own world.</w:t>
      </w:r>
      <w:r w:rsidRPr="00BD4051">
        <w:rPr>
          <w:sz w:val="16"/>
        </w:rPr>
        <w:t xml:space="preserve"> The disclosure of business records, a focus of Rupprecht’s conclusion, is indeed one useful place to start, perhaps especially so in that </w:t>
      </w:r>
      <w:r w:rsidRPr="001A1279">
        <w:rPr>
          <w:rStyle w:val="StyleUnderline"/>
          <w:highlight w:val="yellow"/>
        </w:rPr>
        <w:t>what is involved is a form of knowledge that is not attached to the image of disaster, but instead to the quiet, everyday life of capital.</w:t>
      </w:r>
      <w:r w:rsidRPr="00BD4051">
        <w:rPr>
          <w:sz w:val="16"/>
        </w:rPr>
        <w:t xml:space="preserve"> </w:t>
      </w:r>
    </w:p>
    <w:p w:rsidR="007C2C22" w:rsidRDefault="00415A54" w:rsidP="00EF58FB">
      <w:pPr>
        <w:pStyle w:val="Heading4"/>
      </w:pPr>
      <w:r>
        <w:t>Remembrance renders the mind sessile on certain subjects—only by forgetting can we liberate the oppressed</w:t>
      </w:r>
    </w:p>
    <w:p w:rsidR="00292FED" w:rsidRDefault="00292FED" w:rsidP="00292FED">
      <w:pPr>
        <w:rPr>
          <w:rStyle w:val="Style13ptBold"/>
          <w:rFonts w:eastAsiaTheme="majorEastAsia" w:cstheme="majorBidi"/>
          <w:b w:val="0"/>
          <w:iCs/>
        </w:rPr>
      </w:pPr>
      <w:r>
        <w:rPr>
          <w:rStyle w:val="Style13ptBold"/>
        </w:rPr>
        <w:t>Zupancic 03 (</w:t>
      </w:r>
      <w:r w:rsidRPr="00292FED">
        <w:t xml:space="preserve">Alenka, Ph.D., </w:t>
      </w:r>
      <w:r>
        <w:t>a full-time researcher at the In</w:t>
      </w:r>
      <w:r w:rsidRPr="00292FED">
        <w:t>stitute of Philosophy of the Slovenian Academy of Sciences and Arts,</w:t>
      </w:r>
      <w:r>
        <w:rPr>
          <w:rStyle w:val="Style13ptBold"/>
        </w:rPr>
        <w:t xml:space="preserve"> </w:t>
      </w:r>
      <w:r w:rsidRPr="00292FED">
        <w:t xml:space="preserve">“The Shortest Shadow: Nietzsche’s Philosophy of the Two,” </w:t>
      </w:r>
      <w:r>
        <w:t xml:space="preserve">p. </w:t>
      </w:r>
      <w:r w:rsidRPr="00292FED">
        <w:t>57-60</w:t>
      </w:r>
      <w:r>
        <w:t>, CH</w:t>
      </w:r>
      <w:r>
        <w:rPr>
          <w:rStyle w:val="Style13ptBold"/>
        </w:rPr>
        <w:t>)</w:t>
      </w:r>
    </w:p>
    <w:p w:rsidR="007379F1" w:rsidRDefault="00292FED" w:rsidP="00292FED">
      <w:pPr>
        <w:jc w:val="both"/>
        <w:rPr>
          <w:rFonts w:eastAsia="Times New Roman" w:cstheme="minorHAnsi"/>
          <w:u w:val="single"/>
        </w:rPr>
      </w:pPr>
      <w:r w:rsidRPr="00292FED">
        <w:rPr>
          <w:rFonts w:eastAsia="Times New Roman" w:cstheme="minorHAnsi"/>
          <w:sz w:val="14"/>
        </w:rPr>
        <w:t xml:space="preserve">This is perhaps the moment to examine in more detail what Nietzschean “forgetting” is actually about. What is the capacity of forgetting as the basis of “great health”? Nietzsche claims that </w:t>
      </w:r>
      <w:r w:rsidRPr="00D46DCF">
        <w:rPr>
          <w:rFonts w:eastAsia="Times New Roman" w:cstheme="minorHAnsi"/>
          <w:u w:val="single"/>
        </w:rPr>
        <w:t>memory entertains some essential relationship with pain</w:t>
      </w:r>
      <w:r w:rsidRPr="00292FED">
        <w:rPr>
          <w:rFonts w:eastAsia="Times New Roman" w:cstheme="minorHAnsi"/>
          <w:sz w:val="14"/>
        </w:rPr>
        <w:t xml:space="preserve">. This is what he describes as the principle used in human “mnemotechnics”: </w:t>
      </w:r>
      <w:r w:rsidRPr="00D46DCF">
        <w:rPr>
          <w:rFonts w:eastAsia="Times New Roman" w:cstheme="minorHAnsi"/>
          <w:highlight w:val="yellow"/>
          <w:u w:val="single"/>
        </w:rPr>
        <w:t>“If something is to stay in the memory it must be burned in: only that which never ceases to hurt stays in the memory</w:t>
      </w:r>
      <w:r w:rsidRPr="00292FED">
        <w:rPr>
          <w:rFonts w:eastAsia="Times New Roman" w:cstheme="minorHAnsi"/>
          <w:sz w:val="14"/>
        </w:rPr>
        <w:t>”</w:t>
      </w:r>
      <w:r w:rsidRPr="00292FED">
        <w:rPr>
          <w:rFonts w:eastAsia="Times New Roman" w:cstheme="minorHAnsi"/>
          <w:bCs/>
          <w:iCs/>
          <w:sz w:val="14"/>
        </w:rPr>
        <w:t xml:space="preserve">21 </w:t>
      </w:r>
      <w:r w:rsidRPr="00292FED">
        <w:rPr>
          <w:rFonts w:eastAsia="Times New Roman" w:cstheme="minorHAnsi"/>
          <w:sz w:val="14"/>
        </w:rPr>
        <w:t xml:space="preserve">Thus, if memory is essentially related to pain (here it seems that Nietzsche claims the opposite of what psychoanalysis is claiming: that traumatic events are the privileged objects of repression; yet pain is not the same thing as trauma, just as “forgetting” is not the same thing as repressing), then </w:t>
      </w:r>
      <w:r w:rsidRPr="00D46DCF">
        <w:rPr>
          <w:rFonts w:eastAsia="Times New Roman" w:cstheme="minorHAnsi"/>
          <w:highlight w:val="yellow"/>
          <w:u w:val="single"/>
        </w:rPr>
        <w:t>forgetting refers above all to the capacity not to nurture pain</w:t>
      </w:r>
      <w:r w:rsidRPr="00292FED">
        <w:rPr>
          <w:rFonts w:eastAsia="Times New Roman" w:cstheme="minorHAnsi"/>
          <w:sz w:val="14"/>
        </w:rPr>
        <w:t xml:space="preserve">. This also means </w:t>
      </w:r>
      <w:r w:rsidRPr="00D46DCF">
        <w:rPr>
          <w:rFonts w:eastAsia="Times New Roman" w:cstheme="minorHAnsi"/>
          <w:u w:val="single"/>
        </w:rPr>
        <w:t>the capacity not to make pain the determining ground of our actions and choices.</w:t>
      </w:r>
      <w:r w:rsidRPr="00292FED">
        <w:rPr>
          <w:rFonts w:eastAsia="Times New Roman" w:cstheme="minorHAnsi"/>
          <w:sz w:val="14"/>
        </w:rPr>
        <w:t xml:space="preserve"> What exactly is </w:t>
      </w:r>
      <w:r w:rsidRPr="00D46DCF">
        <w:rPr>
          <w:rFonts w:eastAsia="Times New Roman" w:cstheme="minorHAnsi"/>
          <w:u w:val="single"/>
        </w:rPr>
        <w:t xml:space="preserve">pain </w:t>
      </w:r>
      <w:r w:rsidRPr="00292FED">
        <w:rPr>
          <w:rFonts w:eastAsia="Times New Roman" w:cstheme="minorHAnsi"/>
          <w:sz w:val="14"/>
        </w:rPr>
        <w:t xml:space="preserve">(not so much physical pain, but, rather, the “mental pain” that can haunt our lives)? It </w:t>
      </w:r>
      <w:r w:rsidRPr="00D46DCF">
        <w:rPr>
          <w:rFonts w:eastAsia="Times New Roman" w:cstheme="minorHAnsi"/>
          <w:u w:val="single"/>
        </w:rPr>
        <w:t>is a way in which the subject internalizes and appropriates some traumatic experience as her own bitter treasure</w:t>
      </w:r>
      <w:r w:rsidRPr="00292FED">
        <w:rPr>
          <w:rFonts w:eastAsia="Times New Roman" w:cstheme="minorHAnsi"/>
          <w:sz w:val="14"/>
        </w:rPr>
        <w:t xml:space="preserve">, In other words, in relation to the traumatic event, pain is not exactly a part of this event, but already its memory (the “memory of the body”). And Nietzschean oblivion is not so much an effacement of the traumatic encounter as a preservation of its external character, of its foreignness, of its otherness. In </w:t>
      </w:r>
      <w:r w:rsidRPr="00292FED">
        <w:rPr>
          <w:rFonts w:eastAsia="Times New Roman" w:cstheme="minorHAnsi"/>
          <w:iCs/>
          <w:sz w:val="14"/>
        </w:rPr>
        <w:t xml:space="preserve">Unfashionable Observations, </w:t>
      </w:r>
      <w:r w:rsidRPr="00292FED">
        <w:rPr>
          <w:rFonts w:eastAsia="Times New Roman" w:cstheme="minorHAnsi"/>
          <w:sz w:val="14"/>
        </w:rPr>
        <w:t xml:space="preserve">Second Piece (“On the Utility and Liability of History for Life”), Nietzsche links the question of forgetting (which he employs as a synonym for the ahistorical) to the question of the act. </w:t>
      </w:r>
      <w:r w:rsidRPr="00D46DCF">
        <w:rPr>
          <w:rFonts w:eastAsia="Times New Roman" w:cstheme="minorHAnsi"/>
          <w:highlight w:val="yellow"/>
          <w:u w:val="single"/>
        </w:rPr>
        <w:t>Forgetting</w:t>
      </w:r>
      <w:r w:rsidRPr="00292FED">
        <w:rPr>
          <w:rFonts w:eastAsia="Times New Roman" w:cstheme="minorHAnsi"/>
          <w:sz w:val="14"/>
        </w:rPr>
        <w:t xml:space="preserve">, oblivion, </w:t>
      </w:r>
      <w:r w:rsidRPr="00D46DCF">
        <w:rPr>
          <w:rFonts w:eastAsia="Times New Roman" w:cstheme="minorHAnsi"/>
          <w:highlight w:val="yellow"/>
          <w:u w:val="single"/>
        </w:rPr>
        <w:t>is the very condition of possibility for an act in the strong sense of the word.</w:t>
      </w:r>
      <w:r w:rsidRPr="00D46DCF">
        <w:rPr>
          <w:rFonts w:eastAsia="Times New Roman" w:cstheme="minorHAnsi"/>
          <w:u w:val="single"/>
        </w:rPr>
        <w:t xml:space="preserve"> Memory </w:t>
      </w:r>
      <w:r w:rsidRPr="00292FED">
        <w:rPr>
          <w:rFonts w:eastAsia="Times New Roman" w:cstheme="minorHAnsi"/>
          <w:sz w:val="14"/>
        </w:rPr>
        <w:t xml:space="preserve">(the “historical”) </w:t>
      </w:r>
      <w:r w:rsidRPr="00D46DCF">
        <w:rPr>
          <w:rFonts w:eastAsia="Times New Roman" w:cstheme="minorHAnsi"/>
          <w:u w:val="single"/>
        </w:rPr>
        <w:t>is eternal sleeplessness and alert insomnia, a state in which no great thing can happen, and which could even be said to serve this very purpose</w:t>
      </w:r>
      <w:r w:rsidRPr="00292FED">
        <w:rPr>
          <w:rFonts w:eastAsia="Times New Roman" w:cstheme="minorHAnsi"/>
          <w:sz w:val="14"/>
        </w:rPr>
        <w:t>. Considering the common conception according to which memory is something monumental that “fixes” certain events, and closes us within their horizon, Nietzsche proposes a significantly different notion</w:t>
      </w:r>
      <w:r w:rsidRPr="00D46DCF">
        <w:rPr>
          <w:rFonts w:eastAsia="Times New Roman" w:cstheme="minorHAnsi"/>
          <w:u w:val="single"/>
        </w:rPr>
        <w:t xml:space="preserve">. </w:t>
      </w:r>
      <w:r w:rsidRPr="00D46DCF">
        <w:rPr>
          <w:rFonts w:eastAsia="Times New Roman" w:cstheme="minorHAnsi"/>
          <w:highlight w:val="yellow"/>
          <w:u w:val="single"/>
        </w:rPr>
        <w:t>It is precisely as an eternal openness, an unceasing stream, that memory can immobilize us, mortify us, make us incapable of action</w:t>
      </w:r>
      <w:r w:rsidRPr="00292FED">
        <w:rPr>
          <w:rFonts w:eastAsia="Times New Roman" w:cstheme="minorHAnsi"/>
          <w:sz w:val="14"/>
        </w:rPr>
        <w:t xml:space="preserve">. Nietzsche invites us to imagine the extreme example of </w:t>
      </w:r>
      <w:r w:rsidRPr="00D46DCF">
        <w:rPr>
          <w:rFonts w:eastAsia="Times New Roman" w:cstheme="minorHAnsi"/>
          <w:u w:val="single"/>
        </w:rPr>
        <w:t>a human being who does not possess the power to forget</w:t>
      </w:r>
      <w:r w:rsidRPr="00292FED">
        <w:rPr>
          <w:rFonts w:eastAsia="Times New Roman" w:cstheme="minorHAnsi"/>
          <w:sz w:val="14"/>
        </w:rPr>
        <w:t xml:space="preserve">. Such a human being </w:t>
      </w:r>
      <w:r w:rsidRPr="00D46DCF">
        <w:rPr>
          <w:rFonts w:eastAsia="Times New Roman" w:cstheme="minorHAnsi"/>
          <w:u w:val="single"/>
        </w:rPr>
        <w:t xml:space="preserve">would be condemned to see becoming everywhere: he would no longer believe in his own being, would see everything flow apart in turbulent particles, and would lose himself in this stream of becoming. </w:t>
      </w:r>
      <w:r w:rsidRPr="00292FED">
        <w:rPr>
          <w:rFonts w:eastAsia="Times New Roman" w:cstheme="minorHAnsi"/>
          <w:sz w:val="14"/>
        </w:rPr>
        <w:t xml:space="preserve">He would be like the true student of Heraclitus. A human being who wanted to experience things in a thoroughly historical manner would be like someone forced to go without sleep.28 </w:t>
      </w:r>
      <w:r w:rsidRPr="00D46DCF">
        <w:rPr>
          <w:rFonts w:eastAsia="Times New Roman" w:cstheme="minorHAnsi"/>
          <w:u w:val="single"/>
        </w:rPr>
        <w:t>Memory</w:t>
      </w:r>
      <w:r w:rsidRPr="00292FED">
        <w:rPr>
          <w:rFonts w:eastAsia="Times New Roman" w:cstheme="minorHAnsi"/>
          <w:sz w:val="14"/>
        </w:rPr>
        <w:t xml:space="preserve"> holds us in eternal motion—it keeps opening numerous horizons, and this is precisely how it </w:t>
      </w:r>
      <w:r w:rsidRPr="00D46DCF">
        <w:rPr>
          <w:rFonts w:eastAsia="Times New Roman" w:cstheme="minorHAnsi"/>
          <w:u w:val="single"/>
        </w:rPr>
        <w:t>immobilizes us, forcing us into frenetic activity</w:t>
      </w:r>
      <w:r w:rsidRPr="00292FED">
        <w:rPr>
          <w:rFonts w:eastAsia="Times New Roman" w:cstheme="minorHAnsi"/>
          <w:sz w:val="14"/>
        </w:rPr>
        <w:t xml:space="preserve">. Hence, Nietzsche advances a thesis that is as out of tune with our time as it was with his own: “every living thing can become healthy, strong and fruitful only within a defined horizon; if it is incapable of drawing a horizon around itself and too selfish, in turn, to enclose its own perspective within an alien horizon, then it will feebly waste away or hasten to its timely end.”29 Of course, Nietzsche’s aim here is not to preach narrow-mindedness and pettiness, nor is it simply to affirm the ahistorical against history and memory. On the contrary, he clearly states that it is only by thinking, reflecting, comparing, analyzing, and synthesizing (i.e. only by means of the power to utilize the past for life, and to reshape past events into history) that the human being becomes properly human. Yet, in the excess of history, the human being ceases to be human once again, no longer able to create or invent. This is why Nietzsche insists that “every great historical event” is born in the “ahistorical atmosphere,” that is to say, in conditions of oblivion and closure: Imagine a man seized and carried away by a vehement passion for a woman or for a great idea; how his world changes’ Looking backward he feels he is blind, listening around he hears what is unfamiliar as a dull, insignificant sound; and those things that he perceives at all he never before perceived in this way; so palpable and near, colorful, resonant, illuminated, as though he were apprehending </w:t>
      </w:r>
      <w:r w:rsidRPr="00292FED">
        <w:rPr>
          <w:rFonts w:eastAsia="Times New Roman" w:cstheme="minorHAnsi"/>
          <w:bCs/>
          <w:sz w:val="14"/>
        </w:rPr>
        <w:t xml:space="preserve">it </w:t>
      </w:r>
      <w:r w:rsidRPr="00292FED">
        <w:rPr>
          <w:rFonts w:eastAsia="Times New Roman" w:cstheme="minorHAnsi"/>
          <w:sz w:val="14"/>
        </w:rPr>
        <w:t xml:space="preserve">with all his senses at once. All his valuations are changed and devalued;. . . It is the most unjust condition in the world, narrow, ungrateful to the past, blind to dangers, deaf to warnings; a tiny whirlpool of life in a dead sea of night and oblivion; and yet this condition—ahistorical, antihistorical through and through— is not only womb of the unjust deed, but of every just deed as well; and no aftist will create a picture, no general win a victory, and no people gain its freedom without their having previously desired and striven to accomplish these deeds in just such an ahistorical condition. . Thus, everyone who acts loves his action infinitely more than </w:t>
      </w:r>
      <w:r w:rsidRPr="00292FED">
        <w:rPr>
          <w:rFonts w:eastAsia="Times New Roman" w:cstheme="minorHAnsi"/>
          <w:bCs/>
          <w:sz w:val="14"/>
        </w:rPr>
        <w:t xml:space="preserve">it </w:t>
      </w:r>
      <w:r w:rsidRPr="00292FED">
        <w:rPr>
          <w:rFonts w:eastAsia="Times New Roman" w:cstheme="minorHAnsi"/>
          <w:sz w:val="14"/>
        </w:rPr>
        <w:t xml:space="preserve">deserves to be loved, and the best deeds occur in such an exuberance of love that, no matter what, they must be unworthy of this love, even if their worth were otherwise incalculably great.3° If we read this passage carefully, we note that the point is not simply that the capacity to forget, or the “ahistorical condition,” is the condition of “great deeds” or “events.” On the contrary: </w:t>
      </w:r>
      <w:r w:rsidRPr="00292FED">
        <w:rPr>
          <w:rFonts w:eastAsia="Times New Roman" w:cstheme="minorHAnsi"/>
          <w:bCs/>
          <w:sz w:val="14"/>
        </w:rPr>
        <w:t xml:space="preserve">it </w:t>
      </w:r>
      <w:r w:rsidRPr="00292FED">
        <w:rPr>
          <w:rFonts w:eastAsia="Times New Roman" w:cstheme="minorHAnsi"/>
          <w:sz w:val="14"/>
        </w:rPr>
        <w:t xml:space="preserve">is the pure surplus of passion or love (for something) that brings about this closure of memory, this “ahistorical condition.” In other words, </w:t>
      </w:r>
      <w:r w:rsidRPr="00292FED">
        <w:rPr>
          <w:rFonts w:eastAsia="Times New Roman" w:cstheme="minorHAnsi"/>
          <w:bCs/>
          <w:sz w:val="14"/>
        </w:rPr>
        <w:t xml:space="preserve">it </w:t>
      </w:r>
      <w:r w:rsidRPr="00292FED">
        <w:rPr>
          <w:rFonts w:eastAsia="Times New Roman" w:cstheme="minorHAnsi"/>
          <w:sz w:val="14"/>
        </w:rPr>
        <w:t xml:space="preserve">is not that we have first to close ourselves within a defined horizon in order then to be able to accomplish something. The closure takes place with the very (“passionate”) opening toward something (“a woman or a great idea”). Nietzsche’s point is that </w:t>
      </w:r>
      <w:r w:rsidRPr="00D46DCF">
        <w:rPr>
          <w:rFonts w:eastAsia="Times New Roman" w:cstheme="minorHAnsi"/>
          <w:highlight w:val="yellow"/>
          <w:u w:val="single"/>
        </w:rPr>
        <w:t>if this surplus passion engages us “in the midst of life,” instead of mortifying us, it does so via its inducement of forgetting</w:t>
      </w:r>
      <w:r w:rsidRPr="00292FED">
        <w:rPr>
          <w:rFonts w:eastAsia="Times New Roman" w:cstheme="minorHAnsi"/>
          <w:sz w:val="14"/>
          <w:highlight w:val="yellow"/>
        </w:rPr>
        <w:t>.</w:t>
      </w:r>
      <w:r w:rsidRPr="00292FED">
        <w:rPr>
          <w:rFonts w:eastAsia="Times New Roman" w:cstheme="minorHAnsi"/>
          <w:sz w:val="14"/>
        </w:rPr>
        <w:t xml:space="preserve"> Indeed, I could mention a quite common experience here: </w:t>
      </w:r>
      <w:r w:rsidRPr="00D46DCF">
        <w:rPr>
          <w:rFonts w:eastAsia="Times New Roman" w:cstheme="minorHAnsi"/>
          <w:u w:val="single"/>
        </w:rPr>
        <w:t xml:space="preserve">whenever something important happens to us and incites our passion, we tend to forget and dismiss the grudges and resentments we might have been nurturing before. Instead of “forgiving” </w:t>
      </w:r>
      <w:r w:rsidRPr="00292FED">
        <w:rPr>
          <w:rFonts w:eastAsia="Times New Roman" w:cstheme="minorHAnsi"/>
          <w:sz w:val="14"/>
        </w:rPr>
        <w:t xml:space="preserve">those who might have injured us in the past, </w:t>
      </w:r>
      <w:r w:rsidRPr="00D46DCF">
        <w:rPr>
          <w:rFonts w:eastAsia="Times New Roman" w:cstheme="minorHAnsi"/>
          <w:u w:val="single"/>
        </w:rPr>
        <w:t xml:space="preserve">we forget </w:t>
      </w:r>
      <w:r w:rsidRPr="00292FED">
        <w:rPr>
          <w:rFonts w:eastAsia="Times New Roman" w:cstheme="minorHAnsi"/>
          <w:sz w:val="14"/>
        </w:rPr>
        <w:t xml:space="preserve">and dismiss these injuries. If we do not, </w:t>
      </w:r>
      <w:r w:rsidRPr="00D46DCF">
        <w:rPr>
          <w:rFonts w:eastAsia="Times New Roman" w:cstheme="minorHAnsi"/>
          <w:u w:val="single"/>
        </w:rPr>
        <w:t xml:space="preserve">if we “work on our memory” and strive to keep these grudges alive, they will most probably affect and mortify our (new) passion. </w:t>
      </w:r>
      <w:r w:rsidRPr="00292FED">
        <w:rPr>
          <w:rFonts w:eastAsia="Times New Roman" w:cstheme="minorHAnsi"/>
          <w:sz w:val="14"/>
        </w:rPr>
        <w:t xml:space="preserve">It could also be interesting to relate Nietzsche’s reflections from the quoted passage to the story of Hamlet, in which the imperative to remember, uttered by Hamlet’s father’s Ghost, plays a very prominent role. Remember me! Remember me!, the Ghost repeats to Hamlet, thus engaging him in the singular rhythm that characterizes the hero of this play—that of the alternation between resigned apathy and frenetic activity or precipitate actions (his killing of Polonius, as well as that of Rosencrantz and Guildenstern; his engagement in the duel with Laertes . . .). This movement prevents Hamlet from carrying out the very deed his father’s Ghost charges him with. Many things have been said and written about the relationship between action and knowledge in this play, and about how knowledge prevents Hamlet from acting. Although the two notions are not unrelated, it might be interesting to consider this also in terms of memory (not only in terms of knowledge). It could be worthwhile to contemplate the role played by the imperative of memory. Could we not say that one of the fundamental reasons for the difficulty of Hamlet’s position is precisely the structural incompatibility of memory and action— that is to say, the fact that action ultimately always “betrays” memory? And do we not encounter something similar in the wider phenomenon of melancholy (in the play, Hamlet is actually said to be “melancholic”) as a never-ending grief that keeps alive, through pain, the memory of what was lost? Additionally, although we can recognize in this kind of melancholy a form of fidelity (for instance—to use Nietzsche’s words—fidelity to “a woman or a great idea”), </w:t>
      </w:r>
      <w:r w:rsidRPr="00D46DCF">
        <w:rPr>
          <w:rFonts w:eastAsia="Times New Roman" w:cstheme="minorHAnsi"/>
          <w:u w:val="single"/>
        </w:rPr>
        <w:t xml:space="preserve">this </w:t>
      </w:r>
      <w:r w:rsidRPr="00292FED">
        <w:rPr>
          <w:rFonts w:eastAsia="Times New Roman" w:cstheme="minorHAnsi"/>
          <w:sz w:val="14"/>
        </w:rPr>
        <w:t xml:space="preserve">kind of </w:t>
      </w:r>
      <w:r w:rsidRPr="00D46DCF">
        <w:rPr>
          <w:rFonts w:eastAsia="Times New Roman" w:cstheme="minorHAnsi"/>
          <w:u w:val="single"/>
        </w:rPr>
        <w:t>fidelity</w:t>
      </w:r>
      <w:r w:rsidRPr="00292FED">
        <w:rPr>
          <w:rFonts w:eastAsia="Times New Roman" w:cstheme="minorHAnsi"/>
          <w:sz w:val="14"/>
        </w:rPr>
        <w:t xml:space="preserve">, </w:t>
      </w:r>
      <w:r w:rsidRPr="00D46DCF">
        <w:rPr>
          <w:rFonts w:eastAsia="Times New Roman" w:cstheme="minorHAnsi"/>
          <w:u w:val="single"/>
        </w:rPr>
        <w:t xml:space="preserve">bound to memory, should be distinguished from fidelity to the very event of the encounter with this </w:t>
      </w:r>
      <w:r w:rsidRPr="00292FED">
        <w:rPr>
          <w:rFonts w:eastAsia="Times New Roman" w:cstheme="minorHAnsi"/>
          <w:sz w:val="14"/>
        </w:rPr>
        <w:t xml:space="preserve">woman or </w:t>
      </w:r>
      <w:r w:rsidRPr="00D46DCF">
        <w:rPr>
          <w:rFonts w:eastAsia="Times New Roman" w:cstheme="minorHAnsi"/>
          <w:u w:val="single"/>
        </w:rPr>
        <w:t>idea</w:t>
      </w:r>
      <w:r w:rsidRPr="00292FED">
        <w:rPr>
          <w:rFonts w:eastAsia="Times New Roman" w:cstheme="minorHAnsi"/>
          <w:sz w:val="14"/>
        </w:rPr>
        <w:t xml:space="preserve">. Contrary to the first form, </w:t>
      </w:r>
      <w:r w:rsidRPr="00D46DCF">
        <w:rPr>
          <w:rFonts w:eastAsia="Times New Roman" w:cstheme="minorHAnsi"/>
          <w:u w:val="single"/>
        </w:rPr>
        <w:t>this second form of fidelity implies and presupposes the power to forget</w:t>
      </w:r>
      <w:r w:rsidRPr="00292FED">
        <w:rPr>
          <w:rFonts w:eastAsia="Times New Roman" w:cstheme="minorHAnsi"/>
          <w:sz w:val="14"/>
        </w:rPr>
        <w:t xml:space="preserve">. Of course, </w:t>
      </w:r>
      <w:r w:rsidRPr="00D46DCF">
        <w:rPr>
          <w:rFonts w:eastAsia="Times New Roman" w:cstheme="minorHAnsi"/>
          <w:highlight w:val="yellow"/>
          <w:u w:val="single"/>
        </w:rPr>
        <w:t>this does not mean to forget in the banal sense of no longer remembering</w:t>
      </w:r>
      <w:r w:rsidRPr="00292FED">
        <w:rPr>
          <w:rFonts w:eastAsia="Times New Roman" w:cstheme="minorHAnsi"/>
          <w:sz w:val="14"/>
        </w:rPr>
        <w:t xml:space="preserve"> the person or the idea in question, </w:t>
      </w:r>
      <w:r w:rsidRPr="00D46DCF">
        <w:rPr>
          <w:rFonts w:eastAsia="Times New Roman" w:cstheme="minorHAnsi"/>
          <w:highlight w:val="yellow"/>
          <w:u w:val="single"/>
        </w:rPr>
        <w:t>but in the sense that forgetting liberates the potential of the encounter itself, and opens up</w:t>
      </w:r>
      <w:r w:rsidRPr="00292FED">
        <w:rPr>
          <w:rFonts w:eastAsia="Times New Roman" w:cstheme="minorHAnsi"/>
          <w:sz w:val="14"/>
        </w:rPr>
        <w:t>—precisely through its “closure”—</w:t>
      </w:r>
      <w:r w:rsidRPr="00D46DCF">
        <w:rPr>
          <w:rFonts w:eastAsia="Times New Roman" w:cstheme="minorHAnsi"/>
          <w:highlight w:val="yellow"/>
          <w:u w:val="single"/>
        </w:rPr>
        <w:t>the possibility of a new one.</w:t>
      </w:r>
      <w:r w:rsidRPr="00D46DCF">
        <w:rPr>
          <w:rFonts w:eastAsia="Times New Roman" w:cstheme="minorHAnsi"/>
          <w:u w:val="single"/>
        </w:rPr>
        <w:t xml:space="preserve"> </w:t>
      </w:r>
    </w:p>
    <w:p w:rsidR="007379F1" w:rsidRDefault="007379F1" w:rsidP="00292FED">
      <w:pPr>
        <w:jc w:val="both"/>
        <w:rPr>
          <w:rFonts w:eastAsia="Times New Roman" w:cstheme="minorHAnsi"/>
          <w:u w:val="single"/>
        </w:rPr>
      </w:pPr>
    </w:p>
    <w:p w:rsidR="007379F1" w:rsidRDefault="007379F1" w:rsidP="007379F1">
      <w:pPr>
        <w:pStyle w:val="Heading1"/>
      </w:pPr>
      <w:r>
        <w:t>T Shell</w:t>
      </w:r>
    </w:p>
    <w:p w:rsidR="007379F1" w:rsidRDefault="007379F1" w:rsidP="007379F1">
      <w:pPr>
        <w:pStyle w:val="Heading4"/>
      </w:pPr>
      <w:r>
        <w:t>A. Interpretation---</w:t>
      </w:r>
    </w:p>
    <w:p w:rsidR="007379F1" w:rsidRPr="00A304AE" w:rsidRDefault="007379F1" w:rsidP="007379F1">
      <w:pPr>
        <w:pStyle w:val="Heading4"/>
      </w:pPr>
      <w:r w:rsidRPr="00A304AE">
        <w:t>USFG is the government established in the constitution</w:t>
      </w:r>
    </w:p>
    <w:p w:rsidR="007379F1" w:rsidRPr="00A304AE" w:rsidRDefault="007379F1" w:rsidP="007379F1">
      <w:r w:rsidRPr="00A304AE">
        <w:rPr>
          <w:rStyle w:val="Style13ptBold"/>
        </w:rPr>
        <w:t>US Legal 13</w:t>
      </w:r>
      <w:r w:rsidRPr="00A304AE">
        <w:t xml:space="preserve">  "Legal Terms, Definitions, and Dictionary"  http://definitions.uslegal.com/u/united-states-federal-government/ </w:t>
      </w:r>
    </w:p>
    <w:p w:rsidR="007379F1" w:rsidRPr="00A304AE" w:rsidRDefault="007379F1" w:rsidP="007379F1">
      <w:pPr>
        <w:pStyle w:val="CardIndented"/>
      </w:pPr>
      <w:r w:rsidRPr="00A304AE">
        <w:rPr>
          <w:rStyle w:val="Style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A304AE">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7379F1" w:rsidRPr="00FF3C9A" w:rsidRDefault="007379F1" w:rsidP="007379F1">
      <w:pPr>
        <w:pStyle w:val="Heading4"/>
      </w:pPr>
      <w:r w:rsidRPr="00FF3C9A">
        <w:t>Exploration is system</w:t>
      </w:r>
      <w:r>
        <w:t>a</w:t>
      </w:r>
      <w:r w:rsidRPr="00FF3C9A">
        <w:t>tic discovery of all aspects of the ocean</w:t>
      </w:r>
    </w:p>
    <w:p w:rsidR="007379F1" w:rsidRDefault="007379F1" w:rsidP="007379F1">
      <w:r w:rsidRPr="007517B6">
        <w:rPr>
          <w:rStyle w:val="Style13ptBold"/>
        </w:rPr>
        <w:t>National Academies 9</w:t>
      </w:r>
      <w:r>
        <w:t xml:space="preserve">     National Academies – National Academy of Sciences, National Academy of Engineering,Institute of Medicine, and National Research Council    2009      Ocean Exploration Highlights of National Academies Reports    </w:t>
      </w:r>
      <w:r w:rsidRPr="00AB4C4D">
        <w:t>http://dels.nas.edu/resources/static-assets/osb/miscellaneous/exploration_final.pdf</w:t>
      </w:r>
    </w:p>
    <w:p w:rsidR="007379F1" w:rsidRDefault="007379F1" w:rsidP="007379F1">
      <w:pPr>
        <w:pStyle w:val="CardIndented"/>
      </w:pPr>
      <w:r>
        <w:t>What Is Ocean Exploration?</w:t>
      </w:r>
    </w:p>
    <w:p w:rsidR="007379F1" w:rsidRDefault="007379F1" w:rsidP="007379F1">
      <w:pPr>
        <w:pStyle w:val="CardIndented"/>
        <w:rPr>
          <w:rStyle w:val="StyleUnderline"/>
        </w:rPr>
      </w:pPr>
      <w:r w:rsidRPr="00371C44">
        <w:rPr>
          <w:rStyle w:val="StyleUnderline"/>
        </w:rPr>
        <w:t>As defined by the President’s Panel on Ocean Exploration</w:t>
      </w:r>
      <w:r>
        <w:t xml:space="preserve"> (National Oceanic and Atmospheric Administration, 2000), </w:t>
      </w:r>
      <w:r w:rsidRPr="00371C44">
        <w:rPr>
          <w:rStyle w:val="StyleUnderline"/>
        </w:rPr>
        <w:t>ocean exploration is discovery through disciplined, diverse observations and recordings of findings. It includes rigorous, systematic observations and documentation of biological, chemical, physical, geological, and</w:t>
      </w:r>
      <w:r>
        <w:rPr>
          <w:rStyle w:val="StyleUnderline"/>
        </w:rPr>
        <w:t xml:space="preserve"> </w:t>
      </w:r>
      <w:r w:rsidRPr="00371C44">
        <w:rPr>
          <w:rStyle w:val="StyleUnderline"/>
        </w:rPr>
        <w:t>archeological aspects of the ocean in the three dimensions of space and in time.</w:t>
      </w:r>
    </w:p>
    <w:p w:rsidR="007379F1" w:rsidRDefault="007379F1" w:rsidP="007379F1">
      <w:pPr>
        <w:pStyle w:val="Heading4"/>
      </w:pPr>
      <w:r>
        <w:t xml:space="preserve">B. Violation—The affirmative does not utilize the United States federal government and it only explores the single area of the ocean that the Zong ship was wrecked in, if it functionally explores the Ocean at all. </w:t>
      </w:r>
    </w:p>
    <w:p w:rsidR="007379F1" w:rsidRDefault="007379F1" w:rsidP="007379F1"/>
    <w:p w:rsidR="007379F1" w:rsidRDefault="007379F1" w:rsidP="007379F1">
      <w:pPr>
        <w:pStyle w:val="Heading4"/>
      </w:pPr>
      <w:r>
        <w:t>C. The affirmative interpretation is bad for debate. Limits are necessary for negative preparation and clash. There are nearly an infinite number of specific locations at which shipwrecks could be explored</w:t>
      </w:r>
    </w:p>
    <w:p w:rsidR="007379F1" w:rsidRDefault="007379F1" w:rsidP="007379F1">
      <w:r w:rsidRPr="0028657D">
        <w:rPr>
          <w:rStyle w:val="Style13ptBold"/>
        </w:rPr>
        <w:t>Swaminathan  3</w:t>
      </w:r>
      <w:r>
        <w:t xml:space="preserve">        </w:t>
      </w:r>
      <w:r w:rsidRPr="002827EC">
        <w:t>Dr K V Swaminathan, Waterfalls Institute of Technology Transfer (WITT)</w:t>
      </w:r>
      <w:r>
        <w:t xml:space="preserve">   February 2003  Ocean Vistas    </w:t>
      </w:r>
      <w:hyperlink r:id="rId11" w:history="1">
        <w:r w:rsidRPr="00223ED6">
          <w:rPr>
            <w:rStyle w:val="Hyperlink"/>
          </w:rPr>
          <w:t>http://www.witts.org/Ocean_wealth/oceanwealth_01_feb03/wista_oceanwealth_feture.htm</w:t>
        </w:r>
      </w:hyperlink>
    </w:p>
    <w:p w:rsidR="007379F1" w:rsidRDefault="007379F1" w:rsidP="007379F1">
      <w:pPr>
        <w:pStyle w:val="CardIndented"/>
      </w:pPr>
      <w:r w:rsidRPr="004B0D6E">
        <w:rPr>
          <w:rStyle w:val="Style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r w:rsidRPr="004B0D6E">
        <w:rPr>
          <w:rStyle w:val="StyleUnderline"/>
        </w:rPr>
        <w:t xml:space="preserve">Nations and people who are conscious of the </w:t>
      </w:r>
      <w:r w:rsidRPr="004C66B8">
        <w:rPr>
          <w:rStyle w:val="Emphasis"/>
        </w:rPr>
        <w:t>almost limitless</w:t>
      </w:r>
      <w:r w:rsidRPr="004B0D6E">
        <w:rPr>
          <w:rStyle w:val="StyleUnderline"/>
        </w:rPr>
        <w:t xml:space="preserve"> potential of the oceans. </w:t>
      </w:r>
      <w:r>
        <w:t xml:space="preserve">Those who </w:t>
      </w:r>
      <w:r w:rsidRPr="004C66B8">
        <w:rPr>
          <w:rStyle w:val="StyleUnderline"/>
        </w:rPr>
        <w:t>have sought to</w:t>
      </w:r>
      <w:r>
        <w:t xml:space="preserve"> comprehend its deep mysteries, processes and rhythms and have made efforts to </w:t>
      </w:r>
      <w:r w:rsidRPr="004C66B8">
        <w:rPr>
          <w:rStyle w:val="StyleUnderline"/>
        </w:rPr>
        <w:t>explore and utilize its resources</w:t>
      </w:r>
      <w:r>
        <w:t>, stand in the van of progress, while those who have been indifferent to the critical role that oceans play in human life and its development, have remained mired in stagnation and backwardness.</w:t>
      </w:r>
    </w:p>
    <w:p w:rsidR="007379F1" w:rsidRDefault="007379F1" w:rsidP="007379F1">
      <w:pPr>
        <w:pStyle w:val="Heading4"/>
      </w:pPr>
      <w:r>
        <w:t>D. T is a voter because it’s necessary for good, well-prepared debating.</w:t>
      </w:r>
    </w:p>
    <w:p w:rsidR="007379F1" w:rsidRDefault="007379F1" w:rsidP="007379F1"/>
    <w:p w:rsidR="007379F1" w:rsidRDefault="007379F1" w:rsidP="007379F1">
      <w:pPr>
        <w:pStyle w:val="Heading2"/>
      </w:pPr>
      <w:r>
        <w:t>Topicality</w:t>
      </w:r>
    </w:p>
    <w:p w:rsidR="007379F1" w:rsidRDefault="007379F1" w:rsidP="007379F1">
      <w:pPr>
        <w:pStyle w:val="Heading4"/>
      </w:pPr>
      <w:r>
        <w:t>A. Interpretation---</w:t>
      </w:r>
    </w:p>
    <w:p w:rsidR="007379F1" w:rsidRPr="00A304AE" w:rsidRDefault="007379F1" w:rsidP="007379F1">
      <w:pPr>
        <w:pStyle w:val="Heading4"/>
      </w:pPr>
      <w:r w:rsidRPr="00A304AE">
        <w:t>USFG is the government established in the constitution</w:t>
      </w:r>
    </w:p>
    <w:p w:rsidR="007379F1" w:rsidRPr="00A304AE" w:rsidRDefault="007379F1" w:rsidP="007379F1">
      <w:r w:rsidRPr="00A304AE">
        <w:rPr>
          <w:rStyle w:val="Style13ptBold"/>
        </w:rPr>
        <w:t>US Legal 13</w:t>
      </w:r>
      <w:r w:rsidRPr="00A304AE">
        <w:t xml:space="preserve">  "Legal Terms, Definitions, and Dictionary"  http://definitions.uslegal.com/u/united-states-federal-government/ </w:t>
      </w:r>
    </w:p>
    <w:p w:rsidR="007379F1" w:rsidRPr="00A304AE" w:rsidRDefault="007379F1" w:rsidP="007379F1">
      <w:pPr>
        <w:pStyle w:val="CardIndented"/>
      </w:pPr>
      <w:r w:rsidRPr="00A304AE">
        <w:rPr>
          <w:rStyle w:val="Style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A304AE">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7379F1" w:rsidRPr="00FF3C9A" w:rsidRDefault="007379F1" w:rsidP="007379F1">
      <w:pPr>
        <w:pStyle w:val="Heading4"/>
      </w:pPr>
      <w:r w:rsidRPr="00FF3C9A">
        <w:t>Exploration is system</w:t>
      </w:r>
      <w:r>
        <w:t>a</w:t>
      </w:r>
      <w:r w:rsidRPr="00FF3C9A">
        <w:t>tic discovery of all aspects of the ocean</w:t>
      </w:r>
    </w:p>
    <w:p w:rsidR="007379F1" w:rsidRDefault="007379F1" w:rsidP="007379F1">
      <w:r w:rsidRPr="007517B6">
        <w:rPr>
          <w:rStyle w:val="Style13ptBold"/>
        </w:rPr>
        <w:t>National Academies 9</w:t>
      </w:r>
      <w:r>
        <w:t xml:space="preserve">     National Academies – National Academy of Sciences, National Academy of Engineering,Institute of Medicine, and National Research Council    2009      Ocean Exploration Highlights of National Academies Reports    </w:t>
      </w:r>
      <w:r w:rsidRPr="00AB4C4D">
        <w:t>http://dels.nas.edu/resources/static-assets/osb/miscellaneous/exploration_final.pdf</w:t>
      </w:r>
    </w:p>
    <w:p w:rsidR="007379F1" w:rsidRDefault="007379F1" w:rsidP="007379F1">
      <w:pPr>
        <w:pStyle w:val="CardIndented"/>
      </w:pPr>
      <w:r>
        <w:t>What Is Ocean Exploration?</w:t>
      </w:r>
    </w:p>
    <w:p w:rsidR="007379F1" w:rsidRDefault="007379F1" w:rsidP="007379F1">
      <w:pPr>
        <w:pStyle w:val="CardIndented"/>
        <w:rPr>
          <w:rStyle w:val="StyleUnderline"/>
        </w:rPr>
      </w:pPr>
      <w:r w:rsidRPr="00371C44">
        <w:rPr>
          <w:rStyle w:val="StyleUnderline"/>
        </w:rPr>
        <w:t>As defined by the President’s Panel on Ocean Exploration</w:t>
      </w:r>
      <w:r>
        <w:t xml:space="preserve"> (National Oceanic and Atmospheric Administration, 2000), </w:t>
      </w:r>
      <w:r w:rsidRPr="00371C44">
        <w:rPr>
          <w:rStyle w:val="StyleUnderline"/>
        </w:rPr>
        <w:t>ocean exploration is discovery through disciplined, diverse observations and recordings of findings. It includes rigorous, systematic observations and documentation of biological, chemical, physical, geological, and</w:t>
      </w:r>
      <w:r>
        <w:rPr>
          <w:rStyle w:val="StyleUnderline"/>
        </w:rPr>
        <w:t xml:space="preserve"> </w:t>
      </w:r>
      <w:r w:rsidRPr="00371C44">
        <w:rPr>
          <w:rStyle w:val="StyleUnderline"/>
        </w:rPr>
        <w:t>archeological aspects of the ocean in the three dimensions of space and in time.</w:t>
      </w:r>
    </w:p>
    <w:p w:rsidR="007379F1" w:rsidRDefault="007379F1" w:rsidP="007379F1">
      <w:pPr>
        <w:pStyle w:val="Heading4"/>
      </w:pPr>
      <w:r>
        <w:t xml:space="preserve">B. Violation—The affirmative does not utilize the United States federal government and it only explores the single area of the ocean that the Zong ship was wrecked in, if it functionally explores the Ocean at all. </w:t>
      </w:r>
    </w:p>
    <w:p w:rsidR="007379F1" w:rsidRDefault="007379F1" w:rsidP="007379F1"/>
    <w:p w:rsidR="007379F1" w:rsidRDefault="007379F1" w:rsidP="007379F1">
      <w:pPr>
        <w:pStyle w:val="Heading4"/>
      </w:pPr>
      <w:r>
        <w:t>C. The affirmative interpretation is bad for debate. Limits are necessary for negative preparation and clash. There are nearly an infinite number of specific locations at which shipwrecks could be explored</w:t>
      </w:r>
    </w:p>
    <w:p w:rsidR="007379F1" w:rsidRDefault="007379F1" w:rsidP="007379F1">
      <w:r w:rsidRPr="0028657D">
        <w:rPr>
          <w:rStyle w:val="Style13ptBold"/>
        </w:rPr>
        <w:t>Swaminathan  3</w:t>
      </w:r>
      <w:r>
        <w:t xml:space="preserve">        </w:t>
      </w:r>
      <w:r w:rsidRPr="002827EC">
        <w:t>Dr K V Swaminathan, Waterfalls Institute of Technology Transfer (WITT)</w:t>
      </w:r>
      <w:r>
        <w:t xml:space="preserve">   February 2003  Ocean Vistas    </w:t>
      </w:r>
      <w:hyperlink r:id="rId12" w:history="1">
        <w:r w:rsidRPr="00223ED6">
          <w:rPr>
            <w:rStyle w:val="Hyperlink"/>
          </w:rPr>
          <w:t>http://www.witts.org/Ocean_wealth/oceanwealth_01_feb03/wista_oceanwealth_feture.htm</w:t>
        </w:r>
      </w:hyperlink>
    </w:p>
    <w:p w:rsidR="007379F1" w:rsidRDefault="007379F1" w:rsidP="007379F1">
      <w:pPr>
        <w:pStyle w:val="CardIndented"/>
      </w:pPr>
      <w:r w:rsidRPr="004B0D6E">
        <w:rPr>
          <w:rStyle w:val="Style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r w:rsidRPr="004B0D6E">
        <w:rPr>
          <w:rStyle w:val="StyleUnderline"/>
        </w:rPr>
        <w:t xml:space="preserve">Nations and people who are conscious of the </w:t>
      </w:r>
      <w:r w:rsidRPr="004C66B8">
        <w:rPr>
          <w:rStyle w:val="Emphasis"/>
        </w:rPr>
        <w:t>almost limitless</w:t>
      </w:r>
      <w:r w:rsidRPr="004B0D6E">
        <w:rPr>
          <w:rStyle w:val="StyleUnderline"/>
        </w:rPr>
        <w:t xml:space="preserve"> potential of the oceans. </w:t>
      </w:r>
      <w:r>
        <w:t xml:space="preserve">Those who </w:t>
      </w:r>
      <w:r w:rsidRPr="004C66B8">
        <w:rPr>
          <w:rStyle w:val="StyleUnderline"/>
        </w:rPr>
        <w:t>have sought to</w:t>
      </w:r>
      <w:r>
        <w:t xml:space="preserve"> comprehend its deep mysteries, processes and rhythms and have made efforts to </w:t>
      </w:r>
      <w:r w:rsidRPr="004C66B8">
        <w:rPr>
          <w:rStyle w:val="StyleUnderline"/>
        </w:rPr>
        <w:t>explore and utilize its resources</w:t>
      </w:r>
      <w:r>
        <w:t>, stand in the van of progress, while those who have been indifferent to the critical role that oceans play in human life and its development, have remained mired in stagnation and backwardness.</w:t>
      </w:r>
    </w:p>
    <w:p w:rsidR="007379F1" w:rsidRPr="0085295E" w:rsidRDefault="007379F1" w:rsidP="007379F1">
      <w:pPr>
        <w:pStyle w:val="Heading4"/>
      </w:pPr>
      <w:r>
        <w:t>D. T is a voter because it’s necessary for good, well-prepared debating.</w:t>
      </w:r>
    </w:p>
    <w:p w:rsidR="007379F1" w:rsidRPr="007A01AF" w:rsidRDefault="007379F1" w:rsidP="007379F1"/>
    <w:p w:rsidR="007379F1" w:rsidRDefault="007379F1" w:rsidP="007379F1">
      <w:pPr>
        <w:pStyle w:val="Heading1"/>
      </w:pPr>
      <w:r>
        <w:t>Block Stuff</w:t>
      </w:r>
    </w:p>
    <w:p w:rsidR="007379F1" w:rsidRDefault="007379F1" w:rsidP="007379F1"/>
    <w:p w:rsidR="007379F1" w:rsidRPr="005B317D" w:rsidRDefault="007379F1" w:rsidP="007379F1">
      <w:pPr>
        <w:pStyle w:val="Heading2"/>
      </w:pPr>
      <w:r>
        <w:t xml:space="preserve">Topical Version of aff </w:t>
      </w:r>
    </w:p>
    <w:p w:rsidR="007379F1" w:rsidRPr="005B317D" w:rsidRDefault="007379F1" w:rsidP="007379F1">
      <w:pPr>
        <w:pStyle w:val="Heading3"/>
      </w:pPr>
      <w:r>
        <w:t xml:space="preserve">NOAA funds </w:t>
      </w:r>
      <w:r w:rsidRPr="005B317D">
        <w:t xml:space="preserve">scholars </w:t>
      </w:r>
    </w:p>
    <w:p w:rsidR="007379F1" w:rsidRPr="005B317D" w:rsidRDefault="007379F1" w:rsidP="007379F1"/>
    <w:p w:rsidR="007379F1" w:rsidRPr="005B317D" w:rsidRDefault="007379F1" w:rsidP="007379F1">
      <w:pPr>
        <w:keepNext/>
        <w:keepLines/>
        <w:spacing w:before="40" w:after="0"/>
        <w:outlineLvl w:val="3"/>
        <w:rPr>
          <w:rFonts w:eastAsiaTheme="majorEastAsia" w:cstheme="majorBidi"/>
          <w:b/>
          <w:iCs/>
          <w:sz w:val="26"/>
        </w:rPr>
      </w:pPr>
      <w:r w:rsidRPr="005B317D">
        <w:rPr>
          <w:rFonts w:eastAsiaTheme="majorEastAsia" w:cstheme="majorBidi"/>
          <w:b/>
          <w:iCs/>
          <w:sz w:val="26"/>
        </w:rPr>
        <w:t xml:space="preserve">The Hollings Scholarship allows scholars to study all aspects of the ocean </w:t>
      </w:r>
    </w:p>
    <w:p w:rsidR="007379F1" w:rsidRPr="005B317D" w:rsidRDefault="007379F1" w:rsidP="007379F1">
      <w:pPr>
        <w:rPr>
          <w:b/>
          <w:bCs/>
          <w:sz w:val="26"/>
        </w:rPr>
      </w:pPr>
      <w:r w:rsidRPr="005B317D">
        <w:rPr>
          <w:b/>
          <w:bCs/>
          <w:sz w:val="26"/>
        </w:rPr>
        <w:t xml:space="preserve">NOAA- </w:t>
      </w:r>
    </w:p>
    <w:p w:rsidR="007379F1" w:rsidRPr="005B317D" w:rsidRDefault="007379F1" w:rsidP="007379F1">
      <w:r w:rsidRPr="005B317D">
        <w:t xml:space="preserve">National Oceanic and Atmosphere Admission “NOAA Office of Education” - </w:t>
      </w:r>
      <w:hyperlink r:id="rId13" w:anchor="page=program-" w:history="1">
        <w:r w:rsidRPr="005B317D">
          <w:t>http://www.oesd.noaa.gov/scholarships/hollings.html#page=program-</w:t>
        </w:r>
      </w:hyperlink>
      <w:r w:rsidRPr="005B317D">
        <w:t xml:space="preserve"> accessed  8-2-14</w:t>
      </w:r>
    </w:p>
    <w:p w:rsidR="007379F1" w:rsidRPr="005B317D" w:rsidRDefault="007379F1" w:rsidP="007379F1">
      <w:pPr>
        <w:rPr>
          <w:sz w:val="14"/>
        </w:rPr>
      </w:pPr>
      <w:r w:rsidRPr="005B317D">
        <w:rPr>
          <w:sz w:val="14"/>
        </w:rPr>
        <w:t>The National Oceanic and Atmospheric Administration (</w:t>
      </w:r>
      <w:r w:rsidRPr="005B317D">
        <w:rPr>
          <w:b/>
          <w:u w:val="single"/>
        </w:rPr>
        <w:t>NOAA</w:t>
      </w:r>
      <w:r w:rsidRPr="005B317D">
        <w:rPr>
          <w:sz w:val="14"/>
        </w:rPr>
        <w:t xml:space="preserve">) Ernest F. Hollings (Hollings) </w:t>
      </w:r>
      <w:r w:rsidRPr="005B317D">
        <w:rPr>
          <w:b/>
          <w:u w:val="single"/>
        </w:rPr>
        <w:t>scholarship program is designed</w:t>
      </w:r>
      <w:r w:rsidRPr="005B317D">
        <w:rPr>
          <w:sz w:val="14"/>
        </w:rPr>
        <w:t xml:space="preserve"> to</w:t>
      </w:r>
      <w:r w:rsidRPr="005B317D">
        <w:rPr>
          <w:b/>
          <w:u w:val="single"/>
        </w:rPr>
        <w:t>: increase</w:t>
      </w:r>
      <w:r w:rsidRPr="005B317D">
        <w:rPr>
          <w:sz w:val="14"/>
        </w:rPr>
        <w:t xml:space="preserve"> undergraduate </w:t>
      </w:r>
      <w:r w:rsidRPr="005B317D">
        <w:rPr>
          <w:b/>
          <w:u w:val="single"/>
        </w:rPr>
        <w:t xml:space="preserve">training in oceanic and atmospheric science, research, technology, and education </w:t>
      </w:r>
      <w:r w:rsidRPr="005B317D">
        <w:rPr>
          <w:sz w:val="14"/>
        </w:rPr>
        <w:t xml:space="preserve">and foster multidisciplinary training opportunities; </w:t>
      </w:r>
      <w:r w:rsidRPr="005B317D">
        <w:rPr>
          <w:b/>
          <w:u w:val="single"/>
        </w:rPr>
        <w:t>increase public understanding and support for stewardship of the ocean and atmosphere and improve environmental literacy</w:t>
      </w:r>
      <w:r w:rsidRPr="005B317D">
        <w:rPr>
          <w:sz w:val="14"/>
        </w:rPr>
        <w:t xml:space="preserve">; recruit and prepare students for public service careers with NOAA and other natural resource and science agencies at the federal, state and local levels of government; and recruit and prepare students for careers as teachers and educators in oceanic and atmospheric science and to improve scientific and environmental education in the United States. </w:t>
      </w:r>
      <w:r w:rsidRPr="005B317D">
        <w:rPr>
          <w:b/>
          <w:u w:val="single"/>
        </w:rPr>
        <w:t xml:space="preserve">The Hollings Scholarship Program provides successful undergraduate applicants with awards that include academic assistance </w:t>
      </w:r>
      <w:r w:rsidRPr="005B317D">
        <w:rPr>
          <w:sz w:val="14"/>
        </w:rPr>
        <w:t>(up to a maximum of $8,000 per year</w:t>
      </w:r>
      <w:r w:rsidRPr="005B317D">
        <w:rPr>
          <w:b/>
          <w:u w:val="single"/>
        </w:rPr>
        <w:t>) for full-time study</w:t>
      </w:r>
      <w:r w:rsidRPr="005B317D">
        <w:rPr>
          <w:sz w:val="14"/>
        </w:rPr>
        <w:t xml:space="preserve"> during the 9-month academic year; a 10-week, full-time internship position ($650/week) during the summer at a NOAA facility; and, if reappointed, academic assistance (up to a maximum of $8,000) for full-time study during a second 9-month academic year. The internship between the first and second years of the award provides the Scholars with "hands-on"/ practical educational training experience in NOAA-related science, research, technology, policy, management, and education activities. Awards also include travel funds to attend a mandatory NOAA Scholarship Program orientation, conferences where students present a paper or poster, and a housing subsidy for scholars who do not reside at home during the summer internship.</w:t>
      </w:r>
    </w:p>
    <w:p w:rsidR="007379F1" w:rsidRPr="005B317D" w:rsidRDefault="007379F1" w:rsidP="007379F1">
      <w:pPr>
        <w:keepNext/>
        <w:keepLines/>
        <w:spacing w:before="40" w:after="0"/>
        <w:outlineLvl w:val="3"/>
        <w:rPr>
          <w:rFonts w:eastAsiaTheme="majorEastAsia" w:cstheme="majorBidi"/>
          <w:b/>
          <w:iCs/>
          <w:sz w:val="26"/>
        </w:rPr>
      </w:pPr>
      <w:r w:rsidRPr="005B317D">
        <w:rPr>
          <w:rFonts w:eastAsiaTheme="majorEastAsia" w:cstheme="majorBidi"/>
          <w:b/>
          <w:iCs/>
          <w:sz w:val="26"/>
        </w:rPr>
        <w:t xml:space="preserve">The Hollings and EPP Undergraduate Scholarship are </w:t>
      </w:r>
      <w:r>
        <w:rPr>
          <w:rFonts w:eastAsiaTheme="majorEastAsia" w:cstheme="majorBidi"/>
          <w:b/>
          <w:iCs/>
          <w:sz w:val="26"/>
        </w:rPr>
        <w:t>designed to grant scholars to</w:t>
      </w:r>
      <w:r w:rsidRPr="005B317D">
        <w:rPr>
          <w:rFonts w:eastAsiaTheme="majorEastAsia" w:cstheme="majorBidi"/>
          <w:b/>
          <w:iCs/>
          <w:sz w:val="26"/>
        </w:rPr>
        <w:t xml:space="preserve"> study all parts of the ocean- </w:t>
      </w:r>
    </w:p>
    <w:p w:rsidR="007379F1" w:rsidRPr="005B317D" w:rsidRDefault="007379F1" w:rsidP="007379F1">
      <w:pPr>
        <w:rPr>
          <w:b/>
          <w:bCs/>
          <w:sz w:val="26"/>
        </w:rPr>
      </w:pPr>
      <w:r w:rsidRPr="005B317D">
        <w:rPr>
          <w:b/>
          <w:bCs/>
          <w:sz w:val="26"/>
        </w:rPr>
        <w:t xml:space="preserve">NOAA OFFICE OF EDUCATION </w:t>
      </w:r>
    </w:p>
    <w:p w:rsidR="007379F1" w:rsidRPr="005B317D" w:rsidRDefault="007379F1" w:rsidP="007379F1">
      <w:r w:rsidRPr="005B317D">
        <w:t xml:space="preserve">“How to Host an Undergraduate Scholar- Guidance for Mentors”- </w:t>
      </w:r>
      <w:hyperlink r:id="rId14" w:history="1">
        <w:r w:rsidRPr="005B317D">
          <w:t>http://www.oesd.noaa.gov/scholarships/docs/how_to_host_an_undergraduate_scholar.pdf- accessed 8-2-14</w:t>
        </w:r>
      </w:hyperlink>
      <w:r w:rsidRPr="005B317D">
        <w:t xml:space="preserve"> </w:t>
      </w:r>
    </w:p>
    <w:p w:rsidR="007379F1" w:rsidRDefault="007379F1" w:rsidP="007379F1">
      <w:pPr>
        <w:rPr>
          <w:sz w:val="14"/>
        </w:rPr>
      </w:pPr>
      <w:r w:rsidRPr="005B317D">
        <w:rPr>
          <w:sz w:val="14"/>
        </w:rPr>
        <w:t xml:space="preserve">Program Objectives </w:t>
      </w:r>
      <w:r w:rsidRPr="005B317D">
        <w:rPr>
          <w:b/>
          <w:u w:val="single"/>
        </w:rPr>
        <w:t>The NOAA Hollings and EPP Undergraduate Scholarship Programs are designed to</w:t>
      </w:r>
      <w:r w:rsidRPr="005B317D">
        <w:rPr>
          <w:sz w:val="14"/>
        </w:rPr>
        <w:t xml:space="preserve"> meet the following objectives. 1. The NOAA Hollings and EPP Undergraduate Scholarship Programs will </w:t>
      </w:r>
      <w:r w:rsidRPr="005B317D">
        <w:rPr>
          <w:b/>
          <w:u w:val="single"/>
        </w:rPr>
        <w:t>enhance</w:t>
      </w:r>
      <w:r w:rsidRPr="005B317D">
        <w:rPr>
          <w:sz w:val="14"/>
        </w:rPr>
        <w:t xml:space="preserve"> the pipeline of </w:t>
      </w:r>
      <w:r w:rsidRPr="005B317D">
        <w:rPr>
          <w:b/>
          <w:u w:val="single"/>
        </w:rPr>
        <w:t>high quality, diverse students in fields of science, engineering, mathematics, and technology</w:t>
      </w:r>
      <w:r w:rsidRPr="005B317D">
        <w:rPr>
          <w:sz w:val="14"/>
        </w:rPr>
        <w:t xml:space="preserve"> for the future U.S. workforce. </w:t>
      </w:r>
      <w:r w:rsidRPr="005B317D">
        <w:rPr>
          <w:b/>
          <w:u w:val="single"/>
        </w:rPr>
        <w:t>The program will strongly recruit high quality students from throughout the United States and from all types and sizes of colleges and universities including Historically Black Colleges and Universities</w:t>
      </w:r>
      <w:r w:rsidRPr="005B317D">
        <w:rPr>
          <w:sz w:val="14"/>
        </w:rPr>
        <w:t xml:space="preserve"> (HBCUs), </w:t>
      </w:r>
      <w:r w:rsidRPr="005B317D">
        <w:rPr>
          <w:b/>
          <w:u w:val="single"/>
        </w:rPr>
        <w:t>Tribal Colleges and Universities, Hispanic Serving Institutions</w:t>
      </w:r>
      <w:r w:rsidRPr="005B317D">
        <w:rPr>
          <w:sz w:val="14"/>
        </w:rPr>
        <w:t xml:space="preserve">, and other Minority Serving Institutions; </w:t>
      </w:r>
      <w:r w:rsidRPr="005B317D">
        <w:rPr>
          <w:b/>
          <w:u w:val="single"/>
        </w:rPr>
        <w:t>and from the broad range of race/ethnicity groups</w:t>
      </w:r>
      <w:r w:rsidRPr="005B317D">
        <w:rPr>
          <w:sz w:val="14"/>
        </w:rPr>
        <w:t xml:space="preserve">. 2. More specifically, </w:t>
      </w:r>
      <w:r w:rsidRPr="005B317D">
        <w:rPr>
          <w:b/>
          <w:u w:val="single"/>
        </w:rPr>
        <w:t>the NOAA Undergraduate Scholarship Programs will enhance the number and diversity of students who graduate with</w:t>
      </w:r>
      <w:r w:rsidRPr="005B317D">
        <w:rPr>
          <w:sz w:val="14"/>
        </w:rPr>
        <w:t xml:space="preserve"> </w:t>
      </w:r>
      <w:r w:rsidRPr="005B317D">
        <w:rPr>
          <w:b/>
          <w:u w:val="single"/>
        </w:rPr>
        <w:t xml:space="preserve">degrees </w:t>
      </w:r>
      <w:r w:rsidRPr="005B317D">
        <w:rPr>
          <w:sz w:val="14"/>
        </w:rPr>
        <w:t xml:space="preserve">and experience </w:t>
      </w:r>
      <w:r w:rsidRPr="005B317D">
        <w:rPr>
          <w:b/>
          <w:u w:val="single"/>
        </w:rPr>
        <w:t>in</w:t>
      </w:r>
      <w:r w:rsidRPr="005B317D">
        <w:rPr>
          <w:sz w:val="14"/>
        </w:rPr>
        <w:t xml:space="preserve"> NOAA mission </w:t>
      </w:r>
      <w:r w:rsidRPr="005B317D">
        <w:rPr>
          <w:b/>
          <w:u w:val="single"/>
        </w:rPr>
        <w:t>critical sciences</w:t>
      </w:r>
      <w:r w:rsidRPr="005B317D">
        <w:rPr>
          <w:sz w:val="14"/>
        </w:rPr>
        <w:t>. The program will provide opportunities for the scholars to: become familiar with NOAA’s various offices and sites; become familiar with NOAA scientific and technological programs; enhance their professional development in science, mathematics and engineering areas related to NOAA’s mission; continue their education in their NOAA-related field of study; and become trained as scientists, engineers, and other technical personnel for potential employment in fields related to NOAA's mission critical sciences and goals. A unique aspect of this program is that it will challenge the students to expand beyond the broad academic foundation provided by their institution and focus on research or operational issues consistent with NOAA’s mission. 3</w:t>
      </w:r>
      <w:r w:rsidRPr="005B317D">
        <w:rPr>
          <w:b/>
          <w:u w:val="single"/>
        </w:rPr>
        <w:t>. The NOAA Undergraduate Scholarship internships will also promote interactions between NOAA and the academic community.</w:t>
      </w:r>
      <w:r w:rsidRPr="005B317D">
        <w:rPr>
          <w:sz w:val="14"/>
        </w:rPr>
        <w:t xml:space="preserve"> These interactions will link NOAA's scientific and technological capabilities to those in the academic community and enhance the educational base for NOAA mission critical fields of study. </w:t>
      </w:r>
    </w:p>
    <w:p w:rsidR="007379F1" w:rsidRDefault="007379F1" w:rsidP="007379F1">
      <w:pPr>
        <w:pStyle w:val="Heading4"/>
      </w:pPr>
      <w:r>
        <w:t xml:space="preserve">There are many scholarships provided by NOAA </w:t>
      </w:r>
    </w:p>
    <w:p w:rsidR="007379F1" w:rsidRPr="005B317D" w:rsidRDefault="007379F1" w:rsidP="007379F1">
      <w:pPr>
        <w:rPr>
          <w:b/>
          <w:bCs/>
          <w:sz w:val="26"/>
        </w:rPr>
      </w:pPr>
      <w:r w:rsidRPr="005B317D">
        <w:rPr>
          <w:b/>
          <w:bCs/>
          <w:sz w:val="26"/>
        </w:rPr>
        <w:t xml:space="preserve">NOAA OFFICE OF EDUCATION </w:t>
      </w:r>
    </w:p>
    <w:p w:rsidR="007379F1" w:rsidRPr="00704D34" w:rsidRDefault="007379F1" w:rsidP="007379F1">
      <w:r w:rsidRPr="005B317D">
        <w:t xml:space="preserve">“How to Host an Undergraduate Scholar- Guidance for Mentors”- </w:t>
      </w:r>
      <w:hyperlink r:id="rId15" w:history="1">
        <w:r w:rsidRPr="005B317D">
          <w:t>http://www.oesd.noaa.gov/scholarships/docs/how_to_host_an_undergraduate_scholar.pdf- accessed 8-2-14</w:t>
        </w:r>
      </w:hyperlink>
      <w:r w:rsidRPr="005B317D">
        <w:t xml:space="preserve"> </w:t>
      </w:r>
    </w:p>
    <w:p w:rsidR="007379F1" w:rsidRPr="003773EB" w:rsidRDefault="007379F1" w:rsidP="007379F1">
      <w:pPr>
        <w:rPr>
          <w:sz w:val="12"/>
        </w:rPr>
      </w:pPr>
      <w:r w:rsidRPr="00704D34">
        <w:rPr>
          <w:rStyle w:val="StyleUnderline"/>
        </w:rPr>
        <w:t>Scholarships: Our OEd Student Scholarship Programs provide opportunities for undergraduate and graduate students to gain "hands-on" experience, pursue research, and educational training</w:t>
      </w:r>
      <w:r w:rsidRPr="003773EB">
        <w:rPr>
          <w:sz w:val="12"/>
        </w:rPr>
        <w:t xml:space="preserve"> in NOAA-mission sciences. </w:t>
      </w:r>
      <w:r w:rsidRPr="00704D34">
        <w:rPr>
          <w:rStyle w:val="StyleUnderline"/>
        </w:rPr>
        <w:t>Students competitively selected to the programs are matriculated in science, technology, policy, management, and education</w:t>
      </w:r>
      <w:r w:rsidRPr="003773EB">
        <w:rPr>
          <w:sz w:val="12"/>
        </w:rPr>
        <w:t>. Financial support is provided for two years to full-time students in good academic standing. N</w:t>
      </w:r>
      <w:r w:rsidRPr="00704D34">
        <w:rPr>
          <w:rStyle w:val="StyleUnderline"/>
        </w:rPr>
        <w:t>OAA EDUCATION STRATEGIC PLAN (PDF) NOAA Education Strategic Plan</w:t>
      </w:r>
      <w:r w:rsidRPr="003773EB">
        <w:rPr>
          <w:sz w:val="12"/>
        </w:rPr>
        <w:t xml:space="preserve"> CLICK HERE TO LEARN MORE EPP </w:t>
      </w:r>
      <w:r w:rsidRPr="00704D34">
        <w:rPr>
          <w:rStyle w:val="StyleUnderline"/>
        </w:rPr>
        <w:t>Educational Partnership Program Undergraduate Scholarship Progra</w:t>
      </w:r>
      <w:r w:rsidRPr="003773EB">
        <w:rPr>
          <w:sz w:val="12"/>
        </w:rPr>
        <w:t xml:space="preserve">m The Undergraduate Scholarship Program provides an opportunity for rising junior students to study disciplines relating to the NOAA's mission. </w:t>
      </w:r>
      <w:r w:rsidRPr="00704D34">
        <w:rPr>
          <w:rStyle w:val="StyleUnderline"/>
        </w:rPr>
        <w:t xml:space="preserve">Students attending Minority Serving Institutions </w:t>
      </w:r>
      <w:r w:rsidRPr="003773EB">
        <w:rPr>
          <w:sz w:val="12"/>
        </w:rPr>
        <w:t xml:space="preserve">(Hispanic Serving Institutions, Historically Black Colleges and Universities, Tribal Colleges and Universities, Alaskan-Native Serving Institutions, and Native Hawaiian Serving Institutions) </w:t>
      </w:r>
      <w:r w:rsidRPr="00704D34">
        <w:rPr>
          <w:rStyle w:val="StyleUnderline"/>
        </w:rPr>
        <w:t>receive appointments to approved NOAA offices and sites upon acceptance to the program</w:t>
      </w:r>
      <w:r w:rsidRPr="003773EB">
        <w:rPr>
          <w:sz w:val="12"/>
        </w:rPr>
        <w:t xml:space="preserve">. Read more... </w:t>
      </w:r>
      <w:r w:rsidRPr="00704D34">
        <w:rPr>
          <w:rStyle w:val="StyleUnderline"/>
        </w:rPr>
        <w:t>Hollings Ernest F. Hollings Scholarship Program</w:t>
      </w:r>
      <w:r w:rsidRPr="003773EB">
        <w:rPr>
          <w:sz w:val="12"/>
        </w:rPr>
        <w:t xml:space="preserve"> The Ernest F. Hollings Undergraduate Scholarship Program was established through the Consolidated Appropriations Act, 2005 (PL 108-447) to honor retiring Senator Ernest F. Hollings (D), South Carolina. </w:t>
      </w:r>
      <w:r w:rsidRPr="00704D34">
        <w:rPr>
          <w:rStyle w:val="StyleUnderline"/>
        </w:rPr>
        <w:t>The purposes of the program are to: increase undergraduate training in oceanic and atmospheric science, research, technology, and education</w:t>
      </w:r>
      <w:r w:rsidRPr="003773EB">
        <w:rPr>
          <w:sz w:val="12"/>
        </w:rPr>
        <w:t xml:space="preserve"> and foster multidisciplinary training opportunities; increase public understanding </w:t>
      </w:r>
      <w:r w:rsidRPr="00704D34">
        <w:rPr>
          <w:rStyle w:val="StyleUnderline"/>
        </w:rPr>
        <w:t>and support for stewardship of the ocean and atmosphere and improve environmental literacy;</w:t>
      </w:r>
      <w:r w:rsidRPr="003773EB">
        <w:rPr>
          <w:sz w:val="12"/>
        </w:rPr>
        <w:t xml:space="preserve"> recruit and prepare students for public service careers with NOAA and other natural resource and science agencies at the federal, state and local levels of government; and recruit and prepare students for careers as teachers and educators in oceanic and atmospheric science and to improve scientific and environmental education in the United States. More info... OceanAGE Careers Graduate Sciences Program </w:t>
      </w:r>
      <w:r w:rsidRPr="00704D34">
        <w:rPr>
          <w:rStyle w:val="StyleUnderline"/>
        </w:rPr>
        <w:t>The Graduate Sciences Program</w:t>
      </w:r>
      <w:r w:rsidRPr="003773EB">
        <w:rPr>
          <w:sz w:val="12"/>
        </w:rPr>
        <w:t xml:space="preserve"> (GSP) is aimed primarily at increasing opportunities for students in NOAA-related fields to pursue research and educational training in atmospheric, environmental, remote sensing and oceanic sciences at minority serving institutions (MSI) when possible. The GSP offers between two years (master's candidates) to four years (doctoral students) of NOAA-related research and training opportunities. Learn More...</w:t>
      </w:r>
    </w:p>
    <w:p w:rsidR="007379F1" w:rsidRDefault="007379F1" w:rsidP="007379F1">
      <w:pPr>
        <w:pStyle w:val="Heading4"/>
      </w:pPr>
      <w:r>
        <w:t xml:space="preserve">The program of citizen scientist is funded by other organizations- the citizen scientist doesn’t crowd out other scholarship programs- </w:t>
      </w:r>
    </w:p>
    <w:p w:rsidR="007379F1" w:rsidRPr="0013706F" w:rsidRDefault="007379F1" w:rsidP="007379F1">
      <w:pPr>
        <w:rPr>
          <w:rStyle w:val="Style13ptBold"/>
          <w:rFonts w:eastAsiaTheme="majorEastAsia" w:cstheme="majorBidi"/>
          <w:b w:val="0"/>
          <w:iCs/>
        </w:rPr>
      </w:pPr>
      <w:r w:rsidRPr="0013706F">
        <w:rPr>
          <w:rStyle w:val="Style13ptBold"/>
        </w:rPr>
        <w:t xml:space="preserve">NOAA- </w:t>
      </w:r>
    </w:p>
    <w:p w:rsidR="007379F1" w:rsidRPr="0013706F" w:rsidRDefault="007379F1" w:rsidP="007379F1">
      <w:r>
        <w:t xml:space="preserve">Weather.gov “NOAA’s National Weather Service” </w:t>
      </w:r>
      <w:hyperlink r:id="rId16" w:history="1">
        <w:r w:rsidRPr="007175BA">
          <w:rPr>
            <w:rStyle w:val="Hyperlink"/>
          </w:rPr>
          <w:t>http://www.nws.noaa.gov/os/brochures/Citizen_Scientist.pdf</w:t>
        </w:r>
      </w:hyperlink>
      <w:r>
        <w:t xml:space="preserve"> accessed 8-3-14</w:t>
      </w:r>
    </w:p>
    <w:p w:rsidR="007379F1" w:rsidRPr="003773EB" w:rsidRDefault="007379F1" w:rsidP="007379F1">
      <w:pPr>
        <w:rPr>
          <w:b/>
          <w:u w:val="single"/>
        </w:rPr>
      </w:pPr>
      <w:r>
        <w:rPr>
          <w:rStyle w:val="StyleUnderline"/>
        </w:rPr>
        <w:t xml:space="preserve">NOAA's National Weather Service Be A Citizen Scientist </w:t>
      </w:r>
      <w:r w:rsidRPr="003773EB">
        <w:rPr>
          <w:rStyle w:val="StyleUnderline"/>
        </w:rPr>
        <w:t>NOAA’s National Weather Service</w:t>
      </w:r>
      <w:r w:rsidRPr="003773EB">
        <w:rPr>
          <w:sz w:val="14"/>
        </w:rPr>
        <w:t xml:space="preserve"> (NWS) </w:t>
      </w:r>
      <w:r w:rsidRPr="003773EB">
        <w:rPr>
          <w:rStyle w:val="StyleUnderline"/>
        </w:rPr>
        <w:t>depends on support from the general public in two key programs: SKYWARN Spotters and Cooperative Observers.</w:t>
      </w:r>
      <w:r w:rsidRPr="003773EB">
        <w:rPr>
          <w:sz w:val="14"/>
        </w:rPr>
        <w:t xml:space="preserve"> In both these programs, volunteers provide vital, real-time observational data. The effects of severe weather are felt almost every day by tens of thousands of Americans. </w:t>
      </w:r>
      <w:r w:rsidRPr="003773EB">
        <w:rPr>
          <w:rStyle w:val="StyleUnderline"/>
        </w:rPr>
        <w:t>To obtain critical weather information from a variety of locations, NWS and partner groups set up SKYWARN</w:t>
      </w:r>
      <w:r w:rsidRPr="003773EB">
        <w:rPr>
          <w:sz w:val="14"/>
        </w:rPr>
        <w:t xml:space="preserve">, a volunteer program with more than 230,000 trained severe weather spotters. These volunteers help keep their local communities safe by sending NWS timely and accurate reports of severe weather. SKYWARN spotters provide essential information for all types of environmental hazards, however, the main responsibility of a spotter is to report severe local storms. In an average year, the U.S. is affected by 10,000 severe thunderstorms, 5,000 floods and more than 1,000 tornadoes. Where appropriate, spotters also are trained on warning signs for earthquakes, landslides, avalanches, volcanic ashfall, and coastal hazards such as tsunamis, water spouts and rip currents. Since the program started in the 1970s, SKYWARN information, coupled with Doppler radar technology, improved satellite data and other resources, has enabled NWS to issue more timely and accurate warnings for tornadoes, severe thunderstorms and flash floods. SKYWARN storm spotters form the Nation's first line of defense against severe weather. The efforts of these volunteers have given communities the precious gift of time--seconds and minutes that can help save lives. </w:t>
      </w:r>
    </w:p>
    <w:p w:rsidR="007379F1" w:rsidRDefault="007379F1" w:rsidP="007379F1">
      <w:pPr>
        <w:pStyle w:val="Heading3"/>
      </w:pPr>
      <w:r w:rsidRPr="005B317D">
        <w:t xml:space="preserve">US Grants </w:t>
      </w:r>
    </w:p>
    <w:p w:rsidR="007379F1" w:rsidRDefault="007379F1" w:rsidP="007379F1">
      <w:pPr>
        <w:pStyle w:val="Heading4"/>
      </w:pPr>
      <w:r>
        <w:t xml:space="preserve">A topical version of your aff is “The USFG should give grants to black scholars to explore the Zong” giving the scholars money to learn and explore the zong area solves the aff and leads to the same criticism of the aff- </w:t>
      </w:r>
    </w:p>
    <w:p w:rsidR="007379F1" w:rsidRPr="004A7E1E" w:rsidRDefault="007379F1" w:rsidP="007379F1"/>
    <w:p w:rsidR="007379F1" w:rsidRPr="005B317D" w:rsidRDefault="007379F1" w:rsidP="007379F1">
      <w:pPr>
        <w:keepNext/>
        <w:keepLines/>
        <w:spacing w:before="40" w:after="0"/>
        <w:outlineLvl w:val="3"/>
        <w:rPr>
          <w:rFonts w:eastAsiaTheme="majorEastAsia" w:cstheme="majorBidi"/>
          <w:b/>
          <w:iCs/>
          <w:sz w:val="26"/>
        </w:rPr>
      </w:pPr>
      <w:r w:rsidRPr="005B317D">
        <w:rPr>
          <w:rFonts w:eastAsiaTheme="majorEastAsia" w:cstheme="majorBidi"/>
          <w:b/>
          <w:iCs/>
          <w:sz w:val="26"/>
        </w:rPr>
        <w:t xml:space="preserve">Programs like the Schomburg Center Scholars encourages thinking and study about black history- like the middle passage and the zong </w:t>
      </w:r>
    </w:p>
    <w:p w:rsidR="007379F1" w:rsidRPr="005B317D" w:rsidRDefault="007379F1" w:rsidP="007379F1">
      <w:pPr>
        <w:rPr>
          <w:b/>
          <w:bCs/>
          <w:sz w:val="26"/>
        </w:rPr>
      </w:pPr>
      <w:r w:rsidRPr="005B317D">
        <w:rPr>
          <w:b/>
          <w:bCs/>
          <w:sz w:val="26"/>
        </w:rPr>
        <w:t xml:space="preserve">SCSRP </w:t>
      </w:r>
    </w:p>
    <w:p w:rsidR="007379F1" w:rsidRPr="005B317D" w:rsidRDefault="007379F1" w:rsidP="007379F1">
      <w:r w:rsidRPr="005B317D">
        <w:t xml:space="preserve">The Schomburg Center Scholars- in- Residence Program- </w:t>
      </w:r>
      <w:hyperlink r:id="rId17" w:history="1">
        <w:r w:rsidRPr="005B317D">
          <w:t>http://www.nypl.org/locations/tid/64/node/131- accessed 8-2-14</w:t>
        </w:r>
      </w:hyperlink>
      <w:r w:rsidRPr="005B317D">
        <w:t xml:space="preserve"> </w:t>
      </w:r>
    </w:p>
    <w:p w:rsidR="007379F1" w:rsidRDefault="007379F1" w:rsidP="007379F1">
      <w:pPr>
        <w:rPr>
          <w:sz w:val="14"/>
        </w:rPr>
      </w:pPr>
      <w:r w:rsidRPr="005B317D">
        <w:rPr>
          <w:b/>
          <w:u w:val="single"/>
        </w:rPr>
        <w:t>The Schomburg Center Scholars</w:t>
      </w:r>
      <w:r w:rsidRPr="005B317D">
        <w:rPr>
          <w:sz w:val="14"/>
        </w:rPr>
        <w:t xml:space="preserve">-in-Residence Program </w:t>
      </w:r>
      <w:r w:rsidRPr="005B317D">
        <w:rPr>
          <w:b/>
          <w:u w:val="single"/>
        </w:rPr>
        <w:t>assists those scholars and professionals whose research in the black experience</w:t>
      </w:r>
      <w:r w:rsidRPr="005B317D">
        <w:rPr>
          <w:sz w:val="14"/>
        </w:rPr>
        <w:t xml:space="preserve"> can benefit from extended access to the Center's resources. Fellowships funded by the Center will allow recipients to spend six months in residence with access to resources at the Schomburg Center and other centers of The New York Public Library. </w:t>
      </w:r>
      <w:r w:rsidRPr="005B317D">
        <w:rPr>
          <w:b/>
          <w:u w:val="single"/>
        </w:rPr>
        <w:t xml:space="preserve">The program encourages research and writing on black history and culture, facilitates interaction among participating scholars, and provides widespread dissemination of findings through lectures, publications, and colloquia and seminars. It encompasses projects in African, Afro-American, and Afro-Caribbean history and culture. </w:t>
      </w:r>
      <w:r w:rsidRPr="005B317D">
        <w:rPr>
          <w:sz w:val="14"/>
        </w:rPr>
        <w:t xml:space="preserve">Established in 1983, as of 2014-2015 </w:t>
      </w:r>
      <w:r w:rsidRPr="005B317D">
        <w:rPr>
          <w:b/>
          <w:u w:val="single"/>
        </w:rPr>
        <w:t>the residency program has provided direct funding support for 159 fellows, and additional residency opportunities for 26 independently funded humanities scholars</w:t>
      </w:r>
      <w:r w:rsidRPr="005B317D">
        <w:rPr>
          <w:sz w:val="14"/>
        </w:rPr>
        <w:t xml:space="preserve">. Funding support for the program has been provided by the Ford Foundation, the Rockefeller Foundation, the Aaron Diamond Foundation, the Irene Diamond Foundation, the Samuel I. Newhouse Foundation, the Andrew W. Mellon Foundation and the National Endowment for the Humanities. </w:t>
      </w:r>
      <w:r w:rsidRPr="005B317D">
        <w:rPr>
          <w:b/>
          <w:u w:val="single"/>
        </w:rPr>
        <w:t>Works by Past Fellows</w:t>
      </w:r>
      <w:r w:rsidRPr="005B317D">
        <w:rPr>
          <w:sz w:val="14"/>
        </w:rPr>
        <w:t xml:space="preserve">: , Jervis. Bayard Rustin: Troubles I've Seen. New York: HarperCollins, 1997. [Aaron Diamond Foundation, 1996-1997] Barlow, William. Voice Over: The Making of Black Radio. Philadelphia: Temple University Press, 1998. [National Endowment for the Humanities Fellow, 1991-1992] </w:t>
      </w:r>
      <w:r w:rsidRPr="005B317D">
        <w:rPr>
          <w:b/>
          <w:u w:val="single"/>
        </w:rPr>
        <w:t>Bethel, Elizabeth Rauh. The Roots of African American Identity: Memory and History in Antebellum Free Communities</w:t>
      </w:r>
      <w:r w:rsidRPr="005B317D">
        <w:rPr>
          <w:sz w:val="14"/>
        </w:rPr>
        <w:t xml:space="preserve">. New York: St. Martins Press, 1997. [Schomburg Center Fellow, 1987-1988] Biondi, Martha. To Stand and Fight: The Struggle for Civil Rights in Postwar New York City. Harvard University Press, May 2003. [National Endowment for the Humanities Fellow, 1999-2000] Birt, Rodger C. "A Life in American Photography." In VanDerZee: Photographer, 1886-1983, by Deborah Willis-Braithwaite. </w:t>
      </w:r>
    </w:p>
    <w:p w:rsidR="007379F1" w:rsidRDefault="007379F1" w:rsidP="007379F1">
      <w:pPr>
        <w:rPr>
          <w:sz w:val="14"/>
        </w:rPr>
      </w:pPr>
    </w:p>
    <w:p w:rsidR="007379F1" w:rsidRDefault="007379F1" w:rsidP="007379F1">
      <w:pPr>
        <w:pStyle w:val="Heading3"/>
      </w:pPr>
      <w:r>
        <w:t>A2- USFG grants bad/ doesn’t solve</w:t>
      </w:r>
    </w:p>
    <w:p w:rsidR="007379F1" w:rsidRPr="003D3B88" w:rsidRDefault="007379F1" w:rsidP="007379F1">
      <w:r>
        <w:t xml:space="preserve">Some of your own others are received grants from the USFG- a good example of this Elizabeth DeLoughrey she received grants a part part of the Culture Affair- this proves that having US or NOAA give grant to scholars allows them to study the same topic as their author producing the same criticism that the aff is critiquing. </w:t>
      </w:r>
    </w:p>
    <w:p w:rsidR="007379F1" w:rsidRDefault="007379F1" w:rsidP="007379F1">
      <w:pPr>
        <w:pStyle w:val="Heading2"/>
      </w:pPr>
      <w:r>
        <w:t>Stuff</w:t>
      </w:r>
    </w:p>
    <w:p w:rsidR="007379F1" w:rsidRPr="008D6367" w:rsidRDefault="007379F1" w:rsidP="007379F1">
      <w:pPr>
        <w:rPr>
          <w:rStyle w:val="Style13ptBold"/>
          <w:rFonts w:eastAsiaTheme="majorEastAsia" w:cstheme="majorBidi"/>
          <w:b w:val="0"/>
          <w:szCs w:val="26"/>
        </w:rPr>
      </w:pPr>
      <w:r w:rsidRPr="008D6367">
        <w:rPr>
          <w:rStyle w:val="Style13ptBold"/>
        </w:rPr>
        <w:t xml:space="preserve">Moten and Harney 4 </w:t>
      </w:r>
    </w:p>
    <w:p w:rsidR="007379F1" w:rsidRPr="008D6367" w:rsidRDefault="007379F1" w:rsidP="007379F1">
      <w:r>
        <w:t>Fred Moten. and Stefano Harney. Stefano Harney is Professor of Strategic Management Education, Singapore Management University and co-founder of the School for Study, an ensemble teaching project. He employs autonomist and postcolonial theory in looking into issues associated with race, work, and social organization. Fred Moten's field is black studies, where he works at the intersection of performance, poetry and critical theory "The University and the Undercommons: Seven Theses." Social Text 22.2 (2004): 101-115. Project MUSE. Web. 3 Aug. 2014. &lt;http://muse.jhu.edu/&gt;.</w:t>
      </w:r>
    </w:p>
    <w:p w:rsidR="007379F1" w:rsidRPr="008D6367" w:rsidRDefault="007379F1" w:rsidP="007379F1">
      <w:pPr>
        <w:rPr>
          <w:sz w:val="14"/>
        </w:rPr>
      </w:pPr>
      <w:r w:rsidRPr="008D6367">
        <w:rPr>
          <w:rStyle w:val="StyleUnderline"/>
        </w:rPr>
        <w:t>Philosophy</w:t>
      </w:r>
      <w:r w:rsidRPr="008D6367">
        <w:rPr>
          <w:sz w:val="14"/>
        </w:rPr>
        <w:t xml:space="preserve"> thus traditionally </w:t>
      </w:r>
      <w:r w:rsidRPr="008D6367">
        <w:rPr>
          <w:rStyle w:val="StyleUnderline"/>
        </w:rPr>
        <w:t>practices a critique of knowledge which is simultaneously a denegation of knowledge</w:t>
      </w:r>
      <w:r w:rsidRPr="008D6367">
        <w:rPr>
          <w:sz w:val="14"/>
        </w:rPr>
        <w:t xml:space="preserve"> (i.e., of the class struggle). Its position can be described as an irony with regard to knowledge, which it puts into question without ever touching its foundations. </w:t>
      </w:r>
      <w:r w:rsidRPr="008D6367">
        <w:rPr>
          <w:rStyle w:val="StyleUnderline"/>
        </w:rPr>
        <w:t>The questioning of knowledge in philosophy always ends in its restoration: a movement great philosophers consistently expose in each other.</w:t>
      </w:r>
      <w:r w:rsidRPr="008D6367">
        <w:rPr>
          <w:sz w:val="14"/>
        </w:rPr>
        <w:t xml:space="preserve"> —Jacques Rancière, On the Shores of Politics I am a black man number one, because I am against what they have done and are still doing to us; and number two, I have something to say about the new society to be built because I have a tremendous part in that which they have sought to discredit. —C. L. R. James, C. L. R. James: His Life and Work The Only Possible Relationship to the University Today Is a Criminal One </w:t>
      </w:r>
      <w:r w:rsidRPr="008D6367">
        <w:rPr>
          <w:rStyle w:val="StyleUnderline"/>
        </w:rPr>
        <w:t xml:space="preserve">"To the university I'll steal, and there I'll steal," to borrow from Pistol at the end of Henry V, as he would surely borrow from us. </w:t>
      </w:r>
      <w:r w:rsidRPr="008D6367">
        <w:rPr>
          <w:sz w:val="14"/>
        </w:rPr>
        <w:t>This is the only possible relationship to the American</w:t>
      </w:r>
      <w:r w:rsidRPr="008D6367">
        <w:rPr>
          <w:rStyle w:val="StyleUnderline"/>
        </w:rPr>
        <w:t xml:space="preserve"> </w:t>
      </w:r>
      <w:r w:rsidRPr="008D6367">
        <w:rPr>
          <w:sz w:val="14"/>
        </w:rPr>
        <w:t xml:space="preserve">university today. This may be true of universities everywhere. It may have to be true of the university in general. But certainly, </w:t>
      </w:r>
      <w:r w:rsidRPr="008D6367">
        <w:rPr>
          <w:rStyle w:val="StyleUnderline"/>
        </w:rPr>
        <w:t>this much is true in the United State</w:t>
      </w:r>
      <w:r w:rsidRPr="008D6367">
        <w:rPr>
          <w:sz w:val="14"/>
        </w:rPr>
        <w:t>s</w:t>
      </w:r>
      <w:r w:rsidRPr="008D6367">
        <w:rPr>
          <w:rStyle w:val="StyleUnderline"/>
        </w:rPr>
        <w:t xml:space="preserve">: it cannot be denied that the university is a place of refuge, </w:t>
      </w:r>
      <w:r w:rsidRPr="008D6367">
        <w:rPr>
          <w:sz w:val="14"/>
        </w:rPr>
        <w:t xml:space="preserve">and it cannot be accepted that the university is a place of enlightenment. </w:t>
      </w:r>
      <w:r w:rsidRPr="008D6367">
        <w:rPr>
          <w:rStyle w:val="StyleUnderline"/>
        </w:rPr>
        <w:t>In the face of these conditions one can only sneak into the university and steal what one can.</w:t>
      </w:r>
      <w:r w:rsidRPr="008D6367">
        <w:rPr>
          <w:sz w:val="14"/>
        </w:rPr>
        <w:t xml:space="preserve"> </w:t>
      </w:r>
      <w:r w:rsidRPr="008D6367">
        <w:rPr>
          <w:rStyle w:val="StyleUnderline"/>
        </w:rPr>
        <w:t>To abuse its hospitality, to spite its mission, to join its refugee colony, its gypsy encampment, to be in but not of</w:t>
      </w:r>
      <w:r w:rsidRPr="008D6367">
        <w:rPr>
          <w:sz w:val="14"/>
        </w:rPr>
        <w:t>—this is the path of the subversive intellectual in the modern university. 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Her labor is as necessary as it is unwelcome. The university needs what she bears but cannot bear what she brings. And on top of all that, she disappears. She disappears into the underground, the down low lowdown maroon community of the university, into the Undercommons of Enlightenment, where the work gets done, where the work gets subverted, where the revolution is still black, still strong. What is that work and what is its social capacity for both reproducing the university and producing fugitivity</w:t>
      </w:r>
      <w:r w:rsidRPr="008D6367">
        <w:rPr>
          <w:rStyle w:val="StyleUnderline"/>
        </w:rPr>
        <w:t>? If one were to say teaching</w:t>
      </w:r>
      <w:r w:rsidRPr="008D6367">
        <w:rPr>
          <w:sz w:val="14"/>
        </w:rPr>
        <w:t xml:space="preserve">, one would be performing the work of the university. Teaching is merely a profession and an operation of what Jacques Derrida calls the onto-/auto-encyclopedic circle of the Universitas. But </w:t>
      </w:r>
      <w:r w:rsidRPr="008D6367">
        <w:rPr>
          <w:rStyle w:val="StyleUnderline"/>
        </w:rPr>
        <w:t>it is useful to invoke this operation to glimpse the hole in the fence where labor enters, to glimpse its hiring hall, its night quarters</w:t>
      </w:r>
      <w:r w:rsidRPr="008D6367">
        <w:rPr>
          <w:sz w:val="14"/>
        </w:rPr>
        <w:t xml:space="preserve">. The university needs teaching labor, despite itself, or as itself, self-identical with and thereby erased by it. </w:t>
      </w:r>
      <w:r w:rsidRPr="008D6367">
        <w:rPr>
          <w:rStyle w:val="StyleUnderline"/>
        </w:rPr>
        <w:t>It is not teaching then that holds this social capacity, but something that produces the not visible other side of teaching, a thinking through the skin of teaching toward a collective orientation to the knowledge object as future project,</w:t>
      </w:r>
      <w:r w:rsidRPr="008D6367">
        <w:rPr>
          <w:sz w:val="14"/>
        </w:rPr>
        <w:t xml:space="preserve"> and a commitment to what we want to call the prophetic organization.</w:t>
      </w:r>
      <w:r w:rsidRPr="008D6367">
        <w:rPr>
          <w:rStyle w:val="StyleUnderline"/>
        </w:rPr>
        <w:t xml:space="preserve"> But it is teaching that brings us in. Before there are grants</w:t>
      </w:r>
      <w:r w:rsidRPr="008D6367">
        <w:rPr>
          <w:sz w:val="14"/>
        </w:rPr>
        <w:t>, research, conferences, books, and journals t</w:t>
      </w:r>
      <w:r w:rsidRPr="008D6367">
        <w:rPr>
          <w:rStyle w:val="StyleUnderline"/>
        </w:rPr>
        <w:t>here is the experience of being taught and of teaching</w:t>
      </w:r>
      <w:r w:rsidRPr="008D6367">
        <w:rPr>
          <w:sz w:val="14"/>
        </w:rPr>
        <w:t>.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w:t>
      </w:r>
    </w:p>
    <w:p w:rsidR="007379F1" w:rsidRDefault="007379F1" w:rsidP="007379F1">
      <w:pPr>
        <w:rPr>
          <w:sz w:val="14"/>
        </w:rPr>
      </w:pPr>
    </w:p>
    <w:p w:rsidR="007379F1" w:rsidRPr="002A3874" w:rsidRDefault="007379F1" w:rsidP="007379F1">
      <w:pPr>
        <w:rPr>
          <w:b/>
          <w:bCs/>
          <w:sz w:val="26"/>
        </w:rPr>
      </w:pPr>
      <w:r w:rsidRPr="008D6367">
        <w:rPr>
          <w:rStyle w:val="Style13ptBold"/>
        </w:rPr>
        <w:t xml:space="preserve">Moten and Harney 4 </w:t>
      </w:r>
    </w:p>
    <w:p w:rsidR="007379F1" w:rsidRDefault="007379F1" w:rsidP="007379F1">
      <w:r>
        <w:t>Fred Moten. and Stefano Harney. Stefano Harney is Professor of Strategic Management Education, Singapore Management University and co-founder of the School for Study, an ensemble teaching project. He employs autonomist and postcolonial theory in looking into issues associated with race, work, and social organization. Fred Moten's field is black studies, where he works at the intersection of performance, poetry and critical theory "Debt and Study." Accessed . 3 Aug. 2014. http://www.e-flux.com/journal/debt-and-study/</w:t>
      </w:r>
    </w:p>
    <w:p w:rsidR="007379F1" w:rsidRPr="008D6367" w:rsidRDefault="007379F1" w:rsidP="007379F1">
      <w:pPr>
        <w:rPr>
          <w:sz w:val="14"/>
        </w:rPr>
      </w:pPr>
      <w:r w:rsidRPr="008D6367">
        <w:rPr>
          <w:sz w:val="14"/>
        </w:rPr>
        <w:t xml:space="preserve">The student has no interests. The student’s interests must be identified, declared, pursued, assessed, counseled, and credited. Debt produces interests. The student will be indebted. The student will be interested. Interest the students! The student can be calculated by her debts, can calculate her debts by her interests. She has credit in her sights, has graduation in her sights, has being a creditor, being invested in education, being a citizen in her sights. The student with interests can demand policies, can formulate policy, give herself credit, pursue bad debtors with good policy, sound policy, evidence-based policy. The student with credit can privatize her own university. </w:t>
      </w:r>
      <w:r w:rsidRPr="008D6367">
        <w:rPr>
          <w:rStyle w:val="StyleUnderline"/>
        </w:rPr>
        <w:t>The student can start her own NGO, invite others to identify their interests, put them on the table, join the global conversation, speak for themselves, get credit, manage debt</w:t>
      </w:r>
      <w:r w:rsidRPr="008D6367">
        <w:rPr>
          <w:sz w:val="14"/>
        </w:rPr>
        <w:t xml:space="preserve">. Governance is interest-bearing. Credit and debt. There is no other definition of good governance, no other interest. The public and private in harmony, in policy, in pursuit of bad debt, on the trail of fugitive publics, chasing evidence of refuge. </w:t>
      </w:r>
      <w:r w:rsidRPr="008D6367">
        <w:rPr>
          <w:rStyle w:val="StyleUnderline"/>
        </w:rPr>
        <w:t>The student graduates. But not all of them. Some stay, committed to black study in the university’s</w:t>
      </w:r>
      <w:r w:rsidRPr="008D6367">
        <w:rPr>
          <w:sz w:val="14"/>
        </w:rPr>
        <w:t xml:space="preserve"> undercommon rooms. </w:t>
      </w:r>
      <w:r w:rsidRPr="008D6367">
        <w:rPr>
          <w:rStyle w:val="StyleUnderline"/>
        </w:rPr>
        <w:t>They study without end</w:t>
      </w:r>
      <w:r w:rsidRPr="008D6367">
        <w:rPr>
          <w:sz w:val="14"/>
        </w:rPr>
        <w:t xml:space="preserve">, </w:t>
      </w:r>
      <w:r w:rsidRPr="008D6367">
        <w:rPr>
          <w:rStyle w:val="StyleUnderline"/>
        </w:rPr>
        <w:t>plan without pause,</w:t>
      </w:r>
      <w:r w:rsidRPr="008D6367">
        <w:rPr>
          <w:sz w:val="14"/>
        </w:rPr>
        <w:t xml:space="preserve"> </w:t>
      </w:r>
      <w:r w:rsidRPr="008D6367">
        <w:rPr>
          <w:rStyle w:val="StyleUnderline"/>
        </w:rPr>
        <w:t>rebel without policy, conserve without patrimony</w:t>
      </w:r>
      <w:r w:rsidRPr="008D6367">
        <w:rPr>
          <w:sz w:val="14"/>
        </w:rPr>
        <w:t xml:space="preserve">. </w:t>
      </w:r>
      <w:r w:rsidRPr="008D6367">
        <w:rPr>
          <w:rStyle w:val="StyleUnderline"/>
        </w:rPr>
        <w:t>They study in the university and the university forces them under, relegates them to the state</w:t>
      </w:r>
      <w:r w:rsidRPr="008D6367">
        <w:rPr>
          <w:sz w:val="14"/>
        </w:rPr>
        <w:t xml:space="preserve"> of those without interests, without credit, without debt that bears interest, debt that earns credits. They never graduate. They just ain’t ready. Th</w:t>
      </w:r>
      <w:r w:rsidRPr="008D6367">
        <w:rPr>
          <w:rStyle w:val="StyleUnderline"/>
        </w:rPr>
        <w:t>ey’re building something in there, something down there, a different kind of speculation, a speculation called “study,” a debt speculation, a speculative mutuality</w:t>
      </w:r>
      <w:r w:rsidRPr="008D6367">
        <w:rPr>
          <w:sz w:val="14"/>
        </w:rPr>
        <w:t xml:space="preserve">. </w:t>
      </w:r>
      <w:r w:rsidRPr="008D6367">
        <w:rPr>
          <w:rStyle w:val="StyleUnderline"/>
        </w:rPr>
        <w:t>Mutual debt, unpayable debt, unbounded debt, unconsolidated debt, debt to each other in a study group, to others</w:t>
      </w:r>
      <w:r w:rsidRPr="008D6367">
        <w:rPr>
          <w:sz w:val="14"/>
        </w:rPr>
        <w:t xml:space="preserve"> in a nurses’ room, to others in barbershops, to others in a squat, a dump, the woods, a bed, an embrace. And in the undercommons of the university they meet to elaborate their debt without credit, their debt without number, without interest, without repayment. </w:t>
      </w:r>
      <w:r w:rsidRPr="008D6367">
        <w:rPr>
          <w:rStyle w:val="StyleUnderline"/>
        </w:rPr>
        <w:t>Here they meet those others who dwell in a different compulsion, in the same debt, a distance, forgetting, remembered again but only after</w:t>
      </w:r>
      <w:r w:rsidRPr="008D6367">
        <w:rPr>
          <w:sz w:val="14"/>
        </w:rPr>
        <w:t>. These other ones carry bags of newspaper clippings, or sit at the end of the bar, or stand at the stove cooking, or sit on a box at the newsstand, or speak through bars, or in tongues. These other ones have a passion for telling you what they have found, and they are surprised that you want to listen, even though they’ve been expecting you. Sometimes the story is not clear, or it starts in a whisper</w:t>
      </w:r>
      <w:r w:rsidRPr="008D6367">
        <w:rPr>
          <w:rStyle w:val="StyleUnderline"/>
        </w:rPr>
        <w:t>. It goes around again and again but listening</w:t>
      </w:r>
      <w:r w:rsidRPr="008D6367">
        <w:rPr>
          <w:sz w:val="14"/>
        </w:rPr>
        <w:t xml:space="preserve">—it is funny every time. This knowledge has been degraded, the research rejected. </w:t>
      </w:r>
      <w:r w:rsidRPr="008D6367">
        <w:rPr>
          <w:rStyle w:val="StyleUnderline"/>
        </w:rPr>
        <w:t xml:space="preserve">They can’t get access to books, and no one will publish them. Policy has concluded they are conspiratorial, heretical, criminal, amateur. Policy says they can’t handle debt and will never get credit. But if you listen to them, they will tell you: we will not handle credit, and we cannot handle debt, debt flows through us, and there’s no time to tell you everything, so much bad debt, so much to forget and remember again. But if we listen to them, they will say, “Come, let’s plan something together.” </w:t>
      </w:r>
      <w:r w:rsidRPr="008D6367">
        <w:rPr>
          <w:sz w:val="14"/>
        </w:rPr>
        <w:t>And that’s what we’re going to do. We’re telling all of you, but we’re not telling anyone else.</w:t>
      </w:r>
    </w:p>
    <w:p w:rsidR="007379F1" w:rsidRDefault="007379F1" w:rsidP="007379F1"/>
    <w:p w:rsidR="007379F1" w:rsidRPr="001E08D9" w:rsidRDefault="007379F1" w:rsidP="007379F1">
      <w:pPr>
        <w:rPr>
          <w:rStyle w:val="Style13ptBold"/>
        </w:rPr>
      </w:pPr>
      <w:r w:rsidRPr="001E08D9">
        <w:rPr>
          <w:rStyle w:val="Style13ptBold"/>
        </w:rPr>
        <w:t xml:space="preserve">Smith et al </w:t>
      </w:r>
    </w:p>
    <w:p w:rsidR="007379F1" w:rsidRDefault="007379F1" w:rsidP="007379F1">
      <w:r>
        <w:t xml:space="preserve">CHELDA SMITH University of Minnesota - ERIN DYKE University of Minnesota - MARY HERMES University of Minnesota—Twin Cities Life in the Undercommons  Sustaining Justice-Work Post Disillusionment  </w:t>
      </w:r>
      <w:hyperlink r:id="rId18" w:history="1">
        <w:r w:rsidRPr="00952A5B">
          <w:rPr>
            <w:rStyle w:val="Hyperlink"/>
          </w:rPr>
          <w:t>http://journal.jctonline.org/index.php/jct/article/view/480/pdf</w:t>
        </w:r>
      </w:hyperlink>
      <w:r>
        <w:t xml:space="preserve"> accessed 8-3-14</w:t>
      </w:r>
    </w:p>
    <w:p w:rsidR="007379F1" w:rsidRPr="002A3874" w:rsidRDefault="007379F1" w:rsidP="007379F1">
      <w:pPr>
        <w:rPr>
          <w:sz w:val="14"/>
        </w:rPr>
      </w:pPr>
      <w:r w:rsidRPr="002A3874">
        <w:rPr>
          <w:rStyle w:val="StyleUnderline"/>
        </w:rPr>
        <w:t>OUR SHARED EFFORTS TO ENGAGE IN JUSTICE WORK from within our various positions at the university are entangled in the institution’s and the broader education system’s complicity in (neo)colonialism, capitalism, and white supremacy.</w:t>
      </w:r>
      <w:r w:rsidRPr="002A3874">
        <w:rPr>
          <w:sz w:val="14"/>
        </w:rPr>
        <w:t xml:space="preserve"> We, and </w:t>
      </w:r>
      <w:r w:rsidRPr="002A3874">
        <w:rPr>
          <w:rStyle w:val="StyleUnderline"/>
        </w:rPr>
        <w:t>many others like us, attempt to dismantle this complicity even though our activities within the institution are disciplined through precarious funding situations, competitive grants processes, the devalorization of collaborative scholarship, and disciplining metrics that alienate us from our labor as educators and students</w:t>
      </w:r>
      <w:r w:rsidRPr="002A3874">
        <w:rPr>
          <w:sz w:val="14"/>
        </w:rPr>
        <w:t xml:space="preserve">. “In the face </w:t>
      </w:r>
      <w:r w:rsidRPr="002A3874">
        <w:rPr>
          <w:rStyle w:val="StyleUnderline"/>
        </w:rPr>
        <w:t>of these conditions one can only sneak into the university and steal what one can.</w:t>
      </w:r>
      <w:r w:rsidRPr="002A3874">
        <w:rPr>
          <w:sz w:val="14"/>
        </w:rPr>
        <w:t xml:space="preserve"> </w:t>
      </w:r>
      <w:r w:rsidRPr="002A3874">
        <w:rPr>
          <w:rStyle w:val="StyleUnderline"/>
        </w:rPr>
        <w:t>To abuse its hospitality</w:t>
      </w:r>
      <w:r w:rsidRPr="002A3874">
        <w:rPr>
          <w:sz w:val="14"/>
        </w:rPr>
        <w:t xml:space="preserve">, </w:t>
      </w:r>
      <w:r w:rsidRPr="002A3874">
        <w:rPr>
          <w:rStyle w:val="StyleUnderline"/>
        </w:rPr>
        <w:t>to spite its mission, to join its refugee colony,</w:t>
      </w:r>
      <w:r w:rsidRPr="002A3874">
        <w:rPr>
          <w:sz w:val="14"/>
        </w:rPr>
        <w:t xml:space="preserve"> its gypsy encampment, to be in but not of— this is the path of the subversive intellectual in the modern university” (Moten &amp; Harney, 2004, p. 101). This essay is the product of our stolen time (away from grading, meetings, assistantships, etc.) to collectively better understand the tensions between our motivations for being at the university and our experiences while here. </w:t>
      </w:r>
      <w:r w:rsidRPr="002A3874">
        <w:rPr>
          <w:rStyle w:val="StyleUnderline"/>
        </w:rPr>
        <w:t>We share our desires for the university to be a free space to think creatively and engage in social change and our lived experiences of the university as an institution that rewards and maintains the status quo of the education system</w:t>
      </w:r>
      <w:r w:rsidRPr="002A3874">
        <w:rPr>
          <w:sz w:val="14"/>
        </w:rPr>
        <w:t xml:space="preserve">.  In this essay, we explore </w:t>
      </w:r>
      <w:r w:rsidRPr="002A3874">
        <w:rPr>
          <w:rStyle w:val="StyleUnderline"/>
        </w:rPr>
        <w:t>our work in relation to our struggles within the university from our various positions as tenured professor and graduate students. Our collaboration on this project evolved from a seminar on language and culture, a space that facilitated the centering and exploration of our identities.</w:t>
      </w:r>
      <w:r w:rsidRPr="002A3874">
        <w:rPr>
          <w:sz w:val="14"/>
        </w:rPr>
        <w:t xml:space="preserve"> The three of us, who self- identify respectively as of mixed-cultural-heritage (Mary), white (Erin), and Haitian (Chelda), engaged in a series of group discussions to explore these identities, our commitments to justice, and our positions within the university. These conversations opened up further space to better understand and collectivize our experiences in the institution. We begin by presenting a brief critique of the university. </w:t>
      </w:r>
      <w:r w:rsidRPr="002A3874">
        <w:rPr>
          <w:rStyle w:val="StyleUnderline"/>
        </w:rPr>
        <w:t>We then focus our personal and shared narratives around a few overlapping themes: legitimizing modes of knowledge production, the separation and dichotomization of the university and “community,” and the tensions involved in moving between and merging scholarship and activism</w:t>
      </w:r>
      <w:r w:rsidRPr="002A3874">
        <w:rPr>
          <w:sz w:val="14"/>
        </w:rPr>
        <w:t>. We conclude by further drawing inspiration from Moten and Harney’s (2004) notion of the undercommons of the university to understand how we can collectively support and enable each other, our colleagues and our students to do justice work in and beyond the academy. Out of our agitation and disillusionment with the university, we discovered the undercommons. It is a place where we can collectively learn to form cracks in the institution that enable the Others to invade the university and a space of tension where we can interrogate the practices of the university. We, and others like us, who seek to affect equitable change within and beyond the institutions that employ and educate us, are members of the undercommons.   In our following narratives, we all imagined the university might be a supportive place to study and do something about education and oppression. However</w:t>
      </w:r>
      <w:r w:rsidRPr="002A3874">
        <w:rPr>
          <w:rStyle w:val="StyleUnderline"/>
        </w:rPr>
        <w:t>, our experiences of struggling for funding and legitimacy in our projects, disciplining our students through metrics while we are disciplined ourselves, our student debt, and our attempts to resist the individualization of academic work have disillusioned us from the institution as any sort of noble or free place</w:t>
      </w:r>
      <w:r w:rsidRPr="002A3874">
        <w:rPr>
          <w:sz w:val="14"/>
        </w:rPr>
        <w:t xml:space="preserve">. Resources and support for meaningful classroom experiences, reliable funding and security, and collaborative scholarship are not inherent to the institution. </w:t>
      </w:r>
      <w:r w:rsidRPr="002A3874">
        <w:rPr>
          <w:rStyle w:val="StyleUnderline"/>
        </w:rPr>
        <w:t>These are things we must struggle to collectively self- organize in order to support and enable each other in our work revitalizing indigenous languages, challenging the devaluation of indigenous, black, brown and migrant knowledge’s and experiences at the university, organizing university workers through solidarity unionism, among other struggles and movements of which we are a part</w:t>
      </w:r>
      <w:r w:rsidRPr="002A3874">
        <w:rPr>
          <w:sz w:val="14"/>
        </w:rPr>
        <w:t>.</w:t>
      </w:r>
    </w:p>
    <w:p w:rsidR="007379F1" w:rsidRDefault="007379F1" w:rsidP="007379F1"/>
    <w:p w:rsidR="007379F1" w:rsidRPr="005B317D" w:rsidRDefault="007379F1" w:rsidP="007379F1">
      <w:pPr>
        <w:pStyle w:val="Heading2"/>
      </w:pPr>
      <w:r>
        <w:t xml:space="preserve">Need to do more than explore 1 ocean </w:t>
      </w:r>
    </w:p>
    <w:p w:rsidR="007379F1" w:rsidRDefault="007379F1" w:rsidP="007379F1">
      <w:pPr>
        <w:pStyle w:val="Heading4"/>
      </w:pPr>
      <w:r>
        <w:t>Exploration includes all aspects of the ocean</w:t>
      </w:r>
    </w:p>
    <w:p w:rsidR="007379F1" w:rsidRDefault="007379F1" w:rsidP="007379F1">
      <w:r w:rsidRPr="007517B6">
        <w:rPr>
          <w:rStyle w:val="Style13ptBold"/>
        </w:rPr>
        <w:t>NOAA 13</w:t>
      </w:r>
      <w:r>
        <w:t xml:space="preserve">    </w:t>
      </w:r>
    </w:p>
    <w:p w:rsidR="007379F1" w:rsidRDefault="007379F1" w:rsidP="007379F1">
      <w:r>
        <w:t xml:space="preserve">NOAA Report of Ocean Exploration 2020: A National Forum. 2013 </w:t>
      </w:r>
      <w:r w:rsidRPr="00D50061">
        <w:t>http://oceanexplorer.noaa.gov/oceanexploration2020/oe2020_report.pdf</w:t>
      </w:r>
    </w:p>
    <w:p w:rsidR="007379F1" w:rsidRPr="001B40C4" w:rsidRDefault="007379F1" w:rsidP="007379F1">
      <w:pPr>
        <w:pStyle w:val="CardIndented"/>
        <w:ind w:left="0"/>
        <w:rPr>
          <w:rStyle w:val="StyleUnderline"/>
          <w:rFonts w:cstheme="minorBidi"/>
        </w:rPr>
      </w:pPr>
      <w:r>
        <w:t xml:space="preserve">Participants noted that </w:t>
      </w:r>
      <w:r w:rsidRPr="001B40C4">
        <w:rPr>
          <w:rStyle w:val="StyleUnderline"/>
        </w:rPr>
        <w:t>“ocean exploration” includes everything from the sub-sea floor to the ocean</w:t>
      </w:r>
      <w:r>
        <w:rPr>
          <w:rStyle w:val="StyleUnderline"/>
        </w:rPr>
        <w:t xml:space="preserve"> </w:t>
      </w:r>
      <w:r w:rsidRPr="001B40C4">
        <w:rPr>
          <w:rStyle w:val="StyleUnderline"/>
        </w:rPr>
        <w:t>surface.</w:t>
      </w:r>
      <w:r>
        <w:rPr>
          <w:rStyle w:val="StyleUnderline"/>
        </w:rPr>
        <w:t xml:space="preserve"> </w:t>
      </w:r>
      <w:r w:rsidRPr="001B40C4">
        <w:rPr>
          <w:rStyle w:val="StyleUnderline"/>
        </w:rPr>
        <w:t>In all of these geographic areas, participants agreed that a greater emphasis should be placed on exploring the water column than often has been the case in the past.</w:t>
      </w:r>
    </w:p>
    <w:p w:rsidR="007379F1" w:rsidRPr="004255F4" w:rsidRDefault="007379F1" w:rsidP="007379F1">
      <w:pPr>
        <w:pStyle w:val="Heading4"/>
      </w:pPr>
      <w:r>
        <w:t>"O</w:t>
      </w:r>
      <w:r w:rsidRPr="004255F4">
        <w:t>ceans" is plural of ocean</w:t>
      </w:r>
      <w:r>
        <w:t xml:space="preserve">, and </w:t>
      </w:r>
      <w:r w:rsidRPr="004255F4">
        <w:t>as a count noun</w:t>
      </w:r>
      <w:r>
        <w:t>, refers</w:t>
      </w:r>
      <w:r w:rsidRPr="004255F4">
        <w:t xml:space="preserve"> to more than one of the individual oceans</w:t>
      </w:r>
    </w:p>
    <w:p w:rsidR="007379F1" w:rsidRDefault="007379F1" w:rsidP="007379F1">
      <w:pPr>
        <w:pStyle w:val="CardIndented"/>
        <w:ind w:left="0"/>
      </w:pPr>
      <w:r w:rsidRPr="004255F4">
        <w:rPr>
          <w:rStyle w:val="Style13ptBold"/>
        </w:rPr>
        <w:t>Merriam-Webster 14</w:t>
      </w:r>
      <w:r>
        <w:t xml:space="preserve">       </w:t>
      </w:r>
    </w:p>
    <w:p w:rsidR="007379F1" w:rsidRDefault="007379F1" w:rsidP="007379F1">
      <w:pPr>
        <w:pStyle w:val="CardIndented"/>
        <w:ind w:left="0"/>
      </w:pPr>
      <w:r>
        <w:t xml:space="preserve">Merriam-Webster Learner's Dictionary2014 </w:t>
      </w:r>
      <w:hyperlink r:id="rId19" w:history="1">
        <w:r w:rsidRPr="00A76E04">
          <w:rPr>
            <w:rStyle w:val="Hyperlink"/>
          </w:rPr>
          <w:t>http://www.learnersdictionary.com/definition/ocean</w:t>
        </w:r>
      </w:hyperlink>
    </w:p>
    <w:p w:rsidR="007379F1" w:rsidRPr="005B317D" w:rsidRDefault="007379F1" w:rsidP="007379F1">
      <w:pPr>
        <w:pStyle w:val="CardIndented"/>
        <w:ind w:left="0"/>
        <w:rPr>
          <w:sz w:val="14"/>
        </w:rPr>
      </w:pPr>
      <w:r w:rsidRPr="004255F4">
        <w:rPr>
          <w:rStyle w:val="StyleUnderline"/>
        </w:rPr>
        <w:t>ocean</w:t>
      </w:r>
      <w:r>
        <w:rPr>
          <w:rStyle w:val="StyleUnderline"/>
        </w:rPr>
        <w:t xml:space="preserve"> </w:t>
      </w:r>
      <w:r w:rsidRPr="005B317D">
        <w:rPr>
          <w:sz w:val="14"/>
        </w:rPr>
        <w:t>Listen to audio/</w:t>
      </w:r>
      <w:r w:rsidRPr="005B317D">
        <w:rPr>
          <w:rFonts w:ascii="Times New Roman" w:hAnsi="Times New Roman" w:cs="Times New Roman"/>
          <w:sz w:val="14"/>
        </w:rPr>
        <w:t>ˈ</w:t>
      </w:r>
      <w:r w:rsidRPr="005B317D">
        <w:rPr>
          <w:sz w:val="14"/>
        </w:rPr>
        <w:t>o</w:t>
      </w:r>
      <w:r w:rsidRPr="005B317D">
        <w:rPr>
          <w:rFonts w:ascii="Times New Roman" w:hAnsi="Times New Roman" w:cs="Times New Roman"/>
          <w:sz w:val="14"/>
        </w:rPr>
        <w:t>ʊʃə</w:t>
      </w:r>
      <w:r w:rsidRPr="005B317D">
        <w:rPr>
          <w:sz w:val="14"/>
        </w:rPr>
        <w:t xml:space="preserve">n/ noun </w:t>
      </w:r>
      <w:r w:rsidRPr="004255F4">
        <w:rPr>
          <w:rStyle w:val="StyleUnderline"/>
        </w:rPr>
        <w:t>plural oceans</w:t>
      </w:r>
      <w:r>
        <w:rPr>
          <w:rStyle w:val="StyleUnderline"/>
        </w:rPr>
        <w:t xml:space="preserve"> </w:t>
      </w:r>
      <w:r w:rsidRPr="005B317D">
        <w:rPr>
          <w:sz w:val="14"/>
        </w:rPr>
        <w:t xml:space="preserve">1 [noncount] : the salt water that covers much of the Earth's surface </w:t>
      </w:r>
      <w:r w:rsidRPr="005B317D">
        <w:rPr>
          <w:rFonts w:ascii="Times New Roman" w:hAnsi="Times New Roman" w:cs="Times New Roman"/>
          <w:sz w:val="14"/>
        </w:rPr>
        <w:t>▪</w:t>
      </w:r>
      <w:r w:rsidRPr="005B317D">
        <w:rPr>
          <w:sz w:val="14"/>
        </w:rPr>
        <w:t xml:space="preserve"> We've sailed across hundreds of miles of ocean. — often used with the </w:t>
      </w:r>
      <w:r w:rsidRPr="005B317D">
        <w:rPr>
          <w:rFonts w:ascii="Times New Roman" w:hAnsi="Times New Roman" w:cs="Times New Roman"/>
          <w:sz w:val="14"/>
        </w:rPr>
        <w:t>▪</w:t>
      </w:r>
      <w:r w:rsidRPr="005B317D">
        <w:rPr>
          <w:sz w:val="14"/>
        </w:rPr>
        <w:t xml:space="preserve"> They lived near the ocean. [=the sea] </w:t>
      </w:r>
      <w:r w:rsidRPr="005B317D">
        <w:rPr>
          <w:rFonts w:ascii="Times New Roman" w:hAnsi="Times New Roman" w:cs="Times New Roman"/>
          <w:sz w:val="14"/>
        </w:rPr>
        <w:t>▪</w:t>
      </w:r>
      <w:r w:rsidRPr="005B317D">
        <w:rPr>
          <w:sz w:val="14"/>
        </w:rPr>
        <w:t xml:space="preserve"> He had never seen the ocean before. </w:t>
      </w:r>
      <w:r w:rsidRPr="005B317D">
        <w:rPr>
          <w:rFonts w:ascii="Times New Roman" w:hAnsi="Times New Roman" w:cs="Times New Roman"/>
          <w:sz w:val="14"/>
        </w:rPr>
        <w:t>▪</w:t>
      </w:r>
      <w:r w:rsidRPr="005B317D">
        <w:rPr>
          <w:sz w:val="14"/>
        </w:rPr>
        <w:t xml:space="preserve"> There's a storm moving in from the ocean. </w:t>
      </w:r>
      <w:r w:rsidRPr="005B317D">
        <w:rPr>
          <w:rFonts w:ascii="Times New Roman" w:hAnsi="Times New Roman" w:cs="Times New Roman"/>
          <w:sz w:val="14"/>
        </w:rPr>
        <w:t>▪</w:t>
      </w:r>
      <w:r w:rsidRPr="005B317D">
        <w:rPr>
          <w:sz w:val="14"/>
        </w:rPr>
        <w:t xml:space="preserve"> The ship quickly sank to the bottom of the ocean. </w:t>
      </w:r>
      <w:r w:rsidRPr="005B317D">
        <w:rPr>
          <w:rFonts w:ascii="Times New Roman" w:hAnsi="Times New Roman" w:cs="Times New Roman"/>
          <w:sz w:val="14"/>
        </w:rPr>
        <w:t>▪</w:t>
      </w:r>
      <w:r w:rsidRPr="005B317D">
        <w:rPr>
          <w:sz w:val="14"/>
        </w:rPr>
        <w:t xml:space="preserve"> the deepest parts of the ocean — often used before another noun </w:t>
      </w:r>
      <w:r w:rsidRPr="005B317D">
        <w:rPr>
          <w:rFonts w:ascii="Times New Roman" w:hAnsi="Times New Roman" w:cs="Times New Roman"/>
          <w:sz w:val="14"/>
        </w:rPr>
        <w:t>▪</w:t>
      </w:r>
      <w:r w:rsidRPr="005B317D">
        <w:rPr>
          <w:sz w:val="14"/>
        </w:rPr>
        <w:t xml:space="preserve"> the ocean floor/bottom/surface </w:t>
      </w:r>
      <w:r w:rsidRPr="005B317D">
        <w:rPr>
          <w:rFonts w:ascii="Times New Roman" w:hAnsi="Times New Roman" w:cs="Times New Roman"/>
          <w:sz w:val="14"/>
        </w:rPr>
        <w:t>▪</w:t>
      </w:r>
      <w:r w:rsidRPr="005B317D">
        <w:rPr>
          <w:sz w:val="14"/>
        </w:rPr>
        <w:t xml:space="preserve"> the salty ocean air </w:t>
      </w:r>
      <w:r w:rsidRPr="005B317D">
        <w:rPr>
          <w:rFonts w:ascii="Times New Roman" w:hAnsi="Times New Roman" w:cs="Times New Roman"/>
          <w:sz w:val="14"/>
        </w:rPr>
        <w:t>▪</w:t>
      </w:r>
      <w:r w:rsidRPr="005B317D">
        <w:rPr>
          <w:sz w:val="14"/>
        </w:rPr>
        <w:t xml:space="preserve"> ocean fish </w:t>
      </w:r>
      <w:r w:rsidRPr="005B317D">
        <w:rPr>
          <w:rFonts w:ascii="Times New Roman" w:hAnsi="Times New Roman" w:cs="Times New Roman"/>
          <w:sz w:val="14"/>
        </w:rPr>
        <w:t>▪</w:t>
      </w:r>
      <w:r w:rsidRPr="005B317D">
        <w:rPr>
          <w:sz w:val="14"/>
        </w:rPr>
        <w:t xml:space="preserve"> an ocean voyage/liner — see color picture 2 or </w:t>
      </w:r>
      <w:r w:rsidRPr="004255F4">
        <w:rPr>
          <w:rStyle w:val="StyleUnderline"/>
        </w:rPr>
        <w:t>Ocean [count] : one of the five large areas of salt water that cover much of the Earth's surface</w:t>
      </w:r>
      <w:r>
        <w:rPr>
          <w:rStyle w:val="StyleUnderline"/>
        </w:rPr>
        <w:t xml:space="preserve"> </w:t>
      </w:r>
      <w:r w:rsidRPr="004255F4">
        <w:rPr>
          <w:rStyle w:val="StyleUnderline"/>
          <w:rFonts w:ascii="Times New Roman" w:hAnsi="Times New Roman" w:cs="Times New Roman"/>
        </w:rPr>
        <w:t>▪</w:t>
      </w:r>
      <w:r w:rsidRPr="004255F4">
        <w:rPr>
          <w:rStyle w:val="StyleUnderline"/>
        </w:rPr>
        <w:t xml:space="preserve"> the Atlantic Ocean </w:t>
      </w:r>
      <w:r w:rsidRPr="004255F4">
        <w:rPr>
          <w:rStyle w:val="StyleUnderline"/>
          <w:rFonts w:ascii="Times New Roman" w:hAnsi="Times New Roman" w:cs="Times New Roman"/>
        </w:rPr>
        <w:t>▪</w:t>
      </w:r>
      <w:r w:rsidRPr="004255F4">
        <w:rPr>
          <w:rStyle w:val="StyleUnderline"/>
        </w:rPr>
        <w:t xml:space="preserve"> the Pacific and Indian oceans </w:t>
      </w:r>
      <w:r w:rsidRPr="004255F4">
        <w:rPr>
          <w:rStyle w:val="StyleUnderline"/>
          <w:rFonts w:ascii="Times New Roman" w:hAnsi="Times New Roman" w:cs="Times New Roman"/>
        </w:rPr>
        <w:t>▪</w:t>
      </w:r>
      <w:r w:rsidRPr="004255F4">
        <w:rPr>
          <w:rStyle w:val="StyleUnderline"/>
        </w:rPr>
        <w:t xml:space="preserve"> the Arctic/Antarctic Ocean</w:t>
      </w:r>
      <w:r>
        <w:rPr>
          <w:rStyle w:val="StyleUnderline"/>
        </w:rPr>
        <w:t xml:space="preserve"> </w:t>
      </w:r>
      <w:r w:rsidRPr="005B317D">
        <w:rPr>
          <w:sz w:val="14"/>
        </w:rPr>
        <w:t xml:space="preserve">3 [count] informal : a very large number or amount of something </w:t>
      </w:r>
      <w:r w:rsidRPr="005B317D">
        <w:rPr>
          <w:rFonts w:ascii="Times New Roman" w:hAnsi="Times New Roman" w:cs="Times New Roman"/>
          <w:sz w:val="14"/>
        </w:rPr>
        <w:t>▪</w:t>
      </w:r>
      <w:r w:rsidRPr="005B317D">
        <w:rPr>
          <w:sz w:val="14"/>
        </w:rPr>
        <w:t xml:space="preserve"> an ocean of sadness — often plural </w:t>
      </w:r>
      <w:r w:rsidRPr="005B317D">
        <w:rPr>
          <w:rFonts w:ascii="Times New Roman" w:hAnsi="Times New Roman" w:cs="Times New Roman"/>
          <w:sz w:val="14"/>
        </w:rPr>
        <w:t>▪</w:t>
      </w:r>
      <w:r w:rsidRPr="005B317D">
        <w:rPr>
          <w:sz w:val="14"/>
        </w:rPr>
        <w:t xml:space="preserve"> oceans of time [=lots of time]</w:t>
      </w:r>
    </w:p>
    <w:p w:rsidR="007379F1" w:rsidRDefault="007379F1" w:rsidP="007379F1">
      <w:pPr>
        <w:rPr>
          <w:rStyle w:val="Style13ptBold"/>
          <w:rFonts w:cs="Calibri"/>
        </w:rPr>
      </w:pPr>
    </w:p>
    <w:p w:rsidR="007379F1" w:rsidRDefault="007379F1" w:rsidP="007379F1">
      <w:pPr>
        <w:pStyle w:val="Heading2"/>
      </w:pPr>
      <w:r>
        <w:t xml:space="preserve">Defend USFG </w:t>
      </w:r>
    </w:p>
    <w:p w:rsidR="007379F1" w:rsidRPr="00560CAB" w:rsidRDefault="007379F1" w:rsidP="007379F1">
      <w:pPr>
        <w:pStyle w:val="Heading4"/>
      </w:pPr>
      <w:r>
        <w:t xml:space="preserve">The USFG is defined as the government in the Constitution </w:t>
      </w:r>
    </w:p>
    <w:p w:rsidR="007379F1" w:rsidRPr="003773EB" w:rsidRDefault="007379F1" w:rsidP="007379F1">
      <w:pPr>
        <w:pStyle w:val="CardIndented"/>
        <w:ind w:left="0"/>
        <w:rPr>
          <w:lang w:val="es-MX"/>
        </w:rPr>
      </w:pPr>
      <w:r w:rsidRPr="003773EB">
        <w:rPr>
          <w:rStyle w:val="Style13ptBold"/>
          <w:lang w:val="es-MX"/>
        </w:rPr>
        <w:t>Columbia Encyclopedia '9</w:t>
      </w:r>
      <w:r w:rsidRPr="003773EB">
        <w:rPr>
          <w:lang w:val="es-MX"/>
        </w:rPr>
        <w:t xml:space="preserve"> </w:t>
      </w:r>
    </w:p>
    <w:p w:rsidR="007379F1" w:rsidRPr="003773EB" w:rsidRDefault="007379F1" w:rsidP="007379F1">
      <w:pPr>
        <w:pStyle w:val="CardIndented"/>
        <w:ind w:left="0"/>
        <w:rPr>
          <w:lang w:val="es-MX"/>
        </w:rPr>
      </w:pPr>
      <w:r w:rsidRPr="003773EB">
        <w:rPr>
          <w:lang w:val="es-MX"/>
        </w:rPr>
        <w:t xml:space="preserve"> http://education.yahoo.com/reference/encyclopedia/entry/US</w:t>
      </w:r>
    </w:p>
    <w:p w:rsidR="007379F1" w:rsidRPr="00560CAB" w:rsidRDefault="007379F1" w:rsidP="007379F1">
      <w:pPr>
        <w:pStyle w:val="CardIndented"/>
        <w:ind w:left="0"/>
        <w:rPr>
          <w:sz w:val="14"/>
        </w:rPr>
      </w:pPr>
      <w:r w:rsidRPr="00A304AE">
        <w:rPr>
          <w:rStyle w:val="StyleUnderline"/>
        </w:rPr>
        <w:t>The government of the United States is that of a federal republic set up by the Constitution of the United States</w:t>
      </w:r>
      <w:r w:rsidRPr="00560CAB">
        <w:rPr>
          <w:sz w:val="14"/>
        </w:rPr>
        <w:t xml:space="preserve">, adopted by the Constitutional Convention of 1787. </w:t>
      </w:r>
      <w:r w:rsidRPr="00A304AE">
        <w:rPr>
          <w:rStyle w:val="StyleUnderline"/>
        </w:rPr>
        <w:t>There is a division of powers between the federal government and the state governments. The federal government consists of three branches: the executive, the legislative, and the judicial.</w:t>
      </w:r>
      <w:r w:rsidRPr="00560CAB">
        <w:rPr>
          <w:sz w:val="14"/>
        </w:rPr>
        <w:t xml:space="preserve">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 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rsidR="007379F1" w:rsidRPr="00A304AE" w:rsidRDefault="007379F1" w:rsidP="007379F1">
      <w:pPr>
        <w:pStyle w:val="Heading4"/>
      </w:pPr>
      <w:r>
        <w:t>The USFG is the government defined in the Constitution</w:t>
      </w:r>
    </w:p>
    <w:p w:rsidR="007379F1" w:rsidRDefault="007379F1" w:rsidP="007379F1">
      <w:pPr>
        <w:pStyle w:val="CardIndented"/>
        <w:ind w:left="0"/>
      </w:pPr>
      <w:r w:rsidRPr="00A304AE">
        <w:rPr>
          <w:rStyle w:val="Style13ptBold"/>
        </w:rPr>
        <w:t>Oxford 11</w:t>
      </w:r>
      <w:r w:rsidRPr="00A304AE">
        <w:t xml:space="preserve"> </w:t>
      </w:r>
    </w:p>
    <w:p w:rsidR="007379F1" w:rsidRPr="00A304AE" w:rsidRDefault="007379F1" w:rsidP="007379F1">
      <w:pPr>
        <w:pStyle w:val="CardIndented"/>
        <w:ind w:left="0"/>
      </w:pPr>
      <w:r w:rsidRPr="00A304AE">
        <w:t xml:space="preserve"> Oxford Advanced Learner's Dictionary</w:t>
      </w:r>
      <w:r>
        <w:t xml:space="preserve"> </w:t>
      </w:r>
      <w:r w:rsidRPr="00A304AE">
        <w:t>2011   http://oald8.oxfordlearnersdictionaries.com/dictionary/federal-government</w:t>
      </w:r>
    </w:p>
    <w:p w:rsidR="007379F1" w:rsidRPr="00560CAB" w:rsidRDefault="007379F1" w:rsidP="007379F1">
      <w:pPr>
        <w:pStyle w:val="CardIndented"/>
        <w:ind w:left="0"/>
        <w:rPr>
          <w:sz w:val="14"/>
        </w:rPr>
      </w:pPr>
      <w:r w:rsidRPr="00A304AE">
        <w:rPr>
          <w:rStyle w:val="StyleUnderline"/>
        </w:rPr>
        <w:t>federal government</w:t>
      </w:r>
      <w:r>
        <w:rPr>
          <w:rStyle w:val="StyleUnderline"/>
        </w:rPr>
        <w:t xml:space="preserve"> </w:t>
      </w:r>
      <w:r w:rsidRPr="00A304AE">
        <w:rPr>
          <w:rStyle w:val="StyleUnderline"/>
        </w:rPr>
        <w:t>(in the US) the system of government as defined in the Constitution which is based on the separation of powers among three branches:</w:t>
      </w:r>
      <w:r w:rsidRPr="00560CAB">
        <w:rPr>
          <w:sz w:val="14"/>
        </w:rPr>
        <w:t xml:space="preserve"> the executive, the legislative and the judicial. This system provides a series of checks and balances because each branch is able to limit the power of the others. The executive branch consists of the President and Vice-President, based in the White House in Washington, DC, and government departments and agencies. The President can approve or stop laws proposed by Congress, appoints senior officials, such as heads of government departments and federal judges, and is also Commander-in-Chief of the military forces. There are 15 government departments, the heads of which make up the Cabinet which meets regularly to discuss current affairs and advise the President. The legislative branch is the Congress which is made up of the two houses, the Senate and the House of Representatives which both meet in the Capitol Building in Washington, DC. The main job of Congress is to make laws, but its other responsibilities include establishing federal courts, setting taxes and, if necessary, declaring war. The President and members of Congress are chosen in separate elections. The Senate has 100 members, two from each state, both of whom represent the whole state and are elected for six years. The House of Representatives has 435 members, who are elected every two years. The number of members from each state depends on the population of the state, with larger states divided into districts, each with one representative. The judicial branch of government has three levels: the Supreme Court, 13 courts of appeal and many federal district courts. The Supreme Court has nine members, called justices who are chosen by the President and headed by the Chief Justice. The Supreme Court has the power to influence the law through a process called judicial review.</w:t>
      </w:r>
    </w:p>
    <w:p w:rsidR="007379F1" w:rsidRPr="00A304AE" w:rsidRDefault="007379F1" w:rsidP="007379F1">
      <w:pPr>
        <w:pStyle w:val="Heading4"/>
      </w:pPr>
      <w:r w:rsidRPr="00A304AE">
        <w:t>USFG is the national government</w:t>
      </w:r>
      <w:r>
        <w:t xml:space="preserve">- nothing else </w:t>
      </w:r>
    </w:p>
    <w:p w:rsidR="007379F1" w:rsidRDefault="007379F1" w:rsidP="007379F1">
      <w:pPr>
        <w:pStyle w:val="CardIndented"/>
      </w:pPr>
      <w:r w:rsidRPr="00A304AE">
        <w:rPr>
          <w:rStyle w:val="Style13ptBold"/>
        </w:rPr>
        <w:t>Oran's 2K</w:t>
      </w:r>
      <w:r w:rsidRPr="00A304AE">
        <w:t xml:space="preserve">    </w:t>
      </w:r>
    </w:p>
    <w:p w:rsidR="007379F1" w:rsidRDefault="007379F1" w:rsidP="007379F1">
      <w:pPr>
        <w:pStyle w:val="CardIndented"/>
        <w:ind w:left="0"/>
      </w:pPr>
      <w:r w:rsidRPr="00A304AE">
        <w:t>Oran's Dictionary of the Law</w:t>
      </w:r>
      <w:r>
        <w:t xml:space="preserve"> </w:t>
      </w:r>
      <w:r w:rsidRPr="00A304AE">
        <w:t>2K</w:t>
      </w:r>
      <w:r>
        <w:t xml:space="preserve"> </w:t>
      </w:r>
      <w:r w:rsidRPr="00A304AE">
        <w:t>Daniel Oran and Mark Toski, eds ebook p. 193</w:t>
      </w:r>
    </w:p>
    <w:p w:rsidR="007379F1" w:rsidRDefault="007379F1" w:rsidP="007379F1">
      <w:pPr>
        <w:pStyle w:val="CardIndented"/>
        <w:ind w:left="0"/>
        <w:rPr>
          <w:sz w:val="14"/>
        </w:rPr>
      </w:pPr>
      <w:r w:rsidRPr="00560CAB">
        <w:rPr>
          <w:sz w:val="14"/>
        </w:rPr>
        <w:t xml:space="preserve"> Federal 1.A federal union is two or more states uniting into one strong central government with many powers left to the states. 2. </w:t>
      </w:r>
      <w:r w:rsidRPr="00A304AE">
        <w:rPr>
          <w:rStyle w:val="StyleUnderline"/>
        </w:rPr>
        <w:t>The U.S. federal government is the national, as opposed to state, government</w:t>
      </w:r>
      <w:r w:rsidRPr="00560CAB">
        <w:rPr>
          <w:sz w:val="14"/>
        </w:rPr>
        <w:t>. 3. For the various federal agencies that are not listed here or by name, look under their initials at the start of the letter.</w:t>
      </w:r>
    </w:p>
    <w:p w:rsidR="007379F1" w:rsidRPr="00560CAB" w:rsidRDefault="007379F1" w:rsidP="007379F1">
      <w:pPr>
        <w:pStyle w:val="Heading4"/>
      </w:pPr>
      <w:r>
        <w:t xml:space="preserve"> USFG is the national government of our country </w:t>
      </w:r>
    </w:p>
    <w:p w:rsidR="007379F1" w:rsidRDefault="007379F1" w:rsidP="007379F1">
      <w:pPr>
        <w:pStyle w:val="CardIndented"/>
        <w:ind w:left="0"/>
      </w:pPr>
      <w:r w:rsidRPr="00A304AE">
        <w:t xml:space="preserve"> </w:t>
      </w:r>
      <w:r w:rsidRPr="00A304AE">
        <w:rPr>
          <w:rStyle w:val="Style13ptBold"/>
        </w:rPr>
        <w:t>Investor Words 13</w:t>
      </w:r>
      <w:r w:rsidRPr="00A304AE">
        <w:t xml:space="preserve">  </w:t>
      </w:r>
    </w:p>
    <w:p w:rsidR="007379F1" w:rsidRPr="00A304AE" w:rsidRDefault="007379F1" w:rsidP="007379F1">
      <w:pPr>
        <w:pStyle w:val="CardIndented"/>
        <w:ind w:left="0"/>
      </w:pPr>
      <w:r w:rsidRPr="00A304AE">
        <w:t>InvestorWords.com   http://www.investorwords.com/1895/Federal.html</w:t>
      </w:r>
    </w:p>
    <w:p w:rsidR="007379F1" w:rsidRDefault="007379F1" w:rsidP="007379F1">
      <w:pPr>
        <w:pStyle w:val="CardIndented"/>
        <w:ind w:left="0"/>
      </w:pPr>
      <w:r w:rsidRPr="00A304AE">
        <w:rPr>
          <w:rStyle w:val="StyleUnderline"/>
        </w:rPr>
        <w:t>federal - Pertaining to the national government of a country</w:t>
      </w:r>
      <w:r w:rsidRPr="00A304AE">
        <w:t>.</w:t>
      </w:r>
    </w:p>
    <w:p w:rsidR="007379F1" w:rsidRPr="00A304AE" w:rsidRDefault="007379F1" w:rsidP="007379F1">
      <w:pPr>
        <w:pStyle w:val="CardIndented"/>
        <w:ind w:left="0"/>
      </w:pPr>
    </w:p>
    <w:p w:rsidR="007379F1" w:rsidRPr="00A304AE" w:rsidRDefault="007379F1" w:rsidP="007379F1">
      <w:pPr>
        <w:pStyle w:val="Heading4"/>
      </w:pPr>
      <w:r>
        <w:t>USFG is the central government of a group of states</w:t>
      </w:r>
    </w:p>
    <w:p w:rsidR="007379F1" w:rsidRDefault="007379F1" w:rsidP="007379F1">
      <w:pPr>
        <w:pStyle w:val="CardIndented"/>
        <w:ind w:left="0"/>
      </w:pPr>
      <w:r w:rsidRPr="00A304AE">
        <w:rPr>
          <w:rStyle w:val="Style13ptBold"/>
        </w:rPr>
        <w:t>Hill 1</w:t>
      </w:r>
      <w:r w:rsidRPr="00A304AE">
        <w:t xml:space="preserve">   </w:t>
      </w:r>
    </w:p>
    <w:p w:rsidR="007379F1" w:rsidRPr="00A304AE" w:rsidRDefault="007379F1" w:rsidP="007379F1">
      <w:pPr>
        <w:pStyle w:val="CardIndented"/>
        <w:ind w:left="0"/>
      </w:pPr>
      <w:r w:rsidRPr="00A304AE">
        <w:t>Kathleen Thompson Hill and Gerald N. Hill, The Facts on File Dictionary of American Politics  p 103</w:t>
      </w:r>
    </w:p>
    <w:p w:rsidR="007379F1" w:rsidRPr="00560CAB" w:rsidRDefault="007379F1" w:rsidP="007379F1">
      <w:pPr>
        <w:pStyle w:val="CardIndented"/>
        <w:ind w:left="0"/>
        <w:rPr>
          <w:sz w:val="14"/>
        </w:rPr>
      </w:pPr>
      <w:r w:rsidRPr="00560CAB">
        <w:rPr>
          <w:rStyle w:val="StyleUnderline"/>
        </w:rPr>
        <w:t>federal – pertaining to a national, central government</w:t>
      </w:r>
      <w:r w:rsidRPr="00A304AE">
        <w:rPr>
          <w:rStyle w:val="StyleUnderline"/>
        </w:rPr>
        <w:t xml:space="preserve"> </w:t>
      </w:r>
      <w:r w:rsidRPr="00560CAB">
        <w:rPr>
          <w:sz w:val="14"/>
        </w:rPr>
        <w:t>created by a unified group of states.</w:t>
      </w:r>
    </w:p>
    <w:p w:rsidR="007379F1" w:rsidRPr="00A304AE" w:rsidRDefault="007379F1" w:rsidP="007379F1">
      <w:pPr>
        <w:pStyle w:val="CardIndented"/>
      </w:pPr>
    </w:p>
    <w:p w:rsidR="007379F1" w:rsidRPr="00560CAB" w:rsidRDefault="007379F1" w:rsidP="007379F1"/>
    <w:p w:rsidR="007379F1" w:rsidRDefault="007379F1" w:rsidP="007379F1">
      <w:pPr>
        <w:rPr>
          <w:rFonts w:asciiTheme="minorHAnsi" w:hAnsiTheme="minorHAnsi"/>
        </w:rPr>
      </w:pPr>
    </w:p>
    <w:p w:rsidR="007C2C22" w:rsidRPr="00292FED" w:rsidRDefault="007C2C22" w:rsidP="00292FED">
      <w:pPr>
        <w:jc w:val="both"/>
        <w:rPr>
          <w:rFonts w:eastAsia="Times New Roman" w:cstheme="minorHAnsi"/>
          <w:u w:val="single"/>
        </w:rPr>
      </w:pPr>
    </w:p>
    <w:sectPr w:rsidR="007C2C22" w:rsidRPr="00292FED" w:rsidSect="00104D22">
      <w:headerReference w:type="even" r:id="rId20"/>
      <w:headerReference w:type="default" r:id="rId21"/>
      <w:headerReference w:type="first" r:id="rId22"/>
      <w:pgSz w:w="12240" w:h="15840"/>
      <w:pgMar w:top="1440" w:right="1440" w:bottom="1440"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190C" w:rsidRDefault="00D9190C" w:rsidP="00397854">
      <w:pPr>
        <w:spacing w:after="0" w:line="240" w:lineRule="auto"/>
      </w:pPr>
      <w:r>
        <w:separator/>
      </w:r>
    </w:p>
  </w:endnote>
  <w:endnote w:type="continuationSeparator" w:id="0">
    <w:p w:rsidR="00D9190C" w:rsidRDefault="00D9190C" w:rsidP="003978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David">
    <w:charset w:val="00"/>
    <w:family w:val="swiss"/>
    <w:pitch w:val="variable"/>
    <w:sig w:usb0="00000803" w:usb1="00000000" w:usb2="00000000" w:usb3="00000000" w:csb0="00000021" w:csb1="00000000"/>
  </w:font>
  <w:font w:name="Book Antiqua">
    <w:panose1 w:val="020406020503050303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190C" w:rsidRDefault="00D9190C" w:rsidP="00397854">
      <w:pPr>
        <w:spacing w:after="0" w:line="240" w:lineRule="auto"/>
      </w:pPr>
      <w:r>
        <w:separator/>
      </w:r>
    </w:p>
  </w:footnote>
  <w:footnote w:type="continuationSeparator" w:id="0">
    <w:p w:rsidR="00D9190C" w:rsidRDefault="00D9190C" w:rsidP="00397854">
      <w:pPr>
        <w:spacing w:after="0" w:line="240" w:lineRule="auto"/>
      </w:pPr>
      <w:r>
        <w:continuationSeparator/>
      </w:r>
    </w:p>
  </w:footnote>
  <w:footnote w:id="1">
    <w:p w:rsidR="00BE5144" w:rsidRDefault="00BE5144" w:rsidP="00BE5144">
      <w:pPr>
        <w:pStyle w:val="Footnote0"/>
        <w:shd w:val="clear" w:color="auto" w:fill="auto"/>
        <w:ind w:right="20"/>
      </w:pPr>
      <w:r>
        <w:rPr>
          <w:color w:val="000000"/>
          <w:vertAlign w:val="superscript"/>
          <w:lang w:bidi="en-US"/>
        </w:rPr>
        <w:footnoteRef/>
      </w:r>
      <w:r>
        <w:rPr>
          <w:color w:val="000000"/>
          <w:lang w:bidi="en-US"/>
        </w:rPr>
        <w:t xml:space="preserve"> The Vietnam War and civil wars in Angola and Nica</w:t>
      </w:r>
      <w:r>
        <w:rPr>
          <w:color w:val="000000"/>
          <w:lang w:bidi="en-US"/>
        </w:rPr>
        <w:softHyphen/>
        <w:t>ragua, just as a few brief examples.</w:t>
      </w:r>
    </w:p>
  </w:footnote>
  <w:footnote w:id="2">
    <w:p w:rsidR="00BE5144" w:rsidRDefault="00BE5144" w:rsidP="00BE5144">
      <w:pPr>
        <w:pStyle w:val="Footnote0"/>
        <w:shd w:val="clear" w:color="auto" w:fill="auto"/>
        <w:spacing w:line="194" w:lineRule="exact"/>
        <w:ind w:right="20"/>
      </w:pPr>
      <w:r>
        <w:rPr>
          <w:color w:val="000000"/>
          <w:vertAlign w:val="superscript"/>
          <w:lang w:bidi="en-US"/>
        </w:rPr>
        <w:footnoteRef/>
      </w:r>
      <w:r>
        <w:rPr>
          <w:color w:val="000000"/>
          <w:lang w:bidi="en-US"/>
        </w:rPr>
        <w:t xml:space="preserve"> Especially considering that “virtually all military activ</w:t>
      </w:r>
      <w:r>
        <w:rPr>
          <w:color w:val="000000"/>
          <w:lang w:bidi="en-US"/>
        </w:rPr>
        <w:softHyphen/>
        <w:t>ities have an environmental impact” (Woodward, 2004, p. 89).</w:t>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4051" w:rsidRDefault="00104D22">
    <w:pPr>
      <w:spacing w:after="0" w:line="240" w:lineRule="auto"/>
    </w:pPr>
    <w:fldSimple w:instr=" PAGE   \* MERGEFORMAT ">
      <w:r w:rsidR="00BD4051">
        <w:rPr>
          <w:noProof/>
        </w:rPr>
        <w:t>356</w:t>
      </w:r>
    </w:fldSimple>
    <w:r w:rsidR="00BD4051">
      <w:tab/>
    </w:r>
    <w:r w:rsidR="00BD4051">
      <w:rPr>
        <w:sz w:val="16"/>
      </w:rPr>
      <w:t xml:space="preserve">LEGAL HISTORY </w:t>
    </w: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4051" w:rsidRDefault="00BD4051">
    <w:pPr>
      <w:spacing w:after="0" w:line="240" w:lineRule="auto"/>
    </w:pPr>
    <w:r>
      <w:rPr>
        <w:sz w:val="16"/>
      </w:rPr>
      <w:t>RESPONSE TO ANITA RUPPRECHT</w:t>
    </w:r>
    <w:r>
      <w:rPr>
        <w:sz w:val="16"/>
      </w:rPr>
      <w:tab/>
    </w:r>
    <w:fldSimple w:instr=" PAGE   \* MERGEFORMAT ">
      <w:r w:rsidR="00F51EAA">
        <w:rPr>
          <w:noProof/>
        </w:rPr>
        <w:t>18</w:t>
      </w:r>
    </w:fldSimple>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4051" w:rsidRDefault="00BD4051">
    <w:pPr>
      <w:spacing w:after="0" w:line="276" w:lineRule="auto"/>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1E2B26"/>
    <w:multiLevelType w:val="multilevel"/>
    <w:tmpl w:val="2B9C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90"/>
  <w:attachedTemplate r:id="rId1"/>
  <w:stylePaneFormatFilter w:val="1304"/>
  <w:doNotTrackMoves/>
  <w:defaultTabStop w:val="720"/>
  <w:characterSpacingControl w:val="doNotCompress"/>
  <w:hdrShapeDefaults>
    <o:shapedefaults v:ext="edit" spidmax="2049"/>
  </w:hdrShapeDefaults>
  <w:footnotePr>
    <w:footnote w:id="-1"/>
    <w:footnote w:id="0"/>
  </w:footnotePr>
  <w:endnotePr>
    <w:endnote w:id="-1"/>
    <w:endnote w:id="0"/>
  </w:endnotePr>
  <w:compat/>
  <w:docVars>
    <w:docVar w:name="RibbonPointer" w:val="170918648"/>
    <w:docVar w:name="VerbatimVersion" w:val="5.0"/>
  </w:docVars>
  <w:rsids>
    <w:rsidRoot w:val="007C2C22"/>
    <w:rsid w:val="000139A3"/>
    <w:rsid w:val="000658D3"/>
    <w:rsid w:val="000A039C"/>
    <w:rsid w:val="000C6642"/>
    <w:rsid w:val="00100833"/>
    <w:rsid w:val="00104529"/>
    <w:rsid w:val="00104D22"/>
    <w:rsid w:val="00177B7D"/>
    <w:rsid w:val="0018322D"/>
    <w:rsid w:val="001A1279"/>
    <w:rsid w:val="001B5776"/>
    <w:rsid w:val="002177D3"/>
    <w:rsid w:val="00251FC7"/>
    <w:rsid w:val="002855A7"/>
    <w:rsid w:val="00292FED"/>
    <w:rsid w:val="0031557B"/>
    <w:rsid w:val="00315690"/>
    <w:rsid w:val="00325646"/>
    <w:rsid w:val="003902BA"/>
    <w:rsid w:val="00397854"/>
    <w:rsid w:val="003A09E2"/>
    <w:rsid w:val="00407037"/>
    <w:rsid w:val="00415A54"/>
    <w:rsid w:val="004605D6"/>
    <w:rsid w:val="004C60E8"/>
    <w:rsid w:val="004E3579"/>
    <w:rsid w:val="004F39E0"/>
    <w:rsid w:val="00537BD5"/>
    <w:rsid w:val="005A7217"/>
    <w:rsid w:val="005E406D"/>
    <w:rsid w:val="006065BD"/>
    <w:rsid w:val="00665003"/>
    <w:rsid w:val="006875D6"/>
    <w:rsid w:val="006E2170"/>
    <w:rsid w:val="007379F1"/>
    <w:rsid w:val="00751879"/>
    <w:rsid w:val="007C2C22"/>
    <w:rsid w:val="007E6641"/>
    <w:rsid w:val="007F5B66"/>
    <w:rsid w:val="00823A1C"/>
    <w:rsid w:val="00845B9D"/>
    <w:rsid w:val="00860984"/>
    <w:rsid w:val="008745B6"/>
    <w:rsid w:val="008B3ECB"/>
    <w:rsid w:val="008B6AD1"/>
    <w:rsid w:val="008C1B2E"/>
    <w:rsid w:val="0091627E"/>
    <w:rsid w:val="009E1922"/>
    <w:rsid w:val="00A84488"/>
    <w:rsid w:val="00A93661"/>
    <w:rsid w:val="00A95652"/>
    <w:rsid w:val="00B33C6D"/>
    <w:rsid w:val="00B40E02"/>
    <w:rsid w:val="00B4508F"/>
    <w:rsid w:val="00B66B0D"/>
    <w:rsid w:val="00B8057C"/>
    <w:rsid w:val="00BD4051"/>
    <w:rsid w:val="00BE5144"/>
    <w:rsid w:val="00BF2457"/>
    <w:rsid w:val="00BF593B"/>
    <w:rsid w:val="00C11C96"/>
    <w:rsid w:val="00C83417"/>
    <w:rsid w:val="00CD736E"/>
    <w:rsid w:val="00CE161E"/>
    <w:rsid w:val="00CF59A8"/>
    <w:rsid w:val="00D325A9"/>
    <w:rsid w:val="00D36A8A"/>
    <w:rsid w:val="00D420CE"/>
    <w:rsid w:val="00D71170"/>
    <w:rsid w:val="00D9190C"/>
    <w:rsid w:val="00DA6538"/>
    <w:rsid w:val="00DE678E"/>
    <w:rsid w:val="00DF230E"/>
    <w:rsid w:val="00E632A0"/>
    <w:rsid w:val="00ED30CF"/>
    <w:rsid w:val="00EF58FB"/>
    <w:rsid w:val="00F15F4F"/>
    <w:rsid w:val="00F176EF"/>
    <w:rsid w:val="00F31154"/>
    <w:rsid w:val="00F51EAA"/>
    <w:rsid w:val="00F61F97"/>
    <w:rsid w:val="00F700ED"/>
    <w:rsid w:val="00FF53A6"/>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177D3"/>
    <w:rPr>
      <w:rFonts w:ascii="Calibri" w:hAnsi="Calibri"/>
    </w:rPr>
  </w:style>
  <w:style w:type="paragraph" w:styleId="Heading1">
    <w:name w:val="heading 1"/>
    <w:aliases w:val="Pocket"/>
    <w:basedOn w:val="Normal"/>
    <w:next w:val="Normal"/>
    <w:link w:val="Heading1Char"/>
    <w:autoRedefine/>
    <w:qFormat/>
    <w:rsid w:val="002177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177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177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112"/>
    <w:basedOn w:val="Normal"/>
    <w:next w:val="Normal"/>
    <w:link w:val="Heading4Char"/>
    <w:autoRedefine/>
    <w:uiPriority w:val="3"/>
    <w:unhideWhenUsed/>
    <w:qFormat/>
    <w:rsid w:val="002177D3"/>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2177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77D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177D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2177D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uiPriority w:val="7"/>
    <w:qFormat/>
    <w:rsid w:val="002177D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2177D3"/>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2177D3"/>
    <w:rPr>
      <w:b w:val="0"/>
      <w:sz w:val="22"/>
      <w:u w:val="single"/>
    </w:rPr>
  </w:style>
  <w:style w:type="character" w:styleId="Hyperlink">
    <w:name w:val="Hyperlink"/>
    <w:aliases w:val="heading 1 (block title),Important,Read,Card Text,Internet Link,Analytic Text"/>
    <w:basedOn w:val="DefaultParagraphFont"/>
    <w:uiPriority w:val="99"/>
    <w:unhideWhenUsed/>
    <w:rsid w:val="002177D3"/>
    <w:rPr>
      <w:color w:val="auto"/>
      <w:u w:val="none"/>
    </w:rPr>
  </w:style>
  <w:style w:type="character" w:styleId="FollowedHyperlink">
    <w:name w:val="FollowedHyperlink"/>
    <w:basedOn w:val="DefaultParagraphFont"/>
    <w:uiPriority w:val="99"/>
    <w:semiHidden/>
    <w:unhideWhenUsed/>
    <w:rsid w:val="002177D3"/>
    <w:rPr>
      <w:color w:val="auto"/>
      <w:u w:val="none"/>
    </w:rPr>
  </w:style>
  <w:style w:type="paragraph" w:customStyle="1" w:styleId="footnotedescription">
    <w:name w:val="footnote description"/>
    <w:next w:val="Normal"/>
    <w:link w:val="footnotedescriptionChar"/>
    <w:hidden/>
    <w:rsid w:val="00397854"/>
    <w:pPr>
      <w:spacing w:after="16" w:line="231" w:lineRule="auto"/>
      <w:ind w:firstLine="250"/>
      <w:jc w:val="both"/>
    </w:pPr>
    <w:rPr>
      <w:rFonts w:ascii="Times New Roman" w:eastAsia="Times New Roman" w:hAnsi="Times New Roman" w:cs="Times New Roman"/>
      <w:color w:val="181717"/>
      <w:sz w:val="17"/>
    </w:rPr>
  </w:style>
  <w:style w:type="character" w:customStyle="1" w:styleId="footnotedescriptionChar">
    <w:name w:val="footnote description Char"/>
    <w:link w:val="footnotedescription"/>
    <w:rsid w:val="00397854"/>
    <w:rPr>
      <w:rFonts w:ascii="Times New Roman" w:eastAsia="Times New Roman" w:hAnsi="Times New Roman" w:cs="Times New Roman"/>
      <w:color w:val="181717"/>
      <w:sz w:val="17"/>
    </w:rPr>
  </w:style>
  <w:style w:type="character" w:customStyle="1" w:styleId="footnotemark">
    <w:name w:val="footnote mark"/>
    <w:hidden/>
    <w:rsid w:val="00397854"/>
    <w:rPr>
      <w:rFonts w:ascii="Times New Roman" w:eastAsia="Times New Roman" w:hAnsi="Times New Roman" w:cs="Times New Roman"/>
      <w:color w:val="181717"/>
      <w:sz w:val="16"/>
      <w:vertAlign w:val="superscript"/>
    </w:rPr>
  </w:style>
  <w:style w:type="character" w:customStyle="1" w:styleId="apple-converted-space">
    <w:name w:val="apple-converted-space"/>
    <w:basedOn w:val="DefaultParagraphFont"/>
    <w:rsid w:val="00292FED"/>
  </w:style>
  <w:style w:type="character" w:customStyle="1" w:styleId="Bodytext3Exact">
    <w:name w:val="Body text (3) Exact"/>
    <w:basedOn w:val="DefaultParagraphFont"/>
    <w:link w:val="Bodytext3"/>
    <w:rsid w:val="005A7217"/>
    <w:rPr>
      <w:rFonts w:ascii="Times New Roman" w:eastAsia="Times New Roman" w:hAnsi="Times New Roman" w:cs="Times New Roman"/>
      <w:spacing w:val="3"/>
      <w:sz w:val="11"/>
      <w:szCs w:val="11"/>
      <w:shd w:val="clear" w:color="auto" w:fill="FFFFFF"/>
    </w:rPr>
  </w:style>
  <w:style w:type="character" w:customStyle="1" w:styleId="Bodytext">
    <w:name w:val="Body text_"/>
    <w:basedOn w:val="DefaultParagraphFont"/>
    <w:link w:val="BodyText1"/>
    <w:rsid w:val="005A7217"/>
    <w:rPr>
      <w:rFonts w:ascii="Times New Roman" w:eastAsia="Times New Roman" w:hAnsi="Times New Roman" w:cs="Times New Roman"/>
      <w:sz w:val="15"/>
      <w:szCs w:val="15"/>
      <w:shd w:val="clear" w:color="auto" w:fill="FFFFFF"/>
    </w:rPr>
  </w:style>
  <w:style w:type="character" w:customStyle="1" w:styleId="Bodytext2">
    <w:name w:val="Body text (2)_"/>
    <w:basedOn w:val="DefaultParagraphFont"/>
    <w:link w:val="Bodytext20"/>
    <w:rsid w:val="005A7217"/>
    <w:rPr>
      <w:rFonts w:ascii="Times New Roman" w:eastAsia="Times New Roman" w:hAnsi="Times New Roman" w:cs="Times New Roman"/>
      <w:i/>
      <w:iCs/>
      <w:sz w:val="15"/>
      <w:szCs w:val="15"/>
      <w:shd w:val="clear" w:color="auto" w:fill="FFFFFF"/>
    </w:rPr>
  </w:style>
  <w:style w:type="character" w:customStyle="1" w:styleId="Bodytext4">
    <w:name w:val="Body text (4)"/>
    <w:basedOn w:val="DefaultParagraphFont"/>
    <w:rsid w:val="005A7217"/>
    <w:rPr>
      <w:rFonts w:ascii="Times New Roman" w:eastAsia="Times New Roman" w:hAnsi="Times New Roman" w:cs="Times New Roman"/>
      <w:b w:val="0"/>
      <w:bCs w:val="0"/>
      <w:i w:val="0"/>
      <w:iCs w:val="0"/>
      <w:smallCaps w:val="0"/>
      <w:strike w:val="0"/>
      <w:sz w:val="16"/>
      <w:szCs w:val="16"/>
      <w:u w:val="none"/>
    </w:rPr>
  </w:style>
  <w:style w:type="paragraph" w:customStyle="1" w:styleId="Bodytext3">
    <w:name w:val="Body text (3)"/>
    <w:basedOn w:val="Normal"/>
    <w:link w:val="Bodytext3Exact"/>
    <w:rsid w:val="005A7217"/>
    <w:pPr>
      <w:widowControl w:val="0"/>
      <w:shd w:val="clear" w:color="auto" w:fill="FFFFFF"/>
      <w:spacing w:after="0" w:line="0" w:lineRule="atLeast"/>
    </w:pPr>
    <w:rPr>
      <w:rFonts w:ascii="Times New Roman" w:eastAsia="Times New Roman" w:hAnsi="Times New Roman" w:cs="Times New Roman"/>
      <w:spacing w:val="3"/>
      <w:sz w:val="11"/>
      <w:szCs w:val="11"/>
    </w:rPr>
  </w:style>
  <w:style w:type="paragraph" w:customStyle="1" w:styleId="BodyText1">
    <w:name w:val="Body Text1"/>
    <w:basedOn w:val="Normal"/>
    <w:link w:val="Bodytext"/>
    <w:rsid w:val="005A7217"/>
    <w:pPr>
      <w:widowControl w:val="0"/>
      <w:shd w:val="clear" w:color="auto" w:fill="FFFFFF"/>
      <w:spacing w:after="0" w:line="201" w:lineRule="exact"/>
      <w:ind w:hanging="180"/>
      <w:jc w:val="both"/>
    </w:pPr>
    <w:rPr>
      <w:rFonts w:ascii="Times New Roman" w:eastAsia="Times New Roman" w:hAnsi="Times New Roman" w:cs="Times New Roman"/>
      <w:sz w:val="15"/>
      <w:szCs w:val="15"/>
    </w:rPr>
  </w:style>
  <w:style w:type="paragraph" w:customStyle="1" w:styleId="Bodytext20">
    <w:name w:val="Body text (2)"/>
    <w:basedOn w:val="Normal"/>
    <w:link w:val="Bodytext2"/>
    <w:rsid w:val="005A7217"/>
    <w:pPr>
      <w:widowControl w:val="0"/>
      <w:shd w:val="clear" w:color="auto" w:fill="FFFFFF"/>
      <w:spacing w:before="240" w:after="120" w:line="0" w:lineRule="atLeast"/>
      <w:jc w:val="center"/>
    </w:pPr>
    <w:rPr>
      <w:rFonts w:ascii="Times New Roman" w:eastAsia="Times New Roman" w:hAnsi="Times New Roman" w:cs="Times New Roman"/>
      <w:i/>
      <w:iCs/>
      <w:sz w:val="15"/>
      <w:szCs w:val="15"/>
    </w:rPr>
  </w:style>
  <w:style w:type="paragraph" w:styleId="NormalWeb">
    <w:name w:val="Normal (Web)"/>
    <w:basedOn w:val="Normal"/>
    <w:uiPriority w:val="99"/>
    <w:semiHidden/>
    <w:unhideWhenUsed/>
    <w:rsid w:val="00BE51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
    <w:name w:val="Footnote_"/>
    <w:basedOn w:val="DefaultParagraphFont"/>
    <w:link w:val="Footnote0"/>
    <w:rsid w:val="00BE5144"/>
    <w:rPr>
      <w:rFonts w:ascii="Times New Roman" w:eastAsia="Times New Roman" w:hAnsi="Times New Roman" w:cs="Times New Roman"/>
      <w:b/>
      <w:bCs/>
      <w:sz w:val="17"/>
      <w:szCs w:val="17"/>
      <w:shd w:val="clear" w:color="auto" w:fill="FFFFFF"/>
    </w:rPr>
  </w:style>
  <w:style w:type="character" w:customStyle="1" w:styleId="Bodytext5">
    <w:name w:val="Body text (5)_"/>
    <w:basedOn w:val="DefaultParagraphFont"/>
    <w:link w:val="Bodytext50"/>
    <w:rsid w:val="00BE5144"/>
    <w:rPr>
      <w:rFonts w:ascii="Times New Roman" w:eastAsia="Times New Roman" w:hAnsi="Times New Roman" w:cs="Times New Roman"/>
      <w:b/>
      <w:bCs/>
      <w:sz w:val="15"/>
      <w:szCs w:val="15"/>
      <w:shd w:val="clear" w:color="auto" w:fill="FFFFFF"/>
    </w:rPr>
  </w:style>
  <w:style w:type="character" w:customStyle="1" w:styleId="BodytextItalic">
    <w:name w:val="Body text + Italic"/>
    <w:basedOn w:val="Bodytext"/>
    <w:rsid w:val="00BE5144"/>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style>
  <w:style w:type="character" w:customStyle="1" w:styleId="Heading30">
    <w:name w:val="Heading #3_"/>
    <w:basedOn w:val="DefaultParagraphFont"/>
    <w:link w:val="Heading31"/>
    <w:rsid w:val="00BE5144"/>
    <w:rPr>
      <w:rFonts w:ascii="Times New Roman" w:eastAsia="Times New Roman" w:hAnsi="Times New Roman" w:cs="Times New Roman"/>
      <w:b/>
      <w:bCs/>
      <w:sz w:val="20"/>
      <w:szCs w:val="20"/>
      <w:shd w:val="clear" w:color="auto" w:fill="FFFFFF"/>
    </w:rPr>
  </w:style>
  <w:style w:type="paragraph" w:customStyle="1" w:styleId="Footnote0">
    <w:name w:val="Footnote"/>
    <w:basedOn w:val="Normal"/>
    <w:link w:val="Footnote"/>
    <w:rsid w:val="00BE5144"/>
    <w:pPr>
      <w:widowControl w:val="0"/>
      <w:shd w:val="clear" w:color="auto" w:fill="FFFFFF"/>
      <w:spacing w:after="0" w:line="197" w:lineRule="exact"/>
      <w:jc w:val="both"/>
    </w:pPr>
    <w:rPr>
      <w:rFonts w:ascii="Times New Roman" w:eastAsia="Times New Roman" w:hAnsi="Times New Roman" w:cs="Times New Roman"/>
      <w:b/>
      <w:bCs/>
      <w:sz w:val="17"/>
      <w:szCs w:val="17"/>
    </w:rPr>
  </w:style>
  <w:style w:type="paragraph" w:customStyle="1" w:styleId="Bodytext50">
    <w:name w:val="Body text (5)"/>
    <w:basedOn w:val="Normal"/>
    <w:link w:val="Bodytext5"/>
    <w:rsid w:val="00BE5144"/>
    <w:pPr>
      <w:widowControl w:val="0"/>
      <w:shd w:val="clear" w:color="auto" w:fill="FFFFFF"/>
      <w:spacing w:before="300" w:after="0" w:line="0" w:lineRule="atLeast"/>
      <w:jc w:val="right"/>
    </w:pPr>
    <w:rPr>
      <w:rFonts w:ascii="Times New Roman" w:eastAsia="Times New Roman" w:hAnsi="Times New Roman" w:cs="Times New Roman"/>
      <w:b/>
      <w:bCs/>
      <w:sz w:val="15"/>
      <w:szCs w:val="15"/>
    </w:rPr>
  </w:style>
  <w:style w:type="paragraph" w:customStyle="1" w:styleId="Heading31">
    <w:name w:val="Heading #3"/>
    <w:basedOn w:val="Normal"/>
    <w:link w:val="Heading30"/>
    <w:rsid w:val="00BE5144"/>
    <w:pPr>
      <w:widowControl w:val="0"/>
      <w:shd w:val="clear" w:color="auto" w:fill="FFFFFF"/>
      <w:spacing w:before="480" w:after="300" w:line="0" w:lineRule="atLeast"/>
      <w:jc w:val="both"/>
      <w:outlineLvl w:val="2"/>
    </w:pPr>
    <w:rPr>
      <w:rFonts w:ascii="Times New Roman" w:eastAsia="Times New Roman" w:hAnsi="Times New Roman" w:cs="Times New Roman"/>
      <w:b/>
      <w:bCs/>
      <w:sz w:val="20"/>
      <w:szCs w:val="20"/>
    </w:rPr>
  </w:style>
  <w:style w:type="character" w:customStyle="1" w:styleId="Bodytext10pt">
    <w:name w:val="Body text + 10 pt"/>
    <w:aliases w:val="Italic"/>
    <w:basedOn w:val="Bodytext"/>
    <w:rsid w:val="008B6AD1"/>
    <w:rPr>
      <w:rFonts w:ascii="David" w:eastAsia="David" w:hAnsi="David" w:cs="David"/>
      <w:i/>
      <w:iCs/>
      <w:color w:val="000000"/>
      <w:spacing w:val="0"/>
      <w:w w:val="100"/>
      <w:position w:val="0"/>
      <w:sz w:val="20"/>
      <w:szCs w:val="20"/>
      <w:shd w:val="clear" w:color="auto" w:fill="FFFFFF"/>
      <w:lang w:val="en-US" w:eastAsia="en-US" w:bidi="en-US"/>
    </w:rPr>
  </w:style>
  <w:style w:type="paragraph" w:customStyle="1" w:styleId="BodyText30">
    <w:name w:val="Body Text3"/>
    <w:basedOn w:val="Normal"/>
    <w:rsid w:val="000A039C"/>
    <w:pPr>
      <w:widowControl w:val="0"/>
      <w:shd w:val="clear" w:color="auto" w:fill="FFFFFF"/>
      <w:spacing w:after="180" w:line="0" w:lineRule="atLeast"/>
      <w:ind w:hanging="340"/>
    </w:pPr>
    <w:rPr>
      <w:rFonts w:ascii="Book Antiqua" w:eastAsia="Book Antiqua" w:hAnsi="Book Antiqua" w:cs="Book Antiqua"/>
      <w:color w:val="000000"/>
      <w:sz w:val="17"/>
      <w:szCs w:val="17"/>
      <w:lang w:bidi="en-US"/>
    </w:rPr>
  </w:style>
  <w:style w:type="paragraph" w:styleId="DocumentMap">
    <w:name w:val="Document Map"/>
    <w:basedOn w:val="Normal"/>
    <w:link w:val="DocumentMapChar"/>
    <w:uiPriority w:val="99"/>
    <w:semiHidden/>
    <w:unhideWhenUsed/>
    <w:rsid w:val="007379F1"/>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7379F1"/>
    <w:rPr>
      <w:rFonts w:ascii="Lucida Grande" w:hAnsi="Lucida Grande"/>
      <w:sz w:val="24"/>
      <w:szCs w:val="24"/>
    </w:rPr>
  </w:style>
  <w:style w:type="paragraph" w:customStyle="1" w:styleId="CardIndented">
    <w:name w:val="Card (Indented)"/>
    <w:basedOn w:val="Normal"/>
    <w:link w:val="CardIndentedChar"/>
    <w:qFormat/>
    <w:rsid w:val="007379F1"/>
    <w:pPr>
      <w:ind w:left="288"/>
    </w:pPr>
    <w:rPr>
      <w:rFonts w:cs="Calibri"/>
    </w:rPr>
  </w:style>
  <w:style w:type="character" w:customStyle="1" w:styleId="CardIndentedChar">
    <w:name w:val="Card (Indented) Char"/>
    <w:basedOn w:val="DefaultParagraphFont"/>
    <w:link w:val="CardIndented"/>
    <w:rsid w:val="007379F1"/>
    <w:rPr>
      <w:rFonts w:ascii="Calibri" w:hAnsi="Calibri" w:cs="Calibri"/>
    </w:rPr>
  </w:style>
</w:styles>
</file>

<file path=word/webSettings.xml><?xml version="1.0" encoding="utf-8"?>
<w:webSettings xmlns:r="http://schemas.openxmlformats.org/officeDocument/2006/relationships" xmlns:w="http://schemas.openxmlformats.org/wordprocessingml/2006/main">
  <w:divs>
    <w:div w:id="363940342">
      <w:bodyDiv w:val="1"/>
      <w:marLeft w:val="0"/>
      <w:marRight w:val="0"/>
      <w:marTop w:val="0"/>
      <w:marBottom w:val="0"/>
      <w:divBdr>
        <w:top w:val="none" w:sz="0" w:space="0" w:color="auto"/>
        <w:left w:val="none" w:sz="0" w:space="0" w:color="auto"/>
        <w:bottom w:val="none" w:sz="0" w:space="0" w:color="auto"/>
        <w:right w:val="none" w:sz="0" w:space="0" w:color="auto"/>
      </w:divBdr>
    </w:div>
    <w:div w:id="428041295">
      <w:bodyDiv w:val="1"/>
      <w:marLeft w:val="0"/>
      <w:marRight w:val="0"/>
      <w:marTop w:val="0"/>
      <w:marBottom w:val="0"/>
      <w:divBdr>
        <w:top w:val="none" w:sz="0" w:space="0" w:color="auto"/>
        <w:left w:val="none" w:sz="0" w:space="0" w:color="auto"/>
        <w:bottom w:val="none" w:sz="0" w:space="0" w:color="auto"/>
        <w:right w:val="none" w:sz="0" w:space="0" w:color="auto"/>
      </w:divBdr>
      <w:divsChild>
        <w:div w:id="1244099336">
          <w:marLeft w:val="-105"/>
          <w:marRight w:val="0"/>
          <w:marTop w:val="0"/>
          <w:marBottom w:val="0"/>
          <w:divBdr>
            <w:top w:val="none" w:sz="0" w:space="0" w:color="auto"/>
            <w:left w:val="single" w:sz="6" w:space="4" w:color="CCCCCC"/>
            <w:bottom w:val="none" w:sz="0" w:space="0" w:color="auto"/>
            <w:right w:val="none" w:sz="0" w:space="0" w:color="auto"/>
          </w:divBdr>
        </w:div>
      </w:divsChild>
    </w:div>
    <w:div w:id="923951882">
      <w:bodyDiv w:val="1"/>
      <w:marLeft w:val="0"/>
      <w:marRight w:val="0"/>
      <w:marTop w:val="0"/>
      <w:marBottom w:val="0"/>
      <w:divBdr>
        <w:top w:val="none" w:sz="0" w:space="0" w:color="auto"/>
        <w:left w:val="none" w:sz="0" w:space="0" w:color="auto"/>
        <w:bottom w:val="none" w:sz="0" w:space="0" w:color="auto"/>
        <w:right w:val="none" w:sz="0" w:space="0" w:color="auto"/>
      </w:divBdr>
    </w:div>
    <w:div w:id="960961934">
      <w:bodyDiv w:val="1"/>
      <w:marLeft w:val="0"/>
      <w:marRight w:val="0"/>
      <w:marTop w:val="0"/>
      <w:marBottom w:val="0"/>
      <w:divBdr>
        <w:top w:val="none" w:sz="0" w:space="0" w:color="auto"/>
        <w:left w:val="none" w:sz="0" w:space="0" w:color="auto"/>
        <w:bottom w:val="none" w:sz="0" w:space="0" w:color="auto"/>
        <w:right w:val="none" w:sz="0" w:space="0" w:color="auto"/>
      </w:divBdr>
    </w:div>
    <w:div w:id="983854817">
      <w:bodyDiv w:val="1"/>
      <w:marLeft w:val="0"/>
      <w:marRight w:val="0"/>
      <w:marTop w:val="0"/>
      <w:marBottom w:val="0"/>
      <w:divBdr>
        <w:top w:val="none" w:sz="0" w:space="0" w:color="auto"/>
        <w:left w:val="none" w:sz="0" w:space="0" w:color="auto"/>
        <w:bottom w:val="none" w:sz="0" w:space="0" w:color="auto"/>
        <w:right w:val="none" w:sz="0" w:space="0" w:color="auto"/>
      </w:divBdr>
    </w:div>
    <w:div w:id="209146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cholar.harvard.edu/vbrown/publications/social-death-and-political-life-study-slavery"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tandfonline.com/doi/abs/10.1080/01440360701698510" TargetMode="External"/><Relationship Id="rId11" Type="http://schemas.openxmlformats.org/officeDocument/2006/relationships/hyperlink" Target="http://www.witts.org/Ocean_wealth/oceanwealth_01_feb03/wista_oceanwealth_feture.htm" TargetMode="External"/><Relationship Id="rId12" Type="http://schemas.openxmlformats.org/officeDocument/2006/relationships/hyperlink" Target="http://www.witts.org/Ocean_wealth/oceanwealth_01_feb03/wista_oceanwealth_feture.htm" TargetMode="External"/><Relationship Id="rId13" Type="http://schemas.openxmlformats.org/officeDocument/2006/relationships/hyperlink" Target="http://www.oesd.noaa.gov/scholarships/hollings.html" TargetMode="External"/><Relationship Id="rId14" Type="http://schemas.openxmlformats.org/officeDocument/2006/relationships/hyperlink" Target="http://www.oesd.noaa.gov/scholarships/docs/how_to_host_an_undergraduate_scholar.pdf-%20accessed%208-2-14" TargetMode="External"/><Relationship Id="rId15" Type="http://schemas.openxmlformats.org/officeDocument/2006/relationships/hyperlink" Target="http://www.oesd.noaa.gov/scholarships/docs/how_to_host_an_undergraduate_scholar.pdf-%20accessed%208-2-14" TargetMode="External"/><Relationship Id="rId16" Type="http://schemas.openxmlformats.org/officeDocument/2006/relationships/hyperlink" Target="http://www.nws.noaa.gov/os/brochures/Citizen_Scientist.pdf" TargetMode="External"/><Relationship Id="rId17" Type="http://schemas.openxmlformats.org/officeDocument/2006/relationships/hyperlink" Target="http://www.nypl.org/locations/tid/64/node/131-%20accessed%208-2-14" TargetMode="External"/><Relationship Id="rId18" Type="http://schemas.openxmlformats.org/officeDocument/2006/relationships/hyperlink" Target="http://journal.jctonline.org/index.php/jct/article/view/480/pdf" TargetMode="External"/><Relationship Id="rId19" Type="http://schemas.openxmlformats.org/officeDocument/2006/relationships/hyperlink" Target="http://www.learnersdictionary.com/definition/ocean"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onlinelibrary.wiley.com/doi/10.1111/1467-9752.00233/pdf" TargetMode="External"/><Relationship Id="rId8" Type="http://schemas.openxmlformats.org/officeDocument/2006/relationships/hyperlink" Target="http://journals.cambridge.org/action/displayAbstract?fromPage=online&amp;aid=8744649&amp;fileId=S00208590120004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\Users\Michael\AppData\Roaming\Microsoft\Templates\Debate.dotm</Template>
  <TotalTime>214</TotalTime>
  <Pages>19</Pages>
  <Words>17345</Words>
  <Characters>98870</Characters>
  <Application>Microsoft Macintosh Word</Application>
  <DocSecurity>0</DocSecurity>
  <Lines>823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dc:creator>
  <cp:keywords>5.0</cp:keywords>
  <dc:description/>
  <cp:lastModifiedBy>NICOLE SERRANO</cp:lastModifiedBy>
  <cp:revision>17</cp:revision>
  <dcterms:created xsi:type="dcterms:W3CDTF">2014-07-26T23:11:00Z</dcterms:created>
  <dcterms:modified xsi:type="dcterms:W3CDTF">2014-08-19T15:41:00Z</dcterms:modified>
</cp:coreProperties>
</file>