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854" w:rsidRDefault="005E406D" w:rsidP="005E406D">
      <w:pPr>
        <w:pStyle w:val="Heading1"/>
        <w:rPr>
          <w:rStyle w:val="Style13ptBold"/>
          <w:b/>
          <w:bCs w:val="0"/>
          <w:sz w:val="52"/>
        </w:rPr>
      </w:pPr>
      <w:r w:rsidRPr="005E406D">
        <w:rPr>
          <w:rStyle w:val="Style13ptBold"/>
          <w:b/>
          <w:bCs w:val="0"/>
          <w:sz w:val="52"/>
        </w:rPr>
        <w:t>Zong Case Neg</w:t>
      </w:r>
    </w:p>
    <w:p w:rsidR="000A039C" w:rsidRDefault="000A039C" w:rsidP="000A039C">
      <w:pPr>
        <w:pStyle w:val="Heading3"/>
        <w:rPr>
          <w:shd w:val="clear" w:color="auto" w:fill="FFFFFF"/>
        </w:rPr>
      </w:pPr>
      <w:r>
        <w:rPr>
          <w:shd w:val="clear" w:color="auto" w:fill="FFFFFF"/>
        </w:rPr>
        <w:t>***2NC/1NR***</w:t>
      </w:r>
    </w:p>
    <w:p w:rsidR="000A039C" w:rsidRPr="000A039C" w:rsidRDefault="000A039C" w:rsidP="000A039C">
      <w:pPr>
        <w:pStyle w:val="Heading3"/>
      </w:pPr>
      <w:r>
        <w:t>Overview</w:t>
      </w:r>
    </w:p>
    <w:p w:rsidR="000A039C" w:rsidRDefault="000A039C" w:rsidP="00EF58FB">
      <w:pPr>
        <w:pStyle w:val="Heading4"/>
        <w:rPr>
          <w:shd w:val="clear" w:color="auto" w:fill="FFFFFF"/>
        </w:rPr>
      </w:pPr>
      <w:r>
        <w:rPr>
          <w:shd w:val="clear" w:color="auto" w:fill="FFFFFF"/>
        </w:rPr>
        <w:t>Their analogy posits medicine as the basis for understanding social phenomena—this simultaneously devalues alternatives to social death by implying that they are merely physical conditions and paradoxically fuels racist and colonialist civilizing missions wrapped in the trope of “healing”</w:t>
      </w:r>
    </w:p>
    <w:p w:rsidR="008B6AD1" w:rsidRPr="008B6AD1" w:rsidRDefault="008B6AD1" w:rsidP="008B6AD1">
      <w:pPr>
        <w:rPr>
          <w:rStyle w:val="Style13ptBold"/>
        </w:rPr>
      </w:pPr>
      <w:r>
        <w:rPr>
          <w:rStyle w:val="Style13ptBold"/>
        </w:rPr>
        <w:t>Norridge 12 (</w:t>
      </w:r>
      <w:r w:rsidRPr="008B6AD1">
        <w:t>Zoe, Lecturer in English and Comparative Literature at King’s College London, “Perceiving Pain in African Literature,” p. 177-179, CH</w:t>
      </w:r>
      <w:r>
        <w:rPr>
          <w:rStyle w:val="Style13ptBold"/>
        </w:rPr>
        <w:t>)</w:t>
      </w:r>
    </w:p>
    <w:p w:rsidR="008B6AD1" w:rsidRPr="000A039C" w:rsidRDefault="00BE5144" w:rsidP="008B6AD1">
      <w:pPr>
        <w:rPr>
          <w:sz w:val="14"/>
        </w:rPr>
      </w:pPr>
      <w:r w:rsidRPr="000A039C">
        <w:rPr>
          <w:sz w:val="14"/>
        </w:rPr>
        <w:t xml:space="preserve">Alongside socio-economic considerations about the nature of healing work, there are further contextual features worth bearing in mind when considering what we mean by healing. In an article entitled 'Healing the Nation: Medicolonial Discourse and the State of Emergency from Apartheid to Truth and Reconciliation', Giuliana </w:t>
      </w:r>
      <w:r w:rsidRPr="000A039C">
        <w:rPr>
          <w:rStyle w:val="StyleUnderline"/>
          <w:highlight w:val="yellow"/>
        </w:rPr>
        <w:t>Lund is very criti</w:t>
      </w:r>
      <w:r w:rsidRPr="000A039C">
        <w:rPr>
          <w:rStyle w:val="StyleUnderline"/>
          <w:highlight w:val="yellow"/>
        </w:rPr>
        <w:softHyphen/>
        <w:t xml:space="preserve">cal of </w:t>
      </w:r>
      <w:r w:rsidRPr="000A039C">
        <w:rPr>
          <w:rStyle w:val="StyleUnderline"/>
        </w:rPr>
        <w:t>using medical analogies to interpret political situations.</w:t>
      </w:r>
      <w:r w:rsidRPr="000A039C">
        <w:rPr>
          <w:sz w:val="14"/>
        </w:rPr>
        <w:t xml:space="preserve"> She acknowledges that </w:t>
      </w:r>
      <w:r w:rsidRPr="000A039C">
        <w:rPr>
          <w:rStyle w:val="StyleUnderline"/>
        </w:rPr>
        <w:t>it is not surprising that leaders</w:t>
      </w:r>
      <w:r w:rsidRPr="000A039C">
        <w:rPr>
          <w:sz w:val="14"/>
        </w:rPr>
        <w:t xml:space="preserve"> of the new South Africa </w:t>
      </w:r>
      <w:r w:rsidRPr="000A039C">
        <w:rPr>
          <w:rStyle w:val="StyleUnderline"/>
        </w:rPr>
        <w:t>'have recourse to metaphors of illness and healing' given that there is 'a</w:t>
      </w:r>
      <w:r w:rsidRPr="000A039C">
        <w:rPr>
          <w:sz w:val="14"/>
        </w:rPr>
        <w:t xml:space="preserve"> long-standing </w:t>
      </w:r>
      <w:r w:rsidRPr="000A039C">
        <w:rPr>
          <w:rStyle w:val="StyleUnderline"/>
        </w:rPr>
        <w:t>tradition</w:t>
      </w:r>
      <w:r w:rsidRPr="000A039C">
        <w:rPr>
          <w:sz w:val="14"/>
        </w:rPr>
        <w:t xml:space="preserve"> in South Africa </w:t>
      </w:r>
      <w:r w:rsidRPr="000A039C">
        <w:rPr>
          <w:rStyle w:val="StyleUnderline"/>
        </w:rPr>
        <w:t xml:space="preserve">of </w:t>
      </w:r>
      <w:r w:rsidRPr="000A039C">
        <w:rPr>
          <w:rStyle w:val="StyleUnderline"/>
          <w:highlight w:val="yellow"/>
        </w:rPr>
        <w:t>using biological analogies to interpret social phenomena</w:t>
      </w:r>
      <w:r w:rsidRPr="000A039C">
        <w:rPr>
          <w:sz w:val="14"/>
        </w:rPr>
        <w:t xml:space="preserve"> and promote national causes' (88). </w:t>
      </w:r>
      <w:r w:rsidRPr="000A039C">
        <w:rPr>
          <w:rStyle w:val="StyleUnderline"/>
          <w:highlight w:val="yellow"/>
        </w:rPr>
        <w:t>Lund traces this tendency for biological analogy back to colonial conceptions of Africa as a place of disease and death, examining how</w:t>
      </w:r>
      <w:r w:rsidRPr="000A039C">
        <w:rPr>
          <w:rStyle w:val="StyleUnderline"/>
        </w:rPr>
        <w:t xml:space="preserve">, at first, </w:t>
      </w:r>
      <w:r w:rsidRPr="000A039C">
        <w:rPr>
          <w:rStyle w:val="StyleUnderline"/>
          <w:highlight w:val="yellow"/>
        </w:rPr>
        <w:t>the 'civilizing mission' of colonialism was conceived as a 'healing mission' supposedly bringing to the continent</w:t>
      </w:r>
      <w:r w:rsidRPr="000A039C">
        <w:rPr>
          <w:rStyle w:val="StyleUnderline"/>
        </w:rPr>
        <w:t xml:space="preserve"> both </w:t>
      </w:r>
      <w:r w:rsidRPr="000A039C">
        <w:rPr>
          <w:rStyle w:val="StyleUnderline"/>
          <w:highlight w:val="yellow"/>
        </w:rPr>
        <w:t>physical emancipa</w:t>
      </w:r>
      <w:r w:rsidRPr="000A039C">
        <w:rPr>
          <w:rStyle w:val="StyleUnderline"/>
          <w:highlight w:val="yellow"/>
        </w:rPr>
        <w:softHyphen/>
        <w:t>tion and spiritual enlightenment.</w:t>
      </w:r>
      <w:r w:rsidRPr="000A039C">
        <w:rPr>
          <w:rStyle w:val="StyleUnderline"/>
        </w:rPr>
        <w:t xml:space="preserve"> The reality, of course, could not have been more different, but the rhetoric of physical and spiritual salvation continues from the missionaries of past centuries, right through to</w:t>
      </w:r>
      <w:r w:rsidRPr="000A039C">
        <w:rPr>
          <w:sz w:val="14"/>
        </w:rPr>
        <w:t xml:space="preserve"> the work of religious NGOs in Africa </w:t>
      </w:r>
      <w:r w:rsidRPr="000A039C">
        <w:rPr>
          <w:rStyle w:val="StyleUnderline"/>
        </w:rPr>
        <w:t>today</w:t>
      </w:r>
      <w:r w:rsidRPr="000A039C">
        <w:rPr>
          <w:sz w:val="14"/>
        </w:rPr>
        <w:t xml:space="preserve">. Not only does Lund suggest that </w:t>
      </w:r>
      <w:r w:rsidRPr="000A039C">
        <w:rPr>
          <w:rStyle w:val="StyleUnderline"/>
          <w:highlight w:val="yellow"/>
        </w:rPr>
        <w:t>the current discourses used</w:t>
      </w:r>
      <w:r w:rsidRPr="000A039C">
        <w:rPr>
          <w:sz w:val="14"/>
        </w:rPr>
        <w:t xml:space="preserve"> by the South African government </w:t>
      </w:r>
      <w:r w:rsidRPr="000A039C">
        <w:rPr>
          <w:rStyle w:val="StyleUnderline"/>
          <w:highlight w:val="yellow"/>
        </w:rPr>
        <w:t>have their roots in misleading and destruc</w:t>
      </w:r>
      <w:r w:rsidRPr="000A039C">
        <w:rPr>
          <w:rStyle w:val="StyleUnderline"/>
          <w:highlight w:val="yellow"/>
        </w:rPr>
        <w:softHyphen/>
        <w:t>tive colonial rhetoric</w:t>
      </w:r>
      <w:r w:rsidRPr="000A039C">
        <w:rPr>
          <w:sz w:val="14"/>
        </w:rPr>
        <w:t xml:space="preserve">, she also proposes that the science of public health in South Africa specifically contributed to the evolution of apartheid, explaining that racial segregation was first introduced to 'protect' the health of different racial groups (93). In addition, </w:t>
      </w:r>
      <w:r w:rsidRPr="000A039C">
        <w:rPr>
          <w:rStyle w:val="StyleUnderline"/>
        </w:rPr>
        <w:t>she has two further objections concerning the political use of metaphors of sickness and healing on two more levels. Firstly, she claims that the Christian dimen</w:t>
      </w:r>
      <w:r w:rsidRPr="000A039C">
        <w:rPr>
          <w:rStyle w:val="StyleUnderline"/>
        </w:rPr>
        <w:softHyphen/>
        <w:t>sion of such language threatens the democratic separation of church and state</w:t>
      </w:r>
      <w:r w:rsidRPr="000A039C">
        <w:rPr>
          <w:sz w:val="14"/>
        </w:rPr>
        <w:t xml:space="preserve">. </w:t>
      </w:r>
      <w:r w:rsidRPr="000A039C">
        <w:rPr>
          <w:rStyle w:val="StyleUnderline"/>
        </w:rPr>
        <w:t xml:space="preserve">Secondly, she argues that </w:t>
      </w:r>
      <w:r w:rsidRPr="000A039C">
        <w:rPr>
          <w:rStyle w:val="StyleUnderline"/>
          <w:highlight w:val="yellow"/>
        </w:rPr>
        <w:t>in medicalising</w:t>
      </w:r>
      <w:r w:rsidRPr="000A039C">
        <w:rPr>
          <w:sz w:val="14"/>
        </w:rPr>
        <w:t xml:space="preserve"> the </w:t>
      </w:r>
      <w:r w:rsidRPr="000A039C">
        <w:rPr>
          <w:rStyle w:val="StyleUnderline"/>
          <w:highlight w:val="yellow"/>
        </w:rPr>
        <w:t>traumatic expe</w:t>
      </w:r>
      <w:r w:rsidRPr="000A039C">
        <w:rPr>
          <w:rStyle w:val="StyleUnderline"/>
          <w:highlight w:val="yellow"/>
        </w:rPr>
        <w:softHyphen/>
        <w:t>riences</w:t>
      </w:r>
      <w:r w:rsidRPr="000A039C">
        <w:rPr>
          <w:sz w:val="14"/>
        </w:rPr>
        <w:t xml:space="preserve"> of apartheid, </w:t>
      </w:r>
      <w:r w:rsidRPr="000A039C">
        <w:rPr>
          <w:rStyle w:val="StyleUnderline"/>
          <w:highlight w:val="yellow"/>
        </w:rPr>
        <w:t>organisations</w:t>
      </w:r>
      <w:r w:rsidRPr="000A039C">
        <w:rPr>
          <w:sz w:val="14"/>
        </w:rPr>
        <w:t xml:space="preserve"> working for reconciliation both </w:t>
      </w:r>
      <w:r w:rsidRPr="000A039C">
        <w:rPr>
          <w:rStyle w:val="StyleUnderline"/>
          <w:highlight w:val="yellow"/>
        </w:rPr>
        <w:t>reduce the responsibility of perpetrators and deny the autonomy of their victims</w:t>
      </w:r>
      <w:r w:rsidRPr="000A039C">
        <w:rPr>
          <w:sz w:val="14"/>
        </w:rPr>
        <w:t xml:space="preserve">. She explains: </w:t>
      </w:r>
      <w:r w:rsidRPr="000A039C">
        <w:rPr>
          <w:rStyle w:val="StyleUnderline"/>
          <w:highlight w:val="yellow"/>
        </w:rPr>
        <w:t>Medical rhetoric thus creates a catch-22 situation: to depict perpetra</w:t>
      </w:r>
      <w:r w:rsidRPr="000A039C">
        <w:rPr>
          <w:rStyle w:val="StyleUnderline"/>
          <w:highlight w:val="yellow"/>
        </w:rPr>
        <w:softHyphen/>
        <w:t>tors as ill could be seen as excusing their behaviour; treating survivors as in need of healing could be viewed as insulting, underestimating both their suffering and their ability to cope; seeing perpetrators and survivors alike as victims</w:t>
      </w:r>
      <w:r w:rsidRPr="000A039C">
        <w:rPr>
          <w:rStyle w:val="StyleUnderline"/>
        </w:rPr>
        <w:t xml:space="preserve"> of the plague of apartheid </w:t>
      </w:r>
      <w:r w:rsidRPr="000A039C">
        <w:rPr>
          <w:rStyle w:val="StyleUnderline"/>
          <w:highlight w:val="yellow"/>
        </w:rPr>
        <w:t>equalizes their situations, denying the stark differences between their behaviour and the type and degree of their trauma</w:t>
      </w:r>
      <w:r w:rsidRPr="000A039C">
        <w:rPr>
          <w:rStyle w:val="StyleUnderline"/>
        </w:rPr>
        <w:t xml:space="preserve">. </w:t>
      </w:r>
      <w:r w:rsidRPr="000A039C">
        <w:rPr>
          <w:sz w:val="14"/>
        </w:rPr>
        <w:t>(108) Here Lund is objecting not to the concept of healing I discussed in the opening of this section but instead to how ideas of healing are used in the context of political power. Country of My Skull actively engages with the sort of criticisms that Lund raises, showing the anger of those who fail to identify with the Commission's terminology and even making use of humour to question the hyper-theorised official line. Orbinski, on the other hand, treating civilian casualties in conflict situations in Somalia, Rwanda and the DRC, is well aware of the political machina</w:t>
      </w:r>
      <w:r w:rsidRPr="000A039C">
        <w:rPr>
          <w:sz w:val="14"/>
        </w:rPr>
        <w:softHyphen/>
        <w:t>tions of governments and the uncomfortable legacies of international relations in the regions where he works. It is in bearing witness to the human rights abuses that he sees that Orbinski deliberately attempts to distance himself from any form of</w:t>
      </w:r>
      <w:r w:rsidR="008B6AD1" w:rsidRPr="000A039C">
        <w:rPr>
          <w:sz w:val="14"/>
        </w:rPr>
        <w:t xml:space="preserve"> complicity. Krog and Orbinski then engage with the flaws and shortcomings on the healing systems within which they work.</w:t>
      </w:r>
    </w:p>
    <w:p w:rsidR="008B6AD1" w:rsidRDefault="008B6AD1" w:rsidP="008B6AD1">
      <w:pPr>
        <w:rPr>
          <w:rFonts w:ascii="Arial" w:hAnsi="Arial" w:cs="Arial"/>
          <w:color w:val="4D4D4D"/>
          <w:sz w:val="21"/>
          <w:szCs w:val="21"/>
          <w:shd w:val="clear" w:color="auto" w:fill="FFFFFF"/>
        </w:rPr>
      </w:pPr>
    </w:p>
    <w:p w:rsidR="000A039C" w:rsidRDefault="000A039C" w:rsidP="00EF58FB">
      <w:pPr>
        <w:pStyle w:val="Heading4"/>
        <w:rPr>
          <w:shd w:val="clear" w:color="auto" w:fill="FFFFFF"/>
        </w:rPr>
      </w:pPr>
      <w:r>
        <w:rPr>
          <w:shd w:val="clear" w:color="auto" w:fill="FFFFFF"/>
        </w:rPr>
        <w:t>Political struggles have nothing to do with medicine—their analogy provides zero productive value</w:t>
      </w:r>
    </w:p>
    <w:p w:rsidR="008B6AD1" w:rsidRPr="008B6AD1" w:rsidRDefault="008B6AD1" w:rsidP="008B6AD1">
      <w:pPr>
        <w:rPr>
          <w:rStyle w:val="Style13ptBold"/>
        </w:rPr>
      </w:pPr>
      <w:r>
        <w:rPr>
          <w:rStyle w:val="Style13ptBold"/>
        </w:rPr>
        <w:t>Eysenck 84 (</w:t>
      </w:r>
      <w:r w:rsidRPr="008B6AD1">
        <w:t>Hans J., Professor Emeritus of Psychology at the University of London, “Psychology and Its Allied Disciplines: Psychology and the Social Sciences,” Ed. Bornstein, p. 39-41, CH</w:t>
      </w:r>
      <w:r>
        <w:rPr>
          <w:rStyle w:val="Style13ptBold"/>
        </w:rPr>
        <w:t>)</w:t>
      </w:r>
    </w:p>
    <w:p w:rsidR="000658D3" w:rsidRDefault="008B6AD1" w:rsidP="007E6641">
      <w:pPr>
        <w:rPr>
          <w:rFonts w:ascii="Arial" w:hAnsi="Arial" w:cs="Arial"/>
          <w:color w:val="4D4D4D"/>
          <w:sz w:val="21"/>
          <w:szCs w:val="21"/>
          <w:shd w:val="clear" w:color="auto" w:fill="FFFFFF"/>
        </w:rPr>
      </w:pPr>
      <w:r w:rsidRPr="008B6AD1">
        <w:t>Of major social importance is the use of the medical model of neurosis by psychiatrists to justify their central role in the treatment of neurotic disorders. The evidence suggests stro</w:t>
      </w:r>
      <w:r w:rsidR="000A039C">
        <w:t>ngly that neurotic disorders are</w:t>
      </w:r>
      <w:r w:rsidRPr="008B6AD1">
        <w:t xml:space="preserve"> learned behavior patterns and emotional reactions, acquired according to Pavlovian conditioning model and best treated by Pavlovian extinction methods (Eysenck, 1979); retention of the medical model assigns to psy</w:t>
      </w:r>
      <w:r w:rsidRPr="008B6AD1">
        <w:softHyphen/>
        <w:t>chiatrists, medically trained but ignorant of the relevant psychological principles, a leading role in treatment, and it relegates psychologists, trained in the relevant psychological principles and their application to neurotic disorders and their treatment, to a secondary position as “medi</w:t>
      </w:r>
      <w:r w:rsidRPr="008B6AD1">
        <w:softHyphen/>
        <w:t>cal auxiliaries”. This is clearly absurd and constitutes an attempt to use scientific models as arguments in favor of preserving superior social status.</w:t>
      </w:r>
      <w:r w:rsidRPr="000A039C">
        <w:rPr>
          <w:rStyle w:val="StyleUnderline"/>
        </w:rPr>
        <w:t xml:space="preserve"> Science should remain independent of political </w:t>
      </w:r>
      <w:r w:rsidRPr="008B6AD1">
        <w:t xml:space="preserve">power </w:t>
      </w:r>
      <w:r w:rsidRPr="000A039C">
        <w:rPr>
          <w:rStyle w:val="StyleUnderline"/>
        </w:rPr>
        <w:t>struggles</w:t>
      </w:r>
      <w:r w:rsidRPr="008B6AD1">
        <w:t>. It might be answered that this example is taken from a rather old source and that surely modern psychiatrists are more cautious in their writings. But this is not so; in fact, exactly the opposite is true. Psychoanalysts in particular assure us that strikes, wars, accidents, and many other ills our flesh is heir to are in fact neurotic disorders caused by Freudian mecha</w:t>
      </w:r>
      <w:r w:rsidRPr="008B6AD1">
        <w:softHyphen/>
        <w:t>nisms and complexes. One example may suffice to illustrate this curious tendency. In the Uses and Abuses of Psychology, I quote a report made by a psychoanalytically oriented research institute to a Government De</w:t>
      </w:r>
      <w:r w:rsidRPr="008B6AD1">
        <w:softHyphen/>
        <w:t>partment which had asked questions about the causation of strikes in the coal industry (Eysenck, 1953). The answer was very simple: Coal miners developed complexes because they were “hacking away at mother earth;” such an ambiguous activity naturally gave rise to repressed anxiety and people indulge may be hateful, deplorable, despicable, obscene, undesir</w:t>
      </w:r>
      <w:r w:rsidRPr="008B6AD1">
        <w:softHyphen/>
        <w:t>able, absurd, comical, infantile, dangerous, odd, scurrilous, unusual, queer, and outrageous; but unless they meet the clear requirements of psychiatric diagnosis, society will have to deal with these oddities without recourse to psychiatry. There may be in this field psychological problems in reawakened the Oedipus complex, which then led to strikes and other irrational activities. In other words, when miners ask for more money it is simply a “symptom” of a far more serious “disease.” You must treat the disease, not the symptom—which presumably means that all coal miners must be relieved of their Oedipus complexes by a long continued, per</w:t>
      </w:r>
      <w:r w:rsidRPr="008B6AD1">
        <w:softHyphen/>
        <w:t>sonal psychoanalysis if strikes are to be avoided. It hardly needs saying that these suppositious Oedipus complexes are about as real and meaning</w:t>
      </w:r>
      <w:r w:rsidRPr="008B6AD1">
        <w:softHyphen/>
        <w:t>ful as Dr. Cartwright’s drapetomania and synesthesia aethiopsis. The evidence for either is nil, and the very notion that the behaviors com</w:t>
      </w:r>
      <w:r w:rsidRPr="008B6AD1">
        <w:softHyphen/>
        <w:t>plained about are diseases, and consequently subject to medical scrutiny, is insulting and completely unrealistic. Strikes and running away are not “diseases” in any recognized medical sense. At this writing, homosexual</w:t>
      </w:r>
      <w:r w:rsidRPr="008B6AD1">
        <w:softHyphen/>
        <w:t xml:space="preserve">ity is still defined as a “disease” by the American Psychiatric Association; unnatural it may be, a socially undesirable practice it certainly seems to many people, but a disease? Hardly. </w:t>
      </w:r>
      <w:r w:rsidRPr="000A039C">
        <w:rPr>
          <w:rStyle w:val="StyleUnderline"/>
        </w:rPr>
        <w:t>The medical model is clearly inap</w:t>
      </w:r>
      <w:r w:rsidRPr="000A039C">
        <w:rPr>
          <w:rStyle w:val="StyleUnderline"/>
        </w:rPr>
        <w:softHyphen/>
        <w:t>propriate to social behaviors</w:t>
      </w:r>
      <w:r w:rsidRPr="008B6AD1">
        <w:t xml:space="preserve"> of this kind, and efforts made by many modem psychoanalysts to extend medical practices unduly so as to em</w:t>
      </w:r>
      <w:r w:rsidRPr="008B6AD1">
        <w:softHyphen/>
        <w:t>brace ordinary human behaviors should be resisted—particularly when the theories advanced are as absurd as that of miner's Oedipus complexes mentioned above. The practice of using medical analogies for social ills is of course not new; it has existed for a long time. Writers have for many centuries declared the “body politic” to be ill. They have prescribed remedies, and they have predicted death to follow if these prescriptions were not fol</w:t>
      </w:r>
      <w:r w:rsidRPr="008B6AD1">
        <w:softHyphen/>
        <w:t>lowed. The Turk was declared in Victorian times to be “the ill man of Europe,” a place now occupied by Italy and perhaps in the near future by Britain. Strikes, wars, and other social upheavals are declared to be “in</w:t>
      </w:r>
      <w:r w:rsidRPr="008B6AD1">
        <w:softHyphen/>
        <w:t>fectious,” as are mutinies and riots. But writers using these metaphors were quite consciously using them as analogies; they were not suggesting that these eruptions were in fact “diseases" comparable to smallpox and lung cancer. They might call a political enemy’s speeches and suggestions “pestilential” without implying that the behaviors produced as a conse</w:t>
      </w:r>
      <w:r w:rsidRPr="008B6AD1">
        <w:softHyphen/>
        <w:t xml:space="preserve">quence were in fact in any way like the bubonic plague—other than that the consequences would be very serious. </w:t>
      </w:r>
      <w:r w:rsidRPr="00A84488">
        <w:rPr>
          <w:rStyle w:val="StyleUnderline"/>
        </w:rPr>
        <w:t>Medicine has nothing to say about the behavior and the social actions of normal people</w:t>
      </w:r>
      <w:r w:rsidRPr="008B6AD1">
        <w:t>, and psychiatry as part of medicine should follow this rule and concern itself with medical disorders to which its teachings and prescriptions are rele</w:t>
      </w:r>
      <w:r w:rsidRPr="008B6AD1">
        <w:softHyphen/>
        <w:t xml:space="preserve">vant. This is of course realized by the great majority of psychiatrists, who have no wish to be called upon to cure the ills of society, knowing full well that their training is quite irrelevant to any such grandiose endeavor. We may conclude that </w:t>
      </w:r>
      <w:r w:rsidRPr="00A84488">
        <w:rPr>
          <w:rStyle w:val="StyleUnderline"/>
        </w:rPr>
        <w:t>attempts to extend the medical model</w:t>
      </w:r>
      <w:r w:rsidRPr="008B6AD1">
        <w:t xml:space="preserve"> of psychiatry </w:t>
      </w:r>
      <w:r w:rsidRPr="00A84488">
        <w:rPr>
          <w:rStyle w:val="StyleUnderline"/>
        </w:rPr>
        <w:t xml:space="preserve">to include social activities of the most varied sort have failed and have no substance to support them. </w:t>
      </w:r>
      <w:r w:rsidRPr="008B6AD1">
        <w:t>The activities in which normal people indulge may be hateful, deplorable, despicable, obscene, undesir</w:t>
      </w:r>
      <w:r w:rsidRPr="008B6AD1">
        <w:softHyphen/>
        <w:t>able, absurd, comical, infantile, dangerous, odd, scurrilous, unusual, queer, and outrageous; but unless they meet the clear requirements of psychiatric diagnosis, society will have to deal with these oddities without recourse to psychiatry. There may be in this field psychological problems in great number, but these are the province of psychology, not of medicine or psychiatry.</w:t>
      </w:r>
    </w:p>
    <w:p w:rsidR="00A84488" w:rsidRDefault="00A84488" w:rsidP="00EF58FB">
      <w:pPr>
        <w:pStyle w:val="Heading4"/>
        <w:rPr>
          <w:shd w:val="clear" w:color="auto" w:fill="FFFFFF"/>
        </w:rPr>
      </w:pPr>
      <w:r>
        <w:rPr>
          <w:shd w:val="clear" w:color="auto" w:fill="FFFFFF"/>
        </w:rPr>
        <w:t>Medicalizing sociality as “death” obscures immanent and contingent decisions that sustain systems of violence—this undermines resistance</w:t>
      </w:r>
    </w:p>
    <w:p w:rsidR="000658D3" w:rsidRPr="000658D3" w:rsidRDefault="000658D3" w:rsidP="000658D3">
      <w:pPr>
        <w:rPr>
          <w:rStyle w:val="Style13ptBold"/>
        </w:rPr>
      </w:pPr>
      <w:r>
        <w:rPr>
          <w:rStyle w:val="Style13ptBold"/>
        </w:rPr>
        <w:t>Adam 05 (</w:t>
      </w:r>
      <w:r w:rsidRPr="000658D3">
        <w:t>Heribert, Professor of Sociology at Simon Fraser University, and Kogila Moodley, Professor of Sociology in the Department of Educational Studies, University of British Columbia, “Seeking Mandela: Peacemaking Between Israelis and Palestinians,” p. xvi-xvii, CH</w:t>
      </w:r>
      <w:r>
        <w:rPr>
          <w:rStyle w:val="Style13ptBold"/>
        </w:rPr>
        <w:t>)</w:t>
      </w:r>
    </w:p>
    <w:p w:rsidR="008745B6" w:rsidRDefault="000658D3" w:rsidP="007E6641">
      <w:pPr>
        <w:rPr>
          <w:rFonts w:ascii="Arial" w:hAnsi="Arial" w:cs="Arial"/>
          <w:color w:val="4D4D4D"/>
          <w:sz w:val="21"/>
          <w:szCs w:val="21"/>
          <w:shd w:val="clear" w:color="auto" w:fill="FFFFFF"/>
        </w:rPr>
      </w:pPr>
      <w:r w:rsidRPr="000658D3">
        <w:t xml:space="preserve">One note on our methodological guiding thread: </w:t>
      </w:r>
      <w:r w:rsidRPr="00A84488">
        <w:rPr>
          <w:rStyle w:val="StyleUnderline"/>
        </w:rPr>
        <w:t>In analyzing emotionally charged conflicts, one ought to guard against</w:t>
      </w:r>
      <w:r w:rsidRPr="000658D3">
        <w:t xml:space="preserve"> four traps: moralizing, theologizing, </w:t>
      </w:r>
      <w:r w:rsidRPr="00A84488">
        <w:rPr>
          <w:rStyle w:val="StyleUnderline"/>
        </w:rPr>
        <w:t>medicalizing</w:t>
      </w:r>
      <w:r w:rsidRPr="000658D3">
        <w:t>, and personalizing.</w:t>
      </w:r>
      <w:r>
        <w:t xml:space="preserve"> </w:t>
      </w:r>
      <w:r w:rsidRPr="000658D3">
        <w:t xml:space="preserve">Moralizing focuses on what ought to happen rather than what is likely to occur. We all have our moral preferences, but we must avoid being blinded by them. Wishful thinking all too often overrides the need for a hard-nosed reality check. Realistic accounting turns out to be depressing and uncomfortable but is preferable to living with illusions about the inevitable triumph of good over evil. “Restoring Hope” is an inspiring theme for an academic conference on a seemingly intractable conflict, but the hope must also be grounded in realism. Self-serving moral sermons about the evils of the adversary or the need for justice only preach to the converted. Laments about broken international laws or unheeded UN resolutions obscure why the lawbreaker gets away with it. Theologizing mystifies sociopolitical events </w:t>
      </w:r>
      <w:r>
        <w:t>as resulting from divine inter</w:t>
      </w:r>
      <w:r w:rsidRPr="000658D3">
        <w:t>vention or inexplicable developments. To dub the South African negotiated revolution a “miracle” sounds impressive but explains nothing. The popular concept of evil does not explain terrorism. In fact, it shuts off understanding of the phenomenon by labeling it beyond understanding. The concept of evil avoids the important questions of why and when evil expresses itself. The resurrection of the term evil has been mainly used for denunciation. As Robert Fine has argued, the prevailing usage of evil tends to exonerate us—the good—from any responsibility other than that of destroying evil, and forcibly divides the world between Abso</w:t>
      </w:r>
      <w:r>
        <w:t>lute Innocence and the Unspeak</w:t>
      </w:r>
      <w:r w:rsidRPr="000658D3">
        <w:t>able Beast. Praying for better times may comfort the soul, but resting hopes on the outcome means being paralyzed. At the same time, religious beliefs must be taken seriously because people act on the basis of their firmly held faith. However, we doubt that rising religious fundamentalism in a “clash of civilizations” with secular values can adequately explain militancy. The conflict between Islamists and Arab governments, even in the occupied Palestinian territory, is better understood as a class struggle between the disenfranchised poor and the countries’ aut</w:t>
      </w:r>
      <w:r>
        <w:t>ocratic and corrupt elites. Re</w:t>
      </w:r>
      <w:r w:rsidRPr="000658D3">
        <w:t>ligion serves as a mobilizing device that gives the poor a moral identity and promises security and certainty in a climate of fear.</w:t>
      </w:r>
      <w:r>
        <w:t xml:space="preserve"> </w:t>
      </w:r>
      <w:r w:rsidRPr="00A84488">
        <w:rPr>
          <w:rStyle w:val="StyleUnderline"/>
        </w:rPr>
        <w:t xml:space="preserve">Medicalizing a </w:t>
      </w:r>
      <w:r w:rsidRPr="00A84488">
        <w:t>deplorable</w:t>
      </w:r>
      <w:r w:rsidRPr="00A84488">
        <w:rPr>
          <w:rStyle w:val="StyleUnderline"/>
        </w:rPr>
        <w:t xml:space="preserve"> social condition as a disease</w:t>
      </w:r>
      <w:r w:rsidRPr="000658D3">
        <w:t>—a cancer—</w:t>
      </w:r>
      <w:r w:rsidRPr="007E6641">
        <w:rPr>
          <w:rStyle w:val="StyleUnderline"/>
        </w:rPr>
        <w:t>that needs to be eradicated, or as a pathological condition to be cured, resonates as an enticing metaphor.</w:t>
      </w:r>
      <w:r w:rsidRPr="000658D3">
        <w:t xml:space="preserve"> What does Tony Blair’s phrase of “terrorism as a spreading virus” explain? </w:t>
      </w:r>
      <w:r w:rsidRPr="007E6641">
        <w:rPr>
          <w:rStyle w:val="StyleUnderline"/>
        </w:rPr>
        <w:t>Medical analogies assume involuntary destiny, which obscures the conscious forces and interests behind specific policies. They do not help to evaluate policy.</w:t>
      </w:r>
    </w:p>
    <w:p w:rsidR="00A84488" w:rsidRDefault="007E6641" w:rsidP="007E6641">
      <w:pPr>
        <w:pStyle w:val="Heading4"/>
      </w:pPr>
      <w:r>
        <w:t>You can agree with the other portions of their method and vote neg—the alternative is functionally a refinement of the 1AC—debate is a method of contesting scholarship and we have criticized part of the way in which they presented their ideas – it’s better to encourage dialogue and disagreement, but to have the corrective of exposing ideas to contestation, as in debate</w:t>
      </w:r>
    </w:p>
    <w:p w:rsidR="008B6AD1" w:rsidRPr="008745B6" w:rsidRDefault="008745B6" w:rsidP="008B6AD1">
      <w:pPr>
        <w:rPr>
          <w:rStyle w:val="Style13ptBold"/>
        </w:rPr>
      </w:pPr>
      <w:r>
        <w:rPr>
          <w:rStyle w:val="Style13ptBold"/>
        </w:rPr>
        <w:t>Bridges 01 (</w:t>
      </w:r>
      <w:r w:rsidRPr="008745B6">
        <w:t>David, Centre for Applied Research in Education, University of East Anglia, “The Ethics of Outsider Research,” Journal of Philosophy of Education, Volume 35, Number 3, 2001,</w:t>
      </w:r>
      <w:r>
        <w:t xml:space="preserve"> </w:t>
      </w:r>
      <w:hyperlink r:id="rId7" w:history="1">
        <w:r w:rsidRPr="00470920">
          <w:rPr>
            <w:rStyle w:val="Hyperlink"/>
          </w:rPr>
          <w:t>http://onlinelibrary.wiley.com/doi/10.1111/1467-9752.00233/pdf</w:t>
        </w:r>
      </w:hyperlink>
      <w:r>
        <w:t>,</w:t>
      </w:r>
      <w:r w:rsidRPr="008745B6">
        <w:t xml:space="preserve"> CH</w:t>
      </w:r>
      <w:r>
        <w:rPr>
          <w:rStyle w:val="Style13ptBold"/>
        </w:rPr>
        <w:t>)</w:t>
      </w:r>
    </w:p>
    <w:p w:rsidR="00BE5144" w:rsidRPr="00BE5144" w:rsidRDefault="008745B6" w:rsidP="00BE5144">
      <w:r w:rsidRPr="008745B6">
        <w:t>First, it is argued that only those who have shared in, and have been part of, a particular experience can understand or can properly understand (and perhaps ‘properly’ is particularly heavily loaded here) what it is like. You need to be a woman to understand what it is like to live as a woman; to be disabled to understand what it is like to live as a disabled person etc. Thus Charlton writes of ‘the innate inability of able-bodied people, regardless of fancy credentials and awards, to understand the disability experience’ (Charlton, 1998, p. 128).</w:t>
      </w:r>
      <w:r>
        <w:t xml:space="preserve"> </w:t>
      </w:r>
      <w:r w:rsidRPr="008745B6">
        <w:t>Charlton’s choice of language here is indicative of the rhetorical character which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experience which is the experience of disability, whatever solidarity disabled people might feel for each other?</w:t>
      </w:r>
      <w:r>
        <w:t xml:space="preserve"> </w:t>
      </w:r>
      <w:r w:rsidRPr="008745B6">
        <w:t>The understanding that any of us have of our own conditions or experience is unique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However, once this argument is applied to such broad categories as ‘women’ or ‘blacks’, it has to deal with some very heterogeneous groups; the different social, personal and situational characteristics that constitute their individuality may well outweigh the shared characteristics; and there may indeed be greater barriers to mutual understanding than there are gateways.</w:t>
      </w:r>
      <w:r>
        <w:t xml:space="preserve"> </w:t>
      </w:r>
      <w:r w:rsidRPr="008745B6">
        <w:t>These arguments, however, all risk a descent into solipsism: if our individual understanding is so particular, how can we have communication with or any understanding of anyone else? But, granted Wittgenstein’s persuasive argument against a private language (Wittgenstein, 1963, perhaps more straightforwardly presented in Rhees, 1970), we cannot in these circumstances even describe or have any real understanding of our own condition in such an isolated world. Rather it is in talking to each other, in participating in a shared language, that we construct the conceptual apparatus that allows us to understand our own situation in relation to others—and this is a construction which involves under</w:t>
      </w:r>
      <w:r w:rsidRPr="008745B6">
        <w:softHyphen/>
        <w:t>standing differences as well as similarities.</w:t>
      </w:r>
      <w:r>
        <w:t xml:space="preserve"> </w:t>
      </w:r>
      <w:r w:rsidRPr="008745B6">
        <w:t>Besides, we have good reason to treat with some scepticism accounts provided by individuals of their own experience and by extension accounts provided by members of a particular category or community of people. We know that such accounts can be riddled with special pleading, selective memory, careless error, self-centredness, myopia, prejudice and a good deal more. A lesbian scholar illustrates some of the pressures that can bear, for example, on an insider researcher in her own community:</w:t>
      </w:r>
      <w:r>
        <w:t xml:space="preserve"> </w:t>
      </w:r>
      <w:r w:rsidRPr="008745B6">
        <w:t>As an insider, the lesbian has an important sensitivity to offer, yet she is also more vulnerable than the non-lesbian researcher, both to the pressure from the heterosexual world—that her studies conform to previous works and describe lesbian reality in terms of its relationship with the outside— and to pressure from the inside, from within the lesbian community itself—that her studies mirror not the reality of that community but its self-protective ideology. (Kreiger, 1982, p. 108)</w:t>
      </w:r>
      <w:r>
        <w:t xml:space="preserve"> </w:t>
      </w:r>
      <w:r w:rsidRPr="008745B6">
        <w:t>In other words, while individuals from within a community have access to a particular kind of understanding of their experience, this does not automatically attach special authority (though it might attach special interest) to their own representations of that experience. Moreover, while we might acknowledge the limitations of the under</w:t>
      </w:r>
      <w:r w:rsidRPr="008745B6">
        <w:softHyphen/>
        <w:t>standing which someone from outside a community (or someone other than the individual who is the focus of the research) can develop, this does not entail that they cannot develop and present an understanding or that such understanding is worthless. Individuals can indeed find benefit in the understandings that others offer of their experience in, for example, a counselling relationship, or when a researcher adopts a supportive role with teachers engaged in reflection on or research into their own practice. Many have echoed the plea of the Scottish poet, Robert Burns (in ‘To a louse’):</w:t>
      </w:r>
      <w:r>
        <w:t xml:space="preserve"> </w:t>
      </w:r>
      <w:r w:rsidRPr="008745B6">
        <w:t>O wad some Pow’r the giftie gie us To see oursels as others see us!3</w:t>
      </w:r>
      <w:r>
        <w:t xml:space="preserve"> </w:t>
      </w:r>
      <w:r w:rsidRPr="008745B6">
        <w:t>—even if they might have been horrified with what such power revealed to them. Russell argued that it was the function of philosophy (and why not research too?) ‘to suggest many possibilities which enlarge our thoughts and free them from the tyranny of custom . . .It keeps alive our sense of wonder by showing familiar things in an unfamiliar aspect’ (Russell, 1912, p. 91). ‘Making the familiar strange’, as Stenhouse called it, often requires the assistance of someone unfamiliar with our own world who can look at our taken-for-granted experience through, precisely, the eye of a stranger. Sparkes (1994) writes very much in these terms in describing his own research, as a white, heterosexual middle- aged male, into the life history of a lesbian PE teacher. He describes his own struggle with the question ‘is it possible for heterosexual people to undertake research into homosexual populations?’ but he concludes that being a ‘phenomenological stranger’ who asks ‘dumb questions’ may be a useful and illuminating experience for the research subject in that they may have to return to first principles in reviewing their story. This could, of course be an elaborate piece of self-justification, but it is interesting that someone like Max Biddulph, who writes from a gay/bisexual stand</w:t>
      </w:r>
      <w:r w:rsidRPr="008745B6">
        <w:softHyphen/>
        <w:t>point, can quote this conclusion with apparent approval (Biddulph, 1996).</w:t>
      </w:r>
      <w:r>
        <w:t xml:space="preserve"> </w:t>
      </w:r>
      <w:r w:rsidRPr="008745B6">
        <w:t>People from outside a community clearly can have an understanding of the experience of those who are inside that community. It is almost certainly a different understanding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(Barone, 1992). Nevertheless, this value will also depend on qualities derived from the researchers’ exter</w:t>
      </w:r>
      <w:r w:rsidRPr="008745B6">
        <w:softHyphen/>
        <w:t>nality: their capacity to relate one set of experiences to others (perhaps from their own community); their outsider perspective on the structures which surround and help to define the experience of the community; on the reactions and responses to that community of individuals and groups external to it.4</w:t>
      </w:r>
      <w:r>
        <w:t xml:space="preserve"> </w:t>
      </w:r>
      <w:r w:rsidRPr="008745B6">
        <w:t>Finally, it must surely follow that if we hold that a researcher, who (to take the favourable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The argument which excludes the outsider from under</w:t>
      </w:r>
      <w:r w:rsidRPr="008745B6">
        <w:softHyphen/>
        <w:t>standing a community through the effort of their own research, a fortiori excludes the outsider from that understanding through the secondary source in the form of the effort of an insider researcher or indeed any other means. Again, the point can only be maintained by insisting that a particular (and itself ill-defined) understanding is the only kind of understanding which is worth having.</w:t>
      </w:r>
      <w:r>
        <w:t xml:space="preserve"> </w:t>
      </w:r>
      <w:r w:rsidRPr="008745B6">
        <w:t>The epistemological argument (that outsiders cannot understand the experience of a community to which they do not belong) becomes an ethical argument when this is taken to entail the further proposition that they ought not therefore attempt to research that community. I hope to have shown that this argument is based on a false premise. Even if the premise were sound, however, it would not necessarily follow that researchers should be prevented or excluded from attempting to under</w:t>
      </w:r>
      <w:r w:rsidRPr="008745B6">
        <w:softHyphen/>
        <w:t>stand this experience, unless it could be shown that in so doing they would cause some harm. This is indeed part of the argument emerging from disempowered communities and it is to this that I shall now turn.</w:t>
      </w:r>
      <w:r>
        <w:t xml:space="preserve"> </w:t>
      </w:r>
      <w:r w:rsidRPr="008745B6">
        <w:t>Ill OUTSIDERS IMPORT DAMAGING FRAMEWORKS OF UNDERSTANDING</w:t>
      </w:r>
      <w:r>
        <w:t xml:space="preserve"> </w:t>
      </w:r>
      <w:r w:rsidRPr="008745B6">
        <w:t>Frequent in the literature about research into disability, women’s experience, race and homosexuality is the claim that people from outside these particular communities will import into their research, for example, homophobic, sexist or racist frameworks of understanding, which damage the interests of those being researched.</w:t>
      </w:r>
      <w:r>
        <w:t xml:space="preserve"> </w:t>
      </w:r>
      <w:r w:rsidRPr="008745B6">
        <w:t>In the case of research into disability it has been argued that outsider researchers carry with them assumptions that the problem of disability lies with the disabled rather than with the society which frames and defines disability. ‘The essential problem of recent anthropological work on culture and disability is that it perpetuates outmoded beliefs and continues to distance research from lived oppression’ (Charlton, 1998, p. 27). By contrast: ‘a growing number of people with disabilities have developed a consciousness that transforms the notion and concept of disability from a medical condition to a political and social condition’ (Charlton, 1998, p. 17). Charlton goes on to criticise, for example, a publication by Ingstad and Reynolds Whyte (1995), Disability and Culture. He claims that, although it does add to our understanding of how the conceptualisation and symbolisation of disability takes place, ‘its language is and perspective are still lodged in the past. In the first forty pages alone we find the words suffering, lameness, interest group, incapacitated, handicapped, deformities. Notions of oppression, dominant culture, justice, human rights, political movement, and self</w:t>
      </w:r>
      <w:r w:rsidRPr="008745B6">
        <w:softHyphen/>
        <w:t>determination are conspicuously absent’ (Charlton, 1998 p. 27).</w:t>
      </w:r>
      <w:r>
        <w:t xml:space="preserve"> </w:t>
      </w:r>
      <w:r w:rsidRPr="008745B6">
        <w:t>Discussing the neo-colonialism of outsider research into Maori experience, Smith extends this type of claim to embrace the wider methodological and metaphysical framing of outsider research: ‘From an indigenous perspective Western research is more than just research that is located in a positivist tradition. It is research which brings to bear, on any study of indigenous peoples, a cultural orientation, a set of values, a different conceptualization of such things as time, space and subjectivity, different and competing theories of knowledge, highly specialized forms of language, and structures of power’ (Smith, 1999, p.42).5</w:t>
      </w:r>
      <w:r>
        <w:t xml:space="preserve"> </w:t>
      </w:r>
      <w:r w:rsidRPr="008745B6">
        <w:t>This position requires, I think, some qualification. First, researchers are clearly not immune from some of the damaging and prejudicial attitudes on matters of race, sexuality, disability and gender which are found among the rest of the population, though I might hope that their training and experience might give them above-average awareness of these issues and above-average alertness to their expression in their own work. Even where such attitudes remain in researchers’ consciousness, this intelligent self-awareness and social sensitivity mean on the whole that they are able to deploy sufficient self-censorship not to expose it in a damaging way. Researchers may thus remain morally culpable for their thoughts, but, at least, communities can be spared the harm of their expression. It is also a matter of some significance that researchers are more exposed than most to public criticism, not least from critics from within these disempowered communities, when such prejudices do enter and are revealed in their work. If they employ the rhetoric of, for example, anti-racist or anti-sexist conviction, they are at least in their public pronouncements exposed to the humiliation of being hoisted by their own petard. It is difficult to see the fairness in excluding all outsider researchers on the a priori supposition of universal prejudice. It is better, surely, to expose it where it is revealed and, if absolutely necessary, to debar individuals who ignore such criticism and persist in using the privilege of their research position to peddle what can then only be regarded as damaging and prejudicial propaganda. Secondly, it is plainly not the case that Western research is located exclusively (as is implied) in a positivist tradition, even if this tradition has been a dominant one. Phenomenology, ethnography, life history, even, more recently, the use of narrative fiction and poetry as forms of research representation, are all established ingredients of the educational research worlds in the UK, USA or Australasia. Contemporary research literature abounds with critiques of positivism as well as examples of its continuing expression.</w:t>
      </w:r>
      <w:r>
        <w:t xml:space="preserve"> </w:t>
      </w:r>
      <w:r w:rsidRPr="008745B6">
        <w:t>I have placed much weight in these considerations on the importance of any research being exposed to criticism—most importantly, perhaps, but by no means exclusively by the people whose experience it claims to represent. This principle is not simply an ethical principle associated with the obligations that a researcher might accept towards participants in the research, but it is a fundamental feature of the processes of research and its claims to command our attention. It is precisely exposure to, modification through and survival of a process of vigorous public scrutiny that provides research with whatever authority it can claim. In contemporary ethnographic research, case-study and life-history research, for example, this expectancy of exposure to correction and criticism is one which runs right through the research process. The methodological requirement is for participants to have several oppor</w:t>
      </w:r>
      <w:r w:rsidRPr="008745B6">
        <w:softHyphen/>
        <w:t>tunities to challenge any prejudices which researchers may bring with them: at the point where the terms of the research are first negotiated and they agree to participate (or not); during any conversations or interviews that take place in the course of the research; in responding to any record which is produced of the data gathering; in response to any draft or final publication. Indeed, engagement with a researcher pro</w:t>
      </w:r>
      <w:r w:rsidRPr="008745B6">
        <w:softHyphen/>
        <w:t>vides any group with what is potentially a richly educative opportunity: an opportunity to open their eyes and to see things differently. It is, moreover, an opportunity which any researcher worth his or her salt will welcome.</w:t>
      </w:r>
      <w:r>
        <w:t xml:space="preserve"> </w:t>
      </w:r>
      <w:r w:rsidRPr="008745B6">
        <w:t>Not all researchers or research processes will be as open as are described here to that educative opportunity, and not all participants (least of all those who are self-defining as ‘disempowered’) will feel the confidence to take them even if they are there. This may be seen as a reason to set up barriers to the outsider researcher, but they can and should more often be seen as problems for researchers and participants to address together in the interests of their mutual understanding and benefit.</w:t>
      </w:r>
      <w:r>
        <w:t xml:space="preserve"> </w:t>
      </w:r>
      <w:r w:rsidRPr="008745B6">
        <w:t>Notwithstanding these considerations, one of the chief complaints coming out of disempowered communities is that this kind of mutual interest and benefit is precisely what is lacking in their experience of research. It is to this consideration that I shall now turn.</w:t>
      </w:r>
      <w:r>
        <w:t xml:space="preserve"> </w:t>
      </w:r>
      <w:bookmarkStart w:id="0" w:name="bookmark5"/>
      <w:r w:rsidRPr="008745B6">
        <w:t>IV OUTSIDERS EXPLOIT INSIDER PARTICIPANTS IN THE COMMUNITIES THEY RESEARCH</w:t>
      </w:r>
      <w:bookmarkEnd w:id="0"/>
      <w:r>
        <w:t xml:space="preserve"> </w:t>
      </w:r>
      <w:r w:rsidRPr="008745B6">
        <w:t>Ellen describes how fieldwork has become ‘a rite of passage by which the novice is transformed into the rounded anthropologist and initiated into the ranks of the profession’—a ritual by which ‘the student of anthropology dies and a professional anthropologist is born’ (Ellen, 1984, p. 23). This is a reminder that research can carry benefits to the researcher which go beyond those associated with the ‘pure’ pursuit of understanding. As participants in research become more aware of this, their attitudes towards research and researchers can, understandably, change. The following observation was made by a woman from a community that had experienced several waves of enthusiastic researchers:</w:t>
      </w:r>
      <w:r>
        <w:t xml:space="preserve"> </w:t>
      </w:r>
      <w:r w:rsidRPr="008745B6">
        <w:t>The kind of behaviour researchers have towards locals tells us that they just want to exploit them and take from them their ideas and information.</w:t>
      </w:r>
      <w:r>
        <w:t xml:space="preserve"> </w:t>
      </w:r>
      <w:r w:rsidRPr="008745B6">
        <w:t>It also tells us that they don’t really care at all. They want the information to use in front of a group of people at home, so that they can be seen as clever academics. Then in the end they publish books, reviews, articles etc in order to spread their popularities. So what is this, and what is research really about? Not all researchers are exploiters, but most are, and I think it is time up now for this, and that these researchers should also be exploited by local people. (Florence Shumba, quoted in Wilson, 1992, p. 199)</w:t>
      </w:r>
      <w:r>
        <w:t xml:space="preserve"> </w:t>
      </w:r>
      <w:r w:rsidRPr="008745B6">
        <w:t>Researchers who are sensitive to this issue typically look for ways to counter the imbalance of benefit. They will sometimes discuss with participants ways in which the research could be designed to benefit all parties, by, for example, ensuring that it addresses issues on which the participants need information as well as the researchers or by providing data that the research participants can use independently and for their own purposes. In the absence of any other perceived benefit, some schools in the UK have responded to researchers’ requests for access and time for interviews by proposing to charge by the hour for teachers’ time. Of course sometimes participants will be persuaded to participate on the grounds that some other people whose interests they care about— pupils in schools, for example, or children currently excluded from education—will secure the benefit of the research, but there has to be the link between something which they perceive to be a benefit (albeit altruistically) and the commitment which they are asked to make.</w:t>
      </w:r>
      <w:r>
        <w:t xml:space="preserve"> </w:t>
      </w:r>
      <w:r w:rsidRPr="008745B6">
        <w:t>These illustrations of the terms of engagement between researchers and their participants present a picture of a trade in benefit, the negotiation of a utilitarian equation of mutual happiness and, perhaps, pain, though one in which higher satisfactions (e.g. new insights and the improvements to the future education of children) have a place alongside lower ones (a bit of self-publicity or cash in the school fund). Questions of exploitation, in Kantian terms of treating people as means rather than ends (see Kant, 1964)6 come in if, as is sometimes alleged, researchers use their positions of authority or their sophistication to establish relationships in which the benefits are very one-sided in their favour.</w:t>
      </w:r>
      <w:r>
        <w:t xml:space="preserve"> </w:t>
      </w:r>
      <w:r w:rsidRPr="008745B6">
        <w:t>This distinction between the utilitarian principle and the Kantian one is crucial here. The utilitarian principle might require us to measure in the scales a much wider community of benefit. If, for example, the researcher could show that, even though the Maori community he or she was researching experienced the inconvenience of the research without the benefit, thousands of other people would benefit from it, then the utilitarian equation might provide justification for the research. But this is precisely one of the weaknesses of the utilitarian principle of the greatest happiness of the greatest number—at least when it is applied with this sort of simplicity. It requires either a broader take on the utilitarian principle (which might observe that a programme of action which allocates all the benefits to one group and all the ‘pain’ to another will not be conducive to the greatest aggregation of happiness) or the invoking of something closer to the Kantian principle, which would demand that we do not exploit one group of people to the exclusive benefit of another. Researchers seeking collaboration with participants in disempowered communities have essentially two forms of appeal—to their self-interest or to their generosity. Either they need to see some benefit to themselves which is at least roughly commensurate to the effort that is required of them (or in some cases the value of what they have to offer); or they need knowingly to contribute out of their own benevolence towards the researcher or others whom they believe the research will benefit.</w:t>
      </w:r>
      <w:r>
        <w:t xml:space="preserve"> </w:t>
      </w:r>
      <w:r w:rsidRPr="008745B6">
        <w:t>In this second case, the researcher is placed in something of the position of the receiver of a gift and he or she needs to recognise con</w:t>
      </w:r>
      <w:r w:rsidRPr="008745B6">
        <w:softHyphen/>
        <w:t>sequently the quite elaborate ethical apparatus that surrounds such receipt. There is a particular ‘spirit’ in which we might be expected to receive a gift: a spirit of gratitude, of humility, of mutuality in the relationship. There may also be a network of social expectations, which flow from such giving—of being in thrall to the giver, of being in his or her debt—but on the whole anyone contributing to an educational research project would be naive to assume that such ‘debts’ might be repaid. Most of the time, researchers are in fact inviting the generosity of their participants, and perhaps there is something more ethically elevated in responding to such generosity with a true spirit of gratitude and a recognition of the mutuality of relationship which binds giver and receiver, than in seeking to establish a trade in dubious benefits. Smith (1999) provides a wonderful picture of the combination of spirit and benefits that might be involved in establishing this relationship (as well as a whole new angle on the notion of ‘empowerment’!) when she outlines the range of issues on which a researcher approaching a Maori community might need to satisfy them: ‘Is her spirit clear? Does he have a good heart? What other baggage are they carrying? Are they useful to us? Can they fix up our generator? Can they actually do anything?’ (Smith, 1999, p. 10). Perhaps all educational researchers should be required to satisfy participants on these questions.</w:t>
      </w:r>
      <w:r>
        <w:t xml:space="preserve"> </w:t>
      </w:r>
      <w:r w:rsidRPr="008745B6">
        <w:t>I conclude that the possibility that outsider educational research may be conducted in an exploitative manner is not an argument for obstructing it comprehensively, but it is an argument for requiring that it be conducted under an appropriate set of principles and obligations and in a proper spirit. ‘Qualitative researchers’, argued Stake, ‘are guests in the private spaces of the world. Their manners should be good and their code of ethics strict’ (Stake, 1998, p. 103). Any community may legitimately reject a researcher (insider or outsider) who fails to establish and conduct relationships under these require</w:t>
      </w:r>
      <w:r w:rsidRPr="008745B6">
        <w:softHyphen/>
        <w:t>ments.</w:t>
      </w:r>
      <w:r>
        <w:t xml:space="preserve"> </w:t>
      </w:r>
      <w:r w:rsidRPr="008745B6">
        <w:t>In this field, ethics is never far removed from politics. This essay has focused on the relationship between educational researchers and communities that are self-defined as ‘disempowered’ but has not really addressed the issue of power. At the heart of the objections to outsider research is a view that such research, far from challenging and removing such disempowerment, operates to reinforce it. It is this argument which I shall now address.</w:t>
      </w:r>
      <w:r>
        <w:t xml:space="preserve"> </w:t>
      </w:r>
      <w:r w:rsidRPr="008745B6">
        <w:t>V OUTSIDERS’ RESEARCH DISEMPOWERS INSIDERS</w:t>
      </w:r>
      <w:r>
        <w:t xml:space="preserve"> </w:t>
      </w:r>
      <w:r w:rsidRPr="008745B6">
        <w:t>At least one of the arguments against outsider research into self-defined ‘disempowered’ sections of the population is made independently of the measure of sensitivity and care, which the outsider researchers demon</w:t>
      </w:r>
      <w:r w:rsidRPr="008745B6">
        <w:softHyphen/>
        <w:t>strate in its conduct. ‘If we have learned one thing from the civil rights movement in the US’, wrote Ed Roberts, a leading figure in the Disability Rights Movement (DRM), ‘it’s that when others speak for you, you lose’ (quoted in Driedger, 1989, p. 28). Roberts’ case is in part that for so long as such groups depend on outsiders to represent them on the wider stage, they will be reinforcing both the fact and the perception of their subordination and dependency as well as exposing themselves to potential misrepresentation. They have to break the vicious circle of dependency—and that means taking control for themselves of the ways in which their experience is represented more widely:</w:t>
      </w:r>
      <w:r>
        <w:t xml:space="preserve"> </w:t>
      </w:r>
      <w:r w:rsidRPr="008745B6">
        <w:t>The DRM’s demand for control is the essential theme that runs through all its work, regardless of political-economic or cultural differences. Control has universal appeal for DRM activists because their needs are everywhere conditioned by a dependency born of powerlessness, poverty, degradation, and institutionalisation. This dependency, saturated with paternalism, begins with the onset of disability and continues until death. (Charlton, 1998, p. 3)</w:t>
      </w:r>
      <w:r>
        <w:t xml:space="preserve"> </w:t>
      </w:r>
      <w:r w:rsidRPr="008745B6">
        <w:t>Outsider researchers sometimes persuade themselves that they are acting in an emancipatory way by ‘giving voice to’ neglected or disenfranchised sections of the community. Their research may indeed push the evident voice of the researcher far into the background as he or she ‘simply presents’, perhaps as large chunks of direct transcription and without commentary, what participants have to say. But, as Reinharz has warned, this is by no means as simple as it might appear:</w:t>
      </w:r>
      <w:r>
        <w:t xml:space="preserve"> </w:t>
      </w:r>
      <w:r w:rsidRPr="008745B6">
        <w:t>To listen to people is to empower them. But if you want to hear it, you have to go hear it, in their space, or in a safe space. Before you can expect</w:t>
      </w:r>
      <w:r>
        <w:t xml:space="preserve"> </w:t>
      </w:r>
      <w:r w:rsidRPr="008745B6">
        <w:t>to hear anything worth hearing, you have to examine the power dynamics of the space and the social actors . . .</w:t>
      </w:r>
      <w:r>
        <w:t xml:space="preserve"> </w:t>
      </w:r>
      <w:r w:rsidRPr="008745B6">
        <w:t>Second, you have to be the person someone else can talk to, and you have to be able to create a context where the person can speak and you can listen. That means we have to study who we are and who we are in relation to those we study . . .</w:t>
      </w:r>
      <w:r>
        <w:t xml:space="preserve"> </w:t>
      </w:r>
      <w:r w:rsidRPr="008745B6">
        <w:t>Third, you have to be willing to hear what someone is saying, even when it violates your expectations or threatens your interests. In other words, if you want someone to tell it like it is, you have to hear it like it is. (Reinharz, 1988, pp. 15-16)</w:t>
      </w:r>
      <w:r>
        <w:t xml:space="preserve"> </w:t>
      </w:r>
      <w:r w:rsidRPr="008745B6">
        <w:t>Even with this level of self knowledge, sensitivity and discipline, there is a significant temptation in such situations to what is sometimes called ventriloquy: the using of the voice of the participant to give expression to the things which the researcher wants to say or to have said. This is a process which is present in the selection of participants, in the framing of the questions which they are encouraged to answer, in the verbal and visual cues which they are given of the researcher’s pleasure or excitement with their responses, and, later, in the researcher’s selection of material for publication. Such ventriloquy, argues Fine, disguises ‘the usually unacknowledged stances of researchers who navigate and camouflage theory through the richness of ‘‘native voices’’’ (Fine, 1994, p.22).</w:t>
      </w:r>
      <w:r>
        <w:t xml:space="preserve"> </w:t>
      </w:r>
      <w:r w:rsidRPr="008745B6">
        <w:t>The argument that insiders within ‘disempowered’ communities (or any other communities for that matter) should be researching and, where appropriate, giving public expression to their own experience is surely uncontroversial. In a context in which insider research has been negligible and hugely subordinated to waves of outsider research, there is a good case for taking practical steps to correct that balance and spare a community what can understandably be experienced as an increasingly oppressive relationship with research.</w:t>
      </w:r>
      <w:r>
        <w:t xml:space="preserve"> </w:t>
      </w:r>
      <w:r w:rsidRPr="008745B6">
        <w:t>There are, however, at last three reasons in principle for keeping the possibility of outsider research open: (i) that such enquiry might enhance the understanding of the researcher; (ii) that it might enhance the understanding of the community itself; and (iii) that it might enhance the understanding of a wider public. There is no doubt a place for researching our own experience and that of our own communities, but surely we cannot be condemned lifelong to such social solipsism? Notwithstanding some postmodernist misgivings, ‘There is still a world out there, much to learn, much to discover; and the exploration of ourselves, however laudable in that at least it risks no new imperialistic gesture, is not, in the end, capable of sustaining lasting interest’ (Patai, 1994, p. 67). The issue is not, however, merely one of satisfying curiosity. There is a real danger that if we become persuaded that we cannot understand the experience of others and that ‘we have no right to speak for anyone but ourselves’, then we will all too easily find ourselves epistemologically and morally isolated, furnished with a comfortable legitimation for ignoring the condition of anyone but ourselves. This is not, any more than the paternalism of the powerful, the route to a more just society.</w:t>
      </w:r>
      <w:r>
        <w:t xml:space="preserve"> </w:t>
      </w:r>
      <w:r w:rsidRPr="008745B6">
        <w:t>How, then can we reconcile the importance of (1) wider social under</w:t>
      </w:r>
      <w:r w:rsidRPr="008745B6">
        <w:softHyphen/>
        <w:t>standing of the world of ‘disempowered’ communities and of the structures which contribute to that disempowerment, (2) the openness of those communities and structures to the outsider researcher, and (3) the determination that the researcher should not wittingly or unwittingly reinforce that disempowerment? The literature (from which a few selected examples are quoted below) provides some clues as to the character of relations between researcher and researched which ‘emancipatory’, ‘participatory’ or ‘educative’ research might take.</w:t>
      </w:r>
      <w:r>
        <w:t xml:space="preserve"> </w:t>
      </w:r>
      <w:r w:rsidRPr="008745B6">
        <w:t>To begin with, we need to re-examine the application of the notion of ‘property’ to the ownership of knowledge. In economic terms, know</w:t>
      </w:r>
      <w:r w:rsidRPr="008745B6">
        <w:softHyphen/>
        <w:t>ledge is not a competitive good. It has the distinctive virtue that (at least in terms of its educative function) it can be infinitely distributed without loss to any of those who are sharing in it. Similarly the researcher can acquire it from people without denying it to them and can return it enriched. However, it is easy to neglect the processes of reporting back to people and sharing in knowledge and the importance which can be attached to this process by those concerned. For Smith, a Maori woman working with research students from the indigenous people of New Zealand, ‘Reporting back to the people is never a one-off exercise or a task that can be signed off on completion of the written report’. She describes how one of her students took her work back to the people she interviewed. ‘The family was waiting for her; they cooked food and made us welcome. We left knowing that her work will be passed around the family to be read and eventually will have a place in the living room along with other valued family books and family photographs’ (Smith, 1999, pp. 15-16).</w:t>
      </w:r>
      <w:r>
        <w:t xml:space="preserve"> </w:t>
      </w:r>
      <w:r w:rsidRPr="008745B6">
        <w:t>For some, what is required is a moving away from regarding research as a property and towards seeing it as a dialogic enquiry designed to assist the understanding of all concerned:</w:t>
      </w:r>
      <w:r>
        <w:t xml:space="preserve"> </w:t>
      </w:r>
      <w:r w:rsidRPr="008745B6">
        <w:t>Educative research attempts to restructure the traditional relationship between researcher and ‘subject’. Instead of a one-way process where researchers extract data from ‘subjects’, Educational Research encourages a dialogic process where participants negotiate meanings at the level of question posing, data collection and analysis . . . It . . . encourages participants to work together on an equal basis to reach a mutual understanding. Neither participant should stand apart in an aloof or judgmental manner; neither should be silenced in the process. (Gitlin and Russell, 1994, p. 185)</w:t>
      </w:r>
    </w:p>
    <w:p w:rsidR="005A7217" w:rsidRDefault="005A7217" w:rsidP="005A7217">
      <w:pPr>
        <w:pStyle w:val="Heading3"/>
      </w:pPr>
      <w:r>
        <w:t>AT Perm</w:t>
      </w:r>
    </w:p>
    <w:p w:rsidR="00BE5144" w:rsidRDefault="00BE5144" w:rsidP="00BE5144">
      <w:pPr>
        <w:rPr>
          <w:rFonts w:ascii="Arial" w:hAnsi="Arial" w:cs="Arial"/>
          <w:color w:val="4D4D4D"/>
          <w:sz w:val="21"/>
          <w:szCs w:val="21"/>
          <w:shd w:val="clear" w:color="auto" w:fill="FFFFFF"/>
        </w:rPr>
      </w:pPr>
      <w:r>
        <w:rPr>
          <w:rFonts w:ascii="Arial" w:hAnsi="Arial" w:cs="Arial"/>
          <w:color w:val="4D4D4D"/>
          <w:sz w:val="21"/>
          <w:szCs w:val="21"/>
          <w:shd w:val="clear" w:color="auto" w:fill="FFFFFF"/>
        </w:rPr>
        <w:t>The permutation cannot overcome the link---body metaphors reinscribe harmful power structures  </w:t>
      </w:r>
    </w:p>
    <w:p w:rsidR="00A84488" w:rsidRPr="00BE5144" w:rsidRDefault="00A84488" w:rsidP="00EF58FB">
      <w:pPr>
        <w:pStyle w:val="Heading4"/>
      </w:pPr>
      <w:r>
        <w:t>The permutation cannot overcome the link—body metaphors reinscribe harmful power structures</w:t>
      </w:r>
    </w:p>
    <w:p w:rsidR="00BE5144" w:rsidRPr="00BE5144" w:rsidRDefault="00BE5144" w:rsidP="00BE5144">
      <w:pPr>
        <w:rPr>
          <w:rStyle w:val="Style13ptBold"/>
        </w:rPr>
      </w:pPr>
      <w:r>
        <w:rPr>
          <w:rStyle w:val="Style13ptBold"/>
        </w:rPr>
        <w:t>Schlosser 07 (</w:t>
      </w:r>
      <w:r w:rsidRPr="00BE5144">
        <w:t>Kolson, Visiting Assistant Professor in the Department of Geography and Geology at Western Kentucky University, “The Bio-Politics of Bodies Politic: Nature and Intertextuality in Classic US Geopolitical Discourse,” GeoJournal 69(3), p. 200-202, http://www.jstor.org/stable/41148188, CH</w:t>
      </w:r>
      <w:r>
        <w:rPr>
          <w:rStyle w:val="Style13ptBold"/>
        </w:rPr>
        <w:t>)</w:t>
      </w:r>
    </w:p>
    <w:p w:rsidR="00BE5144" w:rsidRPr="00A84488" w:rsidRDefault="00BE5144" w:rsidP="00BE5144">
      <w:pPr>
        <w:rPr>
          <w:sz w:val="16"/>
        </w:rPr>
      </w:pPr>
      <w:r w:rsidRPr="00A84488">
        <w:rPr>
          <w:sz w:val="16"/>
        </w:rPr>
        <w:t>The above quote from Haass is only a very recent example, but such representations have been exceedingly common in US geopolitical discourse. This paper provides a genealogy of these kinds of organic representation of the state from the early 19th century to the present day. While I focus on geopolitical literatures such as the propaganda of the National Security League (NSL) during WWI and important Cold War doc</w:t>
      </w:r>
      <w:r w:rsidRPr="00A84488">
        <w:rPr>
          <w:sz w:val="16"/>
        </w:rPr>
        <w:softHyphen/>
        <w:t xml:space="preserve">uments such as George Kennan’s ‘X-telegram’, I actually analyze a wide range of literatures both topically and temporally in order to emphasize the depth of this genealogy. I also employ the concept of intertextuality as a key analytical tool to examine not precisely what the documents say, but rather how they are rendered intelligible by other previous and concurrent texts. For that reason </w:t>
      </w:r>
      <w:r w:rsidRPr="00BE5144">
        <w:rPr>
          <w:rStyle w:val="StyleUnderline"/>
        </w:rPr>
        <w:t>I situate</w:t>
      </w:r>
      <w:r w:rsidRPr="00A84488">
        <w:rPr>
          <w:sz w:val="16"/>
        </w:rPr>
        <w:t xml:space="preserve"> these texts within 19th and 20th century </w:t>
      </w:r>
      <w:r w:rsidRPr="00BE5144">
        <w:rPr>
          <w:rStyle w:val="StyleUnderline"/>
        </w:rPr>
        <w:t>bio-medical discourse</w:t>
      </w:r>
      <w:r w:rsidRPr="00A84488">
        <w:rPr>
          <w:sz w:val="16"/>
        </w:rPr>
        <w:t xml:space="preserve">, part of </w:t>
      </w:r>
      <w:r w:rsidRPr="00BE5144">
        <w:rPr>
          <w:rStyle w:val="StyleUnderline"/>
        </w:rPr>
        <w:t>what Foucault</w:t>
      </w:r>
      <w:r w:rsidRPr="00A84488">
        <w:rPr>
          <w:sz w:val="16"/>
        </w:rPr>
        <w:t xml:space="preserve"> (1978, 1980) </w:t>
      </w:r>
      <w:r w:rsidRPr="00BE5144">
        <w:rPr>
          <w:rStyle w:val="StyleUnderline"/>
        </w:rPr>
        <w:t>identifies as a</w:t>
      </w:r>
      <w:r w:rsidRPr="00A84488">
        <w:rPr>
          <w:sz w:val="16"/>
        </w:rPr>
        <w:t xml:space="preserve">n emergent </w:t>
      </w:r>
      <w:r w:rsidRPr="00BE5144">
        <w:rPr>
          <w:rStyle w:val="StyleUnderline"/>
        </w:rPr>
        <w:t xml:space="preserve">bio-politics of health. </w:t>
      </w:r>
      <w:r w:rsidRPr="00A84488">
        <w:rPr>
          <w:sz w:val="16"/>
        </w:rPr>
        <w:t>This paper is thus an analysis of the intertextuality of two discourses (geopolitics and the body) as a means to show how the mobilization of body metaphors to describe the state serves to naturalize territorial</w:t>
      </w:r>
      <w:r w:rsidRPr="00A84488">
        <w:rPr>
          <w:sz w:val="16"/>
        </w:rPr>
        <w:softHyphen/>
        <w:t>ized national identities. It is also this intertextu</w:t>
      </w:r>
      <w:r w:rsidRPr="00A84488">
        <w:rPr>
          <w:sz w:val="16"/>
        </w:rPr>
        <w:softHyphen/>
        <w:t xml:space="preserve">ality which brings me to the title “the bio-politics of bodies politic.’’ I will argue that this ‘bio-politics of bodies politic’ breaks down into at least two main themes. First, </w:t>
      </w:r>
      <w:r w:rsidRPr="00A84488">
        <w:rPr>
          <w:rStyle w:val="StyleUnderline"/>
          <w:highlight w:val="yellow"/>
        </w:rPr>
        <w:t>body metaphors discursively reduce society into an unbroken unity,</w:t>
      </w:r>
      <w:r w:rsidRPr="00BE5144">
        <w:rPr>
          <w:rStyle w:val="StyleUnderline"/>
        </w:rPr>
        <w:t xml:space="preserve"> a system with inter-working parts that fulfill a role towards the reproduction of that unity. The unity is coded as fundamentally moral, but endangered by the infiltration of foreign contagion, coded as immor</w:t>
      </w:r>
      <w:r w:rsidRPr="00BE5144">
        <w:rPr>
          <w:rStyle w:val="StyleUnderline"/>
        </w:rPr>
        <w:softHyphen/>
        <w:t xml:space="preserve">al. In many ways, then, </w:t>
      </w:r>
      <w:r w:rsidRPr="00A84488">
        <w:rPr>
          <w:rStyle w:val="StyleUnderline"/>
          <w:highlight w:val="yellow"/>
        </w:rPr>
        <w:t>body metaphors are discourses of power which</w:t>
      </w:r>
      <w:r w:rsidRPr="00BE5144">
        <w:rPr>
          <w:rStyle w:val="StyleUnderline"/>
        </w:rPr>
        <w:t xml:space="preserve"> work to produce what Anderson</w:t>
      </w:r>
      <w:r w:rsidRPr="00A84488">
        <w:rPr>
          <w:sz w:val="16"/>
        </w:rPr>
        <w:t xml:space="preserve"> (1991) terms ‘imagined communities.’ </w:t>
      </w:r>
      <w:r w:rsidRPr="00A84488">
        <w:rPr>
          <w:rStyle w:val="StyleUnderline"/>
        </w:rPr>
        <w:t xml:space="preserve">They </w:t>
      </w:r>
      <w:r w:rsidRPr="00A84488">
        <w:rPr>
          <w:rStyle w:val="StyleUnderline"/>
          <w:highlight w:val="yellow"/>
        </w:rPr>
        <w:t>obscure internal exclusions and dominations by abstracting and universalizing populations. They also</w:t>
      </w:r>
      <w:r w:rsidRPr="00A84488">
        <w:rPr>
          <w:rStyle w:val="StyleUnderline"/>
        </w:rPr>
        <w:t xml:space="preserve"> help </w:t>
      </w:r>
      <w:r w:rsidRPr="00A84488">
        <w:rPr>
          <w:rStyle w:val="StyleUnderline"/>
          <w:highlight w:val="yellow"/>
        </w:rPr>
        <w:t>reproduce understandings of threat as always emanating from outside the body</w:t>
      </w:r>
      <w:r w:rsidRPr="00A84488">
        <w:rPr>
          <w:rStyle w:val="StyleUnderline"/>
        </w:rPr>
        <w:t>, and enabled by those who would destabilize this perfect unity of inter-working parts. The second theme is the performative constitution of ‘self’ and ‘other’ as the body politic is policed for those who would destabilize this unity, just as the human immune system identifies and expels foreign contagions.</w:t>
      </w:r>
      <w:r w:rsidRPr="00A84488">
        <w:rPr>
          <w:sz w:val="16"/>
        </w:rPr>
        <w:t xml:space="preserve"> In other words, the social construction of national identity in contradistinc</w:t>
      </w:r>
      <w:r w:rsidRPr="00A84488">
        <w:rPr>
          <w:sz w:val="16"/>
        </w:rPr>
        <w:softHyphen/>
        <w:t>tion to a foreign enemy is an ongoing process that is at least partly informed by this intertextuality of geopolitical and bio-medical discourse. Although this paper is first and foremost a discourse analysis about the social construction of a very binary geopolitical imaginary, I connect this construction to militarism in a couple of different ways. First, as will be shown, the NSL very directly used it to advocate militarism and US involvement in WWI. Second, this intertex</w:t>
      </w:r>
      <w:r w:rsidRPr="00A84488">
        <w:rPr>
          <w:sz w:val="16"/>
        </w:rPr>
        <w:softHyphen/>
        <w:t>tuality is a crucial discursive component of the policies of Soviet ‘containment’ and the mythical ‘domino effect.’ These discourses were operation</w:t>
      </w:r>
      <w:r w:rsidRPr="00A84488">
        <w:rPr>
          <w:sz w:val="16"/>
        </w:rPr>
        <w:softHyphen/>
        <w:t>alized in the form of, for example, the construc</w:t>
      </w:r>
      <w:r w:rsidRPr="00A84488">
        <w:rPr>
          <w:sz w:val="16"/>
        </w:rPr>
        <w:softHyphen/>
        <w:t>tion of foreign military bases and the direct and indirect involvement of the US in various inter and intra-state conflicts around the world during the Cold War.</w:t>
      </w:r>
      <w:r w:rsidRPr="00A84488">
        <w:rPr>
          <w:sz w:val="16"/>
        </w:rPr>
        <w:footnoteReference w:id="1"/>
      </w:r>
      <w:r w:rsidRPr="00A84488">
        <w:rPr>
          <w:sz w:val="16"/>
        </w:rPr>
        <w:t xml:space="preserve"> The political construction of militarism in the name of discursively naturalized territorial national identities and binary geopolit</w:t>
      </w:r>
      <w:r w:rsidRPr="00A84488">
        <w:rPr>
          <w:sz w:val="16"/>
        </w:rPr>
        <w:softHyphen/>
        <w:t>ical imaginaries further shows, in Woodward’s (2004, p. 3) terms, how “militarism and military activities create spaces, places, environments and landscapes with reference to a distinct moral order.</w:t>
      </w:r>
      <w:r w:rsidRPr="00A84488">
        <w:rPr>
          <w:sz w:val="16"/>
        </w:rPr>
        <w:footnoteReference w:id="2"/>
      </w:r>
      <w:r w:rsidRPr="00A84488">
        <w:rPr>
          <w:sz w:val="16"/>
        </w:rPr>
        <w:t xml:space="preserve">” In section “Intertextuality and metaphor”, I offer a few brief observations on the role of metaphor in language, but focus on how Julia Kristeva, and to a lesser extent Roland Barthes, originally formulated the term intertextuality. I also indicate how it is applicable to this research. The third section reviews the significance of the geopolitical texts under scrutiny in this paper to the development of militarism and Cold War foreign policy, and briefly reviews how they are informed by 18th century naturalist epistemology. In the fourth section, I first examine what Foucault calls the bio-politics of health and how it intertexts with geopolitical discourse. The bulk of that section, however, analyzes the actual texts selected by interrogating how they discursively construct the state in metaphorically organic terms, as well as how they promote Cold War policies of ‘containment’ of an alleged ‘domino effect.’ </w:t>
      </w:r>
      <w:bookmarkStart w:id="1" w:name="bookmark4"/>
      <w:r w:rsidRPr="00A84488">
        <w:rPr>
          <w:sz w:val="16"/>
        </w:rPr>
        <w:t>Intertextuality and metaphor</w:t>
      </w:r>
      <w:bookmarkEnd w:id="1"/>
      <w:r w:rsidRPr="00A84488">
        <w:rPr>
          <w:sz w:val="16"/>
        </w:rPr>
        <w:t xml:space="preserve"> The geopolitical and bio-medical texts under scrutiny in this paper are intertextual in the sense that the authors of the former mobilize the latter in order to legitimate their own discourse; it is for that reason that intertextuality and metaphor are the salient theoretical concepts of this paper. Smith and Katz (1993, p. 68) correctly point out that “metaphor is inseparable from the genera</w:t>
      </w:r>
      <w:r w:rsidRPr="00A84488">
        <w:rPr>
          <w:sz w:val="16"/>
        </w:rPr>
        <w:softHyphen/>
        <w:t>tion of meaning, from language and thought,” and that metaphor is thus highly implicated in the social production of space. Aiken, Brigham, Marston, and Waterstone (1998, p. 4) argue that metaphors are important symbolic constructs that perform “cultural and political work,” reducing otherwise elusive or ambiguous concepts into something known, familiar, or static. Conse</w:t>
      </w:r>
      <w:r w:rsidRPr="00A84488">
        <w:rPr>
          <w:sz w:val="16"/>
        </w:rPr>
        <w:softHyphen/>
        <w:t xml:space="preserve">quently, </w:t>
      </w:r>
      <w:r w:rsidRPr="00A84488">
        <w:rPr>
          <w:rStyle w:val="StyleUnderline"/>
        </w:rPr>
        <w:t>metaphors “open up some avenues of thought and necessarily close down others</w:t>
      </w:r>
      <w:r w:rsidRPr="00A84488">
        <w:rPr>
          <w:sz w:val="16"/>
        </w:rPr>
        <w:t xml:space="preserve">” (Pratt, 1998, p. 13). </w:t>
      </w:r>
      <w:r w:rsidRPr="00A84488">
        <w:rPr>
          <w:rStyle w:val="StyleUnderline"/>
          <w:highlight w:val="yellow"/>
        </w:rPr>
        <w:t>It might be objected that all language is essentially metaphorical, such that body meta</w:t>
      </w:r>
      <w:r w:rsidRPr="00A84488">
        <w:rPr>
          <w:rStyle w:val="StyleUnderline"/>
          <w:highlight w:val="yellow"/>
        </w:rPr>
        <w:softHyphen/>
        <w:t>phors are a natural part of linguistic expression</w:t>
      </w:r>
      <w:r w:rsidRPr="00A84488">
        <w:rPr>
          <w:rStyle w:val="StyleUnderline"/>
        </w:rPr>
        <w:t>.</w:t>
      </w:r>
      <w:r w:rsidRPr="00A84488">
        <w:rPr>
          <w:sz w:val="16"/>
        </w:rPr>
        <w:t xml:space="preserve"> Indeed, as work in structural and post-structural linguistics (including, for example, the work of Ferdinand Saussure and Jacques Derrida, respec</w:t>
      </w:r>
      <w:r w:rsidRPr="00A84488">
        <w:rPr>
          <w:sz w:val="16"/>
        </w:rPr>
        <w:softHyphen/>
        <w:t>tively) has long since shown, word signifiers such as ‘body,’ ‘virus’ and ‘homegrown’ do not have inherent, stable meanings. Rather, semiotic anal</w:t>
      </w:r>
      <w:r w:rsidRPr="00A84488">
        <w:rPr>
          <w:sz w:val="16"/>
        </w:rPr>
        <w:softHyphen/>
        <w:t xml:space="preserve">ysis can show that the meaning of signs rises from a structure of difference; that is, signs can only be defined relative to what they are </w:t>
      </w:r>
      <w:r w:rsidRPr="00A84488">
        <w:rPr>
          <w:sz w:val="16"/>
          <w:szCs w:val="16"/>
        </w:rPr>
        <w:t>not, making the ultimate meaning of any sign always contingent on some other meaning. In this paper I apply the same concept to an analysis of texts: “Just as signs refer only to other signs, texts can refer only to other texts, generating an intersecting and indef</w:t>
      </w:r>
      <w:r w:rsidRPr="00A84488">
        <w:rPr>
          <w:sz w:val="16"/>
          <w:szCs w:val="16"/>
        </w:rPr>
        <w:softHyphen/>
        <w:t>initely expandable web called intertextuality” (Sarup, 1988, pp. 57-58; italics in original). Moreover, if all language is basically meta</w:t>
      </w:r>
      <w:r w:rsidRPr="00A84488">
        <w:rPr>
          <w:sz w:val="16"/>
          <w:szCs w:val="16"/>
        </w:rPr>
        <w:softHyphen/>
        <w:t>phorical, then it might be objected that natural</w:t>
      </w:r>
      <w:r w:rsidRPr="00A84488">
        <w:rPr>
          <w:sz w:val="16"/>
          <w:szCs w:val="16"/>
        </w:rPr>
        <w:softHyphen/>
        <w:t>istic metaphors of the body could, and perhaps have been, mobilized toward peaceful or liberatory ends, rather than militaristic and destructive ends. This is debatable</w:t>
      </w:r>
      <w:r w:rsidRPr="00A84488">
        <w:rPr>
          <w:sz w:val="16"/>
        </w:rPr>
        <w:t>, but this paper is specif</w:t>
      </w:r>
      <w:r w:rsidRPr="00A84488">
        <w:rPr>
          <w:sz w:val="16"/>
        </w:rPr>
        <w:softHyphen/>
        <w:t>ically about how the use of such metaphors has played out in the particular texts of US geopol</w:t>
      </w:r>
      <w:r w:rsidRPr="00A84488">
        <w:rPr>
          <w:sz w:val="16"/>
        </w:rPr>
        <w:softHyphen/>
        <w:t xml:space="preserve">itics under scrutiny here. I say that this is debatable </w:t>
      </w:r>
      <w:r w:rsidRPr="00A84488">
        <w:rPr>
          <w:rStyle w:val="StyleUnderline"/>
        </w:rPr>
        <w:t xml:space="preserve">because </w:t>
      </w:r>
      <w:r w:rsidRPr="00A84488">
        <w:rPr>
          <w:rStyle w:val="StyleUnderline"/>
          <w:highlight w:val="yellow"/>
        </w:rPr>
        <w:t>even if all language is meta</w:t>
      </w:r>
      <w:r w:rsidRPr="00A84488">
        <w:rPr>
          <w:rStyle w:val="StyleUnderline"/>
          <w:highlight w:val="yellow"/>
        </w:rPr>
        <w:softHyphen/>
        <w:t>phorical, it is nevertheless possible that some metaphors are more dangerous or misleading than others. Organic or bodily metaphors</w:t>
      </w:r>
      <w:r w:rsidRPr="00A84488">
        <w:rPr>
          <w:sz w:val="16"/>
        </w:rPr>
        <w:t xml:space="preserve"> to describe the state </w:t>
      </w:r>
      <w:r w:rsidRPr="00A84488">
        <w:rPr>
          <w:rStyle w:val="StyleUnderline"/>
          <w:highlight w:val="yellow"/>
        </w:rPr>
        <w:t>can be particularly dangerous because they naturalize what is social and polit</w:t>
      </w:r>
      <w:r w:rsidRPr="00A84488">
        <w:rPr>
          <w:rStyle w:val="StyleUnderline"/>
          <w:highlight w:val="yellow"/>
        </w:rPr>
        <w:softHyphen/>
        <w:t>ical (regardless of how they are used).</w:t>
      </w:r>
      <w:r w:rsidRPr="00A84488">
        <w:rPr>
          <w:rStyle w:val="StyleUnderline"/>
        </w:rPr>
        <w:t xml:space="preserve"> This paper focuses on intertextuality because, as an analyt</w:t>
      </w:r>
      <w:r w:rsidRPr="00A84488">
        <w:rPr>
          <w:rStyle w:val="StyleUnderline"/>
        </w:rPr>
        <w:softHyphen/>
        <w:t xml:space="preserve">ical tool, it can help show how </w:t>
      </w:r>
      <w:r w:rsidRPr="00A84488">
        <w:rPr>
          <w:rStyle w:val="StyleUnderline"/>
          <w:highlight w:val="yellow"/>
        </w:rPr>
        <w:t>body metaphors as linguistic signifiers are reductive in particularly dangerous ways, in the sense that this form of metaphor “suppresses and normalizes the individual by emphasizing the whole”</w:t>
      </w:r>
      <w:r w:rsidRPr="00A84488">
        <w:rPr>
          <w:rStyle w:val="StyleUnderline"/>
        </w:rPr>
        <w:t xml:space="preserve"> </w:t>
      </w:r>
      <w:r w:rsidRPr="00A84488">
        <w:rPr>
          <w:sz w:val="16"/>
        </w:rPr>
        <w:t>(Mountz, 2004, p. 329). The following paragraphs explain how intertextuality accomplishes this.</w:t>
      </w:r>
    </w:p>
    <w:p w:rsidR="00E632A0" w:rsidRDefault="00E632A0" w:rsidP="00EF58FB">
      <w:pPr>
        <w:pStyle w:val="Heading4"/>
      </w:pPr>
      <w:r>
        <w:t>The permutation makes it more difficult to solve the aff—they do not have a net benefit to the perm, a reason why including body metaphors is important—that presentation is problematic and solidifies harmful control</w:t>
      </w:r>
    </w:p>
    <w:p w:rsidR="00BE5144" w:rsidRPr="00BE5144" w:rsidRDefault="00BE5144" w:rsidP="00BE5144">
      <w:pPr>
        <w:rPr>
          <w:rStyle w:val="Style13ptBold"/>
        </w:rPr>
      </w:pPr>
      <w:r>
        <w:rPr>
          <w:rStyle w:val="Style13ptBold"/>
        </w:rPr>
        <w:t>Halliday 06 (</w:t>
      </w:r>
      <w:r w:rsidRPr="00BE5144">
        <w:t>John, Professor of Education at the University of Strathclyde, “Teacher Education: Professionalism, Social Justice and Teacher Education,” Ed. Hartley and Whitehead, p.157-158, CH</w:t>
      </w:r>
      <w:r>
        <w:rPr>
          <w:rStyle w:val="Style13ptBold"/>
        </w:rPr>
        <w:t>)</w:t>
      </w:r>
    </w:p>
    <w:p w:rsidR="005A7217" w:rsidRPr="00BE5144" w:rsidRDefault="005A7217" w:rsidP="00BE5144">
      <w:pPr>
        <w:rPr>
          <w:rStyle w:val="StyleUnderline"/>
        </w:rPr>
      </w:pPr>
      <w:r w:rsidRPr="00BE5144">
        <w:rPr>
          <w:sz w:val="16"/>
        </w:rPr>
        <w:t>Increasing the political distance between teachers and parents</w:t>
      </w:r>
      <w:r w:rsidR="00BE5144" w:rsidRPr="00BE5144">
        <w:rPr>
          <w:sz w:val="16"/>
        </w:rPr>
        <w:t xml:space="preserve"> </w:t>
      </w:r>
      <w:r w:rsidRPr="00BE5144">
        <w:rPr>
          <w:sz w:val="16"/>
        </w:rPr>
        <w:t xml:space="preserve">One last political implication of the professionalization movement is the danger that, by emphasizing the specialized expertise of teachers, it will undermine democratic control of schools. </w:t>
      </w:r>
      <w:r w:rsidRPr="00BE5144">
        <w:rPr>
          <w:rStyle w:val="StyleUnderline"/>
        </w:rPr>
        <w:t>Sykes</w:t>
      </w:r>
      <w:r w:rsidRPr="00BE5144">
        <w:rPr>
          <w:sz w:val="16"/>
        </w:rPr>
        <w:t xml:space="preserve"> (1990) confronts this issue and. drawing on the work of Amy Gutmann (1987), </w:t>
      </w:r>
      <w:r w:rsidRPr="00BE5144">
        <w:rPr>
          <w:rStyle w:val="StyleUnderline"/>
        </w:rPr>
        <w:t>argues that profes</w:t>
      </w:r>
      <w:r w:rsidRPr="00BE5144">
        <w:rPr>
          <w:rStyle w:val="StyleUnderline"/>
        </w:rPr>
        <w:softHyphen/>
        <w:t>sional autonomy for teachers will actually enhance democratic politics by creating a buffer against the domination of education by the whim of the majority. The problem with this argument, however, is that the source of teachers’ professional authority is a technical rationality that denies that education is a legitimate matter for political debate. The roots of the professionalization movement suggest that education will be considered a technical matter that must be left in the hands of certified experts, and that efforts by the laity to set the direction or shape the content of education will not be seen as an appropriate democratic action, but as an unacceptable form of interference.</w:t>
      </w:r>
      <w:r w:rsidR="00BE5144" w:rsidRPr="00BE5144">
        <w:rPr>
          <w:rStyle w:val="StyleUnderline"/>
        </w:rPr>
        <w:t xml:space="preserve"> </w:t>
      </w:r>
      <w:r w:rsidRPr="00E632A0">
        <w:rPr>
          <w:rStyle w:val="StyleUnderline"/>
          <w:highlight w:val="yellow"/>
        </w:rPr>
        <w:t>The</w:t>
      </w:r>
      <w:r w:rsidRPr="00BE5144">
        <w:rPr>
          <w:rStyle w:val="StyleUnderline"/>
        </w:rPr>
        <w:t xml:space="preserve"> frequent </w:t>
      </w:r>
      <w:r w:rsidRPr="00E632A0">
        <w:rPr>
          <w:rStyle w:val="StyleUnderline"/>
          <w:highlight w:val="yellow"/>
        </w:rPr>
        <w:t>use of medical analogies becomes particularly problematic</w:t>
      </w:r>
      <w:r w:rsidRPr="00BE5144">
        <w:rPr>
          <w:rStyle w:val="StyleUnderline"/>
        </w:rPr>
        <w:t xml:space="preserve"> at this stage of the discussion. The implication is that laypersons should have no more say about how a teacher conducts a class than about how a</w:t>
      </w:r>
      <w:r w:rsidR="00BE5144" w:rsidRPr="00BE5144">
        <w:rPr>
          <w:rStyle w:val="StyleUnderline"/>
        </w:rPr>
        <w:t xml:space="preserve"> </w:t>
      </w:r>
      <w:r w:rsidRPr="00BE5144">
        <w:rPr>
          <w:rStyle w:val="StyleUnderline"/>
        </w:rPr>
        <w:t>surgeon condu</w:t>
      </w:r>
      <w:r w:rsidR="00BE5144" w:rsidRPr="00BE5144">
        <w:rPr>
          <w:rStyle w:val="StyleUnderline"/>
        </w:rPr>
        <w:t>cts an operation; both cases are</w:t>
      </w:r>
      <w:r w:rsidRPr="00BE5144">
        <w:rPr>
          <w:rStyle w:val="StyleUnderline"/>
        </w:rPr>
        <w:t xml:space="preserve"> seen as technical matters of </w:t>
      </w:r>
      <w:r w:rsidR="00BE5144" w:rsidRPr="00BE5144">
        <w:rPr>
          <w:rStyle w:val="StyleUnderline"/>
        </w:rPr>
        <w:t>professional competence that are</w:t>
      </w:r>
      <w:r w:rsidRPr="00BE5144">
        <w:rPr>
          <w:rStyle w:val="StyleUnderline"/>
        </w:rPr>
        <w:t xml:space="preserve"> best dealt with by peer review. But it is not clear that shaping minds, instilling values, and preparing citizens are the same sorts of technical problems as removing an appendix or reducing a fever.</w:t>
      </w:r>
      <w:r w:rsidRPr="00BE5144">
        <w:rPr>
          <w:sz w:val="16"/>
        </w:rPr>
        <w:t xml:space="preserve"> </w:t>
      </w:r>
      <w:r w:rsidRPr="00BE5144">
        <w:rPr>
          <w:rStyle w:val="StyleUnderline"/>
        </w:rPr>
        <w:t>The forme</w:t>
      </w:r>
      <w:r w:rsidR="00BE5144" w:rsidRPr="00BE5144">
        <w:rPr>
          <w:rStyle w:val="StyleUnderline"/>
        </w:rPr>
        <w:t>r tasks have an irre</w:t>
      </w:r>
      <w:r w:rsidRPr="00BE5144">
        <w:rPr>
          <w:rStyle w:val="StyleUnderline"/>
        </w:rPr>
        <w:t>ducibly political character to them— since they involve the teacher in making choices about which ideas, values, and social ends are worth promoting, and since they exert an impact on the way students will make their own choices about these things. Every parent—and, more broadly, every citizen—is constantly making these kinds of decisions and exerting these sorts of influences on their own children and on the adults around them. Therefore, this political component of teaching is not a closely held form of professional expertise, but a capacity that is universally accessible to the lay public, and this makes the construction of professional barriers to public influence over classroom instruction nothing less than a threat to an essential component of democracy.</w:t>
      </w:r>
    </w:p>
    <w:p w:rsidR="005A7217" w:rsidRPr="005A7217" w:rsidRDefault="005A7217" w:rsidP="005A7217"/>
    <w:p w:rsidR="005A7217" w:rsidRPr="00F15F4F" w:rsidRDefault="005A7217" w:rsidP="00EF58FB">
      <w:pPr>
        <w:pStyle w:val="Heading4"/>
      </w:pPr>
      <w:r>
        <w:t>Tag me</w:t>
      </w:r>
    </w:p>
    <w:p w:rsidR="005A7217" w:rsidRDefault="005A7217" w:rsidP="005A7217">
      <w:pPr>
        <w:rPr>
          <w:rStyle w:val="Style13ptBold"/>
        </w:rPr>
      </w:pPr>
      <w:r>
        <w:rPr>
          <w:rStyle w:val="Style13ptBold"/>
        </w:rPr>
        <w:t>Krikler 10 (</w:t>
      </w:r>
      <w:r w:rsidRPr="00F15F4F">
        <w:t xml:space="preserve">Jeremy, “A Chain of Murder in the Slave Trade: A Wider Context of the Zong Massacre,” </w:t>
      </w:r>
      <w:r>
        <w:t xml:space="preserve">Published in the </w:t>
      </w:r>
      <w:r w:rsidRPr="00F15F4F">
        <w:t>International Review of Social History </w:t>
      </w:r>
      <w:r>
        <w:t xml:space="preserve">Volume 57, 2012, </w:t>
      </w:r>
      <w:hyperlink r:id="rId8" w:history="1">
        <w:r w:rsidRPr="006D01BD">
          <w:rPr>
            <w:rStyle w:val="Hyperlink"/>
          </w:rPr>
          <w:t>http://journals.cambridge.org/action/displayAbstract?fromPage=online&amp;aid=8744649&amp;fileId=S0020859012000491</w:t>
        </w:r>
      </w:hyperlink>
      <w:r>
        <w:t>, CH</w:t>
      </w:r>
      <w:r>
        <w:rPr>
          <w:rStyle w:val="Style13ptBold"/>
        </w:rPr>
        <w:t>)</w:t>
      </w:r>
    </w:p>
    <w:p w:rsidR="005A7217" w:rsidRPr="00F15F4F" w:rsidRDefault="005A7217" w:rsidP="005A7217">
      <w:pPr>
        <w:rPr>
          <w:rStyle w:val="StyleUnderline"/>
        </w:rPr>
      </w:pPr>
      <w:r w:rsidRPr="00F15F4F">
        <w:rPr>
          <w:rStyle w:val="StyleUnderline"/>
        </w:rPr>
        <w:t>A great deal has now been written about the place of the Zong in the world of eighteenth-century insurance and the law, and how these related to the slave trade</w:t>
      </w:r>
      <w:r w:rsidRPr="00F15F4F">
        <w:rPr>
          <w:sz w:val="16"/>
        </w:rPr>
        <w:t xml:space="preserve">.2 </w:t>
      </w:r>
      <w:r w:rsidRPr="00F15F4F">
        <w:rPr>
          <w:rStyle w:val="StyleUnderline"/>
        </w:rPr>
        <w:t>There has been much emphasis on commercial calculation in explaining the murders:</w:t>
      </w:r>
      <w:r w:rsidRPr="00F15F4F">
        <w:rPr>
          <w:sz w:val="16"/>
        </w:rPr>
        <w:t xml:space="preserve"> the Captain’s mind, according to Simon Schama, had become ‘‘a very abacus of gain and loss’’ as he chose people to be thrown overboard, thinking that insurance could be claimed on those murdered.3 The whole legal and commercial culture of the eighteenth century stands condemned by the fact that the murder of slaves could openly be justified in court, and initially held to be lawful by the Lord Chief Justice</w:t>
      </w:r>
      <w:r w:rsidRPr="00F15F4F">
        <w:rPr>
          <w:rStyle w:val="StyleUnderline"/>
        </w:rPr>
        <w:t xml:space="preserve">. Arguably, however, it is a medical culture as well that stands condemned by the events. We can see this if we move the focus entirely away from insurance and the law, and bring it to bear on aspects of the slave trade that </w:t>
      </w:r>
      <w:r w:rsidRPr="00F15F4F">
        <w:rPr>
          <w:rStyle w:val="Emphasis"/>
        </w:rPr>
        <w:t>have largely been ignored in explorations of the Zong massacre</w:t>
      </w:r>
      <w:r w:rsidRPr="00F15F4F">
        <w:rPr>
          <w:rStyle w:val="StyleUnderline"/>
        </w:rPr>
        <w:t>. These relate to the medical world of the slave trade, to the process of selecting captives for purchase by the traders on the African coast, and to the fate of those not selected. All of these phenomena were enmeshed with each other and helped to create the context in which the decision to engage in mass murder on the Zong became possible. For the selection of slaves for the transatlantic journey could involve some – pre-eminently, ships’ surgeons – in a chain of murder on the African coast. In this way, a key moment of every slaving voyage, the buying of Africans, might be considered to have habituated slavers to the death of those deemed unfit for the trade, even before the voyage commenced. The atrocity of the Zong is made more comprehensible by this fact.</w:t>
      </w:r>
    </w:p>
    <w:p w:rsidR="005A7217" w:rsidRDefault="005A7217" w:rsidP="005A7217"/>
    <w:p w:rsidR="005A7217" w:rsidRPr="005A7217" w:rsidRDefault="005A7217" w:rsidP="005A7217"/>
    <w:p w:rsidR="005A7217" w:rsidRPr="005A7217" w:rsidRDefault="005A7217" w:rsidP="005A7217">
      <w:pPr>
        <w:pStyle w:val="Heading2"/>
      </w:pPr>
      <w:r>
        <w:t>Case</w:t>
      </w:r>
    </w:p>
    <w:p w:rsidR="00DE678E" w:rsidRDefault="002177D3" w:rsidP="00EF58FB">
      <w:pPr>
        <w:pStyle w:val="Heading4"/>
        <w:rPr>
          <w:rStyle w:val="Style13ptBold"/>
        </w:rPr>
      </w:pPr>
      <w:r>
        <w:rPr>
          <w:rStyle w:val="Style13ptBold"/>
        </w:rPr>
        <w:t xml:space="preserve">Baucom is wrong – he overlooks the sociopolitical efforts of the slaves to embellish the oppression </w:t>
      </w:r>
      <w:r w:rsidR="000C6642">
        <w:rPr>
          <w:rStyle w:val="Style13ptBold"/>
        </w:rPr>
        <w:t>of the individual</w:t>
      </w:r>
    </w:p>
    <w:p w:rsidR="00397854" w:rsidRDefault="00397854" w:rsidP="00397854">
      <w:pPr>
        <w:rPr>
          <w:rStyle w:val="Style13ptBold"/>
        </w:rPr>
      </w:pPr>
      <w:r>
        <w:rPr>
          <w:rStyle w:val="Style13ptBold"/>
        </w:rPr>
        <w:t>Brown 0</w:t>
      </w:r>
      <w:r w:rsidRPr="007C421C">
        <w:rPr>
          <w:rStyle w:val="Style13ptBold"/>
        </w:rPr>
        <w:t>9 (</w:t>
      </w:r>
      <w:r>
        <w:t xml:space="preserve">Vincent, Professor of History and of African and African-American Studies at Harvard, “Social Death and Political Life in the Study of Slavery”, American Historical Review, December 2009, </w:t>
      </w:r>
      <w:hyperlink r:id="rId9" w:history="1">
        <w:r w:rsidRPr="00B27D92">
          <w:rPr>
            <w:rStyle w:val="Hyperlink"/>
          </w:rPr>
          <w:t>http://scholar.harvard.edu/vbrown/publications/social-death-and-political-life-study-slavery</w:t>
        </w:r>
      </w:hyperlink>
      <w:r>
        <w:t>, CH</w:t>
      </w:r>
      <w:r w:rsidRPr="007C421C">
        <w:rPr>
          <w:rStyle w:val="Style13ptBold"/>
        </w:rPr>
        <w:t>)</w:t>
      </w:r>
    </w:p>
    <w:p w:rsidR="00B66B0D" w:rsidRPr="00B66B0D" w:rsidRDefault="00B66B0D" w:rsidP="00B66B0D">
      <w:pPr>
        <w:rPr>
          <w:sz w:val="14"/>
        </w:rPr>
      </w:pPr>
      <w:r w:rsidRPr="00B66B0D">
        <w:rPr>
          <w:sz w:val="14"/>
        </w:rPr>
        <w:t>A fascinating book by</w:t>
      </w:r>
      <w:r w:rsidRPr="00B66B0D">
        <w:rPr>
          <w:rStyle w:val="StyleUnderline"/>
        </w:rPr>
        <w:t xml:space="preserve"> Ian </w:t>
      </w:r>
      <w:r w:rsidRPr="005E406D">
        <w:rPr>
          <w:rStyle w:val="StyleUnderline"/>
        </w:rPr>
        <w:t>Baucom has illuminated the persistence of slavery’s forms of being in our own time. Specters of the Atlantic: Finance Capital, Slavery, and the Philosophy of History excavates the history of the massacre aboard the slave ship Zong in 1781</w:t>
      </w:r>
      <w:r w:rsidRPr="00B66B0D">
        <w:rPr>
          <w:rStyle w:val="StyleUnderline"/>
        </w:rPr>
        <w:t xml:space="preserve">, which came to light as a dispute over an insurance claim for lost cargo, and the reactions to that event in subsequent legal trials, social movements, and literary and artistic discourses. </w:t>
      </w:r>
      <w:r w:rsidRPr="00B66B0D">
        <w:rPr>
          <w:sz w:val="14"/>
        </w:rPr>
        <w:t xml:space="preserve">Writing against the view that would see the massacre as an isolated tragedy, </w:t>
      </w:r>
      <w:r w:rsidRPr="005E406D">
        <w:rPr>
          <w:rStyle w:val="StyleUnderline"/>
          <w:highlight w:val="yellow"/>
        </w:rPr>
        <w:t>Baucom situates the story of the Zong within a logic of violence that underpins a long Atlantic cycle of speculative capital accumulation</w:t>
      </w:r>
      <w:r w:rsidRPr="00B40E02">
        <w:rPr>
          <w:rStyle w:val="StyleUnderline"/>
        </w:rPr>
        <w:t xml:space="preserve"> that began in the eighteenth century and continues today.</w:t>
      </w:r>
      <w:r w:rsidRPr="00B40E02">
        <w:rPr>
          <w:sz w:val="14"/>
        </w:rPr>
        <w:t xml:space="preserve"> Indeed, the logic that governed the transformation of slaughtered human beings into modern abstract forms of property derives in part from social death</w:t>
      </w:r>
      <w:r w:rsidRPr="00B66B0D">
        <w:rPr>
          <w:sz w:val="14"/>
        </w:rPr>
        <w:t xml:space="preserve">, which Baucom glosses as the state of being permanently subject to death by the master’s hand.  Human life is still a commodity—as a brief glimpse at a life insurance policy or a credit score will instantly show— and the abolition of chattel slavery has not solved the problem Baucom has identified. It is therefore within reason for him to identify the Zong as a tragic part of our present and future. </w:t>
      </w:r>
      <w:r w:rsidRPr="005E406D">
        <w:rPr>
          <w:rStyle w:val="StyleUnderline"/>
          <w:highlight w:val="yellow"/>
        </w:rPr>
        <w:t>Specters of the Atlantic is a</w:t>
      </w:r>
      <w:r w:rsidRPr="00B66B0D">
        <w:rPr>
          <w:rStyle w:val="StyleUnderline"/>
        </w:rPr>
        <w:t xml:space="preserve"> compellingly </w:t>
      </w:r>
      <w:r w:rsidRPr="005E406D">
        <w:rPr>
          <w:rStyle w:val="StyleUnderline"/>
          <w:highlight w:val="yellow"/>
        </w:rPr>
        <w:t>sophisticated study of the relation between the epistemologies underwriting</w:t>
      </w:r>
      <w:r w:rsidRPr="00B66B0D">
        <w:rPr>
          <w:rStyle w:val="StyleUnderline"/>
        </w:rPr>
        <w:t xml:space="preserve"> both modern </w:t>
      </w:r>
      <w:r w:rsidRPr="005E406D">
        <w:rPr>
          <w:rStyle w:val="StyleUnderline"/>
          <w:highlight w:val="yellow"/>
        </w:rPr>
        <w:t>slavery and</w:t>
      </w:r>
      <w:r w:rsidRPr="00B66B0D">
        <w:rPr>
          <w:rStyle w:val="StyleUnderline"/>
        </w:rPr>
        <w:t xml:space="preserve"> modern </w:t>
      </w:r>
      <w:r w:rsidRPr="005E406D">
        <w:rPr>
          <w:rStyle w:val="StyleUnderline"/>
          <w:highlight w:val="yellow"/>
        </w:rPr>
        <w:t>capitalism, but the book’s discussion of the politics of anti-slavery is fundamentally incomplete</w:t>
      </w:r>
      <w:r w:rsidRPr="00B66B0D">
        <w:rPr>
          <w:rStyle w:val="StyleUnderline"/>
        </w:rPr>
        <w:t>.</w:t>
      </w:r>
      <w:r w:rsidRPr="00B66B0D">
        <w:rPr>
          <w:sz w:val="14"/>
        </w:rPr>
        <w:t xml:space="preserve"> While </w:t>
      </w:r>
      <w:r w:rsidRPr="005E406D">
        <w:rPr>
          <w:rStyle w:val="StyleUnderline"/>
          <w:highlight w:val="yellow"/>
        </w:rPr>
        <w:t>Baucom</w:t>
      </w:r>
      <w:r w:rsidRPr="00B66B0D">
        <w:rPr>
          <w:sz w:val="14"/>
        </w:rPr>
        <w:t xml:space="preserve"> brilliantly traces the development of “melancholy realism” as an oppositional discourse that ran counter to the logic of slavery and finance capital, </w:t>
      </w:r>
      <w:r w:rsidRPr="00B66B0D">
        <w:rPr>
          <w:rStyle w:val="Emphasis"/>
        </w:rPr>
        <w:t xml:space="preserve">he </w:t>
      </w:r>
      <w:r w:rsidRPr="005E406D">
        <w:rPr>
          <w:rStyle w:val="Emphasis"/>
          <w:highlight w:val="yellow"/>
        </w:rPr>
        <w:t>has very little to say about the enslaved themselves. Social death</w:t>
      </w:r>
      <w:r w:rsidRPr="005E406D">
        <w:rPr>
          <w:rStyle w:val="StyleUnderline"/>
          <w:highlight w:val="yellow"/>
        </w:rPr>
        <w:t xml:space="preserve">, </w:t>
      </w:r>
      <w:r w:rsidRPr="005E406D">
        <w:rPr>
          <w:rStyle w:val="Emphasis"/>
          <w:highlight w:val="yellow"/>
        </w:rPr>
        <w:t>so well suited to the tragic perspective, stands in for the experience of enslavement.</w:t>
      </w:r>
      <w:r w:rsidRPr="00B66B0D">
        <w:rPr>
          <w:rStyle w:val="Emphasis"/>
        </w:rPr>
        <w:t xml:space="preserve"> </w:t>
      </w:r>
      <w:r w:rsidRPr="00B66B0D">
        <w:rPr>
          <w:rStyle w:val="StyleUnderline"/>
        </w:rPr>
        <w:t xml:space="preserve">While this heightens the reader’s sense of the way Atlantic slavery haunts the present, </w:t>
      </w:r>
      <w:r w:rsidRPr="005E406D">
        <w:rPr>
          <w:rStyle w:val="Emphasis"/>
          <w:highlight w:val="yellow"/>
        </w:rPr>
        <w:t>Baucom</w:t>
      </w:r>
      <w:r w:rsidRPr="00B66B0D">
        <w:rPr>
          <w:rStyle w:val="StyleUnderline"/>
        </w:rPr>
        <w:t xml:space="preserve"> largely </w:t>
      </w:r>
      <w:r w:rsidRPr="005E406D">
        <w:rPr>
          <w:rStyle w:val="Emphasis"/>
          <w:highlight w:val="yellow"/>
        </w:rPr>
        <w:t>fails to acknowledge that the enslaved performed melancholy acts of accounting not unlike those that he shows to be a fundamental component of abolitionist</w:t>
      </w:r>
      <w:r w:rsidRPr="00B66B0D">
        <w:rPr>
          <w:rStyle w:val="Emphasis"/>
        </w:rPr>
        <w:t xml:space="preserve"> and human rights </w:t>
      </w:r>
      <w:r w:rsidRPr="005E406D">
        <w:rPr>
          <w:rStyle w:val="Emphasis"/>
          <w:highlight w:val="yellow"/>
        </w:rPr>
        <w:t>discourses</w:t>
      </w:r>
      <w:r w:rsidRPr="00B66B0D">
        <w:rPr>
          <w:rStyle w:val="Emphasis"/>
        </w:rPr>
        <w:t xml:space="preserve">, </w:t>
      </w:r>
      <w:r w:rsidRPr="005E406D">
        <w:rPr>
          <w:rStyle w:val="Emphasis"/>
          <w:highlight w:val="yellow"/>
        </w:rPr>
        <w:t>or that those acts could be a basic element of slaves’ oppositional activities</w:t>
      </w:r>
      <w:r w:rsidRPr="00B66B0D">
        <w:rPr>
          <w:rStyle w:val="Emphasis"/>
        </w:rPr>
        <w:t>.</w:t>
      </w:r>
      <w:r w:rsidRPr="00B66B0D">
        <w:rPr>
          <w:rStyle w:val="StyleUnderline"/>
        </w:rPr>
        <w:t xml:space="preserve"> In many ways, </w:t>
      </w:r>
      <w:r w:rsidRPr="005E406D">
        <w:rPr>
          <w:rStyle w:val="Emphasis"/>
          <w:highlight w:val="yellow"/>
        </w:rPr>
        <w:t>the effectiveness of his text depends upon the silence of slaves</w:t>
      </w:r>
      <w:r w:rsidRPr="00B66B0D">
        <w:rPr>
          <w:rStyle w:val="Emphasis"/>
        </w:rPr>
        <w:t>—</w:t>
      </w:r>
      <w:r w:rsidRPr="005E406D">
        <w:rPr>
          <w:rStyle w:val="Emphasis"/>
          <w:highlight w:val="yellow"/>
        </w:rPr>
        <w:t xml:space="preserve">it is easier to describe </w:t>
      </w:r>
      <w:r w:rsidRPr="00B40E02">
        <w:rPr>
          <w:rStyle w:val="Emphasis"/>
        </w:rPr>
        <w:t xml:space="preserve">the continuity of structures of </w:t>
      </w:r>
      <w:r w:rsidRPr="005E406D">
        <w:rPr>
          <w:rStyle w:val="Emphasis"/>
          <w:highlight w:val="yellow"/>
        </w:rPr>
        <w:t>power when one downplays countervailing forces such as the political activity of the weak</w:t>
      </w:r>
      <w:r w:rsidRPr="005E406D">
        <w:rPr>
          <w:rStyle w:val="StyleUnderline"/>
          <w:highlight w:val="yellow"/>
        </w:rPr>
        <w:t>.</w:t>
      </w:r>
      <w:r w:rsidRPr="00B66B0D">
        <w:rPr>
          <w:rStyle w:val="StyleUnderline"/>
        </w:rPr>
        <w:t xml:space="preserve"> So </w:t>
      </w:r>
      <w:r w:rsidRPr="00B40E02">
        <w:rPr>
          <w:rStyle w:val="Emphasis"/>
        </w:rPr>
        <w:t xml:space="preserve">Baucom’s deep insights into the structural features of Atlantic slave trading and its afterlife come with a cost. </w:t>
      </w:r>
      <w:r w:rsidRPr="005E406D">
        <w:rPr>
          <w:rStyle w:val="Emphasis"/>
          <w:highlight w:val="yellow"/>
        </w:rPr>
        <w:t>Without engagement with the politics of the enslaved, slavery’s history serves as an effective charge leveled against modernity and capitalism, but not as an uneven and evolving process of human interaction, and certainly not as a locus of conflict in which the enslaved sometimes won small but important victories</w:t>
      </w:r>
      <w:r w:rsidRPr="00B66B0D">
        <w:rPr>
          <w:rStyle w:val="Emphasis"/>
        </w:rPr>
        <w:t>.</w:t>
      </w:r>
      <w:r w:rsidRPr="00B66B0D">
        <w:rPr>
          <w:sz w:val="14"/>
        </w:rPr>
        <w:t xml:space="preserve">  Specters of the Atlantic is self-consciously a work of theory (despite Baucom’s prodigious archival research), and social death may be largely unproblematic as a matter of theory, or even law.</w:t>
      </w:r>
    </w:p>
    <w:p w:rsidR="00B66B0D" w:rsidRDefault="0031557B" w:rsidP="00EF58FB">
      <w:pPr>
        <w:pStyle w:val="Heading4"/>
        <w:rPr>
          <w:rStyle w:val="Style13ptBold"/>
        </w:rPr>
      </w:pPr>
      <w:r>
        <w:rPr>
          <w:rStyle w:val="Style13ptBold"/>
        </w:rPr>
        <w:t>Focus on a single historical event clouds the experience of the individual</w:t>
      </w:r>
    </w:p>
    <w:p w:rsidR="005E406D" w:rsidRPr="005C1584" w:rsidRDefault="005E406D" w:rsidP="005E406D">
      <w:pPr>
        <w:rPr>
          <w:rStyle w:val="Style13ptBold"/>
        </w:rPr>
      </w:pPr>
      <w:r>
        <w:rPr>
          <w:rStyle w:val="Style13ptBold"/>
        </w:rPr>
        <w:t>Ehlers 12 (</w:t>
      </w:r>
      <w:r w:rsidRPr="005C1584">
        <w:t>Nadine, Professor University of Wollongong, Australia</w:t>
      </w:r>
      <w:r>
        <w:t>, “Racial Imperatives: Discipline, Performativity, and Str</w:t>
      </w:r>
      <w:r w:rsidR="00B40E02">
        <w:t>uggles against Subjection,” p. 11</w:t>
      </w:r>
      <w:r>
        <w:t>-12, footnote from p. 145</w:t>
      </w:r>
      <w:r w:rsidR="00F61F97">
        <w:t>, CH</w:t>
      </w:r>
      <w:r>
        <w:rPr>
          <w:rStyle w:val="Style13ptBold"/>
        </w:rPr>
        <w:t>)</w:t>
      </w:r>
    </w:p>
    <w:p w:rsidR="005E406D" w:rsidRDefault="005E406D" w:rsidP="005E406D">
      <w:pPr>
        <w:rPr>
          <w:rStyle w:val="StyleUnderline"/>
        </w:rPr>
      </w:pPr>
      <w:r w:rsidRPr="00DE678E">
        <w:rPr>
          <w:rStyle w:val="StyleUnderline"/>
          <w:highlight w:val="yellow"/>
        </w:rPr>
        <w:t>For</w:t>
      </w:r>
      <w:r w:rsidRPr="00352F63">
        <w:rPr>
          <w:sz w:val="16"/>
        </w:rPr>
        <w:t xml:space="preserve"> Vincent </w:t>
      </w:r>
      <w:r w:rsidRPr="00DE678E">
        <w:rPr>
          <w:rStyle w:val="StyleUnderline"/>
          <w:highlight w:val="yellow"/>
        </w:rPr>
        <w:t>Brown</w:t>
      </w:r>
      <w:r w:rsidRPr="00352F63">
        <w:rPr>
          <w:rStyle w:val="StyleUnderline"/>
        </w:rPr>
        <w:t xml:space="preserve">, a historian of slavery, </w:t>
      </w:r>
      <w:r w:rsidRPr="00DE678E">
        <w:rPr>
          <w:rStyle w:val="StyleUnderline"/>
          <w:highlight w:val="yellow"/>
        </w:rPr>
        <w:t>‘‘violence, dislocation, and death actually generate politics, and consequential action by the enslaved’</w:t>
      </w:r>
      <w:r w:rsidRPr="00352F63">
        <w:rPr>
          <w:rStyle w:val="StyleUnderline"/>
        </w:rPr>
        <w:t>’</w:t>
      </w:r>
      <w:r w:rsidRPr="00352F63">
        <w:rPr>
          <w:sz w:val="16"/>
        </w:rPr>
        <w:t xml:space="preserve"> (2009 , 1239) . He warns that </w:t>
      </w:r>
      <w:r w:rsidRPr="00DE678E">
        <w:rPr>
          <w:rStyle w:val="Emphasis"/>
          <w:highlight w:val="yellow"/>
        </w:rPr>
        <w:t xml:space="preserve">focusing on an overarching condition or state </w:t>
      </w:r>
      <w:r w:rsidRPr="00DE678E">
        <w:rPr>
          <w:rStyle w:val="Emphasis"/>
        </w:rPr>
        <w:t xml:space="preserve">potentially </w:t>
      </w:r>
      <w:r w:rsidRPr="00DE678E">
        <w:rPr>
          <w:rStyle w:val="Emphasis"/>
          <w:highlight w:val="yellow"/>
        </w:rPr>
        <w:t xml:space="preserve">obscures </w:t>
      </w:r>
      <w:r w:rsidRPr="00DE678E">
        <w:rPr>
          <w:rStyle w:val="Emphasis"/>
        </w:rPr>
        <w:t xml:space="preserve">seeing </w:t>
      </w:r>
      <w:r w:rsidRPr="00DE678E">
        <w:rPr>
          <w:rStyle w:val="Emphasis"/>
          <w:highlight w:val="yellow"/>
        </w:rPr>
        <w:t xml:space="preserve">these politics. </w:t>
      </w:r>
      <w:r w:rsidRPr="00DE678E">
        <w:rPr>
          <w:rStyle w:val="Emphasis"/>
        </w:rPr>
        <w:t xml:space="preserve">More than this, however, </w:t>
      </w:r>
      <w:r w:rsidRPr="00DE678E">
        <w:rPr>
          <w:rStyle w:val="Emphasis"/>
          <w:highlight w:val="yellow"/>
        </w:rPr>
        <w:t>it risks positioning relations of power as totalizing and transhistorical, and it risks essentializing experience or the lived realities of individuals.</w:t>
      </w:r>
      <w:r w:rsidRPr="00352F63">
        <w:rPr>
          <w:sz w:val="16"/>
        </w:rPr>
        <w:t xml:space="preserve"> I scale down to the level of the subject to analyze both (a) how subjects are formed, and (b) how subjects— black and white alike—have struggled against conditions in ways that refuse totalizing, immutable understandings of race. This book does not seek to mark a condition or situation then, but instead takes up Brown’s challenge (made within the context of studies of slavery) to pay attention to efforts to remake condition. Looking to those efforts to remake condition and identity grapples with the microphysics of power and the practices of daily life, enacted by individuals and in collective politics, to consider what people do with situations: those dynamic, innovative contestations of (a never totalizing) power. </w:t>
      </w:r>
      <w:r w:rsidRPr="00352F63">
        <w:rPr>
          <w:rStyle w:val="StyleUnderline"/>
        </w:rPr>
        <w:t>Echoing the call raised by Brown</w:t>
      </w:r>
      <w:r w:rsidRPr="00352F63">
        <w:rPr>
          <w:sz w:val="16"/>
        </w:rPr>
        <w:t xml:space="preserve"> (2009, 1239), </w:t>
      </w:r>
      <w:r w:rsidRPr="00352F63">
        <w:rPr>
          <w:rStyle w:val="StyleUnderline"/>
        </w:rPr>
        <w:t>my work focuses then on ‘‘examining . . . social and political lives rather than assuming . . . lack of social being’’ in order to think about how subjects can and have ‘‘made a social world out of death itself’’</w:t>
      </w:r>
      <w:r w:rsidRPr="00352F63">
        <w:rPr>
          <w:sz w:val="16"/>
        </w:rPr>
        <w:t xml:space="preserve"> (Brown 2009, 1233) </w:t>
      </w:r>
      <w:r w:rsidRPr="00352F63">
        <w:rPr>
          <w:rStyle w:val="StyleUnderline"/>
        </w:rPr>
        <w:t>or how, more generally, race can be reconfigured within the broader workings of what I am calling racial discipline and performative imperatives.</w:t>
      </w:r>
      <w:r w:rsidRPr="00352F63">
        <w:rPr>
          <w:sz w:val="16"/>
        </w:rPr>
        <w:t xml:space="preserve">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despite the exercise of sovereign forms of power) (Foucault 2003a, 250). For Foucault, this form of power is not absolute, nor does it exist in opposition to resistance. Rather, power is seen as always fragmentary and incoherent, and power and resistance are seen as mutually constitutive. Disciplinary power is productive, in that it generates particular capacities and forms of subjectivity (and, necessarily, agency). And finally, </w:t>
      </w:r>
      <w:r w:rsidRPr="00352F63">
        <w:rPr>
          <w:rStyle w:val="StyleUnderline"/>
        </w:rPr>
        <w:t>though subjects are formed in power, they are not reducible to it, not determined by power.</w:t>
      </w:r>
    </w:p>
    <w:p w:rsidR="005E406D" w:rsidRPr="005E406D" w:rsidRDefault="005E406D" w:rsidP="005E406D">
      <w:pPr>
        <w:rPr>
          <w:rStyle w:val="Style13ptBold"/>
        </w:rPr>
      </w:pPr>
      <w:r>
        <w:rPr>
          <w:rStyle w:val="Style13ptBold"/>
        </w:rPr>
        <w:t xml:space="preserve">Ehlers continues… </w:t>
      </w:r>
    </w:p>
    <w:p w:rsidR="005E406D" w:rsidRDefault="005E406D" w:rsidP="005E406D">
      <w:pPr>
        <w:rPr>
          <w:rStyle w:val="StyleUnderline"/>
        </w:rPr>
      </w:pPr>
      <w:r w:rsidRPr="00352F63">
        <w:rPr>
          <w:rStyle w:val="StyleUnderline"/>
        </w:rPr>
        <w:t xml:space="preserve">Historian Vincent </w:t>
      </w:r>
      <w:r w:rsidRPr="00DE678E">
        <w:rPr>
          <w:rStyle w:val="StyleUnderline"/>
          <w:highlight w:val="yellow"/>
        </w:rPr>
        <w:t>Brown</w:t>
      </w:r>
      <w:r w:rsidRPr="00352F63">
        <w:rPr>
          <w:rStyle w:val="StyleUnderline"/>
        </w:rPr>
        <w:t>, in his ‘‘Social Death and Political Life in the Study of Slavery’’</w:t>
      </w:r>
      <w:r w:rsidRPr="00DE678E">
        <w:rPr>
          <w:sz w:val="16"/>
        </w:rPr>
        <w:t xml:space="preserve"> (2009), </w:t>
      </w:r>
      <w:r w:rsidRPr="00352F63">
        <w:rPr>
          <w:rStyle w:val="StyleUnderline"/>
        </w:rPr>
        <w:t xml:space="preserve">has </w:t>
      </w:r>
      <w:r w:rsidRPr="00DE678E">
        <w:rPr>
          <w:rStyle w:val="StyleUnderline"/>
          <w:highlight w:val="yellow"/>
        </w:rPr>
        <w:t>examined a number of scholars who</w:t>
      </w:r>
      <w:r w:rsidRPr="00352F63">
        <w:rPr>
          <w:rStyle w:val="StyleUnderline"/>
        </w:rPr>
        <w:t xml:space="preserve"> seemingly take up such a viewpoint, in that they broadly </w:t>
      </w:r>
      <w:r w:rsidRPr="00DE678E">
        <w:rPr>
          <w:rStyle w:val="StyleUnderline"/>
          <w:highlight w:val="yellow"/>
        </w:rPr>
        <w:t>position blackness as a totalizing state that</w:t>
      </w:r>
      <w:r w:rsidRPr="00352F63">
        <w:rPr>
          <w:rStyle w:val="StyleUnderline"/>
        </w:rPr>
        <w:t xml:space="preserve">, historically and in the present, </w:t>
      </w:r>
      <w:r w:rsidRPr="00DE678E">
        <w:rPr>
          <w:rStyle w:val="StyleUnderline"/>
          <w:highlight w:val="yellow"/>
        </w:rPr>
        <w:t>renders slavery synonymous with social death and blackness as always already synonymous with slavery</w:t>
      </w:r>
      <w:r w:rsidRPr="00352F63">
        <w:rPr>
          <w:rStyle w:val="StyleUnderline"/>
        </w:rPr>
        <w:t>. Brown focuses specifically on the academic uptake and what he sees as the problematic distillation and extension of Orlando Patterson’s</w:t>
      </w:r>
      <w:r w:rsidRPr="00DE678E">
        <w:rPr>
          <w:sz w:val="16"/>
        </w:rPr>
        <w:t xml:space="preserve"> (1982) </w:t>
      </w:r>
      <w:r w:rsidRPr="00352F63">
        <w:rPr>
          <w:rStyle w:val="StyleUnderline"/>
        </w:rPr>
        <w:t xml:space="preserve">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‘‘slavery as social death,’’ and </w:t>
      </w:r>
      <w:r w:rsidRPr="00DE678E">
        <w:rPr>
          <w:rStyle w:val="StyleUnderline"/>
          <w:highlight w:val="yellow"/>
        </w:rPr>
        <w:t>contemporary usages of this concept</w:t>
      </w:r>
      <w:r w:rsidRPr="00352F63">
        <w:rPr>
          <w:rStyle w:val="StyleUnderline"/>
        </w:rPr>
        <w:t xml:space="preserve"> to account for the present, </w:t>
      </w:r>
      <w:r w:rsidRPr="00DE678E">
        <w:rPr>
          <w:rStyle w:val="StyleUnderline"/>
          <w:highlight w:val="yellow"/>
        </w:rPr>
        <w:t>advance a troubling transhistorical characterization of slavery</w:t>
      </w:r>
      <w:r w:rsidRPr="00352F63">
        <w:rPr>
          <w:rStyle w:val="StyleUnderline"/>
        </w:rPr>
        <w:t>. He argues in line with Herman Bennett</w:t>
      </w:r>
      <w:r w:rsidRPr="00DE678E">
        <w:rPr>
          <w:sz w:val="16"/>
        </w:rPr>
        <w:t xml:space="preserve"> (quoted in Brown 2009, 1233</w:t>
      </w:r>
      <w:r w:rsidRPr="00352F63">
        <w:rPr>
          <w:rStyle w:val="StyleUnderline"/>
        </w:rPr>
        <w:t>), who has observed:</w:t>
      </w:r>
      <w:r w:rsidR="00DE678E">
        <w:rPr>
          <w:rStyle w:val="StyleUnderline"/>
        </w:rPr>
        <w:t xml:space="preserve"> </w:t>
      </w:r>
      <w:r w:rsidRPr="00352F63">
        <w:rPr>
          <w:rStyle w:val="StyleUnderline"/>
        </w:rPr>
        <w:t xml:space="preserve">As the narrative of the slave experience, </w:t>
      </w:r>
      <w:r w:rsidRPr="00DE678E">
        <w:rPr>
          <w:rStyle w:val="StyleUnderline"/>
          <w:highlight w:val="yellow"/>
        </w:rPr>
        <w:t>social death assumes a uniform African, slave, and</w:t>
      </w:r>
      <w:r w:rsidRPr="00352F63">
        <w:rPr>
          <w:rStyle w:val="StyleUnderline"/>
        </w:rPr>
        <w:t xml:space="preserve"> ultimately </w:t>
      </w:r>
      <w:r w:rsidRPr="00DE678E">
        <w:rPr>
          <w:rStyle w:val="StyleUnderline"/>
          <w:highlight w:val="yellow"/>
        </w:rPr>
        <w:t>black subject rooted in a static New World history whose logic originated in being property and remains confined to slavery. It</w:t>
      </w:r>
      <w:r w:rsidRPr="00352F63">
        <w:rPr>
          <w:rStyle w:val="StyleUnderline"/>
        </w:rPr>
        <w:t xml:space="preserve"> absorbs and renders exceptional evidence that underscores the contingent nature of experience and consciousness. Thus, normative assumptions about the experiences of peoples of African descent </w:t>
      </w:r>
      <w:r w:rsidRPr="00BF2457">
        <w:rPr>
          <w:rStyle w:val="StyleUnderline"/>
          <w:highlight w:val="yellow"/>
        </w:rPr>
        <w:t>assert a timeless, ahistorical</w:t>
      </w:r>
      <w:r w:rsidRPr="00352F63">
        <w:rPr>
          <w:rStyle w:val="StyleUnderline"/>
        </w:rPr>
        <w:t>, epiphenomenal ‘‘</w:t>
      </w:r>
      <w:r w:rsidRPr="00BF2457">
        <w:rPr>
          <w:rStyle w:val="StyleUnderline"/>
          <w:highlight w:val="yellow"/>
        </w:rPr>
        <w:t>black’’</w:t>
      </w:r>
      <w:r w:rsidRPr="00352F63">
        <w:rPr>
          <w:rStyle w:val="StyleUnderline"/>
        </w:rPr>
        <w:t xml:space="preserve"> cultural </w:t>
      </w:r>
      <w:r w:rsidRPr="00BF2457">
        <w:rPr>
          <w:rStyle w:val="StyleUnderline"/>
          <w:highlight w:val="yellow"/>
        </w:rPr>
        <w:t>experience</w:t>
      </w:r>
      <w:r w:rsidRPr="00352F63">
        <w:rPr>
          <w:rStyle w:val="StyleUnderline"/>
        </w:rPr>
        <w:t>.</w:t>
      </w:r>
    </w:p>
    <w:p w:rsidR="000C6642" w:rsidRDefault="000C6642" w:rsidP="000C6642">
      <w:pPr>
        <w:pStyle w:val="Heading4"/>
        <w:rPr>
          <w:rStyle w:val="Style13ptBold"/>
        </w:rPr>
      </w:pPr>
      <w:r>
        <w:rPr>
          <w:rStyle w:val="Style13ptBold"/>
        </w:rPr>
        <w:t>The event of the Zong must be viewed alongside the oppression of the slave as a whole – the aff can’t solve</w:t>
      </w:r>
    </w:p>
    <w:p w:rsidR="000C6642" w:rsidRPr="00BD4051" w:rsidRDefault="000C6642" w:rsidP="000C6642">
      <w:pPr>
        <w:rPr>
          <w:rStyle w:val="Style13ptBold"/>
        </w:rPr>
      </w:pPr>
      <w:r>
        <w:rPr>
          <w:rStyle w:val="Style13ptBold"/>
        </w:rPr>
        <w:t>Armstrong 07 (</w:t>
      </w:r>
      <w:r w:rsidRPr="00BD4051">
        <w:t>Tim, Professor at Royal Holloway, University of London, “Catastrophe and Trauma: a Response to Anita Rupprecht</w:t>
      </w:r>
      <w:r>
        <w:t>,</w:t>
      </w:r>
      <w:r w:rsidRPr="00BD4051">
        <w:t>”</w:t>
      </w:r>
      <w:r>
        <w:t xml:space="preserve"> Published in The Journal of Legal History, Volume 28, Issue 3, 2007, </w:t>
      </w:r>
      <w:hyperlink r:id="rId10" w:anchor=".U9XT4PldV0o" w:history="1">
        <w:r w:rsidRPr="006D01BD">
          <w:rPr>
            <w:rStyle w:val="Hyperlink"/>
          </w:rPr>
          <w:t>http://www.tandfonline.com/doi/abs/10.1080/01440360701698510#.U9XT4PldV0o</w:t>
        </w:r>
      </w:hyperlink>
      <w:r>
        <w:t>, CH</w:t>
      </w:r>
      <w:r>
        <w:rPr>
          <w:rStyle w:val="Style13ptBold"/>
        </w:rPr>
        <w:t>)</w:t>
      </w:r>
    </w:p>
    <w:p w:rsidR="000C6642" w:rsidRDefault="000C6642" w:rsidP="000C6642">
      <w:pPr>
        <w:rPr>
          <w:sz w:val="16"/>
        </w:rPr>
      </w:pPr>
      <w:r w:rsidRPr="00BD4051">
        <w:rPr>
          <w:sz w:val="16"/>
        </w:rPr>
        <w:t xml:space="preserve">The two parts of my response are linked by the discourse of catastrophe. As I have suggested, </w:t>
      </w:r>
      <w:r w:rsidRPr="001A1279">
        <w:rPr>
          <w:rStyle w:val="StyleUnderline"/>
          <w:highlight w:val="yellow"/>
        </w:rPr>
        <w:t>the use of the Zong case</w:t>
      </w:r>
      <w:r w:rsidRPr="00BD4051">
        <w:rPr>
          <w:rStyle w:val="StyleUnderline"/>
        </w:rPr>
        <w:t xml:space="preserve"> in abolitionist tradition </w:t>
      </w:r>
      <w:r w:rsidRPr="001A1279">
        <w:rPr>
          <w:rStyle w:val="StyleUnderline"/>
          <w:highlight w:val="yellow"/>
        </w:rPr>
        <w:t>must be seen as an ambivalent inheritance: one which too readily anchors Africans in the status of victims, and attached</w:t>
      </w:r>
      <w:r w:rsidRPr="001A1279">
        <w:rPr>
          <w:sz w:val="16"/>
          <w:szCs w:val="16"/>
        </w:rPr>
        <w:t>, at least potentially,</w:t>
      </w:r>
      <w:r w:rsidRPr="00BD4051">
        <w:rPr>
          <w:rStyle w:val="StyleUnderline"/>
        </w:rPr>
        <w:t xml:space="preserve"> </w:t>
      </w:r>
      <w:r w:rsidRPr="001A1279">
        <w:rPr>
          <w:rStyle w:val="StyleUnderline"/>
          <w:highlight w:val="yellow"/>
        </w:rPr>
        <w:t>to a view of history which stresses traumatic inheritance on</w:t>
      </w:r>
      <w:r w:rsidRPr="00BD4051">
        <w:rPr>
          <w:rStyle w:val="StyleUnderline"/>
        </w:rPr>
        <w:t xml:space="preserve"> the </w:t>
      </w:r>
      <w:r w:rsidRPr="001A1279">
        <w:rPr>
          <w:rStyle w:val="StyleUnderline"/>
          <w:highlight w:val="yellow"/>
        </w:rPr>
        <w:t>one hand, and sublime and catastrophic spectacle on the other. We seem to need such stories, but they draw us</w:t>
      </w:r>
      <w:r w:rsidRPr="00BD4051">
        <w:rPr>
          <w:rStyle w:val="StyleUnderline"/>
        </w:rPr>
        <w:t>,</w:t>
      </w:r>
      <w:r w:rsidRPr="00BD4051">
        <w:rPr>
          <w:sz w:val="16"/>
        </w:rPr>
        <w:t xml:space="preserve"> as Morrison’s novel makes clear, </w:t>
      </w:r>
      <w:r w:rsidRPr="001A1279">
        <w:rPr>
          <w:rStyle w:val="StyleUnderline"/>
          <w:highlight w:val="yellow"/>
        </w:rPr>
        <w:t>towards a transfixed repetition even as they attempt to address a historical legacy. We need to continue to ask what the terrible history of the Zong means, but</w:t>
      </w:r>
      <w:r w:rsidRPr="00BD4051">
        <w:rPr>
          <w:rStyle w:val="StyleUnderline"/>
        </w:rPr>
        <w:t xml:space="preserve"> perhaps </w:t>
      </w:r>
      <w:r w:rsidRPr="001A1279">
        <w:rPr>
          <w:rStyle w:val="StyleUnderline"/>
          <w:highlight w:val="yellow"/>
        </w:rPr>
        <w:t>also to resist its pull, instead placing it alongside the everyday life of slavery</w:t>
      </w:r>
      <w:r w:rsidRPr="00BD4051">
        <w:rPr>
          <w:rStyle w:val="StyleUnderline"/>
        </w:rPr>
        <w:t xml:space="preserve"> and slavery’s many diffuse inheritances in our own world.</w:t>
      </w:r>
      <w:r w:rsidRPr="00BD4051">
        <w:rPr>
          <w:sz w:val="16"/>
        </w:rPr>
        <w:t xml:space="preserve"> The disclosure of business records, a focus of Rupprecht’s conclusion, is indeed one useful place to start, perhaps especially so in that </w:t>
      </w:r>
      <w:r w:rsidRPr="001A1279">
        <w:rPr>
          <w:rStyle w:val="StyleUnderline"/>
          <w:highlight w:val="yellow"/>
        </w:rPr>
        <w:t>what is involved is a form of knowledge that is not attached to the image of disaster, but instead to the quiet, everyday life of capital.</w:t>
      </w:r>
      <w:r w:rsidRPr="00BD4051">
        <w:rPr>
          <w:sz w:val="16"/>
        </w:rPr>
        <w:t xml:space="preserve"> </w:t>
      </w:r>
    </w:p>
    <w:p w:rsidR="007C2C22" w:rsidRDefault="00415A54" w:rsidP="00EF58FB">
      <w:pPr>
        <w:pStyle w:val="Heading4"/>
      </w:pPr>
      <w:r>
        <w:t>Remembrance renders the mind sessile on certain subjects—only by forgetting can we liberate the oppressed</w:t>
      </w:r>
    </w:p>
    <w:p w:rsidR="00292FED" w:rsidRDefault="00292FED" w:rsidP="00292FED">
      <w:pPr>
        <w:rPr>
          <w:rStyle w:val="Style13ptBold"/>
        </w:rPr>
      </w:pPr>
      <w:r>
        <w:rPr>
          <w:rStyle w:val="Style13ptBold"/>
        </w:rPr>
        <w:t>Zupancic 03 (</w:t>
      </w:r>
      <w:r w:rsidRPr="00292FED">
        <w:t xml:space="preserve">Alenka, Ph.D., </w:t>
      </w:r>
      <w:r>
        <w:t>a full-time researcher at the In</w:t>
      </w:r>
      <w:r w:rsidRPr="00292FED">
        <w:t>stitute of Philosophy of the Slovenian Academy of Sciences and Arts,</w:t>
      </w:r>
      <w:r>
        <w:rPr>
          <w:rStyle w:val="Style13ptBold"/>
        </w:rPr>
        <w:t xml:space="preserve"> </w:t>
      </w:r>
      <w:r w:rsidRPr="00292FED">
        <w:t xml:space="preserve">“The Shortest Shadow: Nietzsche’s Philosophy of the Two,” </w:t>
      </w:r>
      <w:r>
        <w:t xml:space="preserve">p. </w:t>
      </w:r>
      <w:r w:rsidRPr="00292FED">
        <w:t>57-60</w:t>
      </w:r>
      <w:r>
        <w:t>, CH</w:t>
      </w:r>
      <w:r>
        <w:rPr>
          <w:rStyle w:val="Style13ptBold"/>
        </w:rPr>
        <w:t>)</w:t>
      </w:r>
    </w:p>
    <w:p w:rsidR="007C2C22" w:rsidRDefault="00292FED" w:rsidP="00292FED">
      <w:pPr>
        <w:jc w:val="both"/>
        <w:rPr>
          <w:rFonts w:eastAsia="Times New Roman" w:cstheme="minorHAnsi"/>
          <w:u w:val="single"/>
        </w:rPr>
      </w:pPr>
      <w:r w:rsidRPr="00292FED">
        <w:rPr>
          <w:rFonts w:eastAsia="Times New Roman" w:cstheme="minorHAnsi"/>
          <w:sz w:val="14"/>
        </w:rPr>
        <w:t xml:space="preserve">This is perhaps the moment to examine in more detail what Nietzschean “forgetting” is actually about. What is the capacity of forgetting as the basis of “great health”? Nietzsche claims that </w:t>
      </w:r>
      <w:r w:rsidRPr="00D46DCF">
        <w:rPr>
          <w:rFonts w:eastAsia="Times New Roman" w:cstheme="minorHAnsi"/>
          <w:u w:val="single"/>
        </w:rPr>
        <w:t>memory entertains some essential relationship with pain</w:t>
      </w:r>
      <w:r w:rsidRPr="00292FED">
        <w:rPr>
          <w:rFonts w:eastAsia="Times New Roman" w:cstheme="minorHAnsi"/>
          <w:sz w:val="14"/>
        </w:rPr>
        <w:t xml:space="preserve">. This is what he describes as the principle used in human “mnemotechnics”: </w:t>
      </w:r>
      <w:r w:rsidRPr="00D46DCF">
        <w:rPr>
          <w:rFonts w:eastAsia="Times New Roman" w:cstheme="minorHAnsi"/>
          <w:highlight w:val="yellow"/>
          <w:u w:val="single"/>
        </w:rPr>
        <w:t>“If something is to stay in the memory it must be burned in: only that which never ceases to hurt stays in the memory</w:t>
      </w:r>
      <w:r w:rsidRPr="00292FED">
        <w:rPr>
          <w:rFonts w:eastAsia="Times New Roman" w:cstheme="minorHAnsi"/>
          <w:sz w:val="14"/>
        </w:rPr>
        <w:t>”</w:t>
      </w:r>
      <w:r w:rsidRPr="00292FED">
        <w:rPr>
          <w:rFonts w:eastAsia="Times New Roman" w:cstheme="minorHAnsi"/>
          <w:bCs/>
          <w:iCs/>
          <w:sz w:val="14"/>
        </w:rPr>
        <w:t xml:space="preserve">21 </w:t>
      </w:r>
      <w:r w:rsidRPr="00292FED">
        <w:rPr>
          <w:rFonts w:eastAsia="Times New Roman" w:cstheme="minorHAnsi"/>
          <w:sz w:val="14"/>
        </w:rPr>
        <w:t xml:space="preserve">Thus, if memory is essentially related to pain (here it seems that Nietzsche claims the opposite of what psychoanalysis is claiming: that traumatic events are the privileged objects of repression; yet pain is not the same thing as trauma, just as “forgetting” is not the same thing as repressing), then </w:t>
      </w:r>
      <w:r w:rsidRPr="00D46DCF">
        <w:rPr>
          <w:rFonts w:eastAsia="Times New Roman" w:cstheme="minorHAnsi"/>
          <w:highlight w:val="yellow"/>
          <w:u w:val="single"/>
        </w:rPr>
        <w:t>forgetting refers above all to the capacity not to nurture pain</w:t>
      </w:r>
      <w:r w:rsidRPr="00292FED">
        <w:rPr>
          <w:rFonts w:eastAsia="Times New Roman" w:cstheme="minorHAnsi"/>
          <w:sz w:val="14"/>
        </w:rPr>
        <w:t xml:space="preserve">. This also means </w:t>
      </w:r>
      <w:r w:rsidRPr="00D46DCF">
        <w:rPr>
          <w:rFonts w:eastAsia="Times New Roman" w:cstheme="minorHAnsi"/>
          <w:u w:val="single"/>
        </w:rPr>
        <w:t>the capacity not to make pain the determining ground of our actions and choices.</w:t>
      </w:r>
      <w:r w:rsidRPr="00292FED">
        <w:rPr>
          <w:rFonts w:eastAsia="Times New Roman" w:cstheme="minorHAnsi"/>
          <w:sz w:val="14"/>
        </w:rPr>
        <w:t xml:space="preserve"> What exactly is </w:t>
      </w:r>
      <w:r w:rsidRPr="00D46DCF">
        <w:rPr>
          <w:rFonts w:eastAsia="Times New Roman" w:cstheme="minorHAnsi"/>
          <w:u w:val="single"/>
        </w:rPr>
        <w:t xml:space="preserve">pain </w:t>
      </w:r>
      <w:r w:rsidRPr="00292FED">
        <w:rPr>
          <w:rFonts w:eastAsia="Times New Roman" w:cstheme="minorHAnsi"/>
          <w:sz w:val="14"/>
        </w:rPr>
        <w:t xml:space="preserve">(not so much physical pain, but, rather, the “mental pain” that can haunt our lives)? It </w:t>
      </w:r>
      <w:r w:rsidRPr="00D46DCF">
        <w:rPr>
          <w:rFonts w:eastAsia="Times New Roman" w:cstheme="minorHAnsi"/>
          <w:u w:val="single"/>
        </w:rPr>
        <w:t>is a way in which the subject internalizes and appropriates some traumatic experience as her own bitter treasure</w:t>
      </w:r>
      <w:r w:rsidRPr="00292FED">
        <w:rPr>
          <w:rFonts w:eastAsia="Times New Roman" w:cstheme="minorHAnsi"/>
          <w:sz w:val="14"/>
        </w:rPr>
        <w:t xml:space="preserve">, In other words, in relation to the traumatic event, pain is not exactly a part of this event, but already its memory (the “memory of the body”). And Nietzschean oblivion is not so much an effacement of the traumatic encounter as a preservation of its external character, of its foreignness, of its otherness. In </w:t>
      </w:r>
      <w:r w:rsidRPr="00292FED">
        <w:rPr>
          <w:rFonts w:eastAsia="Times New Roman" w:cstheme="minorHAnsi"/>
          <w:iCs/>
          <w:sz w:val="14"/>
        </w:rPr>
        <w:t xml:space="preserve">Unfashionable Observations, </w:t>
      </w:r>
      <w:r w:rsidRPr="00292FED">
        <w:rPr>
          <w:rFonts w:eastAsia="Times New Roman" w:cstheme="minorHAnsi"/>
          <w:sz w:val="14"/>
        </w:rPr>
        <w:t xml:space="preserve">Second Piece (“On the Utility and Liability of History for Life”), Nietzsche links the question of forgetting (which he employs as a synonym for the ahistorical) to the question of the act. </w:t>
      </w:r>
      <w:r w:rsidRPr="00D46DCF">
        <w:rPr>
          <w:rFonts w:eastAsia="Times New Roman" w:cstheme="minorHAnsi"/>
          <w:highlight w:val="yellow"/>
          <w:u w:val="single"/>
        </w:rPr>
        <w:t>Forgetting</w:t>
      </w:r>
      <w:r w:rsidRPr="00292FED">
        <w:rPr>
          <w:rFonts w:eastAsia="Times New Roman" w:cstheme="minorHAnsi"/>
          <w:sz w:val="14"/>
        </w:rPr>
        <w:t xml:space="preserve">, oblivion, </w:t>
      </w:r>
      <w:r w:rsidRPr="00D46DCF">
        <w:rPr>
          <w:rFonts w:eastAsia="Times New Roman" w:cstheme="minorHAnsi"/>
          <w:highlight w:val="yellow"/>
          <w:u w:val="single"/>
        </w:rPr>
        <w:t>is the very condition of possibility for an act in the strong sense of the word.</w:t>
      </w:r>
      <w:r w:rsidRPr="00D46DCF">
        <w:rPr>
          <w:rFonts w:eastAsia="Times New Roman" w:cstheme="minorHAnsi"/>
          <w:u w:val="single"/>
        </w:rPr>
        <w:t xml:space="preserve"> Memory </w:t>
      </w:r>
      <w:r w:rsidRPr="00292FED">
        <w:rPr>
          <w:rFonts w:eastAsia="Times New Roman" w:cstheme="minorHAnsi"/>
          <w:sz w:val="14"/>
        </w:rPr>
        <w:t xml:space="preserve">(the “historical”) </w:t>
      </w:r>
      <w:r w:rsidRPr="00D46DCF">
        <w:rPr>
          <w:rFonts w:eastAsia="Times New Roman" w:cstheme="minorHAnsi"/>
          <w:u w:val="single"/>
        </w:rPr>
        <w:t>is eternal sleeplessness and alert insomnia, a state in which no great thing can happen, and which could even be said to serve this very purpose</w:t>
      </w:r>
      <w:r w:rsidRPr="00292FED">
        <w:rPr>
          <w:rFonts w:eastAsia="Times New Roman" w:cstheme="minorHAnsi"/>
          <w:sz w:val="14"/>
        </w:rPr>
        <w:t>. Considering the common conception according to which memory is something monumental that “fixes” certain events, and closes us within their horizon, Nietzsche proposes a significantly different notion</w:t>
      </w:r>
      <w:r w:rsidRPr="00D46DCF">
        <w:rPr>
          <w:rFonts w:eastAsia="Times New Roman" w:cstheme="minorHAnsi"/>
          <w:u w:val="single"/>
        </w:rPr>
        <w:t xml:space="preserve">. </w:t>
      </w:r>
      <w:r w:rsidRPr="00D46DCF">
        <w:rPr>
          <w:rFonts w:eastAsia="Times New Roman" w:cstheme="minorHAnsi"/>
          <w:highlight w:val="yellow"/>
          <w:u w:val="single"/>
        </w:rPr>
        <w:t>It is precisely as an eternal openness, an unceasing stream, that memory can immobilize us, mortify us, make us incapable of action</w:t>
      </w:r>
      <w:r w:rsidRPr="00292FED">
        <w:rPr>
          <w:rFonts w:eastAsia="Times New Roman" w:cstheme="minorHAnsi"/>
          <w:sz w:val="14"/>
        </w:rPr>
        <w:t xml:space="preserve">. Nietzsche invites us to imagine the extreme example of </w:t>
      </w:r>
      <w:r w:rsidRPr="00D46DCF">
        <w:rPr>
          <w:rFonts w:eastAsia="Times New Roman" w:cstheme="minorHAnsi"/>
          <w:u w:val="single"/>
        </w:rPr>
        <w:t>a human being who does not possess the power to forget</w:t>
      </w:r>
      <w:r w:rsidRPr="00292FED">
        <w:rPr>
          <w:rFonts w:eastAsia="Times New Roman" w:cstheme="minorHAnsi"/>
          <w:sz w:val="14"/>
        </w:rPr>
        <w:t xml:space="preserve">. Such a human being </w:t>
      </w:r>
      <w:r w:rsidRPr="00D46DCF">
        <w:rPr>
          <w:rFonts w:eastAsia="Times New Roman" w:cstheme="minorHAnsi"/>
          <w:u w:val="single"/>
        </w:rPr>
        <w:t xml:space="preserve">would be condemned to see becoming everywhere: he would no longer believe in his own being, would see everything flow apart in turbulent particles, and would lose himself in this stream of becoming. </w:t>
      </w:r>
      <w:r w:rsidRPr="00292FED">
        <w:rPr>
          <w:rFonts w:eastAsia="Times New Roman" w:cstheme="minorHAnsi"/>
          <w:sz w:val="14"/>
        </w:rPr>
        <w:t xml:space="preserve">He would be like the true student of Heraclitus. A human being who wanted to experience things in a thoroughly historical manner would be like someone forced to go without sleep.28 </w:t>
      </w:r>
      <w:r w:rsidRPr="00D46DCF">
        <w:rPr>
          <w:rFonts w:eastAsia="Times New Roman" w:cstheme="minorHAnsi"/>
          <w:u w:val="single"/>
        </w:rPr>
        <w:t>Memory</w:t>
      </w:r>
      <w:r w:rsidRPr="00292FED">
        <w:rPr>
          <w:rFonts w:eastAsia="Times New Roman" w:cstheme="minorHAnsi"/>
          <w:sz w:val="14"/>
        </w:rPr>
        <w:t xml:space="preserve"> holds us in eternal motion—it keeps opening numerous horizons, and this is precisely how it </w:t>
      </w:r>
      <w:r w:rsidRPr="00D46DCF">
        <w:rPr>
          <w:rFonts w:eastAsia="Times New Roman" w:cstheme="minorHAnsi"/>
          <w:u w:val="single"/>
        </w:rPr>
        <w:t>immobilizes us, forcing us into frenetic activity</w:t>
      </w:r>
      <w:r w:rsidRPr="00292FED">
        <w:rPr>
          <w:rFonts w:eastAsia="Times New Roman" w:cstheme="minorHAnsi"/>
          <w:sz w:val="14"/>
        </w:rPr>
        <w:t xml:space="preserve">. Hence, Nietzsche advances a thesis that is as out of tune with our time as it was with his own: “every living thing can become healthy, strong and fruitful only within a defined horizon; if it is incapable of drawing a horizon around itself and too selfish, in turn, to enclose its own perspective within an alien horizon, then it will feebly waste away or hasten to its timely end.”29 Of course, Nietzsche’s aim here is not to preach narrow-mindedness and pettiness, nor is it simply to affirm the ahistorical against history and memory. On the contrary, he clearly states that it is only by thinking, reflecting, comparing, analyzing, and synthesizing (i.e. only by means of the power to utilize the past for life, and to reshape past events into history) that the human being becomes properly human. Yet, in the excess of history, the human being ceases to be human once again, no longer able to create or invent. This is why Nietzsche insists that “every great historical event” is born in the “ahistorical atmosphere,” that is to say, in conditions of oblivion and closure: Imagine a man seized and carried away by a vehement passion for a woman or for a great idea; how his world changes’ Looking backward he feels he is blind, listening around he hears what is unfamiliar as a dull, insignificant sound; and those things that he perceives at all he never before perceived in this way; so palpable and near, colorful, resonant, illuminated, as though he were apprehending </w:t>
      </w:r>
      <w:r w:rsidRPr="00292FED">
        <w:rPr>
          <w:rFonts w:eastAsia="Times New Roman" w:cstheme="minorHAnsi"/>
          <w:bCs/>
          <w:sz w:val="14"/>
        </w:rPr>
        <w:t xml:space="preserve">it </w:t>
      </w:r>
      <w:r w:rsidRPr="00292FED">
        <w:rPr>
          <w:rFonts w:eastAsia="Times New Roman" w:cstheme="minorHAnsi"/>
          <w:sz w:val="14"/>
        </w:rPr>
        <w:t xml:space="preserve">with all his senses at once. All his valuations are changed and devalued;. . . It is the most unjust condition in the world, narrow, ungrateful to the past, blind to dangers, deaf to warnings; a tiny whirlpool of life in a dead sea of night and oblivion; and yet this condition—ahistorical, antihistorical through and through— is not only womb of the unjust deed, but of every just deed as well; and no aftist will create a picture, no general win a victory, and no people gain its freedom without their having previously desired and striven to accomplish these deeds in just such an ahistorical condition. . Thus, everyone who acts loves his action infinitely more than </w:t>
      </w:r>
      <w:r w:rsidRPr="00292FED">
        <w:rPr>
          <w:rFonts w:eastAsia="Times New Roman" w:cstheme="minorHAnsi"/>
          <w:bCs/>
          <w:sz w:val="14"/>
        </w:rPr>
        <w:t xml:space="preserve">it </w:t>
      </w:r>
      <w:r w:rsidRPr="00292FED">
        <w:rPr>
          <w:rFonts w:eastAsia="Times New Roman" w:cstheme="minorHAnsi"/>
          <w:sz w:val="14"/>
        </w:rPr>
        <w:t xml:space="preserve">deserves to be loved, and the best deeds occur in such an exuberance of love that, no matter what, they must be unworthy of this love, even if their worth were otherwise incalculably great.3° If we read this passage carefully, we note that the point is not simply that the capacity to forget, or the “ahistorical condition,” is the condition of “great deeds” or “events.” On the contrary: </w:t>
      </w:r>
      <w:r w:rsidRPr="00292FED">
        <w:rPr>
          <w:rFonts w:eastAsia="Times New Roman" w:cstheme="minorHAnsi"/>
          <w:bCs/>
          <w:sz w:val="14"/>
        </w:rPr>
        <w:t xml:space="preserve">it </w:t>
      </w:r>
      <w:r w:rsidRPr="00292FED">
        <w:rPr>
          <w:rFonts w:eastAsia="Times New Roman" w:cstheme="minorHAnsi"/>
          <w:sz w:val="14"/>
        </w:rPr>
        <w:t xml:space="preserve">is the pure surplus of passion or love (for something) that brings about this closure of memory, this “ahistorical condition.” In other words, </w:t>
      </w:r>
      <w:r w:rsidRPr="00292FED">
        <w:rPr>
          <w:rFonts w:eastAsia="Times New Roman" w:cstheme="minorHAnsi"/>
          <w:bCs/>
          <w:sz w:val="14"/>
        </w:rPr>
        <w:t xml:space="preserve">it </w:t>
      </w:r>
      <w:r w:rsidRPr="00292FED">
        <w:rPr>
          <w:rFonts w:eastAsia="Times New Roman" w:cstheme="minorHAnsi"/>
          <w:sz w:val="14"/>
        </w:rPr>
        <w:t xml:space="preserve">is not that we have first to close ourselves within a defined horizon in order then to be able to accomplish something. The closure takes place with the very (“passionate”) opening toward something (“a woman or a great idea”). Nietzsche’s point is that </w:t>
      </w:r>
      <w:r w:rsidRPr="00D46DCF">
        <w:rPr>
          <w:rFonts w:eastAsia="Times New Roman" w:cstheme="minorHAnsi"/>
          <w:highlight w:val="yellow"/>
          <w:u w:val="single"/>
        </w:rPr>
        <w:t>if this surplus passion engages us “in the midst of life,” instead of mortifying us, it does so via its inducement of forgetting</w:t>
      </w:r>
      <w:r w:rsidRPr="00292FED">
        <w:rPr>
          <w:rFonts w:eastAsia="Times New Roman" w:cstheme="minorHAnsi"/>
          <w:sz w:val="14"/>
          <w:highlight w:val="yellow"/>
        </w:rPr>
        <w:t>.</w:t>
      </w:r>
      <w:r w:rsidRPr="00292FED">
        <w:rPr>
          <w:rFonts w:eastAsia="Times New Roman" w:cstheme="minorHAnsi"/>
          <w:sz w:val="14"/>
        </w:rPr>
        <w:t xml:space="preserve"> Indeed, I could mention a quite common experience here: </w:t>
      </w:r>
      <w:r w:rsidRPr="00D46DCF">
        <w:rPr>
          <w:rFonts w:eastAsia="Times New Roman" w:cstheme="minorHAnsi"/>
          <w:u w:val="single"/>
        </w:rPr>
        <w:t xml:space="preserve">whenever something important happens to us and incites our passion, we tend to forget and dismiss the grudges and resentments we might have been nurturing before. Instead of “forgiving” </w:t>
      </w:r>
      <w:r w:rsidRPr="00292FED">
        <w:rPr>
          <w:rFonts w:eastAsia="Times New Roman" w:cstheme="minorHAnsi"/>
          <w:sz w:val="14"/>
        </w:rPr>
        <w:t xml:space="preserve">those who might have injured us in the past, </w:t>
      </w:r>
      <w:r w:rsidRPr="00D46DCF">
        <w:rPr>
          <w:rFonts w:eastAsia="Times New Roman" w:cstheme="minorHAnsi"/>
          <w:u w:val="single"/>
        </w:rPr>
        <w:t xml:space="preserve">we forget </w:t>
      </w:r>
      <w:r w:rsidRPr="00292FED">
        <w:rPr>
          <w:rFonts w:eastAsia="Times New Roman" w:cstheme="minorHAnsi"/>
          <w:sz w:val="14"/>
        </w:rPr>
        <w:t xml:space="preserve">and dismiss these injuries. If we do not, </w:t>
      </w:r>
      <w:r w:rsidRPr="00D46DCF">
        <w:rPr>
          <w:rFonts w:eastAsia="Times New Roman" w:cstheme="minorHAnsi"/>
          <w:u w:val="single"/>
        </w:rPr>
        <w:t xml:space="preserve">if we “work on our memory” and strive to keep these grudges alive, they will most probably affect and mortify our (new) passion. </w:t>
      </w:r>
      <w:r w:rsidRPr="00292FED">
        <w:rPr>
          <w:rFonts w:eastAsia="Times New Roman" w:cstheme="minorHAnsi"/>
          <w:sz w:val="14"/>
        </w:rPr>
        <w:t xml:space="preserve">It could also be interesting to relate Nietzsche’s reflections from the quoted passage to the story of Hamlet, in which the imperative to remember, uttered by Hamlet’s father’s Ghost, plays a very prominent role. Remember me! Remember me!, the Ghost repeats to Hamlet, thus engaging him in the singular rhythm that characterizes the hero of this play—that of the alternation between resigned apathy and frenetic activity or precipitate actions (his killing of Polonius, as well as that of Rosencrantz and Guildenstern; his engagement in the duel with Laertes . . .). This movement prevents Hamlet from carrying out the very deed his father’s Ghost charges him with. Many things have been said and written about the relationship between action and knowledge in this play, and about how knowledge prevents Hamlet from acting. Although the two notions are not unrelated, it might be interesting to consider this also in terms of memory (not only in terms of knowledge). It could be worthwhile to contemplate the role played by the imperative of memory. Could we not say that one of the fundamental reasons for the difficulty of Hamlet’s position is precisely the structural incompatibility of memory and action— that is to say, the fact that action ultimately always “betrays” memory? And do we not encounter something similar in the wider phenomenon of melancholy (in the play, Hamlet is actually said to be “melancholic”) as a never-ending grief that keeps alive, through pain, the memory of what was lost? Additionally, although we can recognize in this kind of melancholy a form of fidelity (for instance—to use Nietzsche’s words—fidelity to “a woman or a great idea”), </w:t>
      </w:r>
      <w:r w:rsidRPr="00D46DCF">
        <w:rPr>
          <w:rFonts w:eastAsia="Times New Roman" w:cstheme="minorHAnsi"/>
          <w:u w:val="single"/>
        </w:rPr>
        <w:t xml:space="preserve">this </w:t>
      </w:r>
      <w:r w:rsidRPr="00292FED">
        <w:rPr>
          <w:rFonts w:eastAsia="Times New Roman" w:cstheme="minorHAnsi"/>
          <w:sz w:val="14"/>
        </w:rPr>
        <w:t xml:space="preserve">kind of </w:t>
      </w:r>
      <w:r w:rsidRPr="00D46DCF">
        <w:rPr>
          <w:rFonts w:eastAsia="Times New Roman" w:cstheme="minorHAnsi"/>
          <w:u w:val="single"/>
        </w:rPr>
        <w:t>fidelity</w:t>
      </w:r>
      <w:r w:rsidRPr="00292FED">
        <w:rPr>
          <w:rFonts w:eastAsia="Times New Roman" w:cstheme="minorHAnsi"/>
          <w:sz w:val="14"/>
        </w:rPr>
        <w:t xml:space="preserve">, </w:t>
      </w:r>
      <w:r w:rsidRPr="00D46DCF">
        <w:rPr>
          <w:rFonts w:eastAsia="Times New Roman" w:cstheme="minorHAnsi"/>
          <w:u w:val="single"/>
        </w:rPr>
        <w:t xml:space="preserve">bound to memory, should be distinguished from fidelity to the very event of the encounter with this </w:t>
      </w:r>
      <w:r w:rsidRPr="00292FED">
        <w:rPr>
          <w:rFonts w:eastAsia="Times New Roman" w:cstheme="minorHAnsi"/>
          <w:sz w:val="14"/>
        </w:rPr>
        <w:t xml:space="preserve">woman or </w:t>
      </w:r>
      <w:r w:rsidRPr="00D46DCF">
        <w:rPr>
          <w:rFonts w:eastAsia="Times New Roman" w:cstheme="minorHAnsi"/>
          <w:u w:val="single"/>
        </w:rPr>
        <w:t>idea</w:t>
      </w:r>
      <w:r w:rsidRPr="00292FED">
        <w:rPr>
          <w:rFonts w:eastAsia="Times New Roman" w:cstheme="minorHAnsi"/>
          <w:sz w:val="14"/>
        </w:rPr>
        <w:t xml:space="preserve">. Contrary to the first form, </w:t>
      </w:r>
      <w:r w:rsidRPr="00D46DCF">
        <w:rPr>
          <w:rFonts w:eastAsia="Times New Roman" w:cstheme="minorHAnsi"/>
          <w:u w:val="single"/>
        </w:rPr>
        <w:t>this second form of fidelity implies and presupposes the power to forget</w:t>
      </w:r>
      <w:r w:rsidRPr="00292FED">
        <w:rPr>
          <w:rFonts w:eastAsia="Times New Roman" w:cstheme="minorHAnsi"/>
          <w:sz w:val="14"/>
        </w:rPr>
        <w:t xml:space="preserve">. Of course, </w:t>
      </w:r>
      <w:r w:rsidRPr="00D46DCF">
        <w:rPr>
          <w:rFonts w:eastAsia="Times New Roman" w:cstheme="minorHAnsi"/>
          <w:highlight w:val="yellow"/>
          <w:u w:val="single"/>
        </w:rPr>
        <w:t>this does not mean to forget in the banal sense of no longer remembering</w:t>
      </w:r>
      <w:r w:rsidRPr="00292FED">
        <w:rPr>
          <w:rFonts w:eastAsia="Times New Roman" w:cstheme="minorHAnsi"/>
          <w:sz w:val="14"/>
        </w:rPr>
        <w:t xml:space="preserve"> the person or the idea in question, </w:t>
      </w:r>
      <w:r w:rsidRPr="00D46DCF">
        <w:rPr>
          <w:rFonts w:eastAsia="Times New Roman" w:cstheme="minorHAnsi"/>
          <w:highlight w:val="yellow"/>
          <w:u w:val="single"/>
        </w:rPr>
        <w:t>but in the sense that forgetting liberates the potential of the encounter itself, and opens up</w:t>
      </w:r>
      <w:r w:rsidRPr="00292FED">
        <w:rPr>
          <w:rFonts w:eastAsia="Times New Roman" w:cstheme="minorHAnsi"/>
          <w:sz w:val="14"/>
        </w:rPr>
        <w:t>—precisely through its “closure”—</w:t>
      </w:r>
      <w:r w:rsidRPr="00D46DCF">
        <w:rPr>
          <w:rFonts w:eastAsia="Times New Roman" w:cstheme="minorHAnsi"/>
          <w:highlight w:val="yellow"/>
          <w:u w:val="single"/>
        </w:rPr>
        <w:t>the possibility of a new one.</w:t>
      </w:r>
      <w:r w:rsidRPr="00D46DCF">
        <w:rPr>
          <w:rFonts w:eastAsia="Times New Roman" w:cstheme="minorHAnsi"/>
          <w:u w:val="single"/>
        </w:rPr>
        <w:t xml:space="preserve"> </w:t>
      </w:r>
    </w:p>
    <w:p w:rsidR="000C214C" w:rsidRDefault="000C214C" w:rsidP="000C214C">
      <w:pPr>
        <w:pStyle w:val="Heading4"/>
      </w:pPr>
      <w:r w:rsidRPr="00EE2861">
        <w:t>A sole focus on the A</w:t>
      </w:r>
      <w:r>
        <w:t>tlantic locks their method into a clear demarcation of the slave as the opposite of freedom – that ignores the possibility of mobility embodied in the Indian Ocean slave trade</w:t>
      </w:r>
    </w:p>
    <w:p w:rsidR="000C214C" w:rsidRPr="00DD07F7" w:rsidRDefault="000C214C" w:rsidP="000C214C">
      <w:pPr>
        <w:rPr>
          <w:sz w:val="16"/>
          <w:szCs w:val="16"/>
        </w:rPr>
      </w:pPr>
      <w:r>
        <w:rPr>
          <w:b/>
        </w:rPr>
        <w:t xml:space="preserve">Hofmeyr 07 </w:t>
      </w:r>
      <w:r w:rsidRPr="00DD07F7">
        <w:rPr>
          <w:sz w:val="16"/>
          <w:szCs w:val="16"/>
        </w:rPr>
        <w:t>(Isabel Hofmeyr, Professor of African Literature at Witwatersrand University, A journal of African studies, 33:2, 3-32, “The Black Atlantic Meets the Indian Ocean: Forging New Paradigms of Transnationalism for the Global South – Literary and Cultural Perspectives” http://www.tandfonline.com/doi/pdf/10.1080/02533950708628759)</w:t>
      </w:r>
    </w:p>
    <w:p w:rsidR="000C214C" w:rsidRDefault="000C214C" w:rsidP="000C214C">
      <w:pPr>
        <w:rPr>
          <w:rStyle w:val="StyleUnderline"/>
        </w:rPr>
      </w:pPr>
      <w:r>
        <w:t xml:space="preserve">As the discussion of Campbell (2004a &amp; 2004b) has already indicated, </w:t>
      </w:r>
      <w:r w:rsidRPr="00EE2861">
        <w:rPr>
          <w:rStyle w:val="StyleUnderline"/>
        </w:rPr>
        <w:t>the Indian Ocean makes a difference to the question of</w:t>
      </w:r>
      <w:r>
        <w:t xml:space="preserve"> 'who is a slave' or, put in different terms, </w:t>
      </w:r>
      <w:r w:rsidRPr="00EE2861">
        <w:rPr>
          <w:rStyle w:val="StyleUnderline"/>
        </w:rPr>
        <w:t>understandings of the relationship of slavery and freedom. In this regard, the Atlantic model has become invisibly normative</w:t>
      </w:r>
      <w:r w:rsidRPr="004060C4">
        <w:rPr>
          <w:highlight w:val="yellow"/>
        </w:rPr>
        <w:t xml:space="preserve">. </w:t>
      </w:r>
      <w:r w:rsidRPr="004060C4">
        <w:rPr>
          <w:rStyle w:val="Emphasis"/>
          <w:highlight w:val="yellow"/>
        </w:rPr>
        <w:t>The state of slave and free are clearly demarcated and, furthermore, racialized. This starkness plays itself out in a number of domains</w:t>
      </w:r>
      <w:r w:rsidRPr="004060C4">
        <w:rPr>
          <w:rStyle w:val="StyleUnderline"/>
          <w:highlight w:val="yellow"/>
        </w:rPr>
        <w:t xml:space="preserve">. </w:t>
      </w:r>
      <w:r w:rsidRPr="004060C4">
        <w:rPr>
          <w:highlight w:val="yellow"/>
        </w:rPr>
        <w:t>In</w:t>
      </w:r>
      <w:r w:rsidRPr="00EE2861">
        <w:t xml:space="preserve"> much political theorization</w:t>
      </w:r>
      <w:r w:rsidRPr="00EE2861">
        <w:rPr>
          <w:rStyle w:val="StyleUnderline"/>
        </w:rPr>
        <w:t xml:space="preserve">, notions of </w:t>
      </w:r>
      <w:r w:rsidRPr="004060C4">
        <w:rPr>
          <w:rStyle w:val="StyleUnderline"/>
          <w:highlight w:val="yellow"/>
        </w:rPr>
        <w:t>subjectivity, sovereignty, autonomy and freedom tend to pivot on the idea that slavery and freedom are neatly separable states. This absolute distinction is also apparent in traditions of anti-colonial thinking and the hydraulic paradigms of domination and resistance to which these give rise</w:t>
      </w:r>
      <w:r>
        <w:t xml:space="preserve">. In such analyses, the domain of ruler and ruled, oppressor and oppressed, are apparently distinct and legible. </w:t>
      </w:r>
      <w:r w:rsidRPr="00EE2861">
        <w:rPr>
          <w:rStyle w:val="StyleUnderline"/>
        </w:rPr>
        <w:t>Slavery in the Indian Ocean is more complex: the line between slave and free is constantly shifting and changing</w:t>
      </w:r>
      <w:r>
        <w:t xml:space="preserve">. As Campbell argues (2004b), the </w:t>
      </w:r>
      <w:r w:rsidRPr="00EE2861">
        <w:rPr>
          <w:rStyle w:val="StyleUnderline"/>
        </w:rPr>
        <w:t>bulk of slaves in the Indian Ocean were</w:t>
      </w:r>
      <w:r>
        <w:t xml:space="preserve"> generally not located in plantation settings and were instead </w:t>
      </w:r>
      <w:r w:rsidRPr="00EE2861">
        <w:rPr>
          <w:rStyle w:val="StyleUnderline"/>
        </w:rPr>
        <w:t>integrated into households</w:t>
      </w:r>
      <w:r w:rsidRPr="004060C4">
        <w:rPr>
          <w:rStyle w:val="StyleUnderline"/>
          <w:highlight w:val="yellow"/>
        </w:rPr>
        <w:t>.</w:t>
      </w:r>
      <w:r w:rsidRPr="004060C4">
        <w:rPr>
          <w:rStyle w:val="Emphasis"/>
          <w:highlight w:val="yellow"/>
        </w:rPr>
        <w:t xml:space="preserve"> The possibilities for mobility or manumission were consequently greate</w:t>
      </w:r>
      <w:r w:rsidRPr="00EE2861">
        <w:rPr>
          <w:rStyle w:val="Emphasis"/>
        </w:rPr>
        <w:t>r</w:t>
      </w:r>
      <w:r>
        <w:t xml:space="preserve">. Debt slavery or pawning of a lineage member were also strategies followed in times of catastrophe, such as drought or famine. The hope, however, was that these conditions were not permanent. </w:t>
      </w:r>
      <w:r w:rsidRPr="004060C4">
        <w:rPr>
          <w:rStyle w:val="Emphasis"/>
          <w:highlight w:val="yellow"/>
        </w:rPr>
        <w:t>The meanings of freedom and slavery, then, are complex and shifting</w:t>
      </w:r>
      <w:r w:rsidRPr="004060C4">
        <w:rPr>
          <w:rStyle w:val="StyleUnderline"/>
          <w:highlight w:val="yellow"/>
        </w:rPr>
        <w:t>. Such reminders are useful in a post-apartheid context where the glamour of narratives of domination and resistance has worn thin</w:t>
      </w:r>
      <w:r w:rsidRPr="004060C4">
        <w:rPr>
          <w:highlight w:val="yellow"/>
        </w:rPr>
        <w:t>.</w:t>
      </w:r>
      <w:r>
        <w:t xml:space="preserve"> Indeed </w:t>
      </w:r>
      <w:r w:rsidRPr="00EE2861">
        <w:rPr>
          <w:rStyle w:val="StyleUnderline"/>
        </w:rPr>
        <w:t xml:space="preserve">such narratives are now being rehabilitated as part of an official state history. </w:t>
      </w:r>
      <w:r>
        <w:t xml:space="preserve">As political theorists have shown elsewhere in the continent, </w:t>
      </w:r>
      <w:r w:rsidRPr="00EE2861">
        <w:rPr>
          <w:rStyle w:val="StyleUnderline"/>
        </w:rPr>
        <w:t>our understandings of power need to be more complex than this binary idea implies.</w:t>
      </w:r>
      <w:r>
        <w:t xml:space="preserve"> Achille Mbernbe's work has demonstrated the intimate co-habitation of ruler and ruled (2001). Similarly, other political theorists like Jean-Francois Bayart (1993) and Patrick Chabal and Jean-Pascal Daloz (1999) have critiqued excessive dichotomisations of African society into popular and elite, high and low. Whatever the asymmetries of power between these groups, they are still linked by populist networks of clientilism and dependency. </w:t>
      </w:r>
      <w:r w:rsidRPr="004060C4">
        <w:rPr>
          <w:rStyle w:val="StyleUnderline"/>
          <w:highlight w:val="yellow"/>
        </w:rPr>
        <w:t>Understanding political discourse and action, then, becomes a task of understanding a complex layered precolonial, colonial and postcolonial</w:t>
      </w:r>
      <w:r>
        <w:t xml:space="preserve"> archive in which versions of modernity are negotiated in an ever-shifting set</w:t>
      </w:r>
      <w:r w:rsidRPr="00EE2861">
        <w:t xml:space="preserve"> </w:t>
      </w:r>
      <w:r>
        <w:t xml:space="preserve">of idioms around 'tradition: One area of Africa that provides a particularly rich source for understanding such interactions is the Swahili Coast. Here, as Jonathan Glassman (1994) brilliantly demonstrates, </w:t>
      </w:r>
      <w:r w:rsidRPr="00EE2861">
        <w:rPr>
          <w:rStyle w:val="StyleUnderline"/>
        </w:rPr>
        <w:t>a range of constituencies</w:t>
      </w:r>
      <w:r>
        <w:t xml:space="preserve"> - inland societies, Islamic Swahili patrician families, an urban crowd made up of slave and plebeians, all under the rule of the Omani sultans - </w:t>
      </w:r>
      <w:r w:rsidRPr="004060C4">
        <w:rPr>
          <w:rStyle w:val="StyleUnderline"/>
          <w:highlight w:val="yellow"/>
        </w:rPr>
        <w:t>shaped a series of cosmopolitan public cultures that revolved around the politics of reputation and the contested terrain of public reciprocity and displa</w:t>
      </w:r>
      <w:r w:rsidRPr="00EE2861">
        <w:rPr>
          <w:rStyle w:val="StyleUnderline"/>
        </w:rPr>
        <w:t>y</w:t>
      </w:r>
      <w:r>
        <w:t xml:space="preserve">. In these ritual displays, power itself - for example, </w:t>
      </w:r>
      <w:r w:rsidRPr="004060C4">
        <w:rPr>
          <w:rStyle w:val="StyleUnderline"/>
          <w:highlight w:val="yellow"/>
        </w:rPr>
        <w:t>patriarchy - was not directly challenged; rather, its meanings, rights and obligations were contested. Colonial intervention was a belated entrant in this complex world and had to accommodate itself to the contours carved out in many centuries of Indian Ocean interaction.</w:t>
      </w:r>
    </w:p>
    <w:p w:rsidR="000C214C" w:rsidRDefault="000C214C" w:rsidP="000C214C">
      <w:pPr>
        <w:pStyle w:val="Heading4"/>
      </w:pPr>
      <w:r>
        <w:t>We have to consider events before and after the oceanic leg of the Middle Passage</w:t>
      </w:r>
    </w:p>
    <w:p w:rsidR="000C214C" w:rsidRDefault="000C214C" w:rsidP="000C214C">
      <w:pPr>
        <w:rPr>
          <w:rStyle w:val="Style13ptBold"/>
          <w:b w:val="0"/>
        </w:rPr>
      </w:pPr>
      <w:r>
        <w:rPr>
          <w:rStyle w:val="Style13ptBold"/>
        </w:rPr>
        <w:t>Alp</w:t>
      </w:r>
      <w:r w:rsidRPr="00080CB0">
        <w:rPr>
          <w:rStyle w:val="Style13ptBold"/>
        </w:rPr>
        <w:t>ers 07</w:t>
      </w:r>
      <w:r>
        <w:rPr>
          <w:rStyle w:val="Style13ptBold"/>
        </w:rPr>
        <w:t xml:space="preserve"> </w:t>
      </w:r>
      <w:r>
        <w:rPr>
          <w:rStyle w:val="Style13ptBold"/>
          <w:b w:val="0"/>
        </w:rPr>
        <w:t xml:space="preserve">(Edward A. Alpers, The Other Middle Passage: The African Slave Trade in the Indian Ocean, in Many Middle Passages: Forced Migrations and the making of the Modern World, edited by Emma Christopher, Cassandra Pybus, and Marcus Rediker, University of California Press pg. 20 - 38) </w:t>
      </w:r>
    </w:p>
    <w:p w:rsidR="000C214C" w:rsidRDefault="000C214C" w:rsidP="000C214C">
      <w:pPr>
        <w:rPr>
          <w:rStyle w:val="Style13ptBold"/>
          <w:b w:val="0"/>
          <w:sz w:val="16"/>
        </w:rPr>
      </w:pPr>
      <w:r w:rsidRPr="004060C4">
        <w:rPr>
          <w:rStyle w:val="StyleUnderline"/>
          <w:highlight w:val="yellow"/>
        </w:rPr>
        <w:t>THE MIDDLE PASSAGE, traditionally presented as the most traumatic moment in the entire slave trade, has assumed iconographic significance</w:t>
      </w:r>
      <w:r w:rsidRPr="00C22CA3">
        <w:rPr>
          <w:rStyle w:val="Style13ptBold"/>
          <w:b w:val="0"/>
          <w:sz w:val="16"/>
        </w:rPr>
        <w:t xml:space="preserve"> for many diasporic Africans in the Black Atlantic) As Colin Palmer concludes: The Middle Passage was more than just a shared physical experience for those who survived it. It was and is a metaphor for the suffering of African peoples born of their enslavement, of severed ties, of longing for a lost homeland, of a forced exile. . . . It is a living and wrenching aspect of the history of the peoples of the African diaspora, an inescapable part of their present impossible to erase or exorcise. A gruesome reminder of things past, it is simultaneously a signifier of a people's capacity to survive and to refuse to be vanquished.' </w:t>
      </w:r>
      <w:r w:rsidRPr="00ED4751">
        <w:rPr>
          <w:rStyle w:val="StyleUnderline"/>
        </w:rPr>
        <w:t xml:space="preserve">As in the larger historiography of the African slave trade, the Atlantic dominates both the evidence for and the literature of the middle passage. However, </w:t>
      </w:r>
      <w:r w:rsidRPr="004060C4">
        <w:rPr>
          <w:rStyle w:val="Emphasis"/>
          <w:highlight w:val="yellow"/>
        </w:rPr>
        <w:t>there is no evidence that the middle passage in the Indian Ocean occupies the kind of central role in collective memory that Palmer describes for the African</w:t>
      </w:r>
      <w:r w:rsidRPr="00ED4751">
        <w:rPr>
          <w:rStyle w:val="Emphasis"/>
        </w:rPr>
        <w:t xml:space="preserve"> </w:t>
      </w:r>
      <w:r w:rsidRPr="004060C4">
        <w:rPr>
          <w:rStyle w:val="Emphasis"/>
          <w:highlight w:val="yellow"/>
        </w:rPr>
        <w:t>diaspor</w:t>
      </w:r>
      <w:r w:rsidRPr="00ED4751">
        <w:rPr>
          <w:rStyle w:val="Emphasis"/>
        </w:rPr>
        <w:t>a</w:t>
      </w:r>
      <w:r w:rsidRPr="00ED4751">
        <w:rPr>
          <w:rStyle w:val="StyleUnderline"/>
        </w:rPr>
        <w:t>, although persistent recollections bear witness that Africa is still a presence in many of these communities.</w:t>
      </w:r>
      <w:r w:rsidRPr="00C22CA3">
        <w:rPr>
          <w:rStyle w:val="Style13ptBold"/>
          <w:b w:val="0"/>
          <w:sz w:val="16"/>
        </w:rPr>
        <w:t xml:space="preserve"> My intention is to </w:t>
      </w:r>
      <w:r w:rsidRPr="00ED4751">
        <w:rPr>
          <w:rStyle w:val="StyleUnderline"/>
        </w:rPr>
        <w:t>bring a measure of balance to this historiography by examining evidence from eastern Africa in order to shed some light on the middle passage in the Indian Ocean</w:t>
      </w:r>
      <w:r w:rsidRPr="00C22CA3">
        <w:rPr>
          <w:rStyle w:val="Style13ptBold"/>
          <w:b w:val="0"/>
          <w:sz w:val="16"/>
        </w:rPr>
        <w:t xml:space="preserve">. In addition, I contend that </w:t>
      </w:r>
      <w:r w:rsidRPr="004060C4">
        <w:rPr>
          <w:rStyle w:val="Emphasis"/>
          <w:highlight w:val="yellow"/>
        </w:rPr>
        <w:t>the sea 20 voyage from Africa west to the Americas or east across the Indian Ocean was only one leg of the traumatic journe</w:t>
      </w:r>
      <w:r w:rsidRPr="004060C4">
        <w:rPr>
          <w:rStyle w:val="StyleUnderline"/>
          <w:highlight w:val="yellow"/>
        </w:rPr>
        <w:t>y</w:t>
      </w:r>
      <w:r w:rsidRPr="00C22CA3">
        <w:rPr>
          <w:rStyle w:val="StyleUnderline"/>
        </w:rPr>
        <w:t xml:space="preserve"> that forcibly removed free Africans from their homes in Africa to their ultimate destinations.</w:t>
      </w:r>
      <w:r w:rsidRPr="00C22CA3">
        <w:rPr>
          <w:rStyle w:val="Style13ptBold"/>
          <w:b w:val="0"/>
          <w:sz w:val="16"/>
        </w:rPr>
        <w:t xml:space="preserve"> Indeed, I believe that </w:t>
      </w:r>
      <w:r w:rsidRPr="00C22CA3">
        <w:rPr>
          <w:rStyle w:val="Emphasis"/>
        </w:rPr>
        <w:t>it is a mistake to restrict analyses of the middle passage only to oceanic passages,</w:t>
      </w:r>
      <w:r w:rsidRPr="00C22CA3">
        <w:rPr>
          <w:rStyle w:val="Style13ptBold"/>
          <w:b w:val="0"/>
          <w:sz w:val="16"/>
        </w:rPr>
        <w:t xml:space="preserve"> assuming that enslaved Africans embarked from the African coast as though they were leaving their native country, when in fact </w:t>
      </w:r>
      <w:r w:rsidRPr="004060C4">
        <w:rPr>
          <w:rStyle w:val="StyleUnderline"/>
          <w:highlight w:val="yellow"/>
        </w:rPr>
        <w:t>their passage from freedom into slavery actually began with the moment in which they were swept up by the economic forces that drove the slave trade deep into the African interior</w:t>
      </w:r>
      <w:r w:rsidRPr="00C22CA3">
        <w:rPr>
          <w:rStyle w:val="Style13ptBold"/>
          <w:b w:val="0"/>
          <w:sz w:val="16"/>
        </w:rPr>
        <w:t xml:space="preserve">. I also seek to demonstrate that </w:t>
      </w:r>
      <w:r w:rsidRPr="00C22CA3">
        <w:rPr>
          <w:rStyle w:val="StyleUnderline"/>
        </w:rPr>
        <w:t>the middle passage encompasses a much more complex set of forced migrations than is usually assumed</w:t>
      </w:r>
      <w:r w:rsidRPr="00C22CA3">
        <w:rPr>
          <w:rStyle w:val="Style13ptBold"/>
          <w:b w:val="0"/>
          <w:sz w:val="16"/>
        </w:rPr>
        <w:t xml:space="preserve">. From the moment they were seized and began their movement to the coast, </w:t>
      </w:r>
      <w:r w:rsidRPr="00C22CA3">
        <w:rPr>
          <w:rStyle w:val="StyleUnderline"/>
        </w:rPr>
        <w:t>captive Africans</w:t>
      </w:r>
      <w:r w:rsidRPr="00C22CA3">
        <w:rPr>
          <w:rStyle w:val="Style13ptBold"/>
          <w:b w:val="0"/>
          <w:sz w:val="16"/>
        </w:rPr>
        <w:t xml:space="preserve"> had to begin the process of personal survival and cultural adjust-ment associated with the diaspora. They </w:t>
      </w:r>
      <w:r w:rsidRPr="004060C4">
        <w:rPr>
          <w:rStyle w:val="StyleUnderline"/>
          <w:highlight w:val="yellow"/>
        </w:rPr>
        <w:t>learned new languages, received new names, ate new foods, and forged new bonds among themselves before they ever had to adjust fully to the work of slavery or the conditions of liberation</w:t>
      </w:r>
      <w:r w:rsidRPr="00C22CA3">
        <w:rPr>
          <w:rStyle w:val="Style13ptBold"/>
          <w:b w:val="0"/>
          <w:sz w:val="16"/>
        </w:rPr>
        <w:t xml:space="preserve">. I will illustrate how some of these processes worked by presenting an album of individual experiences—of capture, enslavement, and movement to the coast and then across the water—from nineteenth-century eastern Africa. All these accounts refer to events at the height of the slave trade in the eighteenth and nineteenth centuries and must be understood as products of the abolitionist movement. </w:t>
      </w:r>
    </w:p>
    <w:p w:rsidR="000C214C" w:rsidRPr="00292FED" w:rsidRDefault="000C214C" w:rsidP="000C214C">
      <w:pPr>
        <w:jc w:val="both"/>
        <w:rPr>
          <w:rFonts w:eastAsia="Times New Roman" w:cstheme="minorHAnsi"/>
          <w:u w:val="single"/>
        </w:rPr>
      </w:pPr>
    </w:p>
    <w:p w:rsidR="000C214C" w:rsidRDefault="000C214C" w:rsidP="00292FED">
      <w:pPr>
        <w:jc w:val="both"/>
        <w:rPr>
          <w:rFonts w:eastAsia="Times New Roman" w:cstheme="minorHAnsi"/>
          <w:u w:val="single"/>
        </w:rPr>
      </w:pPr>
    </w:p>
    <w:p w:rsidR="00392D4D" w:rsidRDefault="00392D4D" w:rsidP="00392D4D">
      <w:pPr>
        <w:pStyle w:val="Heading2"/>
      </w:pPr>
      <w:r>
        <w:t>Topicality</w:t>
      </w:r>
    </w:p>
    <w:p w:rsidR="00392D4D" w:rsidRDefault="00392D4D" w:rsidP="00392D4D">
      <w:pPr>
        <w:pStyle w:val="Heading4"/>
      </w:pPr>
      <w:r>
        <w:t>A. Interpretation---</w:t>
      </w:r>
    </w:p>
    <w:p w:rsidR="00392D4D" w:rsidRPr="00A304AE" w:rsidRDefault="00392D4D" w:rsidP="00392D4D">
      <w:pPr>
        <w:pStyle w:val="Heading4"/>
      </w:pPr>
      <w:r w:rsidRPr="00A304AE">
        <w:t>USFG is the government established in the constitution</w:t>
      </w:r>
    </w:p>
    <w:p w:rsidR="00392D4D" w:rsidRPr="00A304AE" w:rsidRDefault="00392D4D" w:rsidP="00392D4D">
      <w:r w:rsidRPr="00A304AE">
        <w:rPr>
          <w:rStyle w:val="Style13ptBold"/>
        </w:rPr>
        <w:t>US Legal 13</w:t>
      </w:r>
      <w:r w:rsidRPr="00A304AE">
        <w:t xml:space="preserve">  "Legal Terms, Definitions, and Dictionary"  http://definitions.uslegal.com/u/united-states-federal-government/ </w:t>
      </w:r>
    </w:p>
    <w:p w:rsidR="00392D4D" w:rsidRPr="00A304AE" w:rsidRDefault="00392D4D" w:rsidP="00392D4D">
      <w:pPr>
        <w:pStyle w:val="CardIndented"/>
      </w:pPr>
      <w:r w:rsidRPr="00A304AE">
        <w:rPr>
          <w:rStyle w:val="StyleUnderline"/>
        </w:rPr>
        <w:t xml:space="preserve"> The United States Federal Government is established by the US Constitution. The Federal Government shares sovereignty over the United Sates with the individual governments of the States of US. The Federal government has three branches</w:t>
      </w:r>
      <w:r w:rsidRPr="00A304AE">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rsidR="00392D4D" w:rsidRPr="00FF3C9A" w:rsidRDefault="00392D4D" w:rsidP="00392D4D">
      <w:pPr>
        <w:pStyle w:val="Heading4"/>
      </w:pPr>
      <w:r w:rsidRPr="00FF3C9A">
        <w:t>Exploration is system</w:t>
      </w:r>
      <w:r>
        <w:t>a</w:t>
      </w:r>
      <w:r w:rsidRPr="00FF3C9A">
        <w:t>tic discovery of all aspects of the ocean</w:t>
      </w:r>
    </w:p>
    <w:p w:rsidR="00392D4D" w:rsidRDefault="00392D4D" w:rsidP="00392D4D">
      <w:r w:rsidRPr="007517B6">
        <w:rPr>
          <w:rStyle w:val="Style13ptBold"/>
        </w:rPr>
        <w:t>National Academies 9</w:t>
      </w:r>
      <w:r>
        <w:t xml:space="preserve">     National Academies – National Academy of Sciences, National Academy of Engineering,Institute of Medicine, and National Research Council    2009      Ocean Exploration Highlights of National Academies Reports    </w:t>
      </w:r>
      <w:r w:rsidRPr="00AB4C4D">
        <w:t>http://dels.nas.edu/resources/static-assets/osb/miscellaneous/exploration_final.pdf</w:t>
      </w:r>
    </w:p>
    <w:p w:rsidR="00392D4D" w:rsidRDefault="00392D4D" w:rsidP="00392D4D">
      <w:pPr>
        <w:pStyle w:val="CardIndented"/>
      </w:pPr>
      <w:r>
        <w:t>What Is Ocean Exploration?</w:t>
      </w:r>
    </w:p>
    <w:p w:rsidR="00392D4D" w:rsidRDefault="00392D4D" w:rsidP="00392D4D">
      <w:pPr>
        <w:pStyle w:val="CardIndented"/>
        <w:rPr>
          <w:rStyle w:val="StyleUnderline"/>
        </w:rPr>
      </w:pPr>
      <w:r w:rsidRPr="00371C44">
        <w:rPr>
          <w:rStyle w:val="StyleUnderline"/>
        </w:rPr>
        <w:t>As defined by the President’s Panel on Ocean Exploration</w:t>
      </w:r>
      <w:r>
        <w:t xml:space="preserve"> (National Oceanic and Atmospheric Administration, 2000), </w:t>
      </w:r>
      <w:r w:rsidRPr="00371C44">
        <w:rPr>
          <w:rStyle w:val="StyleUnderline"/>
        </w:rPr>
        <w:t>ocean exploration is discovery through disciplined, diverse observations and recordings of findings. It includes rigorous, systematic observations and documentation of biological, chemical, physical, geological, and</w:t>
      </w:r>
      <w:r>
        <w:rPr>
          <w:rStyle w:val="StyleUnderline"/>
        </w:rPr>
        <w:t xml:space="preserve"> </w:t>
      </w:r>
      <w:r w:rsidRPr="00371C44">
        <w:rPr>
          <w:rStyle w:val="StyleUnderline"/>
        </w:rPr>
        <w:t>archeological aspects of the ocean in the three dimensions of space and in time.</w:t>
      </w:r>
    </w:p>
    <w:p w:rsidR="00392D4D" w:rsidRDefault="00392D4D" w:rsidP="00392D4D">
      <w:pPr>
        <w:pStyle w:val="Heading4"/>
      </w:pPr>
      <w:r>
        <w:t xml:space="preserve">B. Violation—The affirmative does not utilize the United States federal government and it only explores the single area of the ocean that the Zong ship was wrecked in, if it functionally explores the Ocean at all. </w:t>
      </w:r>
    </w:p>
    <w:p w:rsidR="00392D4D" w:rsidRDefault="00392D4D" w:rsidP="00392D4D"/>
    <w:p w:rsidR="00392D4D" w:rsidRDefault="00392D4D" w:rsidP="00392D4D">
      <w:pPr>
        <w:pStyle w:val="Heading4"/>
      </w:pPr>
      <w:r>
        <w:t>C. The affirmative interpretation is bad for debate. Limits are necessary for negative preparation and clash. There are nearly an infinite number of specific locations at which shipwrecks could be explored</w:t>
      </w:r>
    </w:p>
    <w:p w:rsidR="00392D4D" w:rsidRDefault="00392D4D" w:rsidP="00392D4D">
      <w:r w:rsidRPr="0028657D">
        <w:rPr>
          <w:rStyle w:val="Style13ptBold"/>
        </w:rPr>
        <w:t>Swaminathan  3</w:t>
      </w:r>
      <w:r>
        <w:t xml:space="preserve">        </w:t>
      </w:r>
      <w:r w:rsidRPr="002827EC">
        <w:t>Dr K V Swaminathan, Waterfalls Institute of Technology Transfer (WITT)</w:t>
      </w:r>
      <w:r>
        <w:t xml:space="preserve">   February 2003  Ocean Vistas    </w:t>
      </w:r>
      <w:hyperlink r:id="rId11" w:history="1">
        <w:r w:rsidRPr="00223ED6">
          <w:rPr>
            <w:rStyle w:val="Hyperlink"/>
          </w:rPr>
          <w:t>http://www.witts.org/Ocean_wealth/oceanwealth_01_feb03/wista_oceanwealth_feture.htm</w:t>
        </w:r>
      </w:hyperlink>
    </w:p>
    <w:p w:rsidR="00392D4D" w:rsidRDefault="00392D4D" w:rsidP="00392D4D">
      <w:pPr>
        <w:pStyle w:val="CardIndented"/>
      </w:pPr>
      <w:r w:rsidRPr="004B0D6E">
        <w:rPr>
          <w:rStyle w:val="StyleUnderline"/>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r w:rsidRPr="004B0D6E">
        <w:rPr>
          <w:rStyle w:val="StyleUnderline"/>
        </w:rPr>
        <w:t xml:space="preserve">Nations and people who are conscious of the </w:t>
      </w:r>
      <w:r w:rsidRPr="004C66B8">
        <w:rPr>
          <w:rStyle w:val="Emphasis"/>
        </w:rPr>
        <w:t>almost limitless</w:t>
      </w:r>
      <w:r w:rsidRPr="004B0D6E">
        <w:rPr>
          <w:rStyle w:val="StyleUnderline"/>
        </w:rPr>
        <w:t xml:space="preserve"> potential of the oceans. </w:t>
      </w:r>
      <w:r>
        <w:t xml:space="preserve">Those who </w:t>
      </w:r>
      <w:r w:rsidRPr="004C66B8">
        <w:rPr>
          <w:rStyle w:val="StyleUnderline"/>
        </w:rPr>
        <w:t>have sought to</w:t>
      </w:r>
      <w:r>
        <w:t xml:space="preserve"> comprehend its deep mysteries, processes and rhythms and have made efforts to </w:t>
      </w:r>
      <w:r w:rsidRPr="004C66B8">
        <w:rPr>
          <w:rStyle w:val="StyleUnderline"/>
        </w:rPr>
        <w:t>explore and utilize its resources</w:t>
      </w:r>
      <w:r>
        <w:t>, stand in the van of progress, while those who have been indifferent to the critical role that oceans play in human life and its development, have remained mired in stagnation and backwardness.</w:t>
      </w:r>
    </w:p>
    <w:p w:rsidR="00392D4D" w:rsidRPr="0085295E" w:rsidRDefault="00392D4D" w:rsidP="00392D4D">
      <w:pPr>
        <w:pStyle w:val="Heading4"/>
      </w:pPr>
      <w:r>
        <w:t>D. T is a voter because it’s necessary for good, well-prepared debating.</w:t>
      </w:r>
    </w:p>
    <w:p w:rsidR="00392D4D" w:rsidRPr="00B46A42" w:rsidRDefault="00AE03A7" w:rsidP="00392D4D">
      <w:r>
        <w:tab/>
      </w:r>
    </w:p>
    <w:p w:rsidR="00392D4D" w:rsidRDefault="00392D4D" w:rsidP="00392D4D">
      <w:pPr>
        <w:pStyle w:val="Heading2"/>
      </w:pPr>
      <w:r>
        <w:t>Animals K</w:t>
      </w:r>
    </w:p>
    <w:p w:rsidR="00392D4D" w:rsidRPr="003771C0" w:rsidRDefault="00392D4D" w:rsidP="00392D4D">
      <w:pPr>
        <w:pStyle w:val="Tags"/>
        <w:rPr>
          <w:rFonts w:asciiTheme="minorHAnsi" w:hAnsiTheme="minorHAnsi"/>
        </w:rPr>
      </w:pPr>
      <w:r w:rsidRPr="003771C0">
        <w:rPr>
          <w:rFonts w:asciiTheme="minorHAnsi" w:hAnsiTheme="minorHAnsi"/>
        </w:rPr>
        <w:t>They fundamentally ignore all other violence that has happened in history anti-blackness fails to explain the massacres of Messenians by the Spartans, Native Americans by the Spanish, the Chinese by the Japanese, Roma and Jews by the Germans every one of these are emblematic of the eternal ontological division between human and animal and that every one of these deaths matter and should be mourned.</w:t>
      </w:r>
    </w:p>
    <w:p w:rsidR="00392D4D" w:rsidRPr="003771C0" w:rsidRDefault="00392D4D" w:rsidP="00392D4D">
      <w:pPr>
        <w:pStyle w:val="Nothing"/>
        <w:rPr>
          <w:rStyle w:val="Author-Date"/>
          <w:rFonts w:asciiTheme="minorHAnsi" w:hAnsiTheme="minorHAnsi"/>
        </w:rPr>
      </w:pPr>
      <w:r w:rsidRPr="003771C0">
        <w:rPr>
          <w:rStyle w:val="Author-Date"/>
          <w:rFonts w:asciiTheme="minorHAnsi" w:hAnsiTheme="minorHAnsi"/>
        </w:rPr>
        <w:t xml:space="preserve">Johnson </w:t>
      </w:r>
      <w:r w:rsidRPr="003771C0">
        <w:rPr>
          <w:rFonts w:asciiTheme="minorHAnsi" w:hAnsiTheme="minorHAnsi"/>
        </w:rPr>
        <w:t>(associate professor of sociology at University of Missouri)</w:t>
      </w:r>
      <w:r w:rsidRPr="003771C0">
        <w:rPr>
          <w:rStyle w:val="Author-Date"/>
          <w:rFonts w:asciiTheme="minorHAnsi" w:hAnsiTheme="minorHAnsi"/>
        </w:rPr>
        <w:t xml:space="preserve"> 11</w:t>
      </w:r>
    </w:p>
    <w:p w:rsidR="00392D4D" w:rsidRPr="003771C0" w:rsidRDefault="00392D4D" w:rsidP="00392D4D">
      <w:pPr>
        <w:pStyle w:val="Cards"/>
        <w:ind w:left="0"/>
        <w:rPr>
          <w:rFonts w:asciiTheme="minorHAnsi" w:hAnsiTheme="minorHAnsi"/>
        </w:rPr>
      </w:pPr>
      <w:r w:rsidRPr="003771C0">
        <w:rPr>
          <w:rFonts w:asciiTheme="minorHAnsi" w:hAnsiTheme="minorHAnsi"/>
        </w:rPr>
        <w:t>(Victoria, Everyday Rituals of the Master Race, in Critical Theory and Animal Liberation, pg. 203-4)</w:t>
      </w:r>
    </w:p>
    <w:p w:rsidR="00392D4D" w:rsidRPr="003771C0" w:rsidRDefault="00392D4D" w:rsidP="00392D4D">
      <w:pPr>
        <w:pStyle w:val="Nothing"/>
        <w:rPr>
          <w:rFonts w:asciiTheme="minorHAnsi" w:hAnsiTheme="minorHAnsi"/>
        </w:rPr>
      </w:pPr>
    </w:p>
    <w:p w:rsidR="00392D4D" w:rsidRPr="003771C0" w:rsidRDefault="00392D4D" w:rsidP="00392D4D">
      <w:pPr>
        <w:pStyle w:val="Cards"/>
        <w:rPr>
          <w:rFonts w:asciiTheme="minorHAnsi" w:hAnsiTheme="minorHAnsi"/>
        </w:rPr>
      </w:pPr>
      <w:r w:rsidRPr="003771C0">
        <w:rPr>
          <w:rStyle w:val="DebateUnderline"/>
          <w:rFonts w:asciiTheme="minorHAnsi" w:hAnsiTheme="minorHAnsi"/>
          <w:highlight w:val="yellow"/>
        </w:rPr>
        <w:t>History is littered with episodes of the brutal exploitation and murder of groups that have been portrayed as subhuman animals</w:t>
      </w:r>
      <w:r w:rsidRPr="003771C0">
        <w:rPr>
          <w:rStyle w:val="DebateUnderline"/>
          <w:rFonts w:asciiTheme="minorHAnsi" w:hAnsiTheme="minorHAnsi"/>
        </w:rPr>
        <w:t xml:space="preserve"> </w:t>
      </w:r>
      <w:r w:rsidRPr="003771C0">
        <w:rPr>
          <w:rFonts w:asciiTheme="minorHAnsi" w:hAnsiTheme="minorHAnsi"/>
        </w:rPr>
        <w:t xml:space="preserve">and therefore not de- serving of the moral and legal protections of human beings. </w:t>
      </w:r>
      <w:r w:rsidRPr="003771C0">
        <w:rPr>
          <w:rStyle w:val="DebateUnderline"/>
          <w:rFonts w:asciiTheme="minorHAnsi" w:hAnsiTheme="minorHAnsi"/>
        </w:rPr>
        <w:t>Going back as far as 300 BCE, Spartans turned the newly conquered Messenians into a slave- serf class through rituals of subordination that required the Messenians to wear "dog skins"</w:t>
      </w:r>
      <w:r w:rsidRPr="003771C0">
        <w:rPr>
          <w:rFonts w:asciiTheme="minorHAnsi" w:hAnsiTheme="minorHAnsi"/>
        </w:rPr>
        <w:t xml:space="preserve"> to dance while drunk to humiliate themselves, and to be </w:t>
      </w:r>
      <w:r w:rsidRPr="003771C0">
        <w:rPr>
          <w:rFonts w:asciiTheme="minorHAnsi" w:hAnsiTheme="minorHAnsi"/>
          <w:sz w:val="18"/>
          <w:szCs w:val="18"/>
        </w:rPr>
        <w:t>1</w:t>
      </w:r>
      <w:r w:rsidRPr="003771C0">
        <w:rPr>
          <w:rFonts w:ascii="MS Gothic" w:hAnsi="MS Gothic" w:cs="MS Gothic"/>
          <w:sz w:val="18"/>
          <w:szCs w:val="18"/>
        </w:rPr>
        <w:t> </w:t>
      </w:r>
      <w:r w:rsidRPr="003771C0">
        <w:rPr>
          <w:rFonts w:asciiTheme="minorHAnsi" w:hAnsiTheme="minorHAnsi"/>
        </w:rPr>
        <w:t xml:space="preserve">hunted in an annual war the Spartans declared on them. More recent exam- ples of </w:t>
      </w:r>
      <w:r w:rsidRPr="003771C0">
        <w:rPr>
          <w:rStyle w:val="DebateUnderline"/>
          <w:rFonts w:asciiTheme="minorHAnsi" w:hAnsiTheme="minorHAnsi"/>
          <w:highlight w:val="yellow"/>
        </w:rPr>
        <w:t>the "animalization" of human beings can be found throughout the co- lonial period, for instance in the European characterization of Native Ameri- cans as "wild beasts," a view early Spanish explorers adopted as they massacred entire towns</w:t>
      </w:r>
      <w:r w:rsidRPr="003771C0">
        <w:rPr>
          <w:rFonts w:asciiTheme="minorHAnsi" w:hAnsiTheme="minorHAnsi"/>
          <w:highlight w:val="yellow"/>
        </w:rPr>
        <w:t>,</w:t>
      </w:r>
      <w:r w:rsidRPr="003771C0">
        <w:rPr>
          <w:rFonts w:asciiTheme="minorHAnsi" w:hAnsiTheme="minorHAnsi"/>
        </w:rPr>
        <w:t xml:space="preserve"> including women, children, and the elderly—"</w:t>
      </w:r>
      <w:r w:rsidRPr="003771C0">
        <w:rPr>
          <w:rStyle w:val="DebateUnderline"/>
          <w:rFonts w:asciiTheme="minorHAnsi" w:hAnsiTheme="minorHAnsi"/>
        </w:rPr>
        <w:t>not only stabbing and dismembering</w:t>
      </w:r>
      <w:r w:rsidRPr="003771C0">
        <w:rPr>
          <w:rFonts w:asciiTheme="minorHAnsi" w:hAnsiTheme="minorHAnsi"/>
        </w:rPr>
        <w:t>" (de las Casas later described) "</w:t>
      </w:r>
      <w:r w:rsidRPr="003771C0">
        <w:rPr>
          <w:rStyle w:val="DebateUnderline"/>
          <w:rFonts w:asciiTheme="minorHAnsi" w:hAnsiTheme="minorHAnsi"/>
        </w:rPr>
        <w:t>but cutting them to pieces 2</w:t>
      </w:r>
      <w:r w:rsidRPr="003771C0">
        <w:rPr>
          <w:rStyle w:val="DebateUnderline"/>
          <w:rFonts w:ascii="MS Gothic" w:hAnsi="MS Gothic" w:cs="MS Gothic"/>
        </w:rPr>
        <w:t> </w:t>
      </w:r>
      <w:r w:rsidRPr="003771C0">
        <w:rPr>
          <w:rStyle w:val="DebateUnderline"/>
          <w:rFonts w:asciiTheme="minorHAnsi" w:hAnsiTheme="minorHAnsi"/>
        </w:rPr>
        <w:t>as if dealing with sheep in the slaughter house."</w:t>
      </w:r>
      <w:r w:rsidRPr="003771C0">
        <w:rPr>
          <w:rFonts w:asciiTheme="minorHAnsi" w:hAnsiTheme="minorHAnsi"/>
        </w:rPr>
        <w:t xml:space="preserve"> </w:t>
      </w:r>
      <w:r w:rsidRPr="003771C0">
        <w:rPr>
          <w:rStyle w:val="DebateUnderline"/>
          <w:rFonts w:asciiTheme="minorHAnsi" w:hAnsiTheme="minorHAnsi"/>
        </w:rPr>
        <w:t>African human beings too were treated "like animals</w:t>
      </w:r>
      <w:r w:rsidRPr="003771C0">
        <w:rPr>
          <w:rFonts w:asciiTheme="minorHAnsi" w:hAnsiTheme="minorHAnsi"/>
        </w:rPr>
        <w:t xml:space="preserve">"—branded, muzzled, collared, bred, packed into small enclosures for transportation, and </w:t>
      </w:r>
      <w:r w:rsidRPr="003771C0">
        <w:rPr>
          <w:rStyle w:val="DebateUnderline"/>
          <w:rFonts w:asciiTheme="minorHAnsi" w:hAnsiTheme="minorHAnsi"/>
        </w:rPr>
        <w:t>sold at slave markets modeled after 3</w:t>
      </w:r>
      <w:r w:rsidRPr="003771C0">
        <w:rPr>
          <w:rStyle w:val="DebateUnderline"/>
          <w:rFonts w:ascii="MS Gothic" w:hAnsi="MS Gothic" w:cs="MS Gothic"/>
        </w:rPr>
        <w:t> </w:t>
      </w:r>
      <w:r w:rsidRPr="003771C0">
        <w:rPr>
          <w:rStyle w:val="DebateUnderline"/>
          <w:rFonts w:asciiTheme="minorHAnsi" w:hAnsiTheme="minorHAnsi"/>
        </w:rPr>
        <w:t>cattle markets</w:t>
      </w:r>
      <w:r w:rsidRPr="003771C0">
        <w:rPr>
          <w:rFonts w:asciiTheme="minorHAnsi" w:hAnsiTheme="minorHAnsi"/>
        </w:rPr>
        <w:t xml:space="preserve">. Similarly, in the East, </w:t>
      </w:r>
      <w:r w:rsidRPr="003771C0">
        <w:rPr>
          <w:rFonts w:asciiTheme="minorHAnsi" w:hAnsiTheme="minorHAnsi"/>
          <w:highlight w:val="yellow"/>
        </w:rPr>
        <w:t>t</w:t>
      </w:r>
      <w:r w:rsidRPr="003771C0">
        <w:rPr>
          <w:rStyle w:val="DebateUnderline"/>
          <w:rFonts w:asciiTheme="minorHAnsi" w:hAnsiTheme="minorHAnsi"/>
          <w:highlight w:val="yellow"/>
        </w:rPr>
        <w:t>he Japanese characterized the Chinese as subhuman and "animal"-like to justify the colonization of China</w:t>
      </w:r>
      <w:r w:rsidRPr="003771C0">
        <w:rPr>
          <w:rStyle w:val="DebateUnderline"/>
          <w:rFonts w:asciiTheme="minorHAnsi" w:hAnsiTheme="minorHAnsi"/>
        </w:rPr>
        <w:t xml:space="preserve"> and its inhabitants in the early twentieth century</w:t>
      </w:r>
      <w:r w:rsidRPr="003771C0">
        <w:rPr>
          <w:rFonts w:asciiTheme="minorHAnsi" w:hAnsiTheme="minorHAnsi"/>
        </w:rPr>
        <w:t xml:space="preserve">. Thus </w:t>
      </w:r>
      <w:r w:rsidRPr="003771C0">
        <w:rPr>
          <w:rStyle w:val="DebateUnderline"/>
          <w:rFonts w:asciiTheme="minorHAnsi" w:hAnsiTheme="minorHAnsi"/>
          <w:highlight w:val="yellow"/>
        </w:rPr>
        <w:t>the Japanese soldier who</w:t>
      </w:r>
      <w:r w:rsidRPr="003771C0">
        <w:rPr>
          <w:rStyle w:val="DebateUnderline"/>
          <w:rFonts w:asciiTheme="minorHAnsi" w:hAnsiTheme="minorHAnsi"/>
        </w:rPr>
        <w:t xml:space="preserve">, later </w:t>
      </w:r>
      <w:r w:rsidRPr="003771C0">
        <w:rPr>
          <w:rStyle w:val="DebateUnderline"/>
          <w:rFonts w:asciiTheme="minorHAnsi" w:hAnsiTheme="minorHAnsi"/>
          <w:highlight w:val="yellow"/>
        </w:rPr>
        <w:t>describing how he felt pushing Chinese prisoners into a pit and setting them 4 on fire, said that it was "identical to when he slaughtered pigs."</w:t>
      </w:r>
      <w:r w:rsidRPr="003771C0">
        <w:rPr>
          <w:rFonts w:asciiTheme="minorHAnsi" w:hAnsiTheme="minorHAnsi"/>
        </w:rPr>
        <w:t xml:space="preserve"> </w:t>
      </w:r>
    </w:p>
    <w:p w:rsidR="00392D4D" w:rsidRPr="003771C0" w:rsidRDefault="00392D4D" w:rsidP="00392D4D">
      <w:pPr>
        <w:pStyle w:val="Cards"/>
        <w:rPr>
          <w:rFonts w:asciiTheme="minorHAnsi" w:hAnsiTheme="minorHAnsi"/>
          <w:i/>
          <w:iCs/>
        </w:rPr>
      </w:pPr>
      <w:r w:rsidRPr="003771C0">
        <w:rPr>
          <w:rFonts w:asciiTheme="minorHAnsi" w:hAnsiTheme="minorHAnsi"/>
        </w:rPr>
        <w:t>Perhaps the best-known episode of the dehumanization—which is to say, animalization—of human populations was the Nazi extermination of Jews dur- 5 ing World War Two. Scholars seeking to understand how engaging in acts of dehumanization "made sense" to the perpetrators of atrocities have focused es pecially on the cultural narratives used by the Nazis to rationalize their violence. According to Kenneth Burke, Hitlers war rhetoric constructed Jews through a "devil" function that unified those who constituted absolute good in opposition to those who constituted absolute evil, and who hence were beyond moral re- 6</w:t>
      </w:r>
      <w:r w:rsidRPr="003771C0">
        <w:rPr>
          <w:rFonts w:ascii="MS Gothic" w:hAnsi="MS Gothic" w:cs="MS Gothic"/>
        </w:rPr>
        <w:t> </w:t>
      </w:r>
      <w:r w:rsidRPr="003771C0">
        <w:rPr>
          <w:rFonts w:asciiTheme="minorHAnsi" w:hAnsiTheme="minorHAnsi"/>
        </w:rPr>
        <w:t>demption. The more recent work of Felicity Rash has identified the ways that Hitler used metaphor, metonymy, and personification to degrade opponents*! Not surprisingly these forms of linguistic violence included numerous animal representations. Both Burke and Rash reveal a dualism interwoven in Hitlers rhetoric between Aryans and "subordinate" beings—specifically the Jews; whose very nature was seen as being so fundamentally different from the "su- perordinate" Aryans as to constitute a separate species. In Mein Kampf, Hitler depicts Jews as being biologically inferior: as unable to produce culture, as lack- ing souls, as being less intelligent, and as being physically and mentally weaker than the "master race." The latter term might as easily have been "the master 8</w:t>
      </w:r>
      <w:r w:rsidRPr="003771C0">
        <w:rPr>
          <w:rFonts w:ascii="MS Gothic" w:hAnsi="MS Gothic" w:cs="MS Gothic"/>
        </w:rPr>
        <w:t> </w:t>
      </w:r>
      <w:r w:rsidRPr="003771C0">
        <w:rPr>
          <w:rFonts w:asciiTheme="minorHAnsi" w:hAnsiTheme="minorHAnsi"/>
        </w:rPr>
        <w:t>species." And in fact</w:t>
      </w:r>
      <w:r w:rsidRPr="003771C0">
        <w:rPr>
          <w:rStyle w:val="DebateUnderline"/>
          <w:rFonts w:asciiTheme="minorHAnsi" w:hAnsiTheme="minorHAnsi"/>
        </w:rPr>
        <w:t xml:space="preserve">, </w:t>
      </w:r>
      <w:r w:rsidRPr="003771C0">
        <w:rPr>
          <w:rStyle w:val="DebateUnderline"/>
          <w:rFonts w:asciiTheme="minorHAnsi" w:hAnsiTheme="minorHAnsi"/>
          <w:highlight w:val="yellow"/>
        </w:rPr>
        <w:t>Hitler occasionally used the term "species" interchangeably with "race</w:t>
      </w:r>
      <w:r w:rsidRPr="003771C0">
        <w:rPr>
          <w:rStyle w:val="DebateUnderline"/>
          <w:rFonts w:asciiTheme="minorHAnsi" w:hAnsiTheme="minorHAnsi"/>
        </w:rPr>
        <w:t>" in Mein Kampf</w:t>
      </w:r>
      <w:r w:rsidRPr="003771C0">
        <w:rPr>
          <w:rFonts w:ascii="MS Gothic" w:hAnsi="MS Gothic" w:cs="MS Gothic"/>
        </w:rPr>
        <w:t> </w:t>
      </w:r>
      <w:r w:rsidRPr="003771C0">
        <w:rPr>
          <w:rFonts w:asciiTheme="minorHAnsi" w:hAnsiTheme="minorHAnsi"/>
        </w:rPr>
        <w:t>.</w:t>
      </w:r>
      <w:r w:rsidRPr="003771C0">
        <w:rPr>
          <w:rFonts w:asciiTheme="minorHAnsi" w:hAnsiTheme="minorHAnsi"/>
          <w:i/>
          <w:iCs/>
        </w:rPr>
        <w:t xml:space="preserve"> </w:t>
      </w:r>
    </w:p>
    <w:p w:rsidR="00392D4D" w:rsidRPr="003771C0" w:rsidRDefault="00392D4D" w:rsidP="00392D4D">
      <w:pPr>
        <w:pStyle w:val="Cards"/>
        <w:rPr>
          <w:rFonts w:asciiTheme="minorHAnsi" w:hAnsiTheme="minorHAnsi"/>
        </w:rPr>
      </w:pPr>
      <w:r w:rsidRPr="003771C0">
        <w:rPr>
          <w:rFonts w:asciiTheme="minorHAnsi" w:hAnsiTheme="minorHAnsi"/>
        </w:rPr>
        <w:t xml:space="preserve">Such examples could be multiplied. But there is another dimension to </w:t>
      </w:r>
      <w:r w:rsidRPr="003771C0">
        <w:rPr>
          <w:rStyle w:val="DebateUnderline"/>
          <w:rFonts w:asciiTheme="minorHAnsi" w:hAnsiTheme="minorHAnsi"/>
          <w:highlight w:val="yellow"/>
        </w:rPr>
        <w:t>the "animalization" of human persons</w:t>
      </w:r>
      <w:r w:rsidRPr="003771C0">
        <w:rPr>
          <w:rFonts w:asciiTheme="minorHAnsi" w:hAnsiTheme="minorHAnsi"/>
        </w:rPr>
        <w:t xml:space="preserve"> that is often overlooked—namely, that the power of such animal metaphors </w:t>
      </w:r>
      <w:r w:rsidRPr="003771C0">
        <w:rPr>
          <w:rStyle w:val="DebateUnderline"/>
          <w:rFonts w:asciiTheme="minorHAnsi" w:hAnsiTheme="minorHAnsi"/>
          <w:highlight w:val="yellow"/>
        </w:rPr>
        <w:t>depends on a prior cultural understanding of other animals themselves, as beings who are by nature abject, degraded, and hence worthy of extermination</w:t>
      </w:r>
      <w:r w:rsidRPr="003771C0">
        <w:rPr>
          <w:rFonts w:asciiTheme="minorHAnsi" w:hAnsiTheme="minorHAnsi"/>
        </w:rPr>
        <w:t xml:space="preserve">. In fact, on examination we find that Nazi nar- ratives justifying the domination of </w:t>
      </w:r>
      <w:r w:rsidRPr="003771C0">
        <w:rPr>
          <w:rFonts w:asciiTheme="minorHAnsi" w:hAnsiTheme="minorHAnsi"/>
          <w:i/>
          <w:iCs/>
        </w:rPr>
        <w:t xml:space="preserve">human </w:t>
      </w:r>
      <w:r w:rsidRPr="003771C0">
        <w:rPr>
          <w:rFonts w:asciiTheme="minorHAnsi" w:hAnsiTheme="minorHAnsi"/>
        </w:rPr>
        <w:t xml:space="preserve">subordinates are strikingly similar to beliefs about animals that are widely held to this day, beliefs that human beings use to justify the exploitation and killing of nonhuman beings. For example, defending the use of animals for experimentation, John Martin, a cardiovascular researcher and academic in Great Britain, has argued that the superior moral status of human beings is sufficient justification for vivisection and experimentation on primates. He argues that only human beings have the ability for abstract thought and reflection, which allows us to learn over gen- </w:t>
      </w:r>
      <w:r w:rsidRPr="003771C0">
        <w:rPr>
          <w:rFonts w:asciiTheme="minorHAnsi" w:hAnsiTheme="minorHAnsi"/>
          <w:sz w:val="18"/>
          <w:szCs w:val="18"/>
        </w:rPr>
        <w:t>10</w:t>
      </w:r>
      <w:r w:rsidRPr="003771C0">
        <w:rPr>
          <w:rFonts w:asciiTheme="minorHAnsi" w:hAnsiTheme="minorHAnsi"/>
        </w:rPr>
        <w:t xml:space="preserve"> erations and to produce music and poetry.</w:t>
      </w:r>
      <w:r w:rsidRPr="003771C0">
        <w:rPr>
          <w:rFonts w:ascii="MS Gothic" w:hAnsi="MS Gothic" w:cs="MS Gothic"/>
        </w:rPr>
        <w:t> </w:t>
      </w:r>
      <w:r w:rsidRPr="003771C0">
        <w:rPr>
          <w:rFonts w:asciiTheme="minorHAnsi" w:hAnsiTheme="minorHAnsi"/>
        </w:rPr>
        <w:t xml:space="preserve"> A recent article in </w:t>
      </w:r>
      <w:r w:rsidRPr="003771C0">
        <w:rPr>
          <w:rFonts w:asciiTheme="minorHAnsi" w:hAnsiTheme="minorHAnsi"/>
          <w:i/>
          <w:iCs/>
        </w:rPr>
        <w:t>Christianity</w:t>
      </w:r>
      <w:r w:rsidRPr="003771C0">
        <w:rPr>
          <w:rFonts w:asciiTheme="minorHAnsi" w:hAnsiTheme="minorHAnsi"/>
        </w:rPr>
        <w:t xml:space="preserve"> </w:t>
      </w:r>
      <w:r w:rsidRPr="003771C0">
        <w:rPr>
          <w:rFonts w:asciiTheme="minorHAnsi" w:hAnsiTheme="minorHAnsi"/>
          <w:i/>
          <w:iCs/>
        </w:rPr>
        <w:t xml:space="preserve">Today </w:t>
      </w:r>
      <w:r w:rsidRPr="003771C0">
        <w:rPr>
          <w:rFonts w:asciiTheme="minorHAnsi" w:hAnsiTheme="minorHAnsi"/>
        </w:rPr>
        <w:t xml:space="preserve">argued that "[h]umans alone have souls which confers upon them a unique moral status. . . . Scriptures tells us that animals are soulless creatures </w:t>
      </w:r>
      <w:r w:rsidRPr="003771C0">
        <w:rPr>
          <w:rFonts w:asciiTheme="minorHAnsi" w:hAnsiTheme="minorHAnsi"/>
          <w:sz w:val="18"/>
          <w:szCs w:val="18"/>
        </w:rPr>
        <w:t xml:space="preserve">11 </w:t>
      </w:r>
      <w:r w:rsidRPr="003771C0">
        <w:rPr>
          <w:rFonts w:asciiTheme="minorHAnsi" w:hAnsiTheme="minorHAnsi"/>
        </w:rPr>
        <w:t xml:space="preserve">and will perish with the rest of creation." </w:t>
      </w:r>
    </w:p>
    <w:p w:rsidR="00392D4D" w:rsidRPr="003771C0" w:rsidRDefault="00392D4D" w:rsidP="00392D4D">
      <w:pPr>
        <w:pStyle w:val="Tags"/>
        <w:rPr>
          <w:rFonts w:asciiTheme="minorHAnsi" w:hAnsiTheme="minorHAnsi"/>
        </w:rPr>
      </w:pPr>
      <w:r w:rsidRPr="003771C0">
        <w:rPr>
          <w:rFonts w:asciiTheme="minorHAnsi" w:hAnsiTheme="minorHAnsi"/>
        </w:rPr>
        <w:t>The Impact is Pandemic, colonialism, structural violence, international war, environmental collapse and the unimaginable slaughter of 55 billion sentient beings every years</w:t>
      </w:r>
    </w:p>
    <w:p w:rsidR="00392D4D" w:rsidRPr="003771C0" w:rsidRDefault="00392D4D" w:rsidP="00392D4D">
      <w:pPr>
        <w:pStyle w:val="Nothing"/>
        <w:rPr>
          <w:rStyle w:val="Author-Date"/>
          <w:rFonts w:asciiTheme="minorHAnsi" w:hAnsiTheme="minorHAnsi"/>
        </w:rPr>
      </w:pPr>
      <w:r w:rsidRPr="003771C0">
        <w:rPr>
          <w:rStyle w:val="Author-Date"/>
          <w:rFonts w:asciiTheme="minorHAnsi" w:hAnsiTheme="minorHAnsi"/>
        </w:rPr>
        <w:t xml:space="preserve">Nibert </w:t>
      </w:r>
      <w:r w:rsidRPr="003771C0">
        <w:rPr>
          <w:rFonts w:asciiTheme="minorHAnsi" w:hAnsiTheme="minorHAnsi"/>
        </w:rPr>
        <w:t>(professor of Sociology at Wittenberg University)</w:t>
      </w:r>
      <w:r w:rsidRPr="003771C0">
        <w:rPr>
          <w:rStyle w:val="Author-Date"/>
          <w:rFonts w:asciiTheme="minorHAnsi" w:hAnsiTheme="minorHAnsi"/>
        </w:rPr>
        <w:t xml:space="preserve"> 13</w:t>
      </w:r>
    </w:p>
    <w:p w:rsidR="00392D4D" w:rsidRPr="003771C0" w:rsidRDefault="00392D4D" w:rsidP="00392D4D">
      <w:pPr>
        <w:pStyle w:val="Nothing"/>
        <w:rPr>
          <w:rFonts w:asciiTheme="minorHAnsi" w:hAnsiTheme="minorHAnsi"/>
        </w:rPr>
      </w:pPr>
      <w:r w:rsidRPr="003771C0">
        <w:rPr>
          <w:rFonts w:asciiTheme="minorHAnsi" w:hAnsiTheme="minorHAnsi"/>
        </w:rPr>
        <w:t>(David A., ANIMAL OPPRESSION AND HUMAN VIOLENCE, pg. 253-7)</w:t>
      </w:r>
    </w:p>
    <w:p w:rsidR="00392D4D" w:rsidRPr="003771C0" w:rsidRDefault="00392D4D" w:rsidP="00392D4D">
      <w:pPr>
        <w:pStyle w:val="Nothing"/>
        <w:rPr>
          <w:rFonts w:asciiTheme="minorHAnsi" w:hAnsiTheme="minorHAnsi"/>
        </w:rPr>
      </w:pPr>
    </w:p>
    <w:p w:rsidR="00203454" w:rsidRPr="00203454" w:rsidRDefault="00392D4D" w:rsidP="00203454">
      <w:pPr>
        <w:pStyle w:val="Cards"/>
        <w:rPr>
          <w:rFonts w:asciiTheme="minorHAnsi" w:hAnsiTheme="minorHAnsi" w:cs="Times"/>
        </w:rPr>
      </w:pPr>
      <w:r w:rsidRPr="003771C0">
        <w:rPr>
          <w:rFonts w:asciiTheme="minorHAnsi" w:hAnsiTheme="minorHAnsi"/>
        </w:rPr>
        <w:t xml:space="preserve">This comparative historical analysis shows that </w:t>
      </w:r>
      <w:r w:rsidRPr="003771C0">
        <w:rPr>
          <w:rStyle w:val="DebateUnderline"/>
          <w:rFonts w:asciiTheme="minorHAnsi" w:hAnsiTheme="minorHAnsi"/>
        </w:rPr>
        <w:t>the exploitation of large numbers of domesecrated animals</w:t>
      </w:r>
      <w:r w:rsidRPr="003771C0">
        <w:rPr>
          <w:rFonts w:asciiTheme="minorHAnsi" w:hAnsiTheme="minorHAnsi"/>
        </w:rPr>
        <w:t xml:space="preserve">, a practice initially developed in Eurasia, </w:t>
      </w:r>
      <w:r w:rsidRPr="003771C0">
        <w:rPr>
          <w:rStyle w:val="DebateUnderline"/>
          <w:rFonts w:asciiTheme="minorHAnsi" w:hAnsiTheme="minorHAnsi"/>
        </w:rPr>
        <w:t>enabled and promoted large-scale violence</w:t>
      </w:r>
      <w:r w:rsidRPr="003771C0">
        <w:rPr>
          <w:rFonts w:asciiTheme="minorHAnsi" w:hAnsiTheme="minorHAnsi"/>
        </w:rPr>
        <w:t xml:space="preserve"> in many regions of the world. The use of domesecrated animals as instruments of war, as laborers, and as rations and other resources facilitated warfare that was much more extensive than it could have been in the absence of animal exploi- tation. And, as a result of crowding other animals closely together, </w:t>
      </w:r>
      <w:r w:rsidRPr="003771C0">
        <w:rPr>
          <w:rStyle w:val="DebateUnderline"/>
          <w:rFonts w:asciiTheme="minorHAnsi" w:hAnsiTheme="minorHAnsi"/>
        </w:rPr>
        <w:t>infectious zoonotic diseases mutated, spread, and eventually caused the deaths of countless humans and other animals</w:t>
      </w:r>
      <w:r w:rsidRPr="003771C0">
        <w:rPr>
          <w:rFonts w:asciiTheme="minorHAnsi" w:hAnsiTheme="minorHAnsi"/>
        </w:rPr>
        <w:t xml:space="preserve"> while also weakening the resistance of populations who were being invaded, in many cases for the ex- pansion of ranching operations. </w:t>
      </w:r>
      <w:r w:rsidRPr="003771C0">
        <w:rPr>
          <w:rStyle w:val="DebateUnderline"/>
          <w:rFonts w:asciiTheme="minorHAnsi" w:hAnsiTheme="minorHAnsi"/>
        </w:rPr>
        <w:t xml:space="preserve">While this enormous level of violence and death was </w:t>
      </w:r>
      <w:r w:rsidRPr="003771C0">
        <w:rPr>
          <w:rStyle w:val="DebateUnderline"/>
          <w:rFonts w:asciiTheme="minorHAnsi" w:hAnsiTheme="minorHAnsi"/>
          <w:i/>
        </w:rPr>
        <w:t>enabled</w:t>
      </w:r>
      <w:r w:rsidRPr="003771C0">
        <w:rPr>
          <w:rStyle w:val="DebateUnderline"/>
          <w:rFonts w:asciiTheme="minorHAnsi" w:hAnsiTheme="minorHAnsi"/>
        </w:rPr>
        <w:t xml:space="preserve"> by domesecration, it also was </w:t>
      </w:r>
      <w:r w:rsidRPr="003771C0">
        <w:rPr>
          <w:rStyle w:val="DebateUnderline"/>
          <w:rFonts w:asciiTheme="minorHAnsi" w:hAnsiTheme="minorHAnsi"/>
          <w:i/>
        </w:rPr>
        <w:t>driven</w:t>
      </w:r>
      <w:r w:rsidRPr="003771C0">
        <w:rPr>
          <w:rStyle w:val="DebateUnderline"/>
          <w:rFonts w:asciiTheme="minorHAnsi" w:hAnsiTheme="minorHAnsi"/>
        </w:rPr>
        <w:t xml:space="preserve"> by this process, as the possession of large numbers of horses, cows, pigs, sheep, goats, and other animals became desirable as an important source of wealth</w:t>
      </w:r>
      <w:r w:rsidRPr="003771C0">
        <w:rPr>
          <w:rFonts w:asciiTheme="minorHAnsi" w:hAnsiTheme="minorHAnsi"/>
        </w:rPr>
        <w:t xml:space="preserve">. For thousands of years, male- dominated societies violently expropriated the land and water necessary to maintain large groups of other animals; over time, pastoralism devel- oped into ranching, as many domesecrated animals came to be raised primarily for sale. </w:t>
      </w:r>
      <w:r w:rsidRPr="003771C0">
        <w:rPr>
          <w:rStyle w:val="DebateUnderline"/>
          <w:rFonts w:asciiTheme="minorHAnsi" w:hAnsiTheme="minorHAnsi"/>
          <w:highlight w:val="yellow"/>
        </w:rPr>
        <w:t>The violent and oppressive use of domesecrated ani- mals was deeply entangled with the experiences of people who were con- quered and had their land expropriated for pastur</w:t>
      </w:r>
      <w:r w:rsidRPr="003771C0">
        <w:rPr>
          <w:rFonts w:asciiTheme="minorHAnsi" w:hAnsiTheme="minorHAnsi"/>
          <w:highlight w:val="yellow"/>
        </w:rPr>
        <w:t>e.</w:t>
      </w:r>
      <w:r w:rsidRPr="003771C0">
        <w:rPr>
          <w:rFonts w:asciiTheme="minorHAnsi" w:hAnsiTheme="minorHAnsi"/>
        </w:rPr>
        <w:t xml:space="preserve"> This entanglement also included the free-living animals who were displaced or killed so they would not threaten or interfere with pastoralist or ranching operations. Over the course of history, it was mainly the social and economic elites who possessed large numbers of domesecrated animals, as such territorial holdings required a great deal of military power to gain and keep and to stave off raiders. The violence and carnage that domesecration produced unquestionably played a role in the development of militaristic, elite- dominated, patriarchal cultures and states. </w:t>
      </w:r>
      <w:r w:rsidRPr="003771C0">
        <w:rPr>
          <w:rStyle w:val="DebateUnderline"/>
          <w:rFonts w:asciiTheme="minorHAnsi" w:hAnsiTheme="minorHAnsi"/>
        </w:rPr>
        <w:t>Domesecration</w:t>
      </w:r>
      <w:r w:rsidRPr="003771C0">
        <w:rPr>
          <w:rFonts w:asciiTheme="minorHAnsi" w:hAnsiTheme="minorHAnsi"/>
        </w:rPr>
        <w:t xml:space="preserve">, with its accompanying violence and culture of oppression, </w:t>
      </w:r>
      <w:r w:rsidRPr="003771C0">
        <w:rPr>
          <w:rStyle w:val="DebateUnderline"/>
          <w:rFonts w:asciiTheme="minorHAnsi" w:hAnsiTheme="minorHAnsi"/>
        </w:rPr>
        <w:t>was forced on the Americas, with devastating consequences</w:t>
      </w:r>
      <w:r w:rsidRPr="003771C0">
        <w:rPr>
          <w:rFonts w:asciiTheme="minorHAnsi" w:hAnsiTheme="minorHAnsi"/>
        </w:rPr>
        <w:t xml:space="preserve">. </w:t>
      </w:r>
      <w:r w:rsidRPr="003771C0">
        <w:rPr>
          <w:rStyle w:val="DebateUnderline"/>
          <w:rFonts w:asciiTheme="minorHAnsi" w:hAnsiTheme="minorHAnsi"/>
          <w:highlight w:val="yellow"/>
        </w:rPr>
        <w:t>The bloodshed and plunder in Latin America made possible by domesecration and the eventually resulting enclosure of the commons in Europe for sheep ranching were essential for the rise of the capitalist system and the ensuing imperialist policies and practices</w:t>
      </w:r>
      <w:r w:rsidRPr="003771C0">
        <w:rPr>
          <w:rFonts w:asciiTheme="minorHAnsi" w:hAnsiTheme="minorHAnsi"/>
          <w:highlight w:val="yellow"/>
        </w:rPr>
        <w:t>.</w:t>
      </w:r>
      <w:r w:rsidRPr="003771C0">
        <w:rPr>
          <w:rFonts w:asciiTheme="minorHAnsi" w:hAnsiTheme="minorHAnsi"/>
        </w:rPr>
        <w:t xml:space="preserve"> Much of the violence perpe- trated by leaders of industrializing capitalist nations in the nineteenth century thus was either caused by the expropriation of land for ranching or enabled by the exploitation of ranched animals. </w:t>
      </w:r>
      <w:r w:rsidRPr="003771C0">
        <w:rPr>
          <w:rStyle w:val="DebateUnderline"/>
          <w:rFonts w:asciiTheme="minorHAnsi" w:hAnsiTheme="minorHAnsi"/>
        </w:rPr>
        <w:t>Indigenous people throughout the world suffered death, displacement, exploitation, and hunger</w:t>
      </w:r>
      <w:r w:rsidRPr="003771C0">
        <w:rPr>
          <w:rFonts w:asciiTheme="minorHAnsi" w:hAnsiTheme="minorHAnsi"/>
        </w:rPr>
        <w:t xml:space="preserve">. In the nineteenth century, as in earlier times, the material gain gener- ated from dornesecration-related violence—wealth disproportionately controlled by the most affluent and powerful—was made possible by elites' control of the state and by ideological legitimation. The ideology supporting the large-scale violence generated by domesecration included Social Darwinist theory and religious and philosophically backed specie- sism, ideas promoted at the time by such scholars as Nathaniel Southgate Shaler and Frank Wilson Blackmar, as noted in the introduction. The general pattern of violence resulting from domesecration changed somewhat under capitalism beginning in the early twentieth century. The aggressive expropriation of huge land masses for grazing had been accomplished and, in industrialized capitalist nations, the use of other animals as instruments of war and laborers diminished. However, as these forms of oppression declined, the numbers of domesecrated animals ex- ploited for food increased. Tens of millions of humans and other animals suffered from the deadly influenza pandemic of 1918—a disaster that would be linked to domesecrated animals only decades later. Over the course of the twentieth century, the number and size of busi- nesses involved in the exploitation of domesecrated animals—especially as food—grew enormously and coalesced into the animal-industrial com- plex, whose synergy drove a huge expansion of the domesecrated animal- based food industry. Publicly subsidized feed-grain production, emerging fast-food companies, state agricultural colleges, and related forces grew along with radio and television technology, and the public was exhorted to consume. </w:t>
      </w:r>
      <w:r w:rsidRPr="003771C0">
        <w:rPr>
          <w:rStyle w:val="DebateUnderline"/>
          <w:rFonts w:asciiTheme="minorHAnsi" w:hAnsiTheme="minorHAnsi"/>
          <w:highlight w:val="yellow"/>
        </w:rPr>
        <w:t>As mass consumption of fast food and a diet based on do- mesecrated animals grew in the United States, so did the level of structural violence</w:t>
      </w:r>
      <w:r w:rsidRPr="003771C0">
        <w:rPr>
          <w:rFonts w:asciiTheme="minorHAnsi" w:hAnsiTheme="minorHAnsi"/>
        </w:rPr>
        <w:t xml:space="preserve">, as people died prematurely from the chronic diseases as- sociated with eating other animals. The production of enormous amounts of "meat" and related products created other new harms, including through the transformation of ranch- ing processes to intensive and frequently confined operations. As the sheer numbers of domesecrated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sidRPr="003771C0">
        <w:rPr>
          <w:rFonts w:asciiTheme="minorHAnsi" w:hAnsiTheme="minorHAnsi"/>
          <w:i/>
          <w:iCs/>
        </w:rPr>
        <w:t>oil.</w:t>
      </w:r>
      <w:r w:rsidRPr="003771C0">
        <w:rPr>
          <w:rFonts w:asciiTheme="minorHAnsi" w:hAnsiTheme="minorHAnsi"/>
        </w:rPr>
        <w:t xml:space="preserve"> In the twentieth century, people in the United States saw little of the direct violence generated by land expropriation, such as had facilitated capitalist development in the eighteenth and nineteenth centuries. How- ever, </w:t>
      </w:r>
      <w:r w:rsidRPr="003771C0">
        <w:rPr>
          <w:rStyle w:val="DebateUnderline"/>
          <w:rFonts w:asciiTheme="minorHAnsi" w:hAnsiTheme="minorHAnsi"/>
        </w:rPr>
        <w:t>U.S. policy in Latin America generated an enormous level of such violence there</w:t>
      </w:r>
      <w:r w:rsidRPr="003771C0">
        <w:rPr>
          <w:rFonts w:asciiTheme="minorHAnsi" w:hAnsiTheme="minorHAnsi"/>
        </w:rPr>
        <w:t xml:space="preserve">. </w:t>
      </w:r>
      <w:r w:rsidRPr="003771C0">
        <w:rPr>
          <w:rStyle w:val="DebateUnderline"/>
          <w:rFonts w:asciiTheme="minorHAnsi" w:hAnsiTheme="minorHAnsi"/>
        </w:rPr>
        <w:t>The decision of U.S. leaders to promote capitalist expan- sion in the region</w:t>
      </w:r>
      <w:r w:rsidRPr="003771C0">
        <w:rPr>
          <w:rFonts w:asciiTheme="minorHAnsi" w:hAnsiTheme="minorHAnsi"/>
        </w:rPr>
        <w:t xml:space="preserve">, in part </w:t>
      </w:r>
      <w:r w:rsidRPr="003771C0">
        <w:rPr>
          <w:rStyle w:val="DebateUnderline"/>
          <w:rFonts w:asciiTheme="minorHAnsi" w:hAnsiTheme="minorHAnsi"/>
        </w:rPr>
        <w:t>by increasing "beef exports, resulted in large- scale violence and the predictable poverty and exploitation for the dis- possessed</w:t>
      </w:r>
      <w:r w:rsidRPr="003771C0">
        <w:rPr>
          <w:rFonts w:asciiTheme="minorHAnsi" w:hAnsiTheme="minorHAnsi"/>
        </w:rPr>
        <w:t xml:space="preserve">. Like countless others before them who were displaced by the expansion of ranching operations, many of the displaced in Latin America became exploitable workers—increasingly for transnational corpora- tions. As in the past, </w:t>
      </w:r>
      <w:r w:rsidRPr="003771C0">
        <w:rPr>
          <w:rStyle w:val="DebateUnderline"/>
          <w:rFonts w:asciiTheme="minorHAnsi" w:hAnsiTheme="minorHAnsi"/>
        </w:rPr>
        <w:t>the expansion of ranching in the region and the appropriation of farmland for pasture caused a decline in the cultivation of maize and beans in the region, which increased hunger and malnutri- tio</w:t>
      </w:r>
      <w:r w:rsidRPr="003771C0">
        <w:rPr>
          <w:rFonts w:asciiTheme="minorHAnsi" w:hAnsiTheme="minorHAnsi"/>
        </w:rPr>
        <w:t xml:space="preserve">n. This decerealization also was facilitated by the increasing use of land for profitable feed-grain production. Today, </w:t>
      </w:r>
      <w:r w:rsidRPr="003771C0">
        <w:rPr>
          <w:rStyle w:val="DebateUnderline"/>
          <w:rFonts w:asciiTheme="minorHAnsi" w:hAnsiTheme="minorHAnsi"/>
        </w:rPr>
        <w:t>hundreds of millions of indigenous and other devalued people are landless, impoverished, exploited, and hungry, and the land they once occupied and used to feed themselves is devoted to raising domese- crated animals and producing feed grain.</w:t>
      </w:r>
      <w:r w:rsidRPr="003771C0">
        <w:rPr>
          <w:rFonts w:asciiTheme="minorHAnsi" w:hAnsiTheme="minorHAnsi"/>
        </w:rPr>
        <w:t xml:space="preserve"> The multiple environmental and public health consequences of growing numbers of CAFOs also are being felt throughout the world. Violent, domesecration-driven land expropriation continues today, al- though it is more incremental and regional than in the past and attracts relatively little international attention. When murder and genocide re- lated to domesecration do come to the attention of the public in the West, the incidents frequently are explained as "ethnic" conflict (as in Darfur) or as merely the act of a few bad individuals (as in the murder of Dorothy Stang). The violence seldom is linked to the production of what most everyone has been socially programmed to eat. Growing consumption of </w:t>
      </w:r>
      <w:r w:rsidRPr="003771C0">
        <w:rPr>
          <w:rFonts w:asciiTheme="minorHAnsi" w:hAnsiTheme="minorHAnsi"/>
          <w:highlight w:val="yellow"/>
        </w:rPr>
        <w:t>t</w:t>
      </w:r>
      <w:r w:rsidRPr="003771C0">
        <w:rPr>
          <w:rStyle w:val="DebateUnderline"/>
          <w:rFonts w:asciiTheme="minorHAnsi" w:hAnsiTheme="minorHAnsi"/>
          <w:highlight w:val="yellow"/>
        </w:rPr>
        <w:t>he US.-style diet in other areas of the world has caused an epidemic of chronic disease</w:t>
      </w:r>
      <w:r w:rsidRPr="003771C0">
        <w:rPr>
          <w:rFonts w:asciiTheme="minorHAnsi" w:hAnsiTheme="minorHAnsi"/>
        </w:rPr>
        <w:t xml:space="preserve">. Increasing numbers of people become ill or die from coronary artery disease, various forms of cancer, and other conditions linked to the consumption of domesecrated animal products. The animal-industrial complex's confinement of growing num- bers of other animals also puts the world at high risk for the emergence of deadly new strains of influenza. What is more, the demands of growing global production and con- sumption of products from domesecrated animals are contributing to the depletion of essential, finite resources. </w:t>
      </w:r>
      <w:r w:rsidRPr="003771C0">
        <w:rPr>
          <w:rStyle w:val="DebateUnderline"/>
          <w:rFonts w:asciiTheme="minorHAnsi" w:hAnsiTheme="minorHAnsi"/>
        </w:rPr>
        <w:t xml:space="preserve">Enormous amounts </w:t>
      </w:r>
      <w:r w:rsidRPr="003771C0">
        <w:rPr>
          <w:rStyle w:val="DebateUnderline"/>
          <w:rFonts w:asciiTheme="minorHAnsi" w:hAnsiTheme="minorHAnsi"/>
          <w:highlight w:val="yellow"/>
        </w:rPr>
        <w:t>of precious fresh water, fossil fuel, and topsoil are being use</w:t>
      </w:r>
      <w:r w:rsidRPr="003771C0">
        <w:rPr>
          <w:rStyle w:val="DebateUnderline"/>
          <w:rFonts w:asciiTheme="minorHAnsi" w:hAnsiTheme="minorHAnsi"/>
        </w:rPr>
        <w:t>d—and rainforests de- stroyed—to build and expand the global "hamburger culture," and the use of domesecrated animals as food is a major contributor to global warming</w:t>
      </w:r>
      <w:r w:rsidRPr="003771C0">
        <w:rPr>
          <w:rFonts w:asciiTheme="minorHAnsi" w:hAnsiTheme="minorHAnsi"/>
        </w:rPr>
        <w:t xml:space="preserve">. In the twenty-first century, </w:t>
      </w:r>
      <w:r w:rsidRPr="003771C0">
        <w:rPr>
          <w:rStyle w:val="DebateUnderline"/>
          <w:rFonts w:asciiTheme="minorHAnsi" w:hAnsiTheme="minorHAnsi"/>
        </w:rPr>
        <w:t>the destruction caused by the exploitation of domesecrated animals as food does not take the form of plundering and burning cities, as in the days of</w:t>
      </w:r>
      <w:r w:rsidRPr="003771C0">
        <w:rPr>
          <w:rFonts w:asciiTheme="minorHAnsi" w:hAnsiTheme="minorHAnsi"/>
        </w:rPr>
        <w:t xml:space="preserve"> Chinggis Khan or </w:t>
      </w:r>
      <w:r w:rsidRPr="003771C0">
        <w:rPr>
          <w:rStyle w:val="DebateUnderline"/>
          <w:rFonts w:asciiTheme="minorHAnsi" w:hAnsiTheme="minorHAnsi"/>
        </w:rPr>
        <w:t>the conquistadors</w:t>
      </w:r>
      <w:r w:rsidRPr="003771C0">
        <w:rPr>
          <w:rFonts w:asciiTheme="minorHAnsi" w:hAnsiTheme="minorHAnsi"/>
        </w:rPr>
        <w:t xml:space="preserve">. However, the relentless quest for the land, water, and energy necessary to maintain enormous numbers of oppressed other ani- mals plunders the environment and these life-sustaining resources. </w:t>
      </w:r>
      <w:r w:rsidRPr="003771C0">
        <w:rPr>
          <w:rStyle w:val="DebateUnderline"/>
          <w:rFonts w:asciiTheme="minorHAnsi" w:hAnsiTheme="minorHAnsi"/>
        </w:rPr>
        <w:t>The unsustainable and destructive</w:t>
      </w:r>
      <w:r w:rsidRPr="003771C0">
        <w:rPr>
          <w:rFonts w:asciiTheme="minorHAnsi" w:hAnsiTheme="minorHAnsi"/>
        </w:rPr>
        <w:t xml:space="preserve">—not to mention horrifically violent— </w:t>
      </w:r>
      <w:r w:rsidRPr="003771C0">
        <w:rPr>
          <w:rStyle w:val="DebateUnderline"/>
          <w:rFonts w:asciiTheme="minorHAnsi" w:hAnsiTheme="minorHAnsi"/>
        </w:rPr>
        <w:t>exploitation of growing numbers of domesecrated animals as food and resources is on course to create a scarcity of resources that will lead to international warfare</w:t>
      </w:r>
      <w:r w:rsidRPr="003771C0">
        <w:rPr>
          <w:rFonts w:asciiTheme="minorHAnsi" w:hAnsiTheme="minorHAnsi"/>
        </w:rPr>
        <w:t xml:space="preserve">. In 2008, the director-general of the World Health Organization stated that </w:t>
      </w:r>
      <w:r w:rsidRPr="003771C0">
        <w:rPr>
          <w:rStyle w:val="DebateUnderline"/>
          <w:rFonts w:asciiTheme="minorHAnsi" w:hAnsiTheme="minorHAnsi"/>
        </w:rPr>
        <w:t>the most serious threats to international security were food shortages, climate change, and an influenza pandemic.</w:t>
      </w:r>
      <w:r w:rsidRPr="003771C0">
        <w:rPr>
          <w:rFonts w:asciiTheme="minorHAnsi" w:hAnsiTheme="minorHAnsi"/>
        </w:rPr>
        <w:t xml:space="preserve"> To be thorough, the director-general should have included in that list the depletion of world supplies of fresh water, topsoil, and fossil fuel. </w:t>
      </w:r>
      <w:r w:rsidRPr="003771C0">
        <w:rPr>
          <w:rStyle w:val="DebateUnderline"/>
          <w:rFonts w:asciiTheme="minorHAnsi" w:hAnsiTheme="minorHAnsi"/>
        </w:rPr>
        <w:t>The trauma and loss of life that would be produced by scarcity-driven conflict and warfare hardly can be calculated. And it seems certain that indige- nous peoples, the poor, and the devalued will suffer the most.</w:t>
      </w:r>
      <w:r w:rsidRPr="003771C0">
        <w:rPr>
          <w:rFonts w:asciiTheme="minorHAnsi" w:hAnsiTheme="minorHAnsi"/>
        </w:rPr>
        <w:t xml:space="preserve"> Deeply entangled with the violence, disease, and deprivation currently confronting the human species—and </w:t>
      </w:r>
      <w:r w:rsidRPr="003771C0">
        <w:rPr>
          <w:rStyle w:val="DebateUnderline"/>
          <w:rFonts w:asciiTheme="minorHAnsi" w:hAnsiTheme="minorHAnsi"/>
          <w:highlight w:val="yellow"/>
        </w:rPr>
        <w:t>the looming risks of scarcity-driven warfare and an influenza pandemic—is the treatment of domesecrated m</w:t>
      </w:r>
      <w:r w:rsidRPr="003771C0">
        <w:rPr>
          <w:rStyle w:val="DebateUnderline"/>
          <w:rFonts w:ascii="MS Gothic" w:hAnsi="MS Gothic" w:cs="MS Gothic"/>
          <w:highlight w:val="yellow"/>
        </w:rPr>
        <w:t> </w:t>
      </w:r>
      <w:r w:rsidRPr="003771C0">
        <w:rPr>
          <w:rStyle w:val="DebateUnderline"/>
          <w:rFonts w:asciiTheme="minorHAnsi" w:hAnsiTheme="minorHAnsi"/>
          <w:highlight w:val="yellow"/>
        </w:rPr>
        <w:t>animals around the world</w:t>
      </w:r>
      <w:r w:rsidRPr="003771C0">
        <w:rPr>
          <w:rFonts w:asciiTheme="minorHAnsi" w:hAnsiTheme="minorHAnsi"/>
          <w:highlight w:val="yellow"/>
        </w:rPr>
        <w:t xml:space="preserve">. </w:t>
      </w:r>
      <w:r w:rsidRPr="003771C0">
        <w:rPr>
          <w:rStyle w:val="DebateUnderline"/>
          <w:rFonts w:asciiTheme="minorHAnsi" w:hAnsiTheme="minorHAnsi"/>
          <w:highlight w:val="yellow"/>
        </w:rPr>
        <w:t>Every year, more than fifty-five billion sentient beings</w:t>
      </w:r>
      <w:r w:rsidRPr="003771C0">
        <w:rPr>
          <w:rFonts w:asciiTheme="minorHAnsi" w:hAnsiTheme="minorHAnsi"/>
        </w:rPr>
        <w:t>—cows, chickens, pigs, and other animals—</w:t>
      </w:r>
      <w:r w:rsidRPr="003771C0">
        <w:rPr>
          <w:rStyle w:val="DebateUnderline"/>
          <w:rFonts w:asciiTheme="minorHAnsi" w:hAnsiTheme="minorHAnsi"/>
          <w:highlight w:val="yellow"/>
        </w:rPr>
        <w:t>experience enormous levels of deprivation and pain before they are cruelly transported and killed</w:t>
      </w:r>
      <w:r w:rsidRPr="003771C0">
        <w:rPr>
          <w:rFonts w:asciiTheme="minorHAnsi" w:hAnsiTheme="minorHAnsi"/>
          <w:highlight w:val="yellow"/>
        </w:rPr>
        <w:t>.</w:t>
      </w:r>
      <w:r w:rsidRPr="003771C0">
        <w:rPr>
          <w:rFonts w:asciiTheme="minorHAnsi" w:hAnsiTheme="minorHAnsi"/>
        </w:rPr>
        <w:t xml:space="preserve"> In addition to the terrible treatment of domesecrated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sidRPr="003771C0">
        <w:rPr>
          <w:rFonts w:asciiTheme="minorHAnsi" w:hAnsiTheme="minorHAnsi"/>
          <w:sz w:val="18"/>
          <w:szCs w:val="18"/>
        </w:rPr>
        <w:t>147</w:t>
      </w:r>
      <w:r w:rsidRPr="003771C0">
        <w:rPr>
          <w:rFonts w:asciiTheme="minorHAnsi" w:hAnsiTheme="minorHAnsi"/>
        </w:rPr>
        <w:t xml:space="preserve"> forces of capital," </w:t>
      </w:r>
      <w:r w:rsidRPr="003771C0">
        <w:rPr>
          <w:rStyle w:val="DebateUnderline"/>
          <w:rFonts w:asciiTheme="minorHAnsi" w:hAnsiTheme="minorHAnsi"/>
        </w:rPr>
        <w:t>more than 16,000 entire species of other animals are threatened with extinction</w:t>
      </w:r>
      <w:r w:rsidRPr="003771C0">
        <w:rPr>
          <w:rFonts w:asciiTheme="minorHAnsi" w:hAnsiTheme="minorHAnsi"/>
        </w:rPr>
        <w:t xml:space="preserve">, and 1,528 are critically endangered. </w:t>
      </w:r>
      <w:r w:rsidRPr="003771C0">
        <w:rPr>
          <w:rFonts w:asciiTheme="minorHAnsi" w:hAnsiTheme="minorHAnsi" w:cs="Times"/>
          <w:sz w:val="18"/>
          <w:szCs w:val="18"/>
        </w:rPr>
        <w:t>148</w:t>
      </w:r>
      <w:r w:rsidRPr="003771C0">
        <w:rPr>
          <w:rFonts w:asciiTheme="minorHAnsi" w:hAnsiTheme="minorHAnsi" w:cs="Times"/>
        </w:rPr>
        <w:t xml:space="preserve"> </w:t>
      </w:r>
      <w:r w:rsidRPr="003771C0">
        <w:rPr>
          <w:rFonts w:asciiTheme="minorHAnsi" w:hAnsiTheme="minorHAnsi"/>
        </w:rPr>
        <w:t xml:space="preserve">This impact on free-living animals is greatly exacerbated by the effects of global warming. As a result of climate change, a team of international scientists predicts 15 to 37 percent of all the species on the earth could become ex- </w:t>
      </w:r>
      <w:r w:rsidRPr="003771C0">
        <w:rPr>
          <w:rFonts w:asciiTheme="minorHAnsi" w:hAnsiTheme="minorHAnsi"/>
          <w:sz w:val="18"/>
          <w:szCs w:val="18"/>
        </w:rPr>
        <w:t xml:space="preserve">149 </w:t>
      </w:r>
      <w:r w:rsidRPr="003771C0">
        <w:rPr>
          <w:rFonts w:asciiTheme="minorHAnsi" w:hAnsiTheme="minorHAnsi"/>
        </w:rPr>
        <w:t xml:space="preserve">tinct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ing enterprises, from the Department of the Interior to the agribusiness- promoting Department of Agriculture; the program was renamed </w:t>
      </w:r>
      <w:r w:rsidRPr="003771C0">
        <w:rPr>
          <w:rFonts w:asciiTheme="minorHAnsi" w:hAnsiTheme="minorHAnsi"/>
          <w:i/>
          <w:iCs/>
        </w:rPr>
        <w:t>"Wild-</w:t>
      </w:r>
      <w:r w:rsidRPr="003771C0">
        <w:rPr>
          <w:rFonts w:asciiTheme="minorHAnsi" w:hAnsiTheme="minorHAnsi"/>
        </w:rPr>
        <w:t xml:space="preserve"> </w:t>
      </w:r>
      <w:r w:rsidRPr="003771C0">
        <w:rPr>
          <w:rFonts w:asciiTheme="minorHAnsi" w:hAnsiTheme="minorHAnsi"/>
          <w:i/>
          <w:iCs/>
        </w:rPr>
        <w:t xml:space="preserve">life </w:t>
      </w:r>
      <w:r w:rsidRPr="003771C0">
        <w:rPr>
          <w:rFonts w:asciiTheme="minorHAnsi" w:hAnsiTheme="minorHAnsi"/>
        </w:rPr>
        <w:t xml:space="preserve">Services." Despite its slogan "Living with </w:t>
      </w:r>
      <w:r w:rsidRPr="003771C0">
        <w:rPr>
          <w:rFonts w:asciiTheme="minorHAnsi" w:hAnsiTheme="minorHAnsi"/>
          <w:i/>
          <w:iCs/>
        </w:rPr>
        <w:t xml:space="preserve">Wildlife" </w:t>
      </w:r>
      <w:r w:rsidRPr="003771C0">
        <w:rPr>
          <w:rFonts w:asciiTheme="minorHAnsi" w:hAnsiTheme="minorHAnsi"/>
        </w:rP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sidRPr="003771C0">
        <w:rPr>
          <w:rFonts w:asciiTheme="minorHAnsi" w:hAnsiTheme="minorHAnsi"/>
          <w:sz w:val="18"/>
          <w:szCs w:val="18"/>
        </w:rPr>
        <w:t>150</w:t>
      </w:r>
      <w:r w:rsidRPr="003771C0">
        <w:rPr>
          <w:rFonts w:asciiTheme="minorHAnsi" w:hAnsiTheme="minorHAnsi"/>
        </w:rPr>
        <w:t xml:space="preserve"> starlings.</w:t>
      </w:r>
      <w:r w:rsidRPr="003771C0">
        <w:rPr>
          <w:rFonts w:ascii="MS Gothic" w:hAnsi="MS Gothic" w:cs="MS Gothic"/>
        </w:rPr>
        <w:t> </w:t>
      </w:r>
      <w:r w:rsidRPr="003771C0">
        <w:rPr>
          <w:rFonts w:asciiTheme="minorHAnsi" w:hAnsiTheme="minorHAnsi"/>
        </w:rPr>
        <w:t>While dreadful, domesecration-related outcomes for humanity are fore- seen sometime in the not-too-distant future, for the rest of the inhabitants of the earth—especially domesecrated animals—</w:t>
      </w:r>
      <w:r w:rsidRPr="003771C0">
        <w:rPr>
          <w:rStyle w:val="DebateUnderline"/>
          <w:rFonts w:asciiTheme="minorHAnsi" w:hAnsiTheme="minorHAnsi"/>
          <w:highlight w:val="yellow"/>
        </w:rPr>
        <w:t>the worst scenario is already here</w:t>
      </w:r>
      <w:r w:rsidRPr="003771C0">
        <w:rPr>
          <w:rFonts w:asciiTheme="minorHAnsi" w:hAnsiTheme="minorHAnsi"/>
          <w:highlight w:val="yellow"/>
        </w:rPr>
        <w:t>.</w:t>
      </w:r>
      <w:r w:rsidRPr="003771C0">
        <w:rPr>
          <w:rFonts w:asciiTheme="minorHAnsi" w:hAnsiTheme="minorHAnsi"/>
        </w:rPr>
        <w:t xml:space="preserve"> Domesecrated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rsidR="00392D4D" w:rsidRPr="003771C0" w:rsidRDefault="00203454" w:rsidP="00392D4D">
      <w:pPr>
        <w:pStyle w:val="Tags"/>
        <w:rPr>
          <w:rFonts w:asciiTheme="minorHAnsi" w:hAnsiTheme="minorHAnsi"/>
        </w:rPr>
      </w:pPr>
      <w:r>
        <w:rPr>
          <w:rFonts w:asciiTheme="minorHAnsi" w:hAnsiTheme="minorHAnsi"/>
        </w:rPr>
        <w:t>The alt: Vote neg to shatter</w:t>
      </w:r>
      <w:r w:rsidR="00392D4D" w:rsidRPr="003771C0">
        <w:rPr>
          <w:rFonts w:asciiTheme="minorHAnsi" w:hAnsiTheme="minorHAnsi"/>
        </w:rPr>
        <w:t xml:space="preserve"> civil socie</w:t>
      </w:r>
      <w:r>
        <w:rPr>
          <w:rFonts w:asciiTheme="minorHAnsi" w:hAnsiTheme="minorHAnsi"/>
        </w:rPr>
        <w:t>ty as we understand it and open</w:t>
      </w:r>
      <w:bookmarkStart w:id="2" w:name="_GoBack"/>
      <w:bookmarkEnd w:id="2"/>
      <w:r w:rsidR="00392D4D" w:rsidRPr="003771C0">
        <w:rPr>
          <w:rFonts w:asciiTheme="minorHAnsi" w:hAnsiTheme="minorHAnsi"/>
        </w:rPr>
        <w:t xml:space="preserve"> the possibility for a fundamentally new way of understanding being in the world </w:t>
      </w:r>
    </w:p>
    <w:p w:rsidR="00392D4D" w:rsidRPr="003771C0" w:rsidRDefault="00392D4D" w:rsidP="00392D4D">
      <w:pPr>
        <w:pStyle w:val="Nothing"/>
        <w:rPr>
          <w:rStyle w:val="Author-Date"/>
          <w:rFonts w:asciiTheme="minorHAnsi" w:hAnsiTheme="minorHAnsi"/>
        </w:rPr>
      </w:pPr>
      <w:r w:rsidRPr="003771C0">
        <w:rPr>
          <w:rStyle w:val="Author-Date"/>
          <w:rFonts w:asciiTheme="minorHAnsi" w:hAnsiTheme="minorHAnsi"/>
        </w:rPr>
        <w:t xml:space="preserve">Johnson </w:t>
      </w:r>
      <w:r w:rsidRPr="003771C0">
        <w:rPr>
          <w:rFonts w:asciiTheme="minorHAnsi" w:hAnsiTheme="minorHAnsi"/>
        </w:rPr>
        <w:t>(associate professor of sociology at University of Missouri)</w:t>
      </w:r>
      <w:r w:rsidRPr="003771C0">
        <w:rPr>
          <w:rStyle w:val="Author-Date"/>
          <w:rFonts w:asciiTheme="minorHAnsi" w:hAnsiTheme="minorHAnsi"/>
        </w:rPr>
        <w:t xml:space="preserve"> 11</w:t>
      </w:r>
    </w:p>
    <w:p w:rsidR="00392D4D" w:rsidRPr="003771C0" w:rsidRDefault="00392D4D" w:rsidP="00392D4D">
      <w:pPr>
        <w:pStyle w:val="Nothing"/>
        <w:rPr>
          <w:rFonts w:asciiTheme="minorHAnsi" w:hAnsiTheme="minorHAnsi"/>
        </w:rPr>
      </w:pPr>
      <w:r w:rsidRPr="003771C0">
        <w:rPr>
          <w:rFonts w:asciiTheme="minorHAnsi" w:hAnsiTheme="minorHAnsi"/>
        </w:rPr>
        <w:t>(Victoria, Everyday Rituals of the Master Race, in Critical Theory and Animal Liberation, pg. 212)</w:t>
      </w:r>
    </w:p>
    <w:p w:rsidR="00392D4D" w:rsidRPr="003771C0" w:rsidRDefault="00392D4D" w:rsidP="00392D4D">
      <w:pPr>
        <w:pStyle w:val="Nothing"/>
        <w:rPr>
          <w:rFonts w:asciiTheme="minorHAnsi" w:hAnsiTheme="minorHAnsi"/>
        </w:rPr>
      </w:pPr>
    </w:p>
    <w:p w:rsidR="00392D4D" w:rsidRPr="003771C0" w:rsidRDefault="00392D4D" w:rsidP="00392D4D">
      <w:pPr>
        <w:pStyle w:val="Cards"/>
        <w:rPr>
          <w:rFonts w:asciiTheme="minorHAnsi" w:hAnsiTheme="minorHAnsi"/>
        </w:rPr>
      </w:pPr>
      <w:r w:rsidRPr="003771C0">
        <w:rPr>
          <w:rFonts w:asciiTheme="minorHAnsi" w:hAnsiTheme="minorHAnsi"/>
        </w:rPr>
        <w:t xml:space="preserve">To summarize, </w:t>
      </w:r>
      <w:r w:rsidRPr="003771C0">
        <w:rPr>
          <w:rStyle w:val="DebateUnderline"/>
          <w:rFonts w:asciiTheme="minorHAnsi" w:hAnsiTheme="minorHAnsi"/>
          <w:highlight w:val="yellow"/>
        </w:rPr>
        <w:t xml:space="preserve">speciesist beliefs </w:t>
      </w:r>
      <w:r w:rsidRPr="003771C0">
        <w:rPr>
          <w:rStyle w:val="DebateUnderline"/>
          <w:rFonts w:asciiTheme="minorHAnsi" w:hAnsiTheme="minorHAnsi"/>
        </w:rPr>
        <w:t>emerged after human beings first took to organizing their material culture around animal agriculture, some 11,000 years ago</w:t>
      </w:r>
      <w:r w:rsidRPr="003771C0">
        <w:rPr>
          <w:rFonts w:asciiTheme="minorHAnsi" w:hAnsiTheme="minorHAnsi"/>
        </w:rPr>
        <w:t xml:space="preserve">. I have argued that </w:t>
      </w:r>
      <w:r w:rsidRPr="003771C0">
        <w:rPr>
          <w:rStyle w:val="DebateUnderline"/>
          <w:rFonts w:asciiTheme="minorHAnsi" w:hAnsiTheme="minorHAnsi"/>
        </w:rPr>
        <w:t xml:space="preserve">this shift in the mode of production </w:t>
      </w:r>
      <w:r w:rsidRPr="003771C0">
        <w:rPr>
          <w:rStyle w:val="DebateUnderline"/>
          <w:rFonts w:asciiTheme="minorHAnsi" w:hAnsiTheme="minorHAnsi"/>
          <w:highlight w:val="yellow"/>
        </w:rPr>
        <w:t>resulted in the construction of a caste system that justified the placement of animals and</w:t>
      </w:r>
      <w:r w:rsidRPr="003771C0">
        <w:rPr>
          <w:rFonts w:asciiTheme="minorHAnsi" w:hAnsiTheme="minorHAnsi"/>
        </w:rPr>
        <w:t xml:space="preserve"> subordinate human groups (classified as </w:t>
      </w:r>
      <w:r w:rsidRPr="003771C0">
        <w:rPr>
          <w:rStyle w:val="DebateUnderline"/>
          <w:rFonts w:asciiTheme="minorHAnsi" w:hAnsiTheme="minorHAnsi"/>
          <w:highlight w:val="yellow"/>
        </w:rPr>
        <w:t>slaves</w:t>
      </w:r>
      <w:r w:rsidRPr="003771C0">
        <w:rPr>
          <w:rFonts w:asciiTheme="minorHAnsi" w:hAnsiTheme="minorHAnsi"/>
        </w:rPr>
        <w:t xml:space="preserve">) </w:t>
      </w:r>
      <w:r w:rsidRPr="003771C0">
        <w:rPr>
          <w:rStyle w:val="DebateUnderline"/>
          <w:rFonts w:asciiTheme="minorHAnsi" w:hAnsiTheme="minorHAnsi"/>
        </w:rPr>
        <w:t>in service to superordinate human groups</w:t>
      </w:r>
      <w:r w:rsidRPr="003771C0">
        <w:rPr>
          <w:rFonts w:asciiTheme="minorHAnsi" w:hAnsiTheme="minorHAnsi"/>
        </w:rPr>
        <w:t>. Today, however, now that technological innovation provides the potential for alternatives to the use of animal bodies for survival, our emo- tional connection to animal subjectivity can come to the fore of society's consciousness in ways that were not formerly possible</w:t>
      </w:r>
      <w:r w:rsidRPr="003771C0">
        <w:rPr>
          <w:rFonts w:asciiTheme="minorHAnsi" w:hAnsiTheme="minorHAnsi"/>
          <w:highlight w:val="yellow"/>
        </w:rPr>
        <w:t xml:space="preserve">. </w:t>
      </w:r>
      <w:r w:rsidRPr="003771C0">
        <w:rPr>
          <w:rStyle w:val="DebateUnderline"/>
          <w:rFonts w:asciiTheme="minorHAnsi" w:hAnsiTheme="minorHAnsi"/>
          <w:highlight w:val="yellow"/>
        </w:rPr>
        <w:t>Reorganizing the mode of production from one of animal exploitation to the use of non-sentient alternatives provides the ontological potential for a radically new human subjectivity and relationship to the world</w:t>
      </w:r>
      <w:r w:rsidRPr="003771C0">
        <w:rPr>
          <w:rFonts w:asciiTheme="minorHAnsi" w:hAnsiTheme="minorHAnsi"/>
        </w:rPr>
        <w:t xml:space="preserve">. For the first time in history, </w:t>
      </w:r>
      <w:r w:rsidRPr="003771C0">
        <w:rPr>
          <w:rStyle w:val="DebateUnderline"/>
          <w:rFonts w:asciiTheme="minorHAnsi" w:hAnsiTheme="minorHAnsi"/>
          <w:highlight w:val="yellow"/>
        </w:rPr>
        <w:t>we have the opportunity through technological innovation to eliminate the human/ animal caste system, together with its rituals</w:t>
      </w:r>
      <w:r w:rsidRPr="003771C0">
        <w:rPr>
          <w:rFonts w:asciiTheme="minorHAnsi" w:hAnsiTheme="minorHAnsi"/>
        </w:rPr>
        <w:t xml:space="preserve"> of "natural" superiority and infe- riority </w:t>
      </w:r>
      <w:r w:rsidRPr="003771C0">
        <w:rPr>
          <w:rStyle w:val="DebateUnderline"/>
          <w:rFonts w:asciiTheme="minorHAnsi" w:hAnsiTheme="minorHAnsi"/>
          <w:highlight w:val="yellow"/>
        </w:rPr>
        <w:t>that continue to underpin sexist, racist, classist, and other forms of stratification in the present</w:t>
      </w:r>
      <w:r w:rsidRPr="003771C0">
        <w:rPr>
          <w:rFonts w:asciiTheme="minorHAnsi" w:hAnsiTheme="minorHAnsi"/>
          <w:b/>
          <w:highlight w:val="yellow"/>
        </w:rPr>
        <w:t>.</w:t>
      </w:r>
    </w:p>
    <w:p w:rsidR="00392D4D" w:rsidRPr="003771C0" w:rsidRDefault="00392D4D" w:rsidP="00392D4D">
      <w:pPr>
        <w:pStyle w:val="Cards"/>
        <w:rPr>
          <w:rFonts w:asciiTheme="minorHAnsi" w:hAnsiTheme="minorHAnsi"/>
        </w:rPr>
      </w:pPr>
      <w:r w:rsidRPr="003771C0">
        <w:rPr>
          <w:rFonts w:asciiTheme="minorHAnsi" w:hAnsiTheme="minorHAnsi"/>
        </w:rPr>
        <w:t xml:space="preserve">In Marx's thought, human freedom can only be realized once society is able to overcome the realm of physical necessity. </w:t>
      </w:r>
      <w:r w:rsidRPr="003771C0">
        <w:rPr>
          <w:rStyle w:val="DebateUnderline"/>
          <w:rFonts w:asciiTheme="minorHAnsi" w:hAnsiTheme="minorHAnsi"/>
        </w:rPr>
        <w:t>To flourish ontologically</w:t>
      </w:r>
      <w:r w:rsidRPr="003771C0">
        <w:rPr>
          <w:rFonts w:asciiTheme="minorHAnsi" w:hAnsiTheme="minorHAnsi"/>
        </w:rPr>
        <w:t>—to think, to create, to live in harmony with others, and so forth—</w:t>
      </w:r>
      <w:r w:rsidRPr="003771C0">
        <w:rPr>
          <w:rStyle w:val="DebateUnderline"/>
          <w:rFonts w:asciiTheme="minorHAnsi" w:hAnsiTheme="minorHAnsi"/>
        </w:rPr>
        <w:t>one must first be able to eat.</w:t>
      </w:r>
      <w:r w:rsidRPr="003771C0">
        <w:rPr>
          <w:rFonts w:asciiTheme="minorHAnsi" w:hAnsiTheme="minorHAnsi"/>
        </w:rPr>
        <w:t xml:space="preserve"> That is, communism could only emerge historically when the mode of production of society was sufficiently technologically developed to provide an equitable distribution of resources for all members of society. Ironically, the historical pathway to this level of technological production, hence to liberation, led through capitalism itself. After centuries of brutality and exploitation, capitalism would eventually lay the groundwork for radical societal transformation and universal emancipation.</w:t>
      </w:r>
    </w:p>
    <w:p w:rsidR="00392D4D" w:rsidRPr="003771C0" w:rsidRDefault="00392D4D" w:rsidP="00392D4D">
      <w:pPr>
        <w:pStyle w:val="Cards"/>
        <w:rPr>
          <w:rStyle w:val="DebateUnderline"/>
          <w:rFonts w:asciiTheme="minorHAnsi" w:hAnsiTheme="minorHAnsi"/>
        </w:rPr>
      </w:pPr>
      <w:r w:rsidRPr="003771C0">
        <w:rPr>
          <w:rFonts w:asciiTheme="minorHAnsi" w:hAnsiTheme="minorHAnsi"/>
        </w:rPr>
        <w:t xml:space="preserve">Adapting Marx, we might similarly argue that whereas the historical exploitation of animals by humans—once a </w:t>
      </w:r>
      <w:r w:rsidRPr="003771C0">
        <w:rPr>
          <w:rFonts w:asciiTheme="minorHAnsi" w:hAnsiTheme="minorHAnsi"/>
          <w:i/>
          <w:iCs/>
        </w:rPr>
        <w:t xml:space="preserve">necessity </w:t>
      </w:r>
      <w:r w:rsidRPr="003771C0">
        <w:rPr>
          <w:rFonts w:asciiTheme="minorHAnsi" w:hAnsiTheme="minorHAnsi"/>
        </w:rPr>
        <w:t>due to resource scarcity in different geographical environments—became the eventual pathway for hu- man physiological, intellectual, and technological development, today we no longer need to dominate and kill other animals</w:t>
      </w:r>
      <w:r w:rsidRPr="003771C0">
        <w:rPr>
          <w:rStyle w:val="DebateUnderline"/>
          <w:rFonts w:asciiTheme="minorHAnsi" w:hAnsiTheme="minorHAnsi"/>
        </w:rPr>
        <w:t xml:space="preserve">: </w:t>
      </w:r>
      <w:r w:rsidRPr="003771C0">
        <w:rPr>
          <w:rStyle w:val="DebateUnderline"/>
          <w:rFonts w:asciiTheme="minorHAnsi" w:hAnsiTheme="minorHAnsi"/>
          <w:highlight w:val="yellow"/>
        </w:rPr>
        <w:t>we have the technological potential to reorganize our mode of production in such a way that we can eliminate our violence against other sentient creatures</w:t>
      </w:r>
      <w:r w:rsidRPr="003771C0">
        <w:rPr>
          <w:rFonts w:asciiTheme="minorHAnsi" w:hAnsiTheme="minorHAnsi"/>
          <w:highlight w:val="yellow"/>
        </w:rPr>
        <w:t>.</w:t>
      </w:r>
      <w:r w:rsidRPr="003771C0">
        <w:rPr>
          <w:rFonts w:asciiTheme="minorHAnsi" w:hAnsiTheme="minorHAnsi"/>
        </w:rPr>
        <w:t xml:space="preserve"> If this is indeed the case, however</w:t>
      </w:r>
      <w:r w:rsidRPr="003771C0">
        <w:rPr>
          <w:rStyle w:val="DebateUnderline"/>
          <w:rFonts w:asciiTheme="minorHAnsi" w:hAnsiTheme="minorHAnsi"/>
        </w:rPr>
        <w:t xml:space="preserve">, it can also be argued that by </w:t>
      </w:r>
      <w:r w:rsidRPr="003771C0">
        <w:rPr>
          <w:rStyle w:val="DebateUnderline"/>
          <w:rFonts w:asciiTheme="minorHAnsi" w:hAnsiTheme="minorHAnsi"/>
          <w:highlight w:val="yellow"/>
        </w:rPr>
        <w:t>founding our societies on systemic violence against other animals, we distorted our own "species being" in the process</w:t>
      </w:r>
      <w:r w:rsidRPr="003771C0">
        <w:rPr>
          <w:rFonts w:asciiTheme="minorHAnsi" w:hAnsiTheme="minorHAnsi"/>
        </w:rPr>
        <w:t xml:space="preserve">—in particular, </w:t>
      </w:r>
      <w:r w:rsidRPr="003771C0">
        <w:rPr>
          <w:rStyle w:val="DebateUnderline"/>
          <w:rFonts w:asciiTheme="minorHAnsi" w:hAnsiTheme="minorHAnsi"/>
        </w:rPr>
        <w:t>by deforming our "human" capacity for empathy for the suffering of others who have been "animalized."</w:t>
      </w:r>
    </w:p>
    <w:p w:rsidR="00392D4D" w:rsidRPr="003771C0" w:rsidRDefault="00392D4D" w:rsidP="00392D4D">
      <w:pPr>
        <w:pStyle w:val="Heading4"/>
      </w:pPr>
      <w:r w:rsidRPr="003771C0">
        <w:t>Our alt solves the aff- only looking at the Zong in the context of speciesism allows us to truly understand slavery</w:t>
      </w:r>
    </w:p>
    <w:p w:rsidR="00392D4D" w:rsidRPr="003771C0" w:rsidRDefault="00392D4D" w:rsidP="00392D4D">
      <w:pPr>
        <w:pStyle w:val="Nothing"/>
        <w:rPr>
          <w:rStyle w:val="Author-Date"/>
          <w:rFonts w:asciiTheme="minorHAnsi" w:hAnsiTheme="minorHAnsi"/>
          <w:b w:val="0"/>
          <w:szCs w:val="20"/>
        </w:rPr>
      </w:pPr>
      <w:r w:rsidRPr="003771C0">
        <w:rPr>
          <w:rStyle w:val="Author-Date"/>
          <w:rFonts w:asciiTheme="minorHAnsi" w:hAnsiTheme="minorHAnsi"/>
        </w:rPr>
        <w:t xml:space="preserve">Roberts </w:t>
      </w:r>
      <w:r w:rsidRPr="003771C0">
        <w:rPr>
          <w:rFonts w:asciiTheme="minorHAnsi" w:hAnsiTheme="minorHAnsi"/>
        </w:rPr>
        <w:t>(Department</w:t>
      </w:r>
      <w:r w:rsidRPr="003771C0">
        <w:rPr>
          <w:rFonts w:asciiTheme="minorHAnsi" w:hAnsiTheme="minorHAnsi"/>
          <w:shd w:val="clear" w:color="auto" w:fill="FFFFFF"/>
        </w:rPr>
        <w:t xml:space="preserve"> of Philosophy at Suffolk County Community College)</w:t>
      </w:r>
      <w:r w:rsidRPr="003771C0">
        <w:rPr>
          <w:rStyle w:val="Author-Date"/>
          <w:rFonts w:asciiTheme="minorHAnsi" w:hAnsiTheme="minorHAnsi"/>
        </w:rPr>
        <w:t xml:space="preserve"> 8 </w:t>
      </w:r>
    </w:p>
    <w:p w:rsidR="00392D4D" w:rsidRPr="003771C0" w:rsidRDefault="00392D4D" w:rsidP="00392D4D">
      <w:pPr>
        <w:pStyle w:val="Cards"/>
        <w:ind w:left="0"/>
        <w:rPr>
          <w:rFonts w:asciiTheme="minorHAnsi" w:hAnsiTheme="minorHAnsi"/>
        </w:rPr>
      </w:pPr>
      <w:r w:rsidRPr="003771C0">
        <w:rPr>
          <w:rFonts w:asciiTheme="minorHAnsi" w:hAnsiTheme="minorHAnsi"/>
        </w:rPr>
        <w:t>(Mark, The Mark of the Beast: animality and human oppression, pg. 66-7)</w:t>
      </w:r>
    </w:p>
    <w:p w:rsidR="00392D4D" w:rsidRPr="003771C0" w:rsidRDefault="00392D4D" w:rsidP="00392D4D">
      <w:pPr>
        <w:pStyle w:val="Nothing"/>
        <w:rPr>
          <w:rFonts w:asciiTheme="minorHAnsi" w:hAnsiTheme="minorHAnsi"/>
        </w:rPr>
      </w:pPr>
    </w:p>
    <w:p w:rsidR="00392D4D" w:rsidRPr="003771C0" w:rsidRDefault="00392D4D" w:rsidP="00392D4D">
      <w:pPr>
        <w:pStyle w:val="Cards"/>
        <w:rPr>
          <w:rFonts w:asciiTheme="minorHAnsi" w:hAnsiTheme="minorHAnsi" w:cs="Times"/>
        </w:rPr>
      </w:pPr>
      <w:r w:rsidRPr="003771C0">
        <w:rPr>
          <w:rFonts w:asciiTheme="minorHAnsi" w:hAnsiTheme="minorHAnsi"/>
        </w:rPr>
        <w:t xml:space="preserve">These atrocities have, as one may sense, distinct comparisons to the ship- ping of livestock—a point made by Marjorie Spiegel. Her overall statement is quite simple: </w:t>
      </w:r>
      <w:r w:rsidRPr="003771C0">
        <w:rPr>
          <w:rStyle w:val="DebateUnderline"/>
          <w:rFonts w:asciiTheme="minorHAnsi" w:hAnsiTheme="minorHAnsi"/>
          <w:highlight w:val="yellow"/>
        </w:rPr>
        <w:t>Slaves were treated like animals, both on their passage to the Americas and during the full course of their enforced visit</w:t>
      </w:r>
      <w:r w:rsidRPr="003771C0">
        <w:rPr>
          <w:rFonts w:asciiTheme="minorHAnsi" w:hAnsiTheme="minorHAnsi"/>
          <w:highlight w:val="yellow"/>
        </w:rPr>
        <w:t>.</w:t>
      </w:r>
      <w:r w:rsidRPr="003771C0">
        <w:rPr>
          <w:rFonts w:asciiTheme="minorHAnsi" w:hAnsiTheme="minorHAnsi"/>
        </w:rPr>
        <w:t xml:space="preserve"> Her "dreaded com- parison" with regard to human slaves and animals is most effective when she contrasts the shipping of livestock and that of slaves. Livestock—steers, cattle, pigs, and so on—is shipped great distances from auction, to feeding yards, to another auction, and finally to the slaughterhouse.Typically, livestock may travel as much as 2,000 miles, in cramped and abysmal conditions.The animals gener- ally lose a great deal of body weight—as much as 9 percent—and are subject to what is commonly called "shipping fever," of which hundreds of thousands die </w:t>
      </w:r>
      <w:r w:rsidRPr="003771C0">
        <w:rPr>
          <w:rFonts w:asciiTheme="minorHAnsi" w:hAnsiTheme="minorHAnsi"/>
          <w:sz w:val="16"/>
          <w:szCs w:val="16"/>
        </w:rPr>
        <w:t>16</w:t>
      </w:r>
      <w:r w:rsidRPr="003771C0">
        <w:rPr>
          <w:rFonts w:asciiTheme="minorHAnsi" w:hAnsiTheme="minorHAnsi"/>
        </w:rPr>
        <w:t xml:space="preserve"> annually.</w:t>
      </w:r>
      <w:r w:rsidRPr="003771C0">
        <w:rPr>
          <w:rFonts w:ascii="MS Gothic" w:hAnsi="MS Gothic" w:cs="MS Gothic"/>
        </w:rPr>
        <w:t> </w:t>
      </w:r>
      <w:r w:rsidRPr="003771C0">
        <w:rPr>
          <w:rFonts w:asciiTheme="minorHAnsi" w:hAnsiTheme="minorHAnsi"/>
        </w:rPr>
        <w:t xml:space="preserve">better. Their living conditions were, as noted earlier, similarly deplorable. The tight packing, stress, and lack of nutritious food caused considerable weaken- ing and weight loss during the crossings. Most slaves were fattened up again before the auctions in what were usually referred to as slave-yards, which is, of </w:t>
      </w:r>
      <w:r w:rsidRPr="003771C0">
        <w:rPr>
          <w:rFonts w:asciiTheme="minorHAnsi" w:hAnsiTheme="minorHAnsi"/>
          <w:sz w:val="16"/>
          <w:szCs w:val="16"/>
        </w:rPr>
        <w:t>17</w:t>
      </w:r>
      <w:r w:rsidRPr="003771C0">
        <w:rPr>
          <w:rFonts w:asciiTheme="minorHAnsi" w:hAnsiTheme="minorHAnsi"/>
        </w:rPr>
        <w:t xml:space="preserve"> course, precisely what happens to feed cattle.</w:t>
      </w:r>
      <w:r w:rsidRPr="003771C0">
        <w:rPr>
          <w:rFonts w:ascii="MS Gothic" w:hAnsi="MS Gothic" w:cs="MS Gothic"/>
        </w:rPr>
        <w:t> </w:t>
      </w:r>
      <w:r w:rsidRPr="003771C0">
        <w:rPr>
          <w:rFonts w:asciiTheme="minorHAnsi" w:hAnsiTheme="minorHAnsi"/>
        </w:rPr>
        <w:t xml:space="preserve"> With no incentive to properly feed the cattle on the way to slaughter, the process of fattening is restricted to the feedlots attached to the slaughter facilities. Moreover, many slaves in transit The "livestock" cramped into the Atlantic slavers did not fare much </w:t>
      </w:r>
      <w:r w:rsidRPr="003771C0">
        <w:rPr>
          <w:rFonts w:asciiTheme="minorHAnsi" w:hAnsiTheme="minorHAnsi" w:cs="Times"/>
        </w:rPr>
        <w:t>died, like todays livestock, of contagious diseases exacerbated by poor nutrition, unsanitary conditions, and, perhaps above all, dire overcrowding.</w:t>
      </w:r>
    </w:p>
    <w:p w:rsidR="00392D4D" w:rsidRPr="003771C0" w:rsidRDefault="00392D4D" w:rsidP="00392D4D">
      <w:pPr>
        <w:pStyle w:val="Cards"/>
        <w:rPr>
          <w:rFonts w:asciiTheme="minorHAnsi" w:hAnsiTheme="minorHAnsi"/>
        </w:rPr>
      </w:pPr>
      <w:r w:rsidRPr="003771C0">
        <w:rPr>
          <w:rFonts w:asciiTheme="minorHAnsi" w:hAnsiTheme="minorHAnsi"/>
        </w:rPr>
        <w:t xml:space="preserve">Factory farming is another point of comparison between animal and hu- man exploitation: "The horrors of the Middle Passage, with its cramped con- ditions, pools of excrement and urine, acceptable' mortality-rates, seemingly interminable length of duration, and finally insanity leading to violence and cannibalism, have been projected into modernity in the form of factory farming."18 The factory farm carries on the paradigm of manipulation for profit so obvious in the cramming of slaves into slave ships. Sows, for example, are chained or clamped into narrow farrowing stalls, for months or years on end, so as to save caloric energy expenditure. Chickens and pigs are stacked in tiers three, four, or five high; the pigs' tails are cut off so as to prevent stress-induced </w:t>
      </w:r>
      <w:r w:rsidRPr="003771C0">
        <w:rPr>
          <w:rFonts w:asciiTheme="minorHAnsi" w:hAnsiTheme="minorHAnsi"/>
          <w:sz w:val="16"/>
          <w:szCs w:val="16"/>
        </w:rPr>
        <w:t>19</w:t>
      </w:r>
      <w:r w:rsidRPr="003771C0">
        <w:rPr>
          <w:rFonts w:asciiTheme="minorHAnsi" w:hAnsiTheme="minorHAnsi"/>
        </w:rPr>
        <w:t xml:space="preserve"> tail biting.</w:t>
      </w:r>
      <w:r w:rsidRPr="003771C0">
        <w:rPr>
          <w:rFonts w:ascii="MS Gothic" w:hAnsi="MS Gothic" w:cs="MS Gothic"/>
        </w:rPr>
        <w:t> </w:t>
      </w:r>
      <w:r w:rsidRPr="003771C0">
        <w:rPr>
          <w:rFonts w:asciiTheme="minorHAnsi" w:hAnsiTheme="minorHAnsi"/>
        </w:rPr>
        <w:t xml:space="preserve">were transported economically to the New World. </w:t>
      </w:r>
      <w:r w:rsidRPr="003771C0">
        <w:rPr>
          <w:rStyle w:val="DebateUnderline"/>
          <w:rFonts w:asciiTheme="minorHAnsi" w:hAnsiTheme="minorHAnsi"/>
        </w:rPr>
        <w:t>Virtually every narrative description of slave-ship conditions entails some combination of chains, leg irons, stacking, handcuffs, cramped spaces, and penlike enclosures</w:t>
      </w:r>
      <w:r w:rsidRPr="003771C0">
        <w:rPr>
          <w:rFonts w:asciiTheme="minorHAnsi" w:hAnsiTheme="minorHAnsi"/>
        </w:rPr>
        <w:t xml:space="preserve">. </w:t>
      </w:r>
    </w:p>
    <w:p w:rsidR="00392D4D" w:rsidRPr="003771C0" w:rsidRDefault="00392D4D" w:rsidP="00392D4D">
      <w:pPr>
        <w:pStyle w:val="Cards"/>
        <w:rPr>
          <w:rFonts w:asciiTheme="minorHAnsi" w:hAnsiTheme="minorHAnsi" w:cs="Times"/>
        </w:rPr>
      </w:pPr>
      <w:r w:rsidRPr="003771C0">
        <w:rPr>
          <w:rFonts w:asciiTheme="minorHAnsi" w:hAnsiTheme="minorHAnsi"/>
        </w:rPr>
        <w:t xml:space="preserve">To be sure, this egregious abuse and exploitation of humans has spawned numerous and often disparate explanations and entreaties, including ones from such eminent figures as Marx, Bentham, and Mill. Most explanations of slavery, however, fail to fully account for </w:t>
      </w:r>
      <w:r w:rsidRPr="003771C0">
        <w:rPr>
          <w:rStyle w:val="DebateUnderline"/>
          <w:rFonts w:asciiTheme="minorHAnsi" w:hAnsiTheme="minorHAnsi"/>
          <w:highlight w:val="yellow"/>
        </w:rPr>
        <w:t>the staggering disregard for human life in the initial stages of American slavery</w:t>
      </w:r>
      <w:r w:rsidRPr="003771C0">
        <w:rPr>
          <w:rFonts w:asciiTheme="minorHAnsi" w:hAnsiTheme="minorHAnsi"/>
          <w:highlight w:val="yellow"/>
        </w:rPr>
        <w:t>.</w:t>
      </w:r>
      <w:r w:rsidRPr="003771C0">
        <w:rPr>
          <w:rFonts w:asciiTheme="minorHAnsi" w:hAnsiTheme="minorHAnsi"/>
        </w:rPr>
        <w:t xml:space="preserve"> Even given the incentive to deliver as many whole slaves as possible, there were still certain conditions created by humans for other humans that made torture, pain, disease, suffering, and in many cases the loss of life inevitable and, worse, acceptable. These conditions and acts, I suggest</w:t>
      </w:r>
      <w:r w:rsidRPr="003771C0">
        <w:rPr>
          <w:rStyle w:val="DebateUnderline"/>
          <w:rFonts w:asciiTheme="minorHAnsi" w:hAnsiTheme="minorHAnsi"/>
          <w:highlight w:val="yellow"/>
        </w:rPr>
        <w:t>, can be fully understood only by considering the devaluation of the appropriated African slave to sheer animality</w:t>
      </w:r>
      <w:r w:rsidRPr="003771C0">
        <w:rPr>
          <w:rFonts w:asciiTheme="minorHAnsi" w:hAnsiTheme="minorHAnsi"/>
          <w:highlight w:val="yellow"/>
        </w:rPr>
        <w:t>.</w:t>
      </w:r>
      <w:r w:rsidRPr="003771C0">
        <w:rPr>
          <w:rFonts w:asciiTheme="minorHAnsi" w:hAnsiTheme="minorHAnsi"/>
        </w:rPr>
        <w:t xml:space="preserve"> </w:t>
      </w:r>
      <w:r w:rsidRPr="003771C0">
        <w:rPr>
          <w:rStyle w:val="DebateUnderline"/>
          <w:rFonts w:asciiTheme="minorHAnsi" w:hAnsiTheme="minorHAnsi"/>
          <w:highlight w:val="yellow"/>
        </w:rPr>
        <w:t>The</w:t>
      </w:r>
      <w:r w:rsidRPr="003771C0">
        <w:rPr>
          <w:rFonts w:asciiTheme="minorHAnsi" w:hAnsiTheme="minorHAnsi"/>
        </w:rPr>
        <w:t xml:space="preserve"> </w:t>
      </w:r>
      <w:r w:rsidRPr="003771C0">
        <w:rPr>
          <w:rStyle w:val="DebateUnderline"/>
          <w:rFonts w:asciiTheme="minorHAnsi" w:hAnsiTheme="minorHAnsi"/>
        </w:rPr>
        <w:t xml:space="preserve">aforementioned Aristotelian </w:t>
      </w:r>
      <w:r w:rsidRPr="003771C0">
        <w:rPr>
          <w:rStyle w:val="DebateUnderline"/>
          <w:rFonts w:asciiTheme="minorHAnsi" w:hAnsiTheme="minorHAnsi"/>
          <w:highlight w:val="yellow"/>
        </w:rPr>
        <w:t>reduction of the slave to human property, and the subsequent equating of humans and domesticated animals</w:t>
      </w:r>
      <w:r w:rsidRPr="003771C0">
        <w:rPr>
          <w:rFonts w:asciiTheme="minorHAnsi" w:hAnsiTheme="minorHAnsi"/>
        </w:rPr>
        <w:t xml:space="preserve">, figure significantly in this notion. </w:t>
      </w:r>
      <w:r w:rsidRPr="003771C0">
        <w:rPr>
          <w:rStyle w:val="DebateUnderline"/>
          <w:rFonts w:asciiTheme="minorHAnsi" w:hAnsiTheme="minorHAnsi"/>
        </w:rPr>
        <w:t>If the slave were naturally subordinate, like the animal fated to serve its master, then whatever improved his or her use-value would be seen as productive and nec- essary, regardless of the treatment any individual slave received</w:t>
      </w:r>
      <w:r w:rsidRPr="003771C0">
        <w:rPr>
          <w:rFonts w:asciiTheme="minorHAnsi" w:hAnsiTheme="minorHAnsi"/>
        </w:rPr>
        <w:t xml:space="preserve">. After all, as is the case with the domestic animal, the best results are not always achieved by kindness. </w:t>
      </w:r>
      <w:r w:rsidRPr="003771C0">
        <w:rPr>
          <w:rStyle w:val="DebateUnderline"/>
          <w:rFonts w:asciiTheme="minorHAnsi" w:hAnsiTheme="minorHAnsi"/>
        </w:rPr>
        <w:t>As absolute subordinates, the African slaves could be treated in any way necessary to provide the best practical results, with economic interests</w:t>
      </w:r>
      <w:r w:rsidRPr="003771C0">
        <w:rPr>
          <w:rFonts w:asciiTheme="minorHAnsi" w:hAnsiTheme="minorHAnsi"/>
        </w:rPr>
        <w:t xml:space="preserve"> (i.e., bringing in live rather than dead slaves) being the only mitigating concern.To ship cattle, pigs, chickens, or any other domestic animals in comfortable, spa- cious conditions, or to keep them in individual, well-ventilated pens would be patently absurd, as there is in this view absolutely no moral obligation to do so, All of these were, of course, the principal positions in which slaves  </w:t>
      </w:r>
      <w:r w:rsidRPr="003771C0">
        <w:rPr>
          <w:rFonts w:asciiTheme="minorHAnsi" w:hAnsiTheme="minorHAnsi" w:cs="Times"/>
        </w:rPr>
        <w:t>and it would be economically impractical—what Aristotle, in his day, would probably have termed "unnatural."</w:t>
      </w:r>
    </w:p>
    <w:p w:rsidR="00392D4D" w:rsidRDefault="00392D4D" w:rsidP="00392D4D">
      <w:pPr>
        <w:pStyle w:val="Heading2"/>
      </w:pPr>
      <w:r>
        <w:t>CP</w:t>
      </w:r>
    </w:p>
    <w:p w:rsidR="00392D4D" w:rsidRPr="00CD2ACF" w:rsidRDefault="00392D4D" w:rsidP="00392D4D">
      <w:pPr>
        <w:pStyle w:val="Heading4"/>
      </w:pPr>
      <w:r>
        <w:t xml:space="preserve">Counterplan Text: </w:t>
      </w:r>
      <w:r>
        <w:rPr>
          <w:rFonts w:cs="Times New Roman"/>
          <w:szCs w:val="24"/>
        </w:rPr>
        <w:t>W</w:t>
      </w:r>
      <w:r w:rsidRPr="008A6F19">
        <w:rPr>
          <w:rFonts w:cs="Times New Roman"/>
          <w:szCs w:val="24"/>
        </w:rPr>
        <w:t>e a</w:t>
      </w:r>
      <w:r>
        <w:rPr>
          <w:rFonts w:cs="Times New Roman"/>
          <w:szCs w:val="24"/>
        </w:rPr>
        <w:t>ffirm exploration of the terrestrial</w:t>
      </w:r>
      <w:r w:rsidRPr="008A6F19">
        <w:rPr>
          <w:rFonts w:cs="Times New Roman"/>
          <w:szCs w:val="24"/>
        </w:rPr>
        <w:t xml:space="preserve"> wreckage of the Zong</w:t>
      </w:r>
    </w:p>
    <w:p w:rsidR="00392D4D" w:rsidRPr="00922367" w:rsidRDefault="00392D4D" w:rsidP="00392D4D">
      <w:pPr>
        <w:pStyle w:val="Heading4"/>
        <w:rPr>
          <w:rStyle w:val="StyleUnderline"/>
          <w:b w:val="0"/>
        </w:rPr>
      </w:pPr>
      <w:r>
        <w:t>Exploring the ocean to truly understand the Zong is pointless- the ocean will have no evidence and remains left from the Zong- instead, focusing on the evidence on the land will give us a better in-depth understanding of the seriousness of the Zong</w:t>
      </w:r>
    </w:p>
    <w:p w:rsidR="00392D4D" w:rsidRDefault="00392D4D" w:rsidP="00392D4D">
      <w:pPr>
        <w:rPr>
          <w:sz w:val="16"/>
        </w:rPr>
      </w:pPr>
      <w:r>
        <w:rPr>
          <w:rStyle w:val="Style13ptBold"/>
        </w:rPr>
        <w:t>Arnold and Falconbridge</w:t>
      </w:r>
      <w:r w:rsidRPr="004A7C8A">
        <w:rPr>
          <w:rStyle w:val="Style13ptBold"/>
        </w:rPr>
        <w:t xml:space="preserve"> </w:t>
      </w:r>
      <w:r>
        <w:rPr>
          <w:rStyle w:val="Style13ptBold"/>
        </w:rPr>
        <w:t>07</w:t>
      </w:r>
      <w:r w:rsidRPr="004F4AD5">
        <w:rPr>
          <w:sz w:val="16"/>
        </w:rPr>
        <w:t xml:space="preserve"> (</w:t>
      </w:r>
      <w:r>
        <w:rPr>
          <w:rFonts w:ascii="Trebuchet MS" w:hAnsi="Trebuchet MS" w:cs="Helvetica"/>
          <w:b/>
        </w:rPr>
        <w:t xml:space="preserve">Two doctors that provided evidence to Thomas Clarkson </w:t>
      </w:r>
      <w:hyperlink r:id="rId12" w:history="1">
        <w:r w:rsidRPr="004F4AD5">
          <w:rPr>
            <w:rStyle w:val="Hyperlink"/>
            <w:sz w:val="16"/>
          </w:rPr>
          <w:t>http://greenfleet.dodlive.mil/files/2014/03/Win14_DASNE_Outlook.pdf</w:t>
        </w:r>
      </w:hyperlink>
      <w:r w:rsidRPr="004F4AD5">
        <w:rPr>
          <w:sz w:val="16"/>
        </w:rPr>
        <w:t>, LM)</w:t>
      </w:r>
    </w:p>
    <w:p w:rsidR="00392D4D" w:rsidRDefault="00392D4D" w:rsidP="00392D4D">
      <w:pPr>
        <w:rPr>
          <w:sz w:val="16"/>
        </w:rPr>
      </w:pPr>
      <w:r w:rsidRPr="00E42D26">
        <w:rPr>
          <w:sz w:val="16"/>
        </w:rPr>
        <w:t>The Middle Passage refers to the part of the trade where Africans, densely packed onto ships, were transported across the Atlantic to the West Indies.</w:t>
      </w:r>
      <w:r>
        <w:rPr>
          <w:sz w:val="16"/>
        </w:rPr>
        <w:t xml:space="preserve"> </w:t>
      </w:r>
      <w:r w:rsidRPr="00E42D26">
        <w:rPr>
          <w:sz w:val="16"/>
        </w:rPr>
        <w:t>The voyage took three to four months and, during this time, the enslaved people mostly lay chained in rows on the floor of the hold or on shelves that ran around the inside of the ships' hulls.</w:t>
      </w:r>
      <w:r>
        <w:rPr>
          <w:sz w:val="16"/>
        </w:rPr>
        <w:t xml:space="preserve"> </w:t>
      </w:r>
      <w:r w:rsidRPr="00E42D26">
        <w:rPr>
          <w:sz w:val="16"/>
        </w:rPr>
        <w:t>The shelves were under a metre high and often the enslaved Africans could not sit up. There could be up to more than six hundred enslaved people on each ship. Captives from different nations were mixed together, so it was more difficult for them to talk and plan rebellions. Women and children were held separately.</w:t>
      </w:r>
      <w:r>
        <w:rPr>
          <w:sz w:val="16"/>
        </w:rPr>
        <w:t xml:space="preserve"> </w:t>
      </w:r>
      <w:r w:rsidRPr="00E42D26">
        <w:rPr>
          <w:sz w:val="16"/>
        </w:rPr>
        <w:t>The following description is from 'The Interesting Narrative of the Life of Olaudah Equiano':</w:t>
      </w:r>
      <w:r>
        <w:rPr>
          <w:sz w:val="16"/>
        </w:rPr>
        <w:t xml:space="preserve"> </w:t>
      </w:r>
      <w:r w:rsidRPr="00E42D26">
        <w:rPr>
          <w:sz w:val="16"/>
        </w:rPr>
        <w:t>At last, when the ship we were in, had got in all her cargo, they made ready with many fearful noises, and we were all put under deck, so that we could not see how they managed the vessel. ...The stench of the hold while we were on the coast was so intolerably loathsome....The closeness of the place, and the heat of the climate, added to the number in the ship, which was so crowded that each had scarcely room to turn himself, almost suffocated us. This produced copious perspirations, so that the air soon became unfit for respiration, from a variety of loathsome smells, and brought on a sickness among the slaves, of which many died -- thus falling victims to the improvident avarice, as I may call it, of their purchasers</w:t>
      </w:r>
      <w:r w:rsidRPr="00E42D26">
        <w:rPr>
          <w:sz w:val="16"/>
          <w:highlight w:val="yellow"/>
        </w:rPr>
        <w:t>. A large amount of evidence remains: letters, diaries, memoirs, captain's logbooks, shipping company records and testimony</w:t>
      </w:r>
      <w:r w:rsidRPr="00E42D26">
        <w:rPr>
          <w:sz w:val="16"/>
        </w:rPr>
        <w:t xml:space="preserve"> before British Parliamentary investigations</w:t>
      </w:r>
      <w:r w:rsidRPr="00470121">
        <w:rPr>
          <w:sz w:val="16"/>
          <w:highlight w:val="yellow"/>
        </w:rPr>
        <w:t>, all give a picture of life on board.</w:t>
      </w:r>
      <w:r w:rsidRPr="00E42D26">
        <w:rPr>
          <w:sz w:val="16"/>
        </w:rPr>
        <w:t xml:space="preserve"> For example, when asked if the slaves had ‘room to turn themselves or lie easy', a Dr Thomas Trotter replied:</w:t>
      </w:r>
      <w:r>
        <w:rPr>
          <w:sz w:val="16"/>
        </w:rPr>
        <w:t xml:space="preserve"> </w:t>
      </w:r>
      <w:r w:rsidRPr="00E42D26">
        <w:rPr>
          <w:sz w:val="16"/>
        </w:rPr>
        <w:t>"By no means. The slaves that are out of irons are laid</w:t>
      </w:r>
      <w:r>
        <w:rPr>
          <w:sz w:val="16"/>
        </w:rPr>
        <w:t xml:space="preserve"> </w:t>
      </w:r>
      <w:r w:rsidRPr="00E42D26">
        <w:rPr>
          <w:sz w:val="16"/>
        </w:rPr>
        <w:t>spoonways"... and closely locked to one another. It is the duty of the first mate to see them stowed in this manner every morning....and when the ship had much motion at sea.... they were often miserably bruised against the deck or against each other....I have seen the breasts heaving...with all those laborious and anxious efforts for life.....".</w:t>
      </w:r>
      <w:r>
        <w:rPr>
          <w:sz w:val="16"/>
        </w:rPr>
        <w:t xml:space="preserve"> </w:t>
      </w:r>
      <w:r w:rsidRPr="00E42D26">
        <w:rPr>
          <w:sz w:val="16"/>
        </w:rPr>
        <w:t>However, during a Parliamentary investigation, a witness for the slave trade, Robert Norris, described how ‘delightful' the slave ships were. The enslaved people, he suggested, had sufficient room, sufficient air, and sufficient provisions. When upon deck, they made merry and amused themselves with dancing... In short, the voyage from Africa to the West Indies was one of the happiest periods of their life!</w:t>
      </w:r>
      <w:r>
        <w:rPr>
          <w:sz w:val="16"/>
        </w:rPr>
        <w:t xml:space="preserve"> </w:t>
      </w:r>
      <w:r w:rsidRPr="00E42D26">
        <w:rPr>
          <w:sz w:val="16"/>
        </w:rPr>
        <w:t>To hear an extract from Mr Norris's speech</w:t>
      </w:r>
      <w:r>
        <w:rPr>
          <w:sz w:val="16"/>
        </w:rPr>
        <w:t xml:space="preserve"> </w:t>
      </w:r>
      <w:r w:rsidRPr="00E42D26">
        <w:rPr>
          <w:sz w:val="16"/>
        </w:rPr>
        <w:t>In reality, it was a system that brutalized both the sailors and the enslaved people. The captain had total authority over those aboard the ship and was answerable to nobody. Captives usually outnumbered the crew by ten to one, so they were flogged or put in thumb screws if there was any sign of rebellion. Despite this, resistance was common.</w:t>
      </w:r>
      <w:r>
        <w:rPr>
          <w:sz w:val="16"/>
        </w:rPr>
        <w:t xml:space="preserve"> </w:t>
      </w:r>
      <w:r w:rsidRPr="00E42D26">
        <w:rPr>
          <w:sz w:val="16"/>
        </w:rPr>
        <w:t>The European crews made sure that the captives were fed and forced them to exercise. On all ships, the death toll was high. Between 1680 and 1688, 23 out of every 100 people taken aboard the ships of the Royal African Company died in transit. When disease began to spread, the dying were sometimes thrown overboard. In November 1781, around 470 slaves were crammed aboard the slave ship Zong. During the voyage to Jamaica, many got sick. Seven crew and sixty Africans died. Captain Luke Collingwood ordered the sick enslaved Africans, 133 in total, thrown overboard (one survived). When the Zong arrived back in England, its owners claimed for the value of the slaves from their insurers. They argued that they had little water and the sick Africans posed a threat to the remaining cargo and crew. In 1783, the owners won their case. This case did much to show the horrors of the trade and sway public opinion against it.</w:t>
      </w:r>
      <w:r>
        <w:rPr>
          <w:sz w:val="16"/>
        </w:rPr>
        <w:t xml:space="preserve"> </w:t>
      </w:r>
      <w:r w:rsidRPr="00E42D26">
        <w:rPr>
          <w:sz w:val="16"/>
        </w:rPr>
        <w:t>The death toll amongst sailors was also appallingly high (20%). Sometimes the crew would be harshly treated on purpose during the ‘middle passage'. Fewer hands were required on the third leg and wages could be saved if the sailors jumped ship in the West Indies. It was not uncommon to see injured sailors living rough in the Caribbean and North American ports.</w:t>
      </w:r>
      <w:r>
        <w:rPr>
          <w:sz w:val="16"/>
        </w:rPr>
        <w:t xml:space="preserve"> </w:t>
      </w:r>
      <w:r w:rsidRPr="00E42D26">
        <w:rPr>
          <w:sz w:val="16"/>
        </w:rPr>
        <w:t>A law (The Dolben Act) was passed in 1788, which fixed the number of enslaved people in proportion to the ship's size but conditions were still appalling. Research by Wadstrom (published in 1794) calculated that a man was given a space of 6 feet by 1 foot 4 inches; a woman 5 feet by 1 foot 4 inches and girls 4 feet 6 inches by 1 foot.</w:t>
      </w:r>
      <w:r>
        <w:rPr>
          <w:sz w:val="16"/>
        </w:rPr>
        <w:t xml:space="preserve"> </w:t>
      </w:r>
      <w:r w:rsidRPr="00E42D26">
        <w:rPr>
          <w:sz w:val="16"/>
        </w:rPr>
        <w:t xml:space="preserve">In his speech, made to the House of Commons in 1789, William Wilberforce quoted evidence showing that not less than </w:t>
      </w:r>
      <w:r w:rsidRPr="00D67FDD">
        <w:rPr>
          <w:sz w:val="16"/>
          <w:highlight w:val="yellow"/>
        </w:rPr>
        <w:t>12½ percent of enslaved people perished in the passage and another 4½ percent died on shore, before the day of sale.</w:t>
      </w:r>
      <w:r w:rsidRPr="00E42D26">
        <w:rPr>
          <w:sz w:val="16"/>
        </w:rPr>
        <w:t xml:space="preserve"> He also described the conditions on the ships for the enslaved people.</w:t>
      </w:r>
    </w:p>
    <w:p w:rsidR="00392D4D" w:rsidRPr="00922367" w:rsidRDefault="00392D4D" w:rsidP="00392D4D">
      <w:pPr>
        <w:rPr>
          <w:rStyle w:val="StyleUnderline"/>
          <w:b/>
          <w:bCs/>
          <w:sz w:val="16"/>
        </w:rPr>
      </w:pPr>
    </w:p>
    <w:p w:rsidR="00392D4D" w:rsidRDefault="00392D4D" w:rsidP="00392D4D">
      <w:pPr>
        <w:pStyle w:val="Heading4"/>
      </w:pPr>
      <w:r>
        <w:t>Using the ocean as a metaphor for social relations covers up its nature as a space BEYOND the HUMAN and the SOCIAL.  Only an OCEAN-CENTERED ontology allows us to relate to the ocean and spillover to destabilize anthropocentrism</w:t>
      </w:r>
    </w:p>
    <w:p w:rsidR="00392D4D" w:rsidRDefault="00392D4D" w:rsidP="00392D4D">
      <w:pPr>
        <w:pStyle w:val="Citation"/>
      </w:pPr>
      <w:r>
        <w:t>Steinberg 13</w:t>
      </w:r>
    </w:p>
    <w:p w:rsidR="00392D4D" w:rsidRDefault="00392D4D" w:rsidP="00392D4D">
      <w:r>
        <w:t>Philip E. Steinberg (2013) Of other seas: metaphors and materialities in maritime regions, Atlantic Studies: Global Currents, 10:2, 156-169, DOI: 10.1080/14788810.2013.785192 P</w:t>
      </w:r>
      <w:r w:rsidRPr="00216CD6">
        <w:t xml:space="preserve">rofessor of Political Geography at </w:t>
      </w:r>
      <w:r w:rsidRPr="00216CD6">
        <w:rPr>
          <w:i/>
          <w:iCs/>
        </w:rPr>
        <w:t>Durham</w:t>
      </w:r>
      <w:r w:rsidRPr="00216CD6">
        <w:t xml:space="preserve"> University in the UK</w:t>
      </w:r>
      <w:r>
        <w:t xml:space="preserve"> 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392D4D" w:rsidRDefault="00392D4D" w:rsidP="00392D4D"/>
    <w:p w:rsidR="00392D4D" w:rsidRDefault="00392D4D" w:rsidP="00392D4D">
      <w:r>
        <w:t>Conclusion</w:t>
      </w:r>
    </w:p>
    <w:p w:rsidR="00392D4D" w:rsidRPr="005F1AAB" w:rsidRDefault="00392D4D" w:rsidP="00392D4D">
      <w:pPr>
        <w:rPr>
          <w:rStyle w:val="Emphasis"/>
        </w:rPr>
      </w:pPr>
      <w:r>
        <w:t xml:space="preserve">In her </w:t>
      </w:r>
      <w:r w:rsidRPr="00EF0570">
        <w:t>review of recent ocean-related scholarship in social and cultural geography, Kimberley Peters asks, ‘‘ Oceans and seas are three-dimensional, fluid and liquid, yet they are also undulating surfaces; how does the texture, the currents and the substance of the water impact contemporary social and cultural uses of that space? ’’ 46 Others have raised similar points. For instance, Elizabeth DeLoughrey asserts, ‘‘ Unlike terrestrial space, the perpetual circulation of ocean currents means that as a space, [the sea] necessarily dissolves local phenomenology and defracts the accumulation of narrative. ’’ 47 In a similar vein, Lambert, Martins, and Ogborn write, ‘‘ Clearly, climatic, geophysical, and ecological processes belong in work on the sea ... .</w:t>
      </w:r>
      <w:r w:rsidRPr="00EF0570">
        <w:rPr>
          <w:rStyle w:val="StyleUnderline"/>
        </w:rPr>
        <w:t xml:space="preserve">Overemphasis on </w:t>
      </w:r>
      <w:r w:rsidRPr="004060C4">
        <w:rPr>
          <w:rStyle w:val="Emphasis"/>
          <w:highlight w:val="yellow"/>
        </w:rPr>
        <w:t>human agency</w:t>
      </w:r>
      <w:r w:rsidRPr="00EF0570">
        <w:t xml:space="preserve">, especially in accounts of the Atlantic, </w:t>
      </w:r>
      <w:r w:rsidRPr="00EF0570">
        <w:rPr>
          <w:rStyle w:val="StyleUnderline"/>
        </w:rPr>
        <w:t>makes for a curiously static and empty conception of the sea</w:t>
      </w:r>
      <w:r w:rsidRPr="00EF0570">
        <w:t xml:space="preserve">, </w:t>
      </w:r>
      <w:r w:rsidRPr="00EF0570">
        <w:rPr>
          <w:rStyle w:val="StyleUnderline"/>
        </w:rPr>
        <w:t>in which it serves</w:t>
      </w:r>
      <w:r w:rsidRPr="00EF0570">
        <w:t xml:space="preserve"> </w:t>
      </w:r>
      <w:r w:rsidRPr="00EF0570">
        <w:rPr>
          <w:rStyle w:val="StyleUnderline"/>
        </w:rPr>
        <w:t xml:space="preserve">merely as </w:t>
      </w:r>
      <w:r w:rsidRPr="004060C4">
        <w:rPr>
          <w:rStyle w:val="StyleUnderline"/>
          <w:highlight w:val="yellow"/>
        </w:rPr>
        <w:t xml:space="preserve">a </w:t>
      </w:r>
      <w:r w:rsidRPr="004060C4">
        <w:rPr>
          <w:rStyle w:val="Emphasis"/>
          <w:highlight w:val="yellow"/>
        </w:rPr>
        <w:t>framework for historical investigations</w:t>
      </w:r>
      <w:r w:rsidRPr="00EF0570">
        <w:rPr>
          <w:rStyle w:val="StyleUnderline"/>
        </w:rPr>
        <w:t>,</w:t>
      </w:r>
      <w:r w:rsidRPr="00EF0570">
        <w:t xml:space="preserve"> </w:t>
      </w:r>
      <w:r w:rsidRPr="00EF0570">
        <w:rPr>
          <w:rStyle w:val="StyleUnderline"/>
        </w:rPr>
        <w:t>rather than being something with a</w:t>
      </w:r>
      <w:r w:rsidRPr="00EF0570">
        <w:t xml:space="preserve"> lively and energetic </w:t>
      </w:r>
      <w:r w:rsidRPr="00EF0570">
        <w:rPr>
          <w:rStyle w:val="StyleUnderline"/>
        </w:rPr>
        <w:t>materiality of its own</w:t>
      </w:r>
      <w:r w:rsidRPr="00EF0570">
        <w:t xml:space="preserve">. ’’ 48 Yet even those who advocate a ‘‘ more-than-human ’’ approach have difficulty incorporating the ocean ’ s geophysicality, not just as a force that impacts humans but as part of a marine assemblage in which humans are just one component. Thus, Lambert, Martins, and Ogborn </w:t>
      </w:r>
      <w:r w:rsidRPr="004060C4">
        <w:rPr>
          <w:highlight w:val="yellow"/>
        </w:rPr>
        <w:t xml:space="preserve">discuss </w:t>
      </w:r>
      <w:r w:rsidRPr="004060C4">
        <w:rPr>
          <w:rStyle w:val="StyleUnderline"/>
          <w:highlight w:val="yellow"/>
        </w:rPr>
        <w:t xml:space="preserve">narratives of the </w:t>
      </w:r>
      <w:r w:rsidRPr="004060C4">
        <w:rPr>
          <w:rStyle w:val="Emphasis"/>
          <w:highlight w:val="yellow"/>
        </w:rPr>
        <w:t>White Atlantic</w:t>
      </w:r>
      <w:r w:rsidRPr="00EF0570">
        <w:t xml:space="preserve"> (European migration), </w:t>
      </w:r>
      <w:r w:rsidRPr="004060C4">
        <w:rPr>
          <w:rStyle w:val="Emphasis"/>
          <w:highlight w:val="yellow"/>
        </w:rPr>
        <w:t>Black Atlantic</w:t>
      </w:r>
      <w:r w:rsidRPr="00EF0570">
        <w:t xml:space="preserve"> (postcolonial connections</w:t>
      </w:r>
      <w:r w:rsidRPr="004060C4">
        <w:rPr>
          <w:highlight w:val="yellow"/>
        </w:rPr>
        <w:t xml:space="preserve">), </w:t>
      </w:r>
      <w:r w:rsidRPr="004060C4">
        <w:rPr>
          <w:rStyle w:val="StyleUnderline"/>
          <w:highlight w:val="yellow"/>
        </w:rPr>
        <w:t xml:space="preserve">and </w:t>
      </w:r>
      <w:r w:rsidRPr="004060C4">
        <w:rPr>
          <w:rStyle w:val="Emphasis"/>
          <w:highlight w:val="yellow"/>
        </w:rPr>
        <w:t>Red Atlantic</w:t>
      </w:r>
      <w:r w:rsidRPr="00EF0570">
        <w:t xml:space="preserve"> (the Atlantic as a space of labor) </w:t>
      </w:r>
      <w:r w:rsidRPr="004060C4">
        <w:rPr>
          <w:highlight w:val="yellow"/>
        </w:rPr>
        <w:t xml:space="preserve">but </w:t>
      </w:r>
      <w:r w:rsidRPr="004060C4">
        <w:rPr>
          <w:rStyle w:val="StyleUnderline"/>
          <w:highlight w:val="yellow"/>
        </w:rPr>
        <w:t xml:space="preserve">curiously leave out a </w:t>
      </w:r>
      <w:r w:rsidRPr="004060C4">
        <w:rPr>
          <w:rStyle w:val="Emphasis"/>
          <w:highlight w:val="yellow"/>
        </w:rPr>
        <w:t>Blue Atlantic</w:t>
      </w:r>
      <w:r w:rsidRPr="00EF0570">
        <w:t xml:space="preserve"> (a geophysical space of dynamic liquidity), and </w:t>
      </w:r>
      <w:r w:rsidRPr="00EF0570">
        <w:rPr>
          <w:rStyle w:val="StyleUnderline"/>
        </w:rPr>
        <w:t>their example of the</w:t>
      </w:r>
      <w:r w:rsidRPr="00EF0570">
        <w:t xml:space="preserve"> North Atlantic circular system supporting the </w:t>
      </w:r>
      <w:r w:rsidRPr="00EF0570">
        <w:rPr>
          <w:rStyle w:val="Emphasis"/>
        </w:rPr>
        <w:t xml:space="preserve">‘‘ </w:t>
      </w:r>
      <w:r w:rsidRPr="004060C4">
        <w:rPr>
          <w:rStyle w:val="Emphasis"/>
          <w:highlight w:val="yellow"/>
        </w:rPr>
        <w:t>triangular trade</w:t>
      </w:r>
      <w:r w:rsidRPr="00EF0570">
        <w:t xml:space="preserve"> ’’ </w:t>
      </w:r>
      <w:r w:rsidRPr="004060C4">
        <w:rPr>
          <w:rStyle w:val="StyleUnderline"/>
          <w:highlight w:val="yellow"/>
        </w:rPr>
        <w:t>culminates in a distinctly human set of</w:t>
      </w:r>
      <w:r w:rsidRPr="00EF0570">
        <w:rPr>
          <w:rStyle w:val="StyleUnderline"/>
        </w:rPr>
        <w:t xml:space="preserve"> patterns</w:t>
      </w:r>
      <w:r w:rsidRPr="00EF0570">
        <w:t xml:space="preserve"> and interrelations </w:t>
      </w:r>
      <w:r w:rsidRPr="00EF0570">
        <w:rPr>
          <w:rStyle w:val="StyleUnderline"/>
        </w:rPr>
        <w:t>in which</w:t>
      </w:r>
      <w:r w:rsidRPr="00EF0570">
        <w:t xml:space="preserve">, as with all maritime trade, </w:t>
      </w:r>
      <w:r w:rsidRPr="004060C4">
        <w:rPr>
          <w:rStyle w:val="StyleUnderline"/>
          <w:highlight w:val="yellow"/>
        </w:rPr>
        <w:t>the underlying water is idealized as absent</w:t>
      </w:r>
      <w:r w:rsidRPr="00EF0570">
        <w:t xml:space="preserve">. 49 </w:t>
      </w:r>
      <w:r w:rsidRPr="004060C4">
        <w:rPr>
          <w:rStyle w:val="StyleUnderline"/>
          <w:highlight w:val="yellow"/>
        </w:rPr>
        <w:t>Despite their best intentions, the ocean environment</w:t>
      </w:r>
      <w:r w:rsidRPr="00EF0570">
        <w:t xml:space="preserve">, although recognized as being more complex than a mere surface, </w:t>
      </w:r>
      <w:r w:rsidRPr="004060C4">
        <w:rPr>
          <w:rStyle w:val="Emphasis"/>
          <w:highlight w:val="yellow"/>
        </w:rPr>
        <w:t>is still treated as ‘‘ a framework for historical investigations</w:t>
      </w:r>
      <w:r w:rsidRPr="00EF0570">
        <w:t xml:space="preserve">. ’’ A more systematic attempt to integrate geophysicality into our understanding of human activities in the sea can be seen in recently published works by Kimberley Peters and by Jon Anderson. Peters focuses on pirate radio broadcasters who are continually thwarted in their attempts to idealize the ocean as an abstract, extra-legal, extra-national space. Reflecting on the affective interaction between the maritime broadcaster and the sea, she conceptualizes a ‘‘ hydro-materiality ’’ that incorporates 164 P.E. Steinberg Downloaded by [Harvard Library] at 15:01 08 May 2014 mobile biota (both human and non-human) as well as technologies and objects. 50 The geophysical properties of the ocean take on an even more profound role in Anderson ’ s research on surfing. He uses the relationship between the surfer and the wave to explore how the assemblage perspective can be expanded (or modified) to interpret fleeting moments of socio-biological-geophysical convergence. This ontology of convergence may well characterize all moments in time, but its applicability is particularly profound in the ocean because of the ocean ’ s underlying dynamism. 51 Peters and Anderson propose just two of the many ways in which we can take the ocean seriously as a complex space of circulations. </w:t>
      </w:r>
      <w:r w:rsidRPr="005F1AAB">
        <w:rPr>
          <w:rStyle w:val="StyleUnderline"/>
        </w:rPr>
        <w:t xml:space="preserve">These circulations are comprised not just of the people, ideas, commodities, and ships that move across its surface or the fish who swim in its water. </w:t>
      </w:r>
      <w:r w:rsidRPr="00EF0570">
        <w:t xml:space="preserve">Rather, in a more fundamental way, </w:t>
      </w:r>
      <w:r w:rsidRPr="005F1AAB">
        <w:rPr>
          <w:rStyle w:val="StyleUnderline"/>
        </w:rPr>
        <w:t xml:space="preserve">the ocean is a space of circulation because it is constituted through its very geophysical mobility. </w:t>
      </w:r>
      <w:r w:rsidRPr="00EF0570">
        <w:t xml:space="preserve">As in Lagrangian fluid dynamics, </w:t>
      </w:r>
      <w:r w:rsidRPr="005F1AAB">
        <w:rPr>
          <w:rStyle w:val="StyleUnderline"/>
        </w:rPr>
        <w:t>movement is not something that happens between places, connecting discrete points</w:t>
      </w:r>
      <w:r w:rsidRPr="00EF0570">
        <w:t xml:space="preserve"> on a ‘‘ rim. ’’ Rather, </w:t>
      </w:r>
      <w:r w:rsidRPr="005F1AAB">
        <w:rPr>
          <w:rStyle w:val="StyleUnderline"/>
        </w:rPr>
        <w:t>movement emerges as the very essence of the ocean region</w:t>
      </w:r>
      <w:r w:rsidRPr="00EF0570">
        <w:t xml:space="preserve">, including the aqueous mass at its center. From this perspective, </w:t>
      </w:r>
      <w:r w:rsidRPr="004060C4">
        <w:rPr>
          <w:rStyle w:val="StyleUnderline"/>
          <w:highlight w:val="yellow"/>
        </w:rPr>
        <w:t>the ocean becomes the object of our focus not because it is a space that facilitates movement</w:t>
      </w:r>
      <w:r w:rsidRPr="00EF0570">
        <w:t xml:space="preserve"> the space across which things move </w:t>
      </w:r>
      <w:r w:rsidRPr="005F1AAB">
        <w:rPr>
          <w:rStyle w:val="StyleUnderline"/>
        </w:rPr>
        <w:t xml:space="preserve">but because it is a space that is constituted by </w:t>
      </w:r>
      <w:r w:rsidRPr="00EF0570">
        <w:t xml:space="preserve">and constitutive of </w:t>
      </w:r>
      <w:r w:rsidRPr="005F1AAB">
        <w:rPr>
          <w:rStyle w:val="StyleUnderline"/>
        </w:rPr>
        <w:t>movement</w:t>
      </w:r>
      <w:r w:rsidRPr="00EF0570">
        <w:t xml:space="preserve">. This perspective not only enables us to understand the ocean in its entirety; </w:t>
      </w:r>
      <w:r w:rsidRPr="005F1AAB">
        <w:rPr>
          <w:rStyle w:val="StyleUnderline"/>
        </w:rPr>
        <w:t>it disassembles accepted understandings of relations between space and time</w:t>
      </w:r>
      <w:r w:rsidRPr="00EF0570">
        <w:t xml:space="preserve">, between stasis and mobility, and between human and non-human actants like ships, navigational aids, and water molecules. </w:t>
      </w:r>
      <w:r w:rsidRPr="005F1AAB">
        <w:rPr>
          <w:rStyle w:val="StyleUnderline"/>
        </w:rPr>
        <w:t xml:space="preserve">This perspective suggests an ambitious agenda, </w:t>
      </w:r>
      <w:r w:rsidRPr="00EF0570">
        <w:t xml:space="preserve">and one </w:t>
      </w:r>
      <w:r w:rsidRPr="005F1AAB">
        <w:rPr>
          <w:rStyle w:val="StyleUnderline"/>
        </w:rPr>
        <w:t>that goes well beyond</w:t>
      </w:r>
      <w:r w:rsidRPr="00EF0570">
        <w:t xml:space="preserve"> more established goals in the ocean-region studies community, such as </w:t>
      </w:r>
      <w:r w:rsidRPr="005F1AAB">
        <w:rPr>
          <w:rStyle w:val="StyleUnderline"/>
        </w:rPr>
        <w:t>highlighting exchange over production or emphasizing the hybrid nature of cultural identities</w:t>
      </w:r>
      <w:r w:rsidRPr="00EF0570">
        <w:t>. And yet</w:t>
      </w:r>
      <w:r w:rsidRPr="004060C4">
        <w:rPr>
          <w:highlight w:val="yellow"/>
        </w:rPr>
        <w:t xml:space="preserve">, </w:t>
      </w:r>
      <w:r w:rsidRPr="004060C4">
        <w:rPr>
          <w:rStyle w:val="Emphasis"/>
          <w:highlight w:val="yellow"/>
        </w:rPr>
        <w:t>it is only through engaging with the ocean in all its material complexity that we can develop the fluid perspective that allows us to use the sea to look beyond the sea.</w:t>
      </w:r>
    </w:p>
    <w:p w:rsidR="00392D4D" w:rsidRPr="00EF0570" w:rsidRDefault="00392D4D" w:rsidP="00392D4D"/>
    <w:p w:rsidR="00392D4D" w:rsidRDefault="00392D4D" w:rsidP="00392D4D">
      <w:pPr>
        <w:pStyle w:val="Heading4"/>
      </w:pPr>
      <w:r>
        <w:t>Accounts of the middle passage and transatlantic that CENTER history in ocean studies DISPLACE its materiality.  Clearly their historical account is important, but should not be understood as OCEAN exploration because it’s exploring SOCIALITY</w:t>
      </w:r>
    </w:p>
    <w:p w:rsidR="00392D4D" w:rsidRDefault="00392D4D" w:rsidP="00392D4D">
      <w:pPr>
        <w:pStyle w:val="Citation"/>
      </w:pPr>
      <w:r>
        <w:t>Steinberg 13</w:t>
      </w:r>
    </w:p>
    <w:p w:rsidR="00392D4D" w:rsidRDefault="00392D4D" w:rsidP="00392D4D">
      <w:r>
        <w:t>Philip E. Steinberg (2013) Of other seas: metaphors and materialities in maritime regions, Atlantic Studies: Global Currents, 10:2, 156-169, DOI: 10.1080/14788810.2013.785192 P</w:t>
      </w:r>
      <w:r w:rsidRPr="00216CD6">
        <w:t xml:space="preserve">rofessor of Political Geography at </w:t>
      </w:r>
      <w:r w:rsidRPr="00216CD6">
        <w:rPr>
          <w:i/>
          <w:iCs/>
        </w:rPr>
        <w:t>Durham</w:t>
      </w:r>
      <w:r w:rsidRPr="00216CD6">
        <w:t xml:space="preserve"> University in the UK</w:t>
      </w:r>
      <w:r>
        <w:t xml:space="preserve"> 9/94 – 5/96 Ph.D., Clark University, Worcester, MA. Major: Geography. Dissertation: Capitalism, Modernity, and the Territorial Construction of Ocean Space. Supervisory committee: J. Richard Peet (chair), Roger Kasperson, David Angel, Janice Thomson, Robert Vitalis. 9/90 – 5/94 M.A., Clark University, Worcester, MA. Major: Geography. 9/83 – 5/87 B.A., Oberlin College, Oberlin, OH. Major: Politics / Third World Studies.</w:t>
      </w:r>
    </w:p>
    <w:p w:rsidR="00392D4D" w:rsidRDefault="00392D4D" w:rsidP="00392D4D">
      <w:r>
        <w:t xml:space="preserve">In this light, it </w:t>
      </w:r>
      <w:r w:rsidRPr="005F1AAB">
        <w:t xml:space="preserve">is interesting to compare Dirlik ’ s Pacific Rim with Paul Gilroy ’ s The Black Atlantic . 16 At first glance, Gilroy seems to cover the material (and the space) ignored by Dirlik. Whereas the distance and materiality of the ocean inside Dirlik ’ s Pacific Rim are seamlessly transcended by the circuits of multinational capital, the space in the middle (the Atlantic) and the frictions encountered in its crossing are central for Gilroy. </w:t>
      </w:r>
      <w:r w:rsidRPr="007A7A1B">
        <w:rPr>
          <w:rStyle w:val="StyleUnderline"/>
        </w:rPr>
        <w:t>The Black Atlantic is</w:t>
      </w:r>
      <w:r w:rsidRPr="005F1AAB">
        <w:t xml:space="preserve"> primarily a </w:t>
      </w:r>
      <w:r w:rsidRPr="007A7A1B">
        <w:rPr>
          <w:rStyle w:val="StyleUnderline"/>
        </w:rPr>
        <w:t xml:space="preserve">book about the connections that persist among members of the African diaspora </w:t>
      </w:r>
      <w:r w:rsidRPr="005F1AAB">
        <w:t xml:space="preserve">and the ungrounded, unbounded, and multifaceted identities that result, </w:t>
      </w:r>
      <w:r w:rsidRPr="004060C4">
        <w:rPr>
          <w:rStyle w:val="StyleUnderline"/>
          <w:highlight w:val="yellow"/>
        </w:rPr>
        <w:t xml:space="preserve">and the trope of the </w:t>
      </w:r>
      <w:r w:rsidRPr="004060C4">
        <w:rPr>
          <w:rStyle w:val="Emphasis"/>
          <w:highlight w:val="yellow"/>
        </w:rPr>
        <w:t>Middle Passage</w:t>
      </w:r>
      <w:r w:rsidRPr="004060C4">
        <w:rPr>
          <w:rStyle w:val="StyleUnderline"/>
          <w:highlight w:val="yellow"/>
        </w:rPr>
        <w:t xml:space="preserve"> is deployed throughout</w:t>
      </w:r>
      <w:r w:rsidRPr="005F1AAB">
        <w:t xml:space="preserve"> the book to reference the travel of African-inspired ideas and cultural products, as well as bodies, that continues to this day. Nonetheless, </w:t>
      </w:r>
      <w:r w:rsidRPr="007A7A1B">
        <w:rPr>
          <w:rStyle w:val="StyleUnderline"/>
        </w:rPr>
        <w:t>even as Gilroy appears to reference the ocean</w:t>
      </w:r>
      <w:r w:rsidRPr="005F1AAB">
        <w:t xml:space="preserve">, </w:t>
      </w:r>
      <w:r w:rsidRPr="007A7A1B">
        <w:rPr>
          <w:rStyle w:val="StyleUnderline"/>
        </w:rPr>
        <w:t>the ultimate target of these references is far removed from the liquid space across which ships carrying Africans historically traveled</w:t>
      </w:r>
      <w:r w:rsidRPr="005F1AAB">
        <w:t xml:space="preserve">. In fact, the geographic space of the ocean is twice removed from the phenomenon that captures Gilroy ’ s attention: </w:t>
      </w:r>
      <w:r w:rsidRPr="007A7A1B">
        <w:rPr>
          <w:rStyle w:val="StyleUnderline"/>
        </w:rPr>
        <w:t xml:space="preserve">it is used to reference </w:t>
      </w:r>
      <w:r w:rsidRPr="007A7A1B">
        <w:rPr>
          <w:rStyle w:val="Emphasis"/>
        </w:rPr>
        <w:t>the Middle Passage</w:t>
      </w:r>
      <w:r w:rsidRPr="005F1AAB">
        <w:t xml:space="preserve"> </w:t>
      </w:r>
      <w:r w:rsidRPr="007A7A1B">
        <w:rPr>
          <w:rStyle w:val="StyleUnderline"/>
        </w:rPr>
        <w:t>which</w:t>
      </w:r>
      <w:r w:rsidRPr="005F1AAB">
        <w:t xml:space="preserve"> in turn </w:t>
      </w:r>
      <w:r w:rsidRPr="007A7A1B">
        <w:rPr>
          <w:rStyle w:val="StyleUnderline"/>
        </w:rPr>
        <w:t>is used to reference contemporary flows</w:t>
      </w:r>
      <w:r w:rsidRPr="005F1AAB">
        <w:t xml:space="preserve">, and by the time one connects this chain of references </w:t>
      </w:r>
      <w:r w:rsidRPr="007A7A1B">
        <w:rPr>
          <w:rStyle w:val="StyleUnderline"/>
        </w:rPr>
        <w:t>the materiality of the Atlantic is long forgotten</w:t>
      </w:r>
      <w:r w:rsidRPr="005F1AAB">
        <w:t xml:space="preserve">. </w:t>
      </w:r>
      <w:r w:rsidRPr="007A7A1B">
        <w:rPr>
          <w:rStyle w:val="StyleUnderline"/>
        </w:rPr>
        <w:t>Venturing into Gilroy ’ s Black Atlantic, one never gets wet</w:t>
      </w:r>
      <w:r w:rsidRPr="005F1AAB">
        <w:t xml:space="preserve">. 158 P.E. Steinberg Downloaded by [Harvard Library] at 15:01 08 May 2014 The problem, then, is not that studies that reference an oceanic center lack empirical depth. Rather, </w:t>
      </w:r>
      <w:r w:rsidRPr="004060C4">
        <w:rPr>
          <w:rStyle w:val="StyleUnderline"/>
          <w:highlight w:val="yellow"/>
        </w:rPr>
        <w:t>the</w:t>
      </w:r>
      <w:r w:rsidRPr="004060C4">
        <w:rPr>
          <w:rStyle w:val="Emphasis"/>
          <w:highlight w:val="yellow"/>
        </w:rPr>
        <w:t xml:space="preserve"> problem</w:t>
      </w:r>
      <w:r w:rsidRPr="004060C4">
        <w:rPr>
          <w:rStyle w:val="StyleUnderline"/>
          <w:highlight w:val="yellow"/>
        </w:rPr>
        <w:t xml:space="preserve"> is that the experiences referenced through these studies typically are partial, mediated, and distinct from</w:t>
      </w:r>
      <w:r w:rsidRPr="007A7A1B">
        <w:rPr>
          <w:rStyle w:val="StyleUnderline"/>
        </w:rPr>
        <w:t xml:space="preserve"> the various non-human elements</w:t>
      </w:r>
      <w:r w:rsidRPr="005F1AAB">
        <w:t xml:space="preserve"> that combine in maritime space </w:t>
      </w:r>
      <w:r w:rsidRPr="007A7A1B">
        <w:rPr>
          <w:rStyle w:val="StyleUnderline"/>
        </w:rPr>
        <w:t>to make the ocean what it is.</w:t>
      </w:r>
      <w:r w:rsidRPr="005F1AAB">
        <w:t xml:space="preserve"> This then leads us back to Blum ’ s call for a turn to actual experiences of the sea, as have been chronicled by anthropologists, labor historians, and historical geographers, as well as in maritime or coastal-based fiction.</w:t>
      </w:r>
      <w:r>
        <w:t xml:space="preserve"> </w:t>
      </w:r>
      <w:r w:rsidRPr="005F1AAB">
        <w:t xml:space="preserve">Unfortunately, a scholar of (Western) literature or history who pursues this agenda soon runs into methodological limits. As John Mack notes, Western accounts of ‘‘ life at sea, ’’ whether fictional or historical, are typically about ‘‘ life on ship, ’’ as they fail to attend to the surface on which the ship floats, let alone what transpires beneath that surface. 17 And yet, contrary to Dirlik ’ s dismissal, </w:t>
      </w:r>
      <w:r w:rsidRPr="007A7A1B">
        <w:rPr>
          <w:rStyle w:val="StyleUnderline"/>
        </w:rPr>
        <w:t>the physical geography of the ocean does matter.</w:t>
      </w:r>
      <w:r w:rsidRPr="005F1AAB">
        <w:t xml:space="preserve"> </w:t>
      </w:r>
      <w:r w:rsidRPr="007A7A1B">
        <w:rPr>
          <w:rStyle w:val="StyleUnderline"/>
        </w:rPr>
        <w:t>How we interact with</w:t>
      </w:r>
      <w:r w:rsidRPr="005F1AAB">
        <w:t xml:space="preserve">, utilize the resources of, and regulate </w:t>
      </w:r>
      <w:r w:rsidRPr="007A7A1B">
        <w:rPr>
          <w:rStyle w:val="StyleUnderline"/>
        </w:rPr>
        <w:t>the oceans</w:t>
      </w:r>
      <w:r w:rsidRPr="005F1AAB">
        <w:t xml:space="preserve"> that bind our ocean regions </w:t>
      </w:r>
      <w:r w:rsidRPr="007A7A1B">
        <w:rPr>
          <w:rStyle w:val="StyleUnderline"/>
        </w:rPr>
        <w:t xml:space="preserve">is intimately connected with how we understand those oceans as </w:t>
      </w:r>
      <w:r w:rsidRPr="007A7A1B">
        <w:rPr>
          <w:rStyle w:val="Emphasis"/>
        </w:rPr>
        <w:t>physical entities</w:t>
      </w:r>
      <w:r w:rsidRPr="005F1AAB">
        <w:t xml:space="preserve">: as wet, mobile, dynamic, deep, dark spaces that are characterized by complex movements and interdependencies of water molecules, minerals, and non-human biota as well as humans and their ships. </w:t>
      </w:r>
      <w:r w:rsidRPr="007A7A1B">
        <w:rPr>
          <w:rStyle w:val="StyleUnderline"/>
        </w:rPr>
        <w:t xml:space="preserve">The oceans that unify our ocean regions are much more than surfaces for </w:t>
      </w:r>
      <w:r w:rsidRPr="004060C4">
        <w:rPr>
          <w:rStyle w:val="StyleUnderline"/>
          <w:highlight w:val="yellow"/>
        </w:rPr>
        <w:t xml:space="preserve">the </w:t>
      </w:r>
      <w:r w:rsidRPr="004060C4">
        <w:rPr>
          <w:rStyle w:val="Emphasis"/>
          <w:highlight w:val="yellow"/>
        </w:rPr>
        <w:t>movement of ships</w:t>
      </w:r>
      <w:r w:rsidRPr="007A7A1B">
        <w:rPr>
          <w:rStyle w:val="StyleUnderline"/>
        </w:rPr>
        <w:t xml:space="preserve"> (or</w:t>
      </w:r>
      <w:r w:rsidRPr="005F1AAB">
        <w:t xml:space="preserve"> for the movement of </w:t>
      </w:r>
      <w:r w:rsidRPr="007A7A1B">
        <w:rPr>
          <w:rStyle w:val="StyleUnderline"/>
        </w:rPr>
        <w:t>ideas, commodities, money, or people</w:t>
      </w:r>
      <w:r w:rsidRPr="005F1AAB">
        <w:t xml:space="preserve">) and they are much more than spaces in which we hunt for resources. Although these are the perspectives typically deployed in humancentered sea stories (i.e. the ones advocated by Blum), such perspectives only begin to address the reality of the sea that makes these encounters possible. </w:t>
      </w:r>
      <w:r w:rsidRPr="007A7A1B">
        <w:rPr>
          <w:rStyle w:val="StyleUnderline"/>
        </w:rPr>
        <w:t>Rather, the oceans that anchor ocean regions need to be understood as ‘‘ more-than-human ’’ assemblages</w:t>
      </w:r>
      <w:r w:rsidRPr="005F1AAB">
        <w:t xml:space="preserve">, 18 reproduced by scientists, 19 sailors, 20 fishers, 21 surfers, 22 divers, 23 passengers, 24 and even pirate broadcasters 25 as they interact with and are co-constituted by the universe of mobile non-human elements that also inhabit its depths, including ships, fish, and water molecules. 26 Although </w:t>
      </w:r>
      <w:r w:rsidRPr="004060C4">
        <w:rPr>
          <w:rStyle w:val="StyleUnderline"/>
          <w:highlight w:val="yellow"/>
        </w:rPr>
        <w:t>the actions and interests of humans around the ocean ’ s edges and on its surface certainly matter</w:t>
      </w:r>
      <w:r w:rsidRPr="004060C4">
        <w:rPr>
          <w:highlight w:val="yellow"/>
        </w:rPr>
        <w:t xml:space="preserve">, </w:t>
      </w:r>
      <w:r w:rsidRPr="004060C4">
        <w:rPr>
          <w:rStyle w:val="Emphasis"/>
          <w:highlight w:val="yellow"/>
        </w:rPr>
        <w:t>a story that begins and ends with human ‘‘ crossings ’’ or ‘‘ uses ’’ of the sea will always be incomplete</w:t>
      </w:r>
      <w:r w:rsidRPr="005F1AAB">
        <w:t xml:space="preserve">. The physical boundaries of a maritime region are indeed human-defined as Dirlik asserts, but </w:t>
      </w:r>
      <w:r w:rsidRPr="007A7A1B">
        <w:rPr>
          <w:rStyle w:val="StyleUnderline"/>
        </w:rPr>
        <w:t>the underlying</w:t>
      </w:r>
      <w:r w:rsidRPr="005F1AAB">
        <w:t xml:space="preserve">, and specifically </w:t>
      </w:r>
      <w:r w:rsidRPr="007A7A1B">
        <w:rPr>
          <w:rStyle w:val="StyleUnderline"/>
        </w:rPr>
        <w:t>liquid nature of the ocean at its center needs to be understood as emergent with, and not merely as an underlying context for, human activities</w:t>
      </w:r>
      <w:r>
        <w:t>.</w:t>
      </w:r>
    </w:p>
    <w:p w:rsidR="00392D4D" w:rsidRDefault="00392D4D" w:rsidP="00392D4D"/>
    <w:p w:rsidR="00392D4D" w:rsidRDefault="00392D4D" w:rsidP="00392D4D">
      <w:pPr>
        <w:pStyle w:val="Citation"/>
      </w:pPr>
    </w:p>
    <w:p w:rsidR="00392D4D" w:rsidRDefault="00392D4D" w:rsidP="00392D4D">
      <w:pPr>
        <w:pStyle w:val="Heading4"/>
      </w:pPr>
      <w:r>
        <w:t>Using the Middle Passage as an emblem not only reduces the OCEAN – it reduces the important particulars of transatlantic slave trade</w:t>
      </w:r>
    </w:p>
    <w:p w:rsidR="00392D4D" w:rsidRDefault="00392D4D" w:rsidP="00392D4D">
      <w:pPr>
        <w:pStyle w:val="Citation"/>
        <w:rPr>
          <w:sz w:val="16"/>
        </w:rPr>
      </w:pPr>
      <w:r w:rsidRPr="00B33D1B">
        <w:t>Dayan 96</w:t>
      </w:r>
      <w:r>
        <w:rPr>
          <w:sz w:val="16"/>
        </w:rPr>
        <w:t xml:space="preserve"> </w:t>
      </w:r>
    </w:p>
    <w:p w:rsidR="00392D4D" w:rsidRDefault="00392D4D" w:rsidP="00392D4D">
      <w:r>
        <w:t xml:space="preserve">Paul Gilroy's Slaves, Ships, and Routes: The Middle Passage as Metaphor Joan Dayan Research in African Literatures, Vol. 27, No. 4 (Winter, 1996), pp. 7-14 </w:t>
      </w:r>
      <w:r w:rsidRPr="0063350F">
        <w:t>Colin Dayan (also known as Joan Dayan), is the Robert Penn Warren Professor in the Humanities at Vanderbilt University, where she teaches American Studies, comparative literature, and the religious and legal history of the Americas. She has written extensively on prison law and torture, Caribbean culture and literary history, as well as on Haitian poetics, Edgar Allan Poe, and the history of slavery. After receiving her Ph.D. from the City University of New York Graduate Center in 1980, she taught at Princeton University, Yale University, the City University of New York, the University of Arizona, and the University of Pennsylvania.</w:t>
      </w:r>
    </w:p>
    <w:p w:rsidR="00392D4D" w:rsidRDefault="00392D4D" w:rsidP="00392D4D">
      <w:pPr>
        <w:jc w:val="both"/>
        <w:rPr>
          <w:sz w:val="16"/>
        </w:rPr>
      </w:pPr>
    </w:p>
    <w:p w:rsidR="00392D4D" w:rsidRDefault="00392D4D" w:rsidP="00392D4D">
      <w:pPr>
        <w:jc w:val="both"/>
        <w:rPr>
          <w:sz w:val="16"/>
        </w:rPr>
      </w:pPr>
      <w:r>
        <w:rPr>
          <w:sz w:val="16"/>
        </w:rPr>
        <w:t xml:space="preserve">Paul Gilroy's The Black Atlantic: Modernity and Double Consciousness-a cartographyo f celebratoryjo urneys-reads like an expurgated epic history. The Black Atlantic refers to, and stresses again and again, the rites of </w:t>
      </w:r>
      <w:r w:rsidRPr="004060C4">
        <w:rPr>
          <w:rStyle w:val="Emphasis"/>
          <w:highlight w:val="yellow"/>
        </w:rPr>
        <w:t>the Middle Passage</w:t>
      </w:r>
      <w:r>
        <w:rPr>
          <w:sz w:val="16"/>
        </w:rPr>
        <w:t>, the journey from Africa to the New World</w:t>
      </w:r>
      <w:r w:rsidRPr="004060C4">
        <w:rPr>
          <w:sz w:val="16"/>
          <w:highlight w:val="yellow"/>
        </w:rPr>
        <w:t xml:space="preserve">, </w:t>
      </w:r>
      <w:r w:rsidRPr="004060C4">
        <w:rPr>
          <w:rStyle w:val="StyleUnderline"/>
          <w:highlight w:val="yellow"/>
        </w:rPr>
        <w:t>as a kind of origin myth f</w:t>
      </w:r>
      <w:r w:rsidRPr="001A7DEC">
        <w:rPr>
          <w:rStyle w:val="StyleUnderline"/>
        </w:rPr>
        <w:t xml:space="preserve">or </w:t>
      </w:r>
      <w:r w:rsidRPr="004A5D79">
        <w:t>later chosen tales of</w:t>
      </w:r>
      <w:r w:rsidRPr="001A7DEC">
        <w:rPr>
          <w:rStyle w:val="StyleUnderline"/>
        </w:rPr>
        <w:t xml:space="preserve"> </w:t>
      </w:r>
      <w:r w:rsidRPr="004060C4">
        <w:rPr>
          <w:rStyle w:val="Emphasis"/>
          <w:highlight w:val="yellow"/>
        </w:rPr>
        <w:t>ocean crossings</w:t>
      </w:r>
      <w:r>
        <w:rPr>
          <w:sz w:val="16"/>
        </w:rPr>
        <w:t xml:space="preserve"> by Wright, Du Bois, Douglass, and others who make a modern journey from the Americas to Europe. Yet, there </w:t>
      </w:r>
      <w:r w:rsidRPr="004A5D79">
        <w:t>is something oddly dissembling</w:t>
      </w:r>
      <w:r>
        <w:rPr>
          <w:sz w:val="16"/>
        </w:rPr>
        <w:t xml:space="preserve"> about those sites of what Gilroy calls "contamination." For the idea of slavery, so central to his argument (and so necessary to our understandingo f what he calls the enlightened" complicityo f reasona nd terror") </w:t>
      </w:r>
      <w:r w:rsidRPr="004060C4">
        <w:rPr>
          <w:rStyle w:val="StyleUnderline"/>
          <w:highlight w:val="yellow"/>
        </w:rPr>
        <w:t xml:space="preserve">becomes </w:t>
      </w:r>
      <w:r w:rsidRPr="004060C4">
        <w:rPr>
          <w:rStyle w:val="Emphasis"/>
          <w:highlight w:val="yellow"/>
        </w:rPr>
        <w:t>nothing more than a metaphor</w:t>
      </w:r>
      <w:r>
        <w:rPr>
          <w:sz w:val="16"/>
        </w:rPr>
        <w:t xml:space="preserve">. How this happens demands some discussion.A lthoughG ilroya rguesa gainst" Africentrisma"n di ts cult of Africathe nostalgia for Pharaoh's treasures instead of the liberation of the Exodus story-in Gilroy's story, </w:t>
      </w:r>
      <w:r w:rsidRPr="004060C4">
        <w:rPr>
          <w:rStyle w:val="StyleUnderline"/>
          <w:highlight w:val="yellow"/>
        </w:rPr>
        <w:t>the slave ship</w:t>
      </w:r>
      <w:r>
        <w:rPr>
          <w:sz w:val="16"/>
        </w:rPr>
        <w:t xml:space="preserve">, the Middle Passage, and finally slavery </w:t>
      </w:r>
      <w:r w:rsidRPr="004060C4">
        <w:rPr>
          <w:rStyle w:val="StyleUnderline"/>
          <w:highlight w:val="yellow"/>
        </w:rPr>
        <w:t xml:space="preserve">itself become </w:t>
      </w:r>
      <w:r w:rsidRPr="004060C4">
        <w:rPr>
          <w:rStyle w:val="Emphasis"/>
          <w:highlight w:val="yellow"/>
        </w:rPr>
        <w:t>frozen</w:t>
      </w:r>
      <w:r w:rsidRPr="004060C4">
        <w:rPr>
          <w:sz w:val="16"/>
          <w:highlight w:val="yellow"/>
        </w:rPr>
        <w:t>,</w:t>
      </w:r>
      <w:r>
        <w:rPr>
          <w:sz w:val="16"/>
        </w:rPr>
        <w:t xml:space="preserve"> </w:t>
      </w:r>
      <w:r w:rsidRPr="004A5D79">
        <w:t>things that can be referred to and looked back upon,</w:t>
      </w:r>
      <w:r>
        <w:rPr>
          <w:sz w:val="16"/>
        </w:rPr>
        <w:t xml:space="preserve"> but </w:t>
      </w:r>
      <w:r w:rsidRPr="004060C4">
        <w:rPr>
          <w:rStyle w:val="StyleUnderline"/>
          <w:highlight w:val="yellow"/>
        </w:rPr>
        <w:t>always wrenched out of an historically specific continuum</w:t>
      </w:r>
      <w:r>
        <w:rPr>
          <w:sz w:val="16"/>
        </w:rPr>
        <w:t xml:space="preserve">. </w:t>
      </w:r>
      <w:r w:rsidRPr="004A5D79">
        <w:t>What is missing is the continuity of the Middle Passage in today's world of less obvious, but no less pernicious enslavement. Although I can appreciate the terms used, and laud Gilroy's call for retrieval of a past either ignored or misrepresented</w:t>
      </w:r>
      <w:r>
        <w:rPr>
          <w:sz w:val="16"/>
        </w:rPr>
        <w:t xml:space="preserve">, something is not quite right aboutt his heroics of choice and collaborationA. s terms like "hybridity,"" contamination," "mixture,"a nd "culturafl usion"w ere repeated,I wondereda boutt heirg rounding in history.W hat history?W hose history?T he answeri s apparentlys imple: black history-a "transnationadl,i asporic"h istoryo f black slaves with the "slave ship" as vessel of transit and means to knowledge. In Gilroy's </w:t>
      </w:r>
      <w:r w:rsidRPr="004A5D79">
        <w:t>attempt to anchor "black modernism" in "a continued proximity to the unspeakable terrors of the slave experience</w:t>
      </w:r>
      <w:r>
        <w:rPr>
          <w:sz w:val="16"/>
        </w:rPr>
        <w:t xml:space="preserve">," </w:t>
      </w:r>
      <w:r w:rsidRPr="004060C4">
        <w:rPr>
          <w:rStyle w:val="StyleUnderline"/>
          <w:highlight w:val="yellow"/>
        </w:rPr>
        <w:t>the slave experience becomes an icon for modernity</w:t>
      </w:r>
      <w:r w:rsidRPr="004060C4">
        <w:rPr>
          <w:sz w:val="16"/>
          <w:highlight w:val="yellow"/>
        </w:rPr>
        <w:t xml:space="preserve">; </w:t>
      </w:r>
      <w:r w:rsidRPr="004060C4">
        <w:rPr>
          <w:rStyle w:val="StyleUnderline"/>
          <w:highlight w:val="yellow"/>
        </w:rPr>
        <w:t>and</w:t>
      </w:r>
      <w:r>
        <w:rPr>
          <w:sz w:val="16"/>
        </w:rPr>
        <w:t xml:space="preserve"> in a strangely magical way, </w:t>
      </w:r>
      <w:r w:rsidRPr="004060C4">
        <w:rPr>
          <w:rStyle w:val="StyleUnderline"/>
          <w:highlight w:val="yellow"/>
        </w:rPr>
        <w:t>the Middle Passage becomes a metaphor</w:t>
      </w:r>
      <w:r w:rsidRPr="004060C4">
        <w:rPr>
          <w:sz w:val="16"/>
          <w:highlight w:val="yellow"/>
        </w:rPr>
        <w:t xml:space="preserve">, </w:t>
      </w:r>
      <w:r w:rsidRPr="004060C4">
        <w:rPr>
          <w:rStyle w:val="StyleUnderline"/>
          <w:highlight w:val="yellow"/>
        </w:rPr>
        <w:t>anchored somewhere in a vanishing history</w:t>
      </w:r>
      <w:r>
        <w:rPr>
          <w:sz w:val="16"/>
        </w:rPr>
        <w:t>. In Gilroy's transit there is no historical past except as an empty fact turned into a fashionable call that dulls any response that could carry the Middle Passage, slavery, ships, and routes into the present transnational drive of global capital and political terror. Gilroy stops short of questioning the choice of exile and passage by a minority of educated elites whose names we remember: Delaney, Douglass, Du Bois, and Wright, to name a few of Gilroy's chosen, along with the conveyors of "hip-hop," soul music, and rap in Gilroy's new, "keep on moving," world. Gilroy's Middle Passage and his celebration of "crossculturacl irculation"a nd "nomadism"le nd a false idea of choice to forced Migration Let me turn briefly to what I take to be the incisive plot of Gilroy's reflections, a plot that undergirdst he images and charactersc alled up on his broadc anvas of modernity</w:t>
      </w:r>
      <w:r w:rsidRPr="004A5D79">
        <w:t xml:space="preserve">. </w:t>
      </w:r>
      <w:r w:rsidRPr="004060C4">
        <w:rPr>
          <w:highlight w:val="yellow"/>
        </w:rPr>
        <w:t>The plot takes up three or four moments in the historiography and representation of a new racialized culture of modernity or those of us who do literary history, the recovery of the institution of slavery and the presence of African Americans in the texts of the so-called "American Renaissance" have been essential to a rereading of gothic fiction in the America</w:t>
      </w:r>
      <w:r w:rsidRPr="004A5D79">
        <w:t>s</w:t>
      </w:r>
      <w:r>
        <w:rPr>
          <w:sz w:val="16"/>
        </w:rPr>
        <w:t xml:space="preserve">. Even the supernatural in many gothic tales, as I argued in "Amorous Bondage," had its real basis in the languageo f slaverya nd colonization,p ut fortha s the most naturalt hing in the world. One has only to read the 1685 Code noir of Louis XIV, that collection of edicts concerning "the Discipline and Commerce of Negro Slaves in the French Islands of America," to understandh ow what first seemed phantasmagoricis locked into a nature mangled and relived as a spectacle of servitude. In fixing his critique in his "deep sense of the complicity of racial terror with reason," Gilroy explores, "the ways in which closeness to the ineffable terrors of slavery was kept alive-carefully cultivated-in ritualized, social forms" (73). Here is a key to the excitement to be found in Gilroy's "doubleness":f or these social forms might reside in a practice like Haitian vodou, utterly cooptive, and absorptive-a ritualr eenactmento f the colonial past, as well as an alternativep hilosophy. Gilroy's ruminationss eem to encourages uch movementst o and fro, for "transnationald, iasporicc ulturali nnovation"a lways cuts both ways. Slavery is the hub-the rite of memory,a stayingc lose to "terror"in ordert o recognizea gain and again "the complicity of rationality and ethnocidal terror to which this book is </w:t>
      </w:r>
      <w:r w:rsidRPr="004A5D79">
        <w:t>dedicated" (213). Claiming quite rightly that slavery is not the "special property" of blacks-some easily discarded residue-but rather" a part of the ethical and intellectual heritage of the West as a whole" (49), Gilroy announces that it's time to reconstruct "the primal history of modernity" from the "slaves' point of view" (55). But what do we define as "the West as a whole"? And where, oh where do we find the slaves' point of view? To</w:t>
      </w:r>
      <w:r>
        <w:rPr>
          <w:sz w:val="16"/>
        </w:rPr>
        <w:t xml:space="preserve"> Naipaul'sc laim thatt he Caribbeanis nothingb ut the "ThirdW orld'sT hird World," Sidney Mintz argues that the Caribbean was "being force fit into the socalled First World before anything like a Third World ever existed" (47). As best testing ground for the claims and coercions of capital, the colonies could be argued to be more Western than what we deem to be West: places for excess, where a Jacobin could be more Jacobin than allowed in France, and Lady Maria Nugent in 18th-centuryJ amaicac ould be morel uxuriouslyd ressed-bearing gifts from Pauline Bonaparte Leclerc next door in Haiti-than a lady in London. There's an odd way in which the Caribbean colonies drop out of Gilroy's historiography. For Gilroy seems haunted by the ghosts of terms already defined by the metropolitan definers. In quest of what he calls a "compound outlook" in place of "a pre-rational, spiritual mode of African thought" (60-61), Gilroy oversimplifies the precarious encountero f colonial spiritualityt,a kingf or grantedt he very dichotomyh e claims to be debunking. Since he deals with late-in-coming cultural products as exempla, he ignores the contextualization of his supposed subject: slavery. To take an example from my recent Haiti, History, and the Gods, I am less interested in how the enlightenmenta nd the philosopherso f modernityw, hetherc alled Habermaso r Du Bois, Hegel, or Douglass, crafted their analyses out of the "brute facts of</w:t>
      </w:r>
    </w:p>
    <w:p w:rsidR="00392D4D" w:rsidRDefault="00392D4D" w:rsidP="00392D4D">
      <w:pPr>
        <w:jc w:val="both"/>
        <w:rPr>
          <w:sz w:val="16"/>
        </w:rPr>
      </w:pPr>
    </w:p>
    <w:p w:rsidR="00392D4D" w:rsidRDefault="00392D4D" w:rsidP="00392D4D">
      <w:pPr>
        <w:pStyle w:val="Heading4"/>
      </w:pPr>
      <w:r>
        <w:t xml:space="preserve"> The INSTRUMENTALIZATION of the ocean was crucial to starting the translatlantic slave trade - ontology comes first in this relation, both HISTORICALLY and CONCEPTUALLY</w:t>
      </w:r>
    </w:p>
    <w:p w:rsidR="00392D4D" w:rsidRDefault="00392D4D" w:rsidP="00392D4D">
      <w:pPr>
        <w:pStyle w:val="Citation"/>
      </w:pPr>
      <w:r>
        <w:t>Jacques 12</w:t>
      </w:r>
    </w:p>
    <w:p w:rsidR="00392D4D" w:rsidRDefault="00392D4D" w:rsidP="00392D4D">
      <w:r w:rsidRPr="0063350F">
        <w:rPr>
          <w:u w:val="single"/>
        </w:rPr>
        <w:t>Environmental Governance: Power and Knowledge in a Local-Global World</w:t>
      </w:r>
      <w:r>
        <w:t xml:space="preserve">, ed </w:t>
      </w:r>
      <w:r w:rsidRPr="00D32A77">
        <w:t>Gabriela Kütting, Ronnie Lipschutz</w:t>
      </w:r>
      <w:r>
        <w:t xml:space="preserve"> Peter Jacques, Ph.D. Department of Political Science University of Central Florida Education Ph.D., Political Science, Northern Arizona University, 2003, with distinction. Masters in Public Administration (M.P.A.), environmental policy focus, Northern Arizona University, 2000. B.A., Philosophy, Montana State University, with honors, 1993. B.A., Film and Theater Arts, Montana State University, with honors,1993</w:t>
      </w:r>
    </w:p>
    <w:p w:rsidR="00392D4D" w:rsidRDefault="00392D4D" w:rsidP="00392D4D"/>
    <w:p w:rsidR="00392D4D" w:rsidRPr="006973C1" w:rsidRDefault="00392D4D" w:rsidP="00392D4D">
      <w:pPr>
        <w:rPr>
          <w:rStyle w:val="Emphasis"/>
        </w:rPr>
      </w:pPr>
      <w:r>
        <w:t xml:space="preserve">Connery (2006: 499) writes that there is such </w:t>
      </w:r>
      <w:r w:rsidRPr="004060C4">
        <w:rPr>
          <w:rStyle w:val="Emphasis"/>
          <w:highlight w:val="yellow"/>
        </w:rPr>
        <w:t>an extensive Western antagonism to the sea</w:t>
      </w:r>
      <w:r>
        <w:t xml:space="preserve"> that </w:t>
      </w:r>
      <w:r w:rsidRPr="006973C1">
        <w:rPr>
          <w:rStyle w:val="StyleUnderline"/>
        </w:rPr>
        <w:t>was not found elsewhere in the world,</w:t>
      </w:r>
      <w:r>
        <w:t xml:space="preserve"> seen through Western biblical and mythological triumph over the sea until it is defeated and eliminated, that it serves as an elemental antithesis—or “object of elemental rage.” </w:t>
      </w:r>
      <w:r w:rsidRPr="006973C1">
        <w:rPr>
          <w:rStyle w:val="StyleUnderline"/>
        </w:rPr>
        <w:t>This,</w:t>
      </w:r>
      <w:r>
        <w:t xml:space="preserve"> he notes, </w:t>
      </w:r>
      <w:r w:rsidRPr="006973C1">
        <w:rPr>
          <w:rStyle w:val="StyleUnderline"/>
        </w:rPr>
        <w:t>feeds into metaphors that make the ocean “</w:t>
      </w:r>
      <w:r w:rsidRPr="004060C4">
        <w:rPr>
          <w:rStyle w:val="Emphasis"/>
          <w:highlight w:val="yellow"/>
        </w:rPr>
        <w:t>meaningless materiality</w:t>
      </w:r>
      <w:r w:rsidRPr="006973C1">
        <w:rPr>
          <w:rStyle w:val="Emphasis"/>
        </w:rPr>
        <w:t>,”</w:t>
      </w:r>
      <w:r>
        <w:t xml:space="preserve"> like that pointed out by Steinberg, where a 1990 Meryl Lynch two-page ad shows the ocean with the caption, “for us, this doesn’t exist” implying </w:t>
      </w:r>
      <w:r w:rsidRPr="004060C4">
        <w:rPr>
          <w:rStyle w:val="Emphasis"/>
          <w:highlight w:val="yellow"/>
        </w:rPr>
        <w:t>a mare nuUius</w:t>
      </w:r>
      <w:r>
        <w:t>. It is easy to also read both the Grotian and Seldenian ocean as one that is filled with meaningless materiality to be superseded: and, if this is the birth of “the international” then it is based on nullifying non-instrumental materiality for vulgar accumulation</w:t>
      </w:r>
      <w:r w:rsidRPr="006973C1">
        <w:rPr>
          <w:rStyle w:val="StyleUnderline"/>
        </w:rPr>
        <w:t>. International relations</w:t>
      </w:r>
      <w:r>
        <w:t>, then</w:t>
      </w:r>
      <w:r w:rsidRPr="006973C1">
        <w:rPr>
          <w:rStyle w:val="StyleUnderline"/>
        </w:rPr>
        <w:t>, is a study in irony.</w:t>
      </w:r>
      <w:r>
        <w:t xml:space="preserve"> We might argue that both perspectives did eventually take hold, with Grotian law grasping the first chokehold on the oceans with free seas, then mare clausum national enclosures to 200 miles taking the second. In either case</w:t>
      </w:r>
      <w:r w:rsidRPr="006973C1">
        <w:rPr>
          <w:rStyle w:val="StyleUnderline"/>
        </w:rPr>
        <w:t xml:space="preserve">, </w:t>
      </w:r>
      <w:r w:rsidRPr="004060C4">
        <w:rPr>
          <w:rStyle w:val="StyleUnderline"/>
          <w:highlight w:val="yellow"/>
        </w:rPr>
        <w:t xml:space="preserve">the ocean is cast as </w:t>
      </w:r>
      <w:r w:rsidRPr="004060C4">
        <w:rPr>
          <w:rStyle w:val="Emphasis"/>
          <w:highlight w:val="yellow"/>
        </w:rPr>
        <w:t>commodity</w:t>
      </w:r>
      <w:r w:rsidRPr="004060C4">
        <w:rPr>
          <w:rStyle w:val="StyleUnderline"/>
          <w:highlight w:val="yellow"/>
        </w:rPr>
        <w:t xml:space="preserve"> for global capitalist interests</w:t>
      </w:r>
      <w:r w:rsidRPr="004060C4">
        <w:rPr>
          <w:highlight w:val="yellow"/>
        </w:rPr>
        <w:t xml:space="preserve">, </w:t>
      </w:r>
      <w:r w:rsidRPr="004060C4">
        <w:rPr>
          <w:rStyle w:val="StyleUnderline"/>
          <w:highlight w:val="yellow"/>
        </w:rPr>
        <w:t>epitomized through</w:t>
      </w:r>
      <w:r>
        <w:t xml:space="preserve"> interests in accumulating wealth </w:t>
      </w:r>
      <w:r w:rsidRPr="004060C4">
        <w:rPr>
          <w:highlight w:val="yellow"/>
        </w:rPr>
        <w:t xml:space="preserve">through </w:t>
      </w:r>
      <w:r w:rsidRPr="004060C4">
        <w:rPr>
          <w:rStyle w:val="Emphasis"/>
          <w:highlight w:val="yellow"/>
        </w:rPr>
        <w:t>overfishing, mining, enclosin</w:t>
      </w:r>
      <w:r w:rsidRPr="006973C1">
        <w:rPr>
          <w:rStyle w:val="Emphasis"/>
        </w:rPr>
        <w:t>g</w:t>
      </w:r>
      <w:r>
        <w:t xml:space="preserve"> of common pool mangroves for private shrimp ponds, global trade in seafood, </w:t>
      </w:r>
      <w:r w:rsidRPr="004060C4">
        <w:rPr>
          <w:rStyle w:val="Emphasis"/>
          <w:highlight w:val="yellow"/>
        </w:rPr>
        <w:t>and transportation</w:t>
      </w:r>
      <w:r>
        <w:t xml:space="preserve"> of nearly all commodities. As Steinberg (2001) writes, the social construction of the ocean has changed from “Davy Jones’ Locker to the Foot Locker” (referring to the preternatural life-taking power of the ocean being transformed into a highway for commodity flows, where in one example, the cargo of shoes are lost at sea), and that it is insufiicient to refer to the usual supposed dichotomy of Grotius vs. Selden. Of power The power to dominate ways of being in the world has repercussions for the generation of all other types of power, from material use of force to agendasetting, because it normalizes one way of living in the world over others. At first, </w:t>
      </w:r>
      <w:r w:rsidRPr="006973C1">
        <w:rPr>
          <w:rStyle w:val="StyleUnderline"/>
        </w:rPr>
        <w:t>we see that the ocean was imbued with multiplicities and particular meanings</w:t>
      </w:r>
      <w:r>
        <w:t xml:space="preserve"> through a great variety of cultures around the world. Many imbued the ocean with its own power and agency, as in indigenous coastal cultures, which limited what these cultures saw as legitimate uses of their own power and effort in the sea. Some of these cultures saw a multitude of spaces and identities as ontologically integrated with the rest of the world, and constitutive. </w:t>
      </w:r>
      <w:r w:rsidRPr="006973C1">
        <w:rPr>
          <w:rStyle w:val="StyleUnderline"/>
        </w:rPr>
        <w:t>Then,</w:t>
      </w:r>
      <w:r>
        <w:t xml:space="preserve"> by “Art” as Ovid prescicntly describes, </w:t>
      </w:r>
      <w:r w:rsidRPr="006973C1">
        <w:rPr>
          <w:rStyle w:val="StyleUnderline"/>
        </w:rPr>
        <w:t>transformations of control spread over the Earth at the same time that European jurisprudence</w:t>
      </w:r>
      <w:r>
        <w:t xml:space="preserve"> not </w:t>
      </w:r>
      <w:r w:rsidRPr="004060C4">
        <w:rPr>
          <w:highlight w:val="yellow"/>
        </w:rPr>
        <w:t xml:space="preserve">only </w:t>
      </w:r>
      <w:r w:rsidRPr="004060C4">
        <w:rPr>
          <w:rStyle w:val="Emphasis"/>
          <w:highlight w:val="yellow"/>
        </w:rPr>
        <w:t>constituted the ocean as a tool for accumulation</w:t>
      </w:r>
      <w:r w:rsidRPr="006973C1">
        <w:rPr>
          <w:rStyle w:val="Emphasis"/>
        </w:rPr>
        <w:t>,</w:t>
      </w:r>
      <w:r>
        <w:t xml:space="preserve"> but </w:t>
      </w:r>
      <w:r w:rsidRPr="004060C4">
        <w:rPr>
          <w:rStyle w:val="Emphasis"/>
          <w:highlight w:val="yellow"/>
        </w:rPr>
        <w:t>erased other ontological priorities</w:t>
      </w:r>
      <w:r>
        <w:t xml:space="preserve"> and particularities, </w:t>
      </w:r>
      <w:r w:rsidRPr="004060C4">
        <w:rPr>
          <w:rStyle w:val="Emphasis"/>
          <w:highlight w:val="yellow"/>
        </w:rPr>
        <w:t>as a way to preclude other non-instrumental uses. Without this step, the rest would likely not have followed</w:t>
      </w:r>
      <w:r w:rsidRPr="006973C1">
        <w:rPr>
          <w:rStyle w:val="Emphasis"/>
        </w:rPr>
        <w:t xml:space="preserve">. </w:t>
      </w:r>
      <w:r>
        <w:t xml:space="preserve">If the ocean were the Christian god, it is difficult to imagine Grotius saying it could be used indiscriminately, and that anyone interfering with this use could be punished via war. Thus, the first modern power of the sea is to erase other notions and meanings with its own design. </w:t>
      </w:r>
      <w:r w:rsidRPr="006973C1">
        <w:rPr>
          <w:rStyle w:val="StyleUnderline"/>
        </w:rPr>
        <w:t>This design is</w:t>
      </w:r>
      <w:r>
        <w:t xml:space="preserve"> made in a specific historical time of </w:t>
      </w:r>
      <w:r w:rsidRPr="006973C1">
        <w:rPr>
          <w:rStyle w:val="StyleUnderline"/>
        </w:rPr>
        <w:t>imperial nation-building that grows into diffuse, globalized commodified relations of contemporary corporate-led global capitalism</w:t>
      </w:r>
      <w:r>
        <w:t xml:space="preserve"> </w:t>
      </w:r>
      <w:r w:rsidRPr="004060C4">
        <w:rPr>
          <w:rStyle w:val="Emphasis"/>
          <w:highlight w:val="yellow"/>
        </w:rPr>
        <w:t>that still sees the ocean as a tool</w:t>
      </w:r>
      <w:r>
        <w:t xml:space="preserve"> for immediate (oil, fish) accumulation and intermediate accumulation through container ships, trawlers, and oil tankers. The Spanish saw fit to use the ocean to conquer and destroy people like the Taino as an opportunity to build up the proto-Spanish state, pretending to “civilize” indigenous peoples through dispossession. While Grotius rejects this pretense, the ocean is still a passage for imperio-corporate trade and profit which he believes is ordained in immutable natural law. Selden sees the ocean as limited and able to be dominated and controlled like any other “dull heap,” which also creates ideational pathways for trade and conquest. Grotius’ and Selden's arguments have often been counterposed, but their ontological assumptions and projects are the same, and </w:t>
      </w:r>
      <w:r w:rsidRPr="004060C4">
        <w:rPr>
          <w:rStyle w:val="StyleUnderline"/>
          <w:highlight w:val="yellow"/>
        </w:rPr>
        <w:t>both assume that the ocean belongs to and can be disposed of as their empires see fi</w:t>
      </w:r>
      <w:r w:rsidRPr="006973C1">
        <w:rPr>
          <w:rStyle w:val="StyleUnderline"/>
        </w:rPr>
        <w:t xml:space="preserve">t. </w:t>
      </w:r>
      <w:r>
        <w:t>Ultimately, Mare Liberum was persuasive among the colonial set</w:t>
      </w:r>
      <w:r w:rsidRPr="006973C1">
        <w:rPr>
          <w:rStyle w:val="StyleUnderline"/>
        </w:rPr>
        <w:t xml:space="preserve">, imagining the World Ocean into the </w:t>
      </w:r>
      <w:r w:rsidRPr="004060C4">
        <w:rPr>
          <w:rStyle w:val="StyleUnderline"/>
          <w:highlight w:val="yellow"/>
        </w:rPr>
        <w:t>ultimate abstraction—limitless, vast, and free</w:t>
      </w:r>
      <w:r>
        <w:t xml:space="preserve"> for all to use indiscriminately. </w:t>
      </w:r>
      <w:r w:rsidRPr="006973C1">
        <w:rPr>
          <w:rStyle w:val="StyleUnderline"/>
        </w:rPr>
        <w:t xml:space="preserve">This </w:t>
      </w:r>
      <w:r>
        <w:t xml:space="preserve">is exactly the kind of abstraction of space that Connery, via Edward Casey, </w:t>
      </w:r>
      <w:r w:rsidRPr="004060C4">
        <w:rPr>
          <w:highlight w:val="yellow"/>
        </w:rPr>
        <w:t xml:space="preserve">notes </w:t>
      </w:r>
      <w:r w:rsidRPr="004060C4">
        <w:rPr>
          <w:rStyle w:val="StyleUnderline"/>
          <w:highlight w:val="yellow"/>
        </w:rPr>
        <w:t>was a “hegemonic category of thought</w:t>
      </w:r>
      <w:r>
        <w:t xml:space="preserve">” that emerged during the seventeenth century (remember Mare Liberum was published in 1604) for the purposes of nation-building. Here </w:t>
      </w:r>
      <w:r w:rsidRPr="006973C1">
        <w:rPr>
          <w:rStyle w:val="StyleUnderline"/>
        </w:rPr>
        <w:t>the ocean</w:t>
      </w:r>
      <w:r>
        <w:t>, as Connery describes it</w:t>
      </w:r>
      <w:r w:rsidRPr="006973C1">
        <w:rPr>
          <w:rStyle w:val="StyleUnderline"/>
        </w:rPr>
        <w:t>, becomes mere distance</w:t>
      </w:r>
      <w:r>
        <w:t>, “something to be superseded” (Connery 2006: 497). In superseding the dead “dull heap” of ocean, nations with imperial fleets can connect to other places to annihilate other people, as in the Taino, and loot its shores</w:t>
      </w:r>
      <w:r w:rsidRPr="004060C4">
        <w:rPr>
          <w:rStyle w:val="Emphasis"/>
          <w:highlight w:val="yellow"/>
        </w:rPr>
        <w:t>. Mare Liberum normalizes the oceans</w:t>
      </w:r>
      <w:r w:rsidRPr="004060C4">
        <w:rPr>
          <w:highlight w:val="yellow"/>
        </w:rPr>
        <w:t xml:space="preserve"> for</w:t>
      </w:r>
      <w:r>
        <w:t xml:space="preserve"> just this type of enterprise, Grotius willing or not. This is seen historically in the Spanish search for gold, but </w:t>
      </w:r>
      <w:r w:rsidRPr="004060C4">
        <w:rPr>
          <w:highlight w:val="yellow"/>
        </w:rPr>
        <w:t xml:space="preserve">also </w:t>
      </w:r>
      <w:r w:rsidRPr="004060C4">
        <w:rPr>
          <w:rStyle w:val="Emphasis"/>
          <w:highlight w:val="yellow"/>
        </w:rPr>
        <w:t>in the intercontinental sugar-cotton-slave triangle</w:t>
      </w:r>
      <w:r>
        <w:t xml:space="preserve"> of domination operated by the British, among others, that took slaves from Africa, enslaved them in the Caribbean and the colonial and post-colonial United States, and shipped their cotton and sugar to Europe for manufacturing (Jacques 2006). Steinberg points out that mare liberum was much less absolute until the British imposed end to slavery—but </w:t>
      </w:r>
      <w:r w:rsidRPr="004060C4">
        <w:rPr>
          <w:rStyle w:val="Emphasis"/>
          <w:highlight w:val="yellow"/>
        </w:rPr>
        <w:t>modernity’s ontology of the ocean was necessary for the beginning of the intercontinental slave trade that rested upon the imperial bursting outward from the European continent</w:t>
      </w:r>
      <w:r w:rsidRPr="006973C1">
        <w:rPr>
          <w:rStyle w:val="Emphasis"/>
        </w:rPr>
        <w:t>.</w:t>
      </w:r>
    </w:p>
    <w:p w:rsidR="00392D4D" w:rsidRPr="0026137D" w:rsidRDefault="00392D4D" w:rsidP="00392D4D"/>
    <w:p w:rsidR="00AE03A7" w:rsidRDefault="00AE03A7" w:rsidP="00AE03A7">
      <w:pPr>
        <w:pStyle w:val="Heading2"/>
      </w:pPr>
      <w:r>
        <w:t>Medical K</w:t>
      </w:r>
    </w:p>
    <w:p w:rsidR="00AE03A7" w:rsidRPr="000A039C" w:rsidRDefault="00AE03A7" w:rsidP="00AE03A7">
      <w:pPr>
        <w:pStyle w:val="Heading3"/>
      </w:pPr>
      <w:r>
        <w:t>1NC</w:t>
      </w:r>
    </w:p>
    <w:p w:rsidR="00AE03A7" w:rsidRDefault="00AE03A7" w:rsidP="00AE03A7">
      <w:pPr>
        <w:pStyle w:val="Heading4"/>
      </w:pPr>
      <w:r>
        <w:t>Insert Link Card</w:t>
      </w:r>
    </w:p>
    <w:p w:rsidR="00AE03A7" w:rsidRDefault="00AE03A7" w:rsidP="00AE03A7">
      <w:pPr>
        <w:pStyle w:val="Heading4"/>
        <w:rPr>
          <w:shd w:val="clear" w:color="auto" w:fill="FFFFFF"/>
        </w:rPr>
      </w:pPr>
      <w:r>
        <w:rPr>
          <w:shd w:val="clear" w:color="auto" w:fill="FFFFFF"/>
        </w:rPr>
        <w:t>Medicalization enables biological categorization that systematically devalues and excludes huge portions of the populations—culminates in racism, social death and genocide</w:t>
      </w:r>
    </w:p>
    <w:p w:rsidR="00AE03A7" w:rsidRPr="000A039C" w:rsidRDefault="00AE03A7" w:rsidP="00AE03A7">
      <w:pPr>
        <w:rPr>
          <w:rStyle w:val="Style13ptBold"/>
        </w:rPr>
      </w:pPr>
      <w:r>
        <w:rPr>
          <w:rStyle w:val="Style13ptBold"/>
        </w:rPr>
        <w:t>Hughes 02 (</w:t>
      </w:r>
      <w:r w:rsidRPr="000A039C">
        <w:t>Bill, Professor of Social Policy at the University of Glasgow, “Disability Studies Today,” Ed. Barnes, p. 60-62, CH</w:t>
      </w:r>
      <w:r>
        <w:rPr>
          <w:rStyle w:val="Style13ptBold"/>
        </w:rPr>
        <w:t>)</w:t>
      </w:r>
    </w:p>
    <w:p w:rsidR="00AE03A7" w:rsidRDefault="00AE03A7" w:rsidP="00AE03A7">
      <w:pPr>
        <w:rPr>
          <w:rStyle w:val="StyleUnderline"/>
        </w:rPr>
      </w:pPr>
      <w:r w:rsidRPr="00E632A0">
        <w:rPr>
          <w:sz w:val="16"/>
        </w:rPr>
        <w:t xml:space="preserve">The dominant framework for understanding disability in the modern period has been the medical model (Oliver 1990). </w:t>
      </w:r>
      <w:r w:rsidRPr="000A039C">
        <w:rPr>
          <w:rStyle w:val="StyleUnderline"/>
        </w:rPr>
        <w:t>From the early nine</w:t>
      </w:r>
      <w:r w:rsidRPr="000A039C">
        <w:rPr>
          <w:rStyle w:val="StyleUnderline"/>
        </w:rPr>
        <w:softHyphen/>
        <w:t xml:space="preserve">teenth century onwards, </w:t>
      </w:r>
      <w:r w:rsidRPr="00EF58FB">
        <w:rPr>
          <w:rStyle w:val="StyleUnderline"/>
          <w:highlight w:val="yellow"/>
        </w:rPr>
        <w:t>biomedicine legitimated the view that biophys</w:t>
      </w:r>
      <w:r w:rsidRPr="00EF58FB">
        <w:rPr>
          <w:rStyle w:val="StyleUnderline"/>
          <w:highlight w:val="yellow"/>
        </w:rPr>
        <w:softHyphen/>
        <w:t>ical ‘abnormality’ or ‘maladaptation’</w:t>
      </w:r>
      <w:r w:rsidRPr="000A039C">
        <w:rPr>
          <w:rStyle w:val="StyleUnderline"/>
        </w:rPr>
        <w:t xml:space="preserve"> leads to, or </w:t>
      </w:r>
      <w:r w:rsidRPr="00EF58FB">
        <w:rPr>
          <w:rStyle w:val="StyleUnderline"/>
          <w:highlight w:val="yellow"/>
        </w:rPr>
        <w:t>is the cause of, social ‘abnormality’</w:t>
      </w:r>
      <w:r w:rsidRPr="000A039C">
        <w:rPr>
          <w:rStyle w:val="StyleUnderline"/>
        </w:rPr>
        <w:t xml:space="preserve"> or ‘maladaptation'. </w:t>
      </w:r>
      <w:r w:rsidRPr="00EF58FB">
        <w:rPr>
          <w:rStyle w:val="StyleUnderline"/>
          <w:highlight w:val="yellow"/>
        </w:rPr>
        <w:t>In other words, to be defined as a ‘flawed' body is simultaneously to be defined as incapable of adequate social participation</w:t>
      </w:r>
      <w:r w:rsidRPr="000A039C">
        <w:rPr>
          <w:rStyle w:val="StyleUnderline"/>
        </w:rPr>
        <w:t>.</w:t>
      </w:r>
      <w:r w:rsidRPr="00E632A0">
        <w:rPr>
          <w:sz w:val="16"/>
        </w:rPr>
        <w:t xml:space="preserve"> The corporealization of disability meant, in practical terms, the segregation of those so labelled. </w:t>
      </w:r>
      <w:r w:rsidRPr="00EF58FB">
        <w:rPr>
          <w:rStyle w:val="StyleUnderline"/>
          <w:highlight w:val="yellow"/>
        </w:rPr>
        <w:t>The logic of the medical model runs from diagnosis to social response</w:t>
      </w:r>
      <w:r w:rsidRPr="000A039C">
        <w:rPr>
          <w:rStyle w:val="StyleUnderline"/>
        </w:rPr>
        <w:t xml:space="preserve">. In causal terms, there seem to be three linked elements in the chain: </w:t>
      </w:r>
      <w:r w:rsidRPr="00EF58FB">
        <w:rPr>
          <w:rStyle w:val="StyleUnderline"/>
          <w:highlight w:val="yellow"/>
        </w:rPr>
        <w:t>impairment leads to disability, which in turn leads to confinement</w:t>
      </w:r>
      <w:r w:rsidRPr="000A039C">
        <w:rPr>
          <w:rStyle w:val="StyleUnderline"/>
        </w:rPr>
        <w:t xml:space="preserve"> or ‘institutionalization'. The social response to the ‘flawed’ body - particularly in the nineteenth century - was</w:t>
      </w:r>
      <w:r w:rsidRPr="00E632A0">
        <w:rPr>
          <w:sz w:val="16"/>
        </w:rPr>
        <w:t xml:space="preserve"> anthropoemic. This concept refers to the </w:t>
      </w:r>
      <w:r w:rsidRPr="000A039C">
        <w:rPr>
          <w:rStyle w:val="StyleUnderline"/>
        </w:rPr>
        <w:t>expulsion or exile of alien persons.</w:t>
      </w:r>
      <w:r w:rsidRPr="00E632A0">
        <w:rPr>
          <w:sz w:val="16"/>
        </w:rPr>
        <w:t xml:space="preserve"> The Victorian penchant for excluding people from social participation on the ground of what today might be called ‘difference’ was summed up by Foucault’s (1969) notion of the ‘great confinement’. The </w:t>
      </w:r>
      <w:r w:rsidRPr="00EF58FB">
        <w:rPr>
          <w:rStyle w:val="StyleUnderline"/>
          <w:highlight w:val="yellow"/>
        </w:rPr>
        <w:t>segregation</w:t>
      </w:r>
      <w:r w:rsidRPr="000A039C">
        <w:rPr>
          <w:rStyle w:val="StyleUnderline"/>
        </w:rPr>
        <w:t xml:space="preserve"> associated with confinement was not only equivalent to a custodial sentence - often for life - but </w:t>
      </w:r>
      <w:r w:rsidRPr="00EF58FB">
        <w:rPr>
          <w:rStyle w:val="StyleUnderline"/>
          <w:highlight w:val="yellow"/>
        </w:rPr>
        <w:t>was</w:t>
      </w:r>
      <w:r w:rsidRPr="000A039C">
        <w:rPr>
          <w:rStyle w:val="StyleUnderline"/>
        </w:rPr>
        <w:t xml:space="preserve"> also </w:t>
      </w:r>
      <w:r w:rsidRPr="00EF58FB">
        <w:rPr>
          <w:rStyle w:val="StyleUnderline"/>
          <w:highlight w:val="yellow"/>
        </w:rPr>
        <w:t>a sentence of ‘social death’</w:t>
      </w:r>
      <w:r w:rsidRPr="00EF58FB">
        <w:rPr>
          <w:rStyle w:val="StyleUnderline"/>
        </w:rPr>
        <w:t>, which was - in itself a sort of tacit legitimation for the denial of human rights and the application of oppressive</w:t>
      </w:r>
      <w:r w:rsidRPr="000A039C">
        <w:rPr>
          <w:rStyle w:val="StyleUnderline"/>
        </w:rPr>
        <w:t xml:space="preserve"> practices of care</w:t>
      </w:r>
      <w:r w:rsidRPr="00E632A0">
        <w:rPr>
          <w:sz w:val="16"/>
        </w:rPr>
        <w:t xml:space="preserve"> (Barnes 1990). </w:t>
      </w:r>
      <w:r w:rsidRPr="000A039C">
        <w:rPr>
          <w:rStyle w:val="StyleUnderline"/>
        </w:rPr>
        <w:t>These institutional spaces of exclusion</w:t>
      </w:r>
      <w:r w:rsidRPr="00E632A0">
        <w:rPr>
          <w:sz w:val="16"/>
        </w:rPr>
        <w:t xml:space="preserve">, into which disabled people were cast, </w:t>
      </w:r>
      <w:r w:rsidRPr="000A039C">
        <w:rPr>
          <w:rStyle w:val="StyleUnderline"/>
        </w:rPr>
        <w:t>were, after all</w:t>
      </w:r>
      <w:r w:rsidRPr="00E632A0">
        <w:rPr>
          <w:sz w:val="16"/>
        </w:rPr>
        <w:t xml:space="preserve">, </w:t>
      </w:r>
      <w:r w:rsidRPr="00EF58FB">
        <w:rPr>
          <w:sz w:val="16"/>
          <w:highlight w:val="yellow"/>
        </w:rPr>
        <w:t>‘</w:t>
      </w:r>
      <w:r w:rsidRPr="00EF58FB">
        <w:rPr>
          <w:rStyle w:val="StyleUnderline"/>
          <w:highlight w:val="yellow"/>
        </w:rPr>
        <w:t>civilized’ by medical jurisdiction</w:t>
      </w:r>
      <w:r w:rsidRPr="00E632A0">
        <w:rPr>
          <w:sz w:val="16"/>
        </w:rPr>
        <w:t>. The very authority that had objectified disabled people by reducing them to their impairments now had the opportunity to define disabled people’s needs and, in many cases, act in loco parentis. However, the transformation of impairment into a social problem is not simply a story of medical intervention. Political economy was a major protagonist (Finkelstein 1980: Oliver 1990). The capitalist system that emerged in full-blooded form out of the rapid economic changes of the early to mid-nineteenth century made wage slavery - for the vast majority of people - the sole option for survival. Disabled people did not have this option. They were excluded from industrial production on the grounds that their labour power was impaired. The labour market, which prized above all the skill of corporeal repetition that was matched to a pace set by machinery and later the production line, was closed to ‘cripples’. ‘Mechanised production required a uniform work-force, who could perform similar tasks and work was not organised to cater for the range of intellectual and bodily differences between people’ (Marks 1999: 80). Further, the pool of disabled people was refreshed continu</w:t>
      </w:r>
      <w:r w:rsidRPr="00E632A0">
        <w:rPr>
          <w:sz w:val="16"/>
        </w:rPr>
        <w:softHyphen/>
        <w:t>ously as other people became - to use a contemporary military euphem</w:t>
      </w:r>
      <w:r w:rsidRPr="00E632A0">
        <w:rPr>
          <w:sz w:val="16"/>
        </w:rPr>
        <w:softHyphen/>
        <w:t>ism - ‘collateral damage’ of the capitalist mode of production. Not regarded as ‘fit’ to join the reserve army of labour, in a society where labour power determined one’s place, disabled people became materially constituted as a waste product. At best, they were defined as a class of unfortunates who had better be thankful that the goodness of the com</w:t>
      </w:r>
      <w:r w:rsidRPr="00E632A0">
        <w:rPr>
          <w:sz w:val="16"/>
        </w:rPr>
        <w:softHyphen/>
        <w:t>munity or the largesse of the infant ‘therapeutic state’ (O’Neil 1986) was on hand to save them from destitution and starvation</w:t>
      </w:r>
      <w:r w:rsidRPr="00E632A0">
        <w:rPr>
          <w:rStyle w:val="StyleUnderline"/>
        </w:rPr>
        <w:t xml:space="preserve">. </w:t>
      </w:r>
      <w:r w:rsidRPr="00EF58FB">
        <w:rPr>
          <w:rStyle w:val="StyleUnderline"/>
          <w:highlight w:val="yellow"/>
        </w:rPr>
        <w:t>The medical model</w:t>
      </w:r>
      <w:r w:rsidRPr="00E632A0">
        <w:rPr>
          <w:sz w:val="16"/>
        </w:rPr>
        <w:t xml:space="preserve"> of disability is, and </w:t>
      </w:r>
      <w:r w:rsidRPr="00EF58FB">
        <w:rPr>
          <w:rStyle w:val="StyleUnderline"/>
          <w:highlight w:val="yellow"/>
        </w:rPr>
        <w:t>has been, strongly associated with the</w:t>
      </w:r>
      <w:r w:rsidRPr="00E632A0">
        <w:rPr>
          <w:rStyle w:val="StyleUnderline"/>
        </w:rPr>
        <w:t xml:space="preserve"> potentially </w:t>
      </w:r>
      <w:r w:rsidRPr="00EF58FB">
        <w:rPr>
          <w:rStyle w:val="StyleUnderline"/>
          <w:highlight w:val="yellow"/>
        </w:rPr>
        <w:t>reactionary theme that ‘biology is destiny’,</w:t>
      </w:r>
      <w:r w:rsidRPr="00E632A0">
        <w:rPr>
          <w:rStyle w:val="StyleUnderline"/>
        </w:rPr>
        <w:t xml:space="preserve"> and is embedded in popular culture by the ‘naturalization’ of the view that natural aptitudes determine life chances. Nurture is causally impotent. In the social world, it is natural endowment that is the most efficacious variable.</w:t>
      </w:r>
      <w:r w:rsidRPr="00E632A0">
        <w:rPr>
          <w:sz w:val="16"/>
        </w:rPr>
        <w:t xml:space="preserve"> At its worst, in the nineteenth century, the </w:t>
      </w:r>
      <w:r w:rsidRPr="00EF58FB">
        <w:rPr>
          <w:rStyle w:val="StyleUnderline"/>
          <w:highlight w:val="yellow"/>
        </w:rPr>
        <w:t>medicalization</w:t>
      </w:r>
      <w:r w:rsidRPr="00E632A0">
        <w:rPr>
          <w:sz w:val="16"/>
        </w:rPr>
        <w:t xml:space="preserve"> of disability </w:t>
      </w:r>
      <w:r w:rsidRPr="00EF58FB">
        <w:rPr>
          <w:rStyle w:val="StyleUnderline"/>
          <w:highlight w:val="yellow"/>
        </w:rPr>
        <w:t>dovetailed with</w:t>
      </w:r>
      <w:r w:rsidRPr="00E632A0">
        <w:rPr>
          <w:rStyle w:val="StyleUnderline"/>
        </w:rPr>
        <w:t xml:space="preserve"> what Foucault called ‘</w:t>
      </w:r>
      <w:r w:rsidRPr="00EF58FB">
        <w:rPr>
          <w:rStyle w:val="StyleUnderline"/>
          <w:highlight w:val="yellow"/>
        </w:rPr>
        <w:t>the racisms of the state’</w:t>
      </w:r>
      <w:r w:rsidRPr="00E632A0">
        <w:rPr>
          <w:sz w:val="16"/>
        </w:rPr>
        <w:t xml:space="preserve"> ( 1979: 54), </w:t>
      </w:r>
      <w:r w:rsidRPr="00EF58FB">
        <w:rPr>
          <w:rStyle w:val="StyleUnderline"/>
          <w:highlight w:val="yellow"/>
        </w:rPr>
        <w:t>with the Darwinist and eugenicist perspectives which prom</w:t>
      </w:r>
      <w:r w:rsidRPr="00EF58FB">
        <w:rPr>
          <w:rStyle w:val="StyleUnderline"/>
          <w:highlight w:val="yellow"/>
        </w:rPr>
        <w:softHyphen/>
        <w:t>ised to cleanse the social body of impurity</w:t>
      </w:r>
      <w:r w:rsidRPr="00E632A0">
        <w:rPr>
          <w:rStyle w:val="StyleUnderline"/>
        </w:rPr>
        <w:t>,</w:t>
      </w:r>
      <w:r w:rsidRPr="00E632A0">
        <w:rPr>
          <w:sz w:val="16"/>
        </w:rPr>
        <w:t xml:space="preserve"> </w:t>
      </w:r>
      <w:r w:rsidRPr="00E632A0">
        <w:rPr>
          <w:rStyle w:val="StyleUnderline"/>
        </w:rPr>
        <w:t>imperfection, degeneracy and defectiveness.</w:t>
      </w:r>
      <w:r w:rsidRPr="00E632A0">
        <w:rPr>
          <w:sz w:val="16"/>
        </w:rPr>
        <w:t xml:space="preserve"> Even in the twentieth century, not only in Fascist Germany, but also in post-World War 11 Social Democratic Sweden, the view that disability represents a contaminant within and a threat to the physical and moral integrity of the population was manifest in state-sponsored programmes of sterilization (Muller-Hill 1994). In the United States, Margaret Sanger, a major proponent of birth control, declared in 1919: ‘More children from the fit, less from the unfit - that is the chief issue of birth control’ (quoted in Lupton 1994: 139). The concept of ‘fitness' was used, in such contexts, as a criterion for making ‘humanity' - defined in terms of aesthetic ideals of embodiment - into a relative term. Modernity is riddled with such eugenic conceptions of ‘social hygiene'. They are based on the view that disabled people are either ‘unfit’ to be in society or to reproduce. The eugenic gaze proposes collective solutions to the contaminant that disabled bodies represent, but does not propose col</w:t>
      </w:r>
      <w:r w:rsidRPr="00E632A0">
        <w:rPr>
          <w:sz w:val="16"/>
        </w:rPr>
        <w:softHyphen/>
        <w:t>lectivist explanations. It is imprisoned in the repertoire of sociology and social Darwinism, and treats disability as an error of nature that should be righted.</w:t>
      </w:r>
      <w:r w:rsidRPr="00E632A0">
        <w:rPr>
          <w:rStyle w:val="StyleUnderline"/>
        </w:rPr>
        <w:t xml:space="preserve"> When wedded to a rigid concept of heredity</w:t>
      </w:r>
      <w:r w:rsidRPr="00EF58FB">
        <w:rPr>
          <w:rStyle w:val="StyleUnderline"/>
          <w:highlight w:val="yellow"/>
        </w:rPr>
        <w:t>, biological reductionism m</w:t>
      </w:r>
      <w:r w:rsidRPr="00E632A0">
        <w:rPr>
          <w:rStyle w:val="StyleUnderline"/>
        </w:rPr>
        <w:t>ay</w:t>
      </w:r>
      <w:r w:rsidRPr="00E632A0">
        <w:rPr>
          <w:sz w:val="16"/>
        </w:rPr>
        <w:t xml:space="preserve"> - at its worst - </w:t>
      </w:r>
      <w:r w:rsidRPr="00EF58FB">
        <w:rPr>
          <w:rStyle w:val="StyleUnderline"/>
          <w:highlight w:val="yellow"/>
        </w:rPr>
        <w:t>translate into a politics of genocide.</w:t>
      </w:r>
    </w:p>
    <w:p w:rsidR="00AE03A7" w:rsidRPr="00EF58FB" w:rsidRDefault="00AE03A7" w:rsidP="00AE03A7">
      <w:pPr>
        <w:pStyle w:val="Heading4"/>
        <w:rPr>
          <w:rStyle w:val="StyleUnderline"/>
          <w:u w:val="none"/>
        </w:rPr>
      </w:pPr>
      <w:r w:rsidRPr="00EF58FB">
        <w:rPr>
          <w:rStyle w:val="StyleUnderline"/>
          <w:u w:val="none"/>
        </w:rPr>
        <w:t>Insert Alt Card</w:t>
      </w:r>
    </w:p>
    <w:p w:rsidR="00392D4D" w:rsidRPr="00292FED" w:rsidRDefault="00392D4D" w:rsidP="00292FED">
      <w:pPr>
        <w:jc w:val="both"/>
        <w:rPr>
          <w:rFonts w:eastAsia="Times New Roman" w:cstheme="minorHAnsi"/>
          <w:u w:val="single"/>
        </w:rPr>
      </w:pPr>
    </w:p>
    <w:sectPr w:rsidR="00392D4D" w:rsidRPr="00292FED">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69C5" w:rsidRDefault="00A569C5" w:rsidP="00397854">
      <w:pPr>
        <w:spacing w:after="0" w:line="240" w:lineRule="auto"/>
      </w:pPr>
      <w:r>
        <w:separator/>
      </w:r>
    </w:p>
  </w:endnote>
  <w:endnote w:type="continuationSeparator" w:id="0">
    <w:p w:rsidR="00A569C5" w:rsidRDefault="00A569C5" w:rsidP="00397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avid">
    <w:panose1 w:val="020E0502060401010101"/>
    <w:charset w:val="00"/>
    <w:family w:val="swiss"/>
    <w:pitch w:val="variable"/>
    <w:sig w:usb0="00000803" w:usb1="00000000" w:usb2="00000000" w:usb3="00000000" w:csb0="00000021"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69C5" w:rsidRDefault="00A569C5" w:rsidP="00397854">
      <w:pPr>
        <w:spacing w:after="0" w:line="240" w:lineRule="auto"/>
      </w:pPr>
      <w:r>
        <w:separator/>
      </w:r>
    </w:p>
  </w:footnote>
  <w:footnote w:type="continuationSeparator" w:id="0">
    <w:p w:rsidR="00A569C5" w:rsidRDefault="00A569C5" w:rsidP="00397854">
      <w:pPr>
        <w:spacing w:after="0" w:line="240" w:lineRule="auto"/>
      </w:pPr>
      <w:r>
        <w:continuationSeparator/>
      </w:r>
    </w:p>
  </w:footnote>
  <w:footnote w:id="1">
    <w:p w:rsidR="00BE5144" w:rsidRDefault="00BE5144" w:rsidP="00BE5144">
      <w:pPr>
        <w:pStyle w:val="Footnote0"/>
        <w:shd w:val="clear" w:color="auto" w:fill="auto"/>
        <w:ind w:right="20"/>
      </w:pPr>
      <w:r>
        <w:rPr>
          <w:color w:val="000000"/>
          <w:vertAlign w:val="superscript"/>
          <w:lang w:bidi="en-US"/>
        </w:rPr>
        <w:footnoteRef/>
      </w:r>
      <w:r>
        <w:rPr>
          <w:color w:val="000000"/>
          <w:lang w:bidi="en-US"/>
        </w:rPr>
        <w:t xml:space="preserve"> The Vietnam War and civil wars in Angola and Nica</w:t>
      </w:r>
      <w:r>
        <w:rPr>
          <w:color w:val="000000"/>
          <w:lang w:bidi="en-US"/>
        </w:rPr>
        <w:softHyphen/>
        <w:t>ragua, just as a few brief examples.</w:t>
      </w:r>
    </w:p>
  </w:footnote>
  <w:footnote w:id="2">
    <w:p w:rsidR="00BE5144" w:rsidRDefault="00BE5144" w:rsidP="00BE5144">
      <w:pPr>
        <w:pStyle w:val="Footnote0"/>
        <w:shd w:val="clear" w:color="auto" w:fill="auto"/>
        <w:spacing w:line="194" w:lineRule="exact"/>
        <w:ind w:right="20"/>
      </w:pPr>
      <w:r>
        <w:rPr>
          <w:color w:val="000000"/>
          <w:vertAlign w:val="superscript"/>
          <w:lang w:bidi="en-US"/>
        </w:rPr>
        <w:footnoteRef/>
      </w:r>
      <w:r>
        <w:rPr>
          <w:color w:val="000000"/>
          <w:lang w:bidi="en-US"/>
        </w:rPr>
        <w:t xml:space="preserve"> Especially considering that “virtually all military activ</w:t>
      </w:r>
      <w:r>
        <w:rPr>
          <w:color w:val="000000"/>
          <w:lang w:bidi="en-US"/>
        </w:rPr>
        <w:softHyphen/>
        <w:t>ities have an environmental impact” (Woodward, 2004, p. 89).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4051" w:rsidRDefault="00BD4051">
    <w:pPr>
      <w:spacing w:after="0" w:line="240" w:lineRule="auto"/>
    </w:pPr>
    <w:r>
      <w:fldChar w:fldCharType="begin"/>
    </w:r>
    <w:r>
      <w:instrText xml:space="preserve"> PAGE   \* MERGEFORMAT </w:instrText>
    </w:r>
    <w:r>
      <w:fldChar w:fldCharType="separate"/>
    </w:r>
    <w:r>
      <w:rPr>
        <w:noProof/>
      </w:rPr>
      <w:t>356</w:t>
    </w:r>
    <w:r>
      <w:fldChar w:fldCharType="end"/>
    </w:r>
    <w:r>
      <w:tab/>
    </w:r>
    <w:r>
      <w:rPr>
        <w:sz w:val="16"/>
      </w:rPr>
      <w:t xml:space="preserve">LEGAL HISTORY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4051" w:rsidRDefault="00BD4051">
    <w:pPr>
      <w:spacing w:after="0" w:line="240" w:lineRule="auto"/>
    </w:pPr>
    <w:r>
      <w:rPr>
        <w:sz w:val="16"/>
      </w:rPr>
      <w:t>RESPONSE TO ANITA RUPPRECHT</w:t>
    </w:r>
    <w:r>
      <w:rPr>
        <w:sz w:val="16"/>
      </w:rPr>
      <w:tab/>
    </w:r>
    <w:r>
      <w:fldChar w:fldCharType="begin"/>
    </w:r>
    <w:r>
      <w:instrText xml:space="preserve"> PAGE   \* MERGEFORMAT </w:instrText>
    </w:r>
    <w:r>
      <w:fldChar w:fldCharType="separate"/>
    </w:r>
    <w:r w:rsidR="00AE03A7">
      <w:rPr>
        <w:noProof/>
      </w:rPr>
      <w:t>40</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4051" w:rsidRDefault="00BD4051">
    <w:pPr>
      <w:spacing w:after="0" w:line="276"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1E2B26"/>
    <w:multiLevelType w:val="multilevel"/>
    <w:tmpl w:val="2B9C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6341292"/>
    <w:docVar w:name="VerbatimVersion" w:val="5.0"/>
  </w:docVars>
  <w:rsids>
    <w:rsidRoot w:val="007C2C22"/>
    <w:rsid w:val="000139A3"/>
    <w:rsid w:val="000658D3"/>
    <w:rsid w:val="000A039C"/>
    <w:rsid w:val="000C214C"/>
    <w:rsid w:val="000C6642"/>
    <w:rsid w:val="00100833"/>
    <w:rsid w:val="00104529"/>
    <w:rsid w:val="00177B7D"/>
    <w:rsid w:val="0018322D"/>
    <w:rsid w:val="001A1279"/>
    <w:rsid w:val="001B5776"/>
    <w:rsid w:val="00203454"/>
    <w:rsid w:val="002177D3"/>
    <w:rsid w:val="00251FC7"/>
    <w:rsid w:val="002855A7"/>
    <w:rsid w:val="00292FED"/>
    <w:rsid w:val="0031557B"/>
    <w:rsid w:val="00315690"/>
    <w:rsid w:val="00325646"/>
    <w:rsid w:val="003902BA"/>
    <w:rsid w:val="00392D4D"/>
    <w:rsid w:val="00397854"/>
    <w:rsid w:val="003A09E2"/>
    <w:rsid w:val="00407037"/>
    <w:rsid w:val="00415A54"/>
    <w:rsid w:val="004605D6"/>
    <w:rsid w:val="004C60E8"/>
    <w:rsid w:val="004E3579"/>
    <w:rsid w:val="004F39E0"/>
    <w:rsid w:val="00537BD5"/>
    <w:rsid w:val="005A7217"/>
    <w:rsid w:val="005E406D"/>
    <w:rsid w:val="006065BD"/>
    <w:rsid w:val="00665003"/>
    <w:rsid w:val="006875D6"/>
    <w:rsid w:val="006E2170"/>
    <w:rsid w:val="00751879"/>
    <w:rsid w:val="007C2C22"/>
    <w:rsid w:val="007E6641"/>
    <w:rsid w:val="007F5B66"/>
    <w:rsid w:val="00823A1C"/>
    <w:rsid w:val="00845B9D"/>
    <w:rsid w:val="00860984"/>
    <w:rsid w:val="008745B6"/>
    <w:rsid w:val="008B3ECB"/>
    <w:rsid w:val="008B6AD1"/>
    <w:rsid w:val="008C1B2E"/>
    <w:rsid w:val="0091627E"/>
    <w:rsid w:val="009E1922"/>
    <w:rsid w:val="00A569C5"/>
    <w:rsid w:val="00A84488"/>
    <w:rsid w:val="00A93661"/>
    <w:rsid w:val="00A95652"/>
    <w:rsid w:val="00AE03A7"/>
    <w:rsid w:val="00B33C6D"/>
    <w:rsid w:val="00B40E02"/>
    <w:rsid w:val="00B4508F"/>
    <w:rsid w:val="00B66B0D"/>
    <w:rsid w:val="00B8057C"/>
    <w:rsid w:val="00BD4051"/>
    <w:rsid w:val="00BE5144"/>
    <w:rsid w:val="00BF2457"/>
    <w:rsid w:val="00BF593B"/>
    <w:rsid w:val="00C11C96"/>
    <w:rsid w:val="00C83417"/>
    <w:rsid w:val="00CD736E"/>
    <w:rsid w:val="00CE161E"/>
    <w:rsid w:val="00CF59A8"/>
    <w:rsid w:val="00D325A9"/>
    <w:rsid w:val="00D36A8A"/>
    <w:rsid w:val="00D420CE"/>
    <w:rsid w:val="00D71170"/>
    <w:rsid w:val="00D9190C"/>
    <w:rsid w:val="00DA6538"/>
    <w:rsid w:val="00DE678E"/>
    <w:rsid w:val="00DF230E"/>
    <w:rsid w:val="00E632A0"/>
    <w:rsid w:val="00ED30CF"/>
    <w:rsid w:val="00ED7AC7"/>
    <w:rsid w:val="00EF58FB"/>
    <w:rsid w:val="00F15F4F"/>
    <w:rsid w:val="00F176EF"/>
    <w:rsid w:val="00F31154"/>
    <w:rsid w:val="00F51EAA"/>
    <w:rsid w:val="00F61F97"/>
    <w:rsid w:val="00F700E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010E2F-1A88-4F0E-BFB7-B3850F80E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03454"/>
    <w:rPr>
      <w:rFonts w:ascii="Calibri" w:hAnsi="Calibri"/>
    </w:rPr>
  </w:style>
  <w:style w:type="paragraph" w:styleId="Heading1">
    <w:name w:val="heading 1"/>
    <w:aliases w:val="Pocket"/>
    <w:basedOn w:val="Normal"/>
    <w:next w:val="Normal"/>
    <w:link w:val="Heading1Char"/>
    <w:autoRedefine/>
    <w:qFormat/>
    <w:rsid w:val="002034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034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034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
    <w:basedOn w:val="Normal"/>
    <w:next w:val="Normal"/>
    <w:link w:val="Heading4Char"/>
    <w:autoRedefine/>
    <w:uiPriority w:val="3"/>
    <w:unhideWhenUsed/>
    <w:qFormat/>
    <w:rsid w:val="002034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034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3454"/>
  </w:style>
  <w:style w:type="character" w:customStyle="1" w:styleId="Heading1Char">
    <w:name w:val="Heading 1 Char"/>
    <w:aliases w:val="Pocket Char"/>
    <w:basedOn w:val="DefaultParagraphFont"/>
    <w:link w:val="Heading1"/>
    <w:rsid w:val="002034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0345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0345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20345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203454"/>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03454"/>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203454"/>
    <w:rPr>
      <w:b w:val="0"/>
      <w:sz w:val="22"/>
      <w:u w:val="single"/>
    </w:rPr>
  </w:style>
  <w:style w:type="character" w:styleId="Hyperlink">
    <w:name w:val="Hyperlink"/>
    <w:aliases w:val="heading 1 (block title),Important,Read,Card Text,Internet Link,Analytic Text"/>
    <w:basedOn w:val="DefaultParagraphFont"/>
    <w:uiPriority w:val="99"/>
    <w:unhideWhenUsed/>
    <w:rsid w:val="00203454"/>
    <w:rPr>
      <w:color w:val="auto"/>
      <w:u w:val="none"/>
    </w:rPr>
  </w:style>
  <w:style w:type="character" w:styleId="FollowedHyperlink">
    <w:name w:val="FollowedHyperlink"/>
    <w:basedOn w:val="DefaultParagraphFont"/>
    <w:uiPriority w:val="99"/>
    <w:semiHidden/>
    <w:unhideWhenUsed/>
    <w:rsid w:val="00203454"/>
    <w:rPr>
      <w:color w:val="auto"/>
      <w:u w:val="none"/>
    </w:rPr>
  </w:style>
  <w:style w:type="paragraph" w:customStyle="1" w:styleId="footnotedescription">
    <w:name w:val="footnote description"/>
    <w:next w:val="Normal"/>
    <w:link w:val="footnotedescriptionChar"/>
    <w:hidden/>
    <w:rsid w:val="00397854"/>
    <w:pPr>
      <w:spacing w:after="16" w:line="231" w:lineRule="auto"/>
      <w:ind w:firstLine="250"/>
      <w:jc w:val="both"/>
    </w:pPr>
    <w:rPr>
      <w:rFonts w:ascii="Times New Roman" w:eastAsia="Times New Roman" w:hAnsi="Times New Roman" w:cs="Times New Roman"/>
      <w:color w:val="181717"/>
      <w:sz w:val="17"/>
    </w:rPr>
  </w:style>
  <w:style w:type="character" w:customStyle="1" w:styleId="footnotedescriptionChar">
    <w:name w:val="footnote description Char"/>
    <w:link w:val="footnotedescription"/>
    <w:rsid w:val="00397854"/>
    <w:rPr>
      <w:rFonts w:ascii="Times New Roman" w:eastAsia="Times New Roman" w:hAnsi="Times New Roman" w:cs="Times New Roman"/>
      <w:color w:val="181717"/>
      <w:sz w:val="17"/>
    </w:rPr>
  </w:style>
  <w:style w:type="character" w:customStyle="1" w:styleId="footnotemark">
    <w:name w:val="footnote mark"/>
    <w:hidden/>
    <w:rsid w:val="00397854"/>
    <w:rPr>
      <w:rFonts w:ascii="Times New Roman" w:eastAsia="Times New Roman" w:hAnsi="Times New Roman" w:cs="Times New Roman"/>
      <w:color w:val="181717"/>
      <w:sz w:val="16"/>
      <w:vertAlign w:val="superscript"/>
    </w:rPr>
  </w:style>
  <w:style w:type="character" w:customStyle="1" w:styleId="apple-converted-space">
    <w:name w:val="apple-converted-space"/>
    <w:basedOn w:val="DefaultParagraphFont"/>
    <w:rsid w:val="00292FED"/>
  </w:style>
  <w:style w:type="character" w:customStyle="1" w:styleId="Bodytext3Exact">
    <w:name w:val="Body text (3) Exact"/>
    <w:basedOn w:val="DefaultParagraphFont"/>
    <w:link w:val="Bodytext3"/>
    <w:rsid w:val="005A7217"/>
    <w:rPr>
      <w:rFonts w:ascii="Times New Roman" w:eastAsia="Times New Roman" w:hAnsi="Times New Roman" w:cs="Times New Roman"/>
      <w:spacing w:val="3"/>
      <w:sz w:val="11"/>
      <w:szCs w:val="11"/>
      <w:shd w:val="clear" w:color="auto" w:fill="FFFFFF"/>
    </w:rPr>
  </w:style>
  <w:style w:type="character" w:customStyle="1" w:styleId="Bodytext">
    <w:name w:val="Body text_"/>
    <w:basedOn w:val="DefaultParagraphFont"/>
    <w:link w:val="BodyText1"/>
    <w:rsid w:val="005A7217"/>
    <w:rPr>
      <w:rFonts w:ascii="Times New Roman" w:eastAsia="Times New Roman" w:hAnsi="Times New Roman" w:cs="Times New Roman"/>
      <w:sz w:val="15"/>
      <w:szCs w:val="15"/>
      <w:shd w:val="clear" w:color="auto" w:fill="FFFFFF"/>
    </w:rPr>
  </w:style>
  <w:style w:type="character" w:customStyle="1" w:styleId="Bodytext2">
    <w:name w:val="Body text (2)_"/>
    <w:basedOn w:val="DefaultParagraphFont"/>
    <w:link w:val="Bodytext20"/>
    <w:rsid w:val="005A7217"/>
    <w:rPr>
      <w:rFonts w:ascii="Times New Roman" w:eastAsia="Times New Roman" w:hAnsi="Times New Roman" w:cs="Times New Roman"/>
      <w:i/>
      <w:iCs/>
      <w:sz w:val="15"/>
      <w:szCs w:val="15"/>
      <w:shd w:val="clear" w:color="auto" w:fill="FFFFFF"/>
    </w:rPr>
  </w:style>
  <w:style w:type="character" w:customStyle="1" w:styleId="Bodytext4">
    <w:name w:val="Body text (4)"/>
    <w:basedOn w:val="DefaultParagraphFont"/>
    <w:rsid w:val="005A7217"/>
    <w:rPr>
      <w:rFonts w:ascii="Times New Roman" w:eastAsia="Times New Roman" w:hAnsi="Times New Roman" w:cs="Times New Roman"/>
      <w:b w:val="0"/>
      <w:bCs w:val="0"/>
      <w:i w:val="0"/>
      <w:iCs w:val="0"/>
      <w:smallCaps w:val="0"/>
      <w:strike w:val="0"/>
      <w:sz w:val="16"/>
      <w:szCs w:val="16"/>
      <w:u w:val="none"/>
    </w:rPr>
  </w:style>
  <w:style w:type="paragraph" w:customStyle="1" w:styleId="Bodytext3">
    <w:name w:val="Body text (3)"/>
    <w:basedOn w:val="Normal"/>
    <w:link w:val="Bodytext3Exact"/>
    <w:rsid w:val="005A7217"/>
    <w:pPr>
      <w:widowControl w:val="0"/>
      <w:shd w:val="clear" w:color="auto" w:fill="FFFFFF"/>
      <w:spacing w:after="0" w:line="0" w:lineRule="atLeast"/>
    </w:pPr>
    <w:rPr>
      <w:rFonts w:ascii="Times New Roman" w:eastAsia="Times New Roman" w:hAnsi="Times New Roman" w:cs="Times New Roman"/>
      <w:spacing w:val="3"/>
      <w:sz w:val="11"/>
      <w:szCs w:val="11"/>
    </w:rPr>
  </w:style>
  <w:style w:type="paragraph" w:customStyle="1" w:styleId="BodyText1">
    <w:name w:val="Body Text1"/>
    <w:basedOn w:val="Normal"/>
    <w:link w:val="Bodytext"/>
    <w:rsid w:val="005A7217"/>
    <w:pPr>
      <w:widowControl w:val="0"/>
      <w:shd w:val="clear" w:color="auto" w:fill="FFFFFF"/>
      <w:spacing w:after="0" w:line="201" w:lineRule="exact"/>
      <w:ind w:hanging="180"/>
      <w:jc w:val="both"/>
    </w:pPr>
    <w:rPr>
      <w:rFonts w:ascii="Times New Roman" w:eastAsia="Times New Roman" w:hAnsi="Times New Roman" w:cs="Times New Roman"/>
      <w:sz w:val="15"/>
      <w:szCs w:val="15"/>
    </w:rPr>
  </w:style>
  <w:style w:type="paragraph" w:customStyle="1" w:styleId="Bodytext20">
    <w:name w:val="Body text (2)"/>
    <w:basedOn w:val="Normal"/>
    <w:link w:val="Bodytext2"/>
    <w:rsid w:val="005A7217"/>
    <w:pPr>
      <w:widowControl w:val="0"/>
      <w:shd w:val="clear" w:color="auto" w:fill="FFFFFF"/>
      <w:spacing w:before="240" w:after="120" w:line="0" w:lineRule="atLeast"/>
      <w:jc w:val="center"/>
    </w:pPr>
    <w:rPr>
      <w:rFonts w:ascii="Times New Roman" w:eastAsia="Times New Roman" w:hAnsi="Times New Roman" w:cs="Times New Roman"/>
      <w:i/>
      <w:iCs/>
      <w:sz w:val="15"/>
      <w:szCs w:val="15"/>
    </w:rPr>
  </w:style>
  <w:style w:type="paragraph" w:styleId="NormalWeb">
    <w:name w:val="Normal (Web)"/>
    <w:basedOn w:val="Normal"/>
    <w:uiPriority w:val="99"/>
    <w:semiHidden/>
    <w:unhideWhenUsed/>
    <w:rsid w:val="00BE51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
    <w:name w:val="Footnote_"/>
    <w:basedOn w:val="DefaultParagraphFont"/>
    <w:link w:val="Footnote0"/>
    <w:rsid w:val="00BE5144"/>
    <w:rPr>
      <w:rFonts w:ascii="Times New Roman" w:eastAsia="Times New Roman" w:hAnsi="Times New Roman" w:cs="Times New Roman"/>
      <w:b/>
      <w:bCs/>
      <w:sz w:val="17"/>
      <w:szCs w:val="17"/>
      <w:shd w:val="clear" w:color="auto" w:fill="FFFFFF"/>
    </w:rPr>
  </w:style>
  <w:style w:type="character" w:customStyle="1" w:styleId="Bodytext5">
    <w:name w:val="Body text (5)_"/>
    <w:basedOn w:val="DefaultParagraphFont"/>
    <w:link w:val="Bodytext50"/>
    <w:rsid w:val="00BE5144"/>
    <w:rPr>
      <w:rFonts w:ascii="Times New Roman" w:eastAsia="Times New Roman" w:hAnsi="Times New Roman" w:cs="Times New Roman"/>
      <w:b/>
      <w:bCs/>
      <w:sz w:val="15"/>
      <w:szCs w:val="15"/>
      <w:shd w:val="clear" w:color="auto" w:fill="FFFFFF"/>
    </w:rPr>
  </w:style>
  <w:style w:type="character" w:customStyle="1" w:styleId="BodytextItalic">
    <w:name w:val="Body text + Italic"/>
    <w:basedOn w:val="Bodytext"/>
    <w:rsid w:val="00BE5144"/>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style>
  <w:style w:type="character" w:customStyle="1" w:styleId="Heading30">
    <w:name w:val="Heading #3_"/>
    <w:basedOn w:val="DefaultParagraphFont"/>
    <w:link w:val="Heading31"/>
    <w:rsid w:val="00BE5144"/>
    <w:rPr>
      <w:rFonts w:ascii="Times New Roman" w:eastAsia="Times New Roman" w:hAnsi="Times New Roman" w:cs="Times New Roman"/>
      <w:b/>
      <w:bCs/>
      <w:sz w:val="20"/>
      <w:szCs w:val="20"/>
      <w:shd w:val="clear" w:color="auto" w:fill="FFFFFF"/>
    </w:rPr>
  </w:style>
  <w:style w:type="paragraph" w:customStyle="1" w:styleId="Footnote0">
    <w:name w:val="Footnote"/>
    <w:basedOn w:val="Normal"/>
    <w:link w:val="Footnote"/>
    <w:rsid w:val="00BE5144"/>
    <w:pPr>
      <w:widowControl w:val="0"/>
      <w:shd w:val="clear" w:color="auto" w:fill="FFFFFF"/>
      <w:spacing w:after="0" w:line="197" w:lineRule="exact"/>
      <w:jc w:val="both"/>
    </w:pPr>
    <w:rPr>
      <w:rFonts w:ascii="Times New Roman" w:eastAsia="Times New Roman" w:hAnsi="Times New Roman" w:cs="Times New Roman"/>
      <w:b/>
      <w:bCs/>
      <w:sz w:val="17"/>
      <w:szCs w:val="17"/>
    </w:rPr>
  </w:style>
  <w:style w:type="paragraph" w:customStyle="1" w:styleId="Bodytext50">
    <w:name w:val="Body text (5)"/>
    <w:basedOn w:val="Normal"/>
    <w:link w:val="Bodytext5"/>
    <w:rsid w:val="00BE5144"/>
    <w:pPr>
      <w:widowControl w:val="0"/>
      <w:shd w:val="clear" w:color="auto" w:fill="FFFFFF"/>
      <w:spacing w:before="300" w:after="0" w:line="0" w:lineRule="atLeast"/>
      <w:jc w:val="right"/>
    </w:pPr>
    <w:rPr>
      <w:rFonts w:ascii="Times New Roman" w:eastAsia="Times New Roman" w:hAnsi="Times New Roman" w:cs="Times New Roman"/>
      <w:b/>
      <w:bCs/>
      <w:sz w:val="15"/>
      <w:szCs w:val="15"/>
    </w:rPr>
  </w:style>
  <w:style w:type="paragraph" w:customStyle="1" w:styleId="Heading31">
    <w:name w:val="Heading #3"/>
    <w:basedOn w:val="Normal"/>
    <w:link w:val="Heading30"/>
    <w:rsid w:val="00BE5144"/>
    <w:pPr>
      <w:widowControl w:val="0"/>
      <w:shd w:val="clear" w:color="auto" w:fill="FFFFFF"/>
      <w:spacing w:before="480" w:after="300" w:line="0" w:lineRule="atLeast"/>
      <w:jc w:val="both"/>
      <w:outlineLvl w:val="2"/>
    </w:pPr>
    <w:rPr>
      <w:rFonts w:ascii="Times New Roman" w:eastAsia="Times New Roman" w:hAnsi="Times New Roman" w:cs="Times New Roman"/>
      <w:b/>
      <w:bCs/>
      <w:sz w:val="20"/>
      <w:szCs w:val="20"/>
    </w:rPr>
  </w:style>
  <w:style w:type="character" w:customStyle="1" w:styleId="Bodytext10pt">
    <w:name w:val="Body text + 10 pt"/>
    <w:aliases w:val="Italic"/>
    <w:basedOn w:val="Bodytext"/>
    <w:rsid w:val="008B6AD1"/>
    <w:rPr>
      <w:rFonts w:ascii="David" w:eastAsia="David" w:hAnsi="David" w:cs="David"/>
      <w:i/>
      <w:iCs/>
      <w:color w:val="000000"/>
      <w:spacing w:val="0"/>
      <w:w w:val="100"/>
      <w:position w:val="0"/>
      <w:sz w:val="20"/>
      <w:szCs w:val="20"/>
      <w:shd w:val="clear" w:color="auto" w:fill="FFFFFF"/>
      <w:lang w:val="en-US" w:eastAsia="en-US" w:bidi="en-US"/>
    </w:rPr>
  </w:style>
  <w:style w:type="paragraph" w:customStyle="1" w:styleId="BodyText30">
    <w:name w:val="Body Text3"/>
    <w:basedOn w:val="Normal"/>
    <w:rsid w:val="000A039C"/>
    <w:pPr>
      <w:widowControl w:val="0"/>
      <w:shd w:val="clear" w:color="auto" w:fill="FFFFFF"/>
      <w:spacing w:after="180" w:line="0" w:lineRule="atLeast"/>
      <w:ind w:hanging="340"/>
    </w:pPr>
    <w:rPr>
      <w:rFonts w:ascii="Book Antiqua" w:eastAsia="Book Antiqua" w:hAnsi="Book Antiqua" w:cs="Book Antiqua"/>
      <w:color w:val="000000"/>
      <w:sz w:val="17"/>
      <w:szCs w:val="17"/>
      <w:lang w:bidi="en-US"/>
    </w:rPr>
  </w:style>
  <w:style w:type="paragraph" w:customStyle="1" w:styleId="CardIndented">
    <w:name w:val="Card (Indented)"/>
    <w:basedOn w:val="Normal"/>
    <w:link w:val="CardIndentedChar"/>
    <w:qFormat/>
    <w:rsid w:val="00392D4D"/>
    <w:pPr>
      <w:ind w:left="288"/>
    </w:pPr>
    <w:rPr>
      <w:rFonts w:cs="Calibri"/>
    </w:rPr>
  </w:style>
  <w:style w:type="character" w:customStyle="1" w:styleId="CardIndentedChar">
    <w:name w:val="Card (Indented) Char"/>
    <w:basedOn w:val="DefaultParagraphFont"/>
    <w:link w:val="CardIndented"/>
    <w:rsid w:val="00392D4D"/>
    <w:rPr>
      <w:rFonts w:cs="Calibri"/>
    </w:rPr>
  </w:style>
  <w:style w:type="paragraph" w:customStyle="1" w:styleId="Nothing">
    <w:name w:val="Nothing"/>
    <w:link w:val="NothingChar"/>
    <w:qFormat/>
    <w:rsid w:val="00392D4D"/>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392D4D"/>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392D4D"/>
    <w:rPr>
      <w:sz w:val="24"/>
      <w:u w:val="thick"/>
    </w:rPr>
  </w:style>
  <w:style w:type="character" w:customStyle="1" w:styleId="Author-Date">
    <w:name w:val="Author-Date"/>
    <w:qFormat/>
    <w:rsid w:val="00392D4D"/>
    <w:rPr>
      <w:b/>
      <w:sz w:val="24"/>
    </w:rPr>
  </w:style>
  <w:style w:type="paragraph" w:customStyle="1" w:styleId="Tags">
    <w:name w:val="Tags"/>
    <w:next w:val="Nothing"/>
    <w:rsid w:val="00392D4D"/>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392D4D"/>
    <w:rPr>
      <w:rFonts w:ascii="Times New Roman" w:eastAsia="Times New Roman" w:hAnsi="Times New Roman" w:cs="Times New Roman"/>
      <w:sz w:val="20"/>
      <w:szCs w:val="24"/>
    </w:rPr>
  </w:style>
  <w:style w:type="character" w:customStyle="1" w:styleId="CardsChar">
    <w:name w:val="Cards Char"/>
    <w:link w:val="Cards"/>
    <w:rsid w:val="00392D4D"/>
    <w:rPr>
      <w:rFonts w:ascii="Times New Roman" w:eastAsia="Times New Roman" w:hAnsi="Times New Roman" w:cs="Times New Roman"/>
      <w:sz w:val="20"/>
      <w:szCs w:val="24"/>
    </w:rPr>
  </w:style>
  <w:style w:type="paragraph" w:customStyle="1" w:styleId="Citation">
    <w:name w:val="Citation"/>
    <w:basedOn w:val="Normal"/>
    <w:link w:val="CitationChar"/>
    <w:qFormat/>
    <w:rsid w:val="00392D4D"/>
    <w:rPr>
      <w:b/>
      <w:sz w:val="24"/>
      <w:u w:val="single"/>
    </w:rPr>
  </w:style>
  <w:style w:type="character" w:customStyle="1" w:styleId="CitationChar">
    <w:name w:val="Citation Char"/>
    <w:basedOn w:val="DefaultParagraphFont"/>
    <w:link w:val="Citation"/>
    <w:rsid w:val="00392D4D"/>
    <w:rPr>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940342">
      <w:bodyDiv w:val="1"/>
      <w:marLeft w:val="0"/>
      <w:marRight w:val="0"/>
      <w:marTop w:val="0"/>
      <w:marBottom w:val="0"/>
      <w:divBdr>
        <w:top w:val="none" w:sz="0" w:space="0" w:color="auto"/>
        <w:left w:val="none" w:sz="0" w:space="0" w:color="auto"/>
        <w:bottom w:val="none" w:sz="0" w:space="0" w:color="auto"/>
        <w:right w:val="none" w:sz="0" w:space="0" w:color="auto"/>
      </w:divBdr>
    </w:div>
    <w:div w:id="428041295">
      <w:bodyDiv w:val="1"/>
      <w:marLeft w:val="0"/>
      <w:marRight w:val="0"/>
      <w:marTop w:val="0"/>
      <w:marBottom w:val="0"/>
      <w:divBdr>
        <w:top w:val="none" w:sz="0" w:space="0" w:color="auto"/>
        <w:left w:val="none" w:sz="0" w:space="0" w:color="auto"/>
        <w:bottom w:val="none" w:sz="0" w:space="0" w:color="auto"/>
        <w:right w:val="none" w:sz="0" w:space="0" w:color="auto"/>
      </w:divBdr>
      <w:divsChild>
        <w:div w:id="1244099336">
          <w:marLeft w:val="-105"/>
          <w:marRight w:val="0"/>
          <w:marTop w:val="0"/>
          <w:marBottom w:val="0"/>
          <w:divBdr>
            <w:top w:val="none" w:sz="0" w:space="0" w:color="auto"/>
            <w:left w:val="single" w:sz="6" w:space="4" w:color="CCCCCC"/>
            <w:bottom w:val="none" w:sz="0" w:space="0" w:color="auto"/>
            <w:right w:val="none" w:sz="0" w:space="0" w:color="auto"/>
          </w:divBdr>
        </w:div>
      </w:divsChild>
    </w:div>
    <w:div w:id="923951882">
      <w:bodyDiv w:val="1"/>
      <w:marLeft w:val="0"/>
      <w:marRight w:val="0"/>
      <w:marTop w:val="0"/>
      <w:marBottom w:val="0"/>
      <w:divBdr>
        <w:top w:val="none" w:sz="0" w:space="0" w:color="auto"/>
        <w:left w:val="none" w:sz="0" w:space="0" w:color="auto"/>
        <w:bottom w:val="none" w:sz="0" w:space="0" w:color="auto"/>
        <w:right w:val="none" w:sz="0" w:space="0" w:color="auto"/>
      </w:divBdr>
    </w:div>
    <w:div w:id="960961934">
      <w:bodyDiv w:val="1"/>
      <w:marLeft w:val="0"/>
      <w:marRight w:val="0"/>
      <w:marTop w:val="0"/>
      <w:marBottom w:val="0"/>
      <w:divBdr>
        <w:top w:val="none" w:sz="0" w:space="0" w:color="auto"/>
        <w:left w:val="none" w:sz="0" w:space="0" w:color="auto"/>
        <w:bottom w:val="none" w:sz="0" w:space="0" w:color="auto"/>
        <w:right w:val="none" w:sz="0" w:space="0" w:color="auto"/>
      </w:divBdr>
    </w:div>
    <w:div w:id="983854817">
      <w:bodyDiv w:val="1"/>
      <w:marLeft w:val="0"/>
      <w:marRight w:val="0"/>
      <w:marTop w:val="0"/>
      <w:marBottom w:val="0"/>
      <w:divBdr>
        <w:top w:val="none" w:sz="0" w:space="0" w:color="auto"/>
        <w:left w:val="none" w:sz="0" w:space="0" w:color="auto"/>
        <w:bottom w:val="none" w:sz="0" w:space="0" w:color="auto"/>
        <w:right w:val="none" w:sz="0" w:space="0" w:color="auto"/>
      </w:divBdr>
    </w:div>
    <w:div w:id="209146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cambridge.org/action/displayAbstract?fromPage=online&amp;aid=8744649&amp;fileId=S002085901200049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onlinelibrary.wiley.com/doi/10.1111/1467-9752.00233/pdf" TargetMode="External"/><Relationship Id="rId12" Type="http://schemas.openxmlformats.org/officeDocument/2006/relationships/hyperlink" Target="http://greenfleet.dodlive.mil/files/2014/03/Win14_DASNE_Outlook.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tts.org/Ocean_wealth/oceanwealth_01_feb03/wista_oceanwealth_feture.htm"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tandfonline.com/doi/abs/10.1080/01440360701698510" TargetMode="External"/><Relationship Id="rId4" Type="http://schemas.openxmlformats.org/officeDocument/2006/relationships/webSettings" Target="webSettings.xml"/><Relationship Id="rId9" Type="http://schemas.openxmlformats.org/officeDocument/2006/relationships/hyperlink" Target="http://scholar.harvard.edu/vbrown/publications/social-death-and-political-life-study-slavery"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22065</Words>
  <Characters>125775</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dc:creator>
  <cp:keywords>5.0</cp:keywords>
  <dc:description/>
  <cp:lastModifiedBy>Michael Valladares</cp:lastModifiedBy>
  <cp:revision>3</cp:revision>
  <dcterms:created xsi:type="dcterms:W3CDTF">2014-08-01T03:21:00Z</dcterms:created>
  <dcterms:modified xsi:type="dcterms:W3CDTF">2014-08-02T17:56:00Z</dcterms:modified>
</cp:coreProperties>
</file>