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6253" w:rsidRPr="007B15B7" w:rsidRDefault="00946253" w:rsidP="00946253">
      <w:pPr>
        <w:pStyle w:val="tag"/>
      </w:pPr>
      <w:r w:rsidRPr="007B15B7">
        <w:t>Trying to factor in every possible cause is an impossible task and risks paralysis, a good prediction is good enough.</w:t>
      </w:r>
    </w:p>
    <w:p w:rsidR="00946253" w:rsidRPr="007B15B7" w:rsidRDefault="00946253" w:rsidP="00946253">
      <w:r w:rsidRPr="007B15B7">
        <w:t xml:space="preserve">Erich </w:t>
      </w:r>
      <w:r w:rsidRPr="00D66C77">
        <w:rPr>
          <w:b/>
          <w:highlight w:val="cyan"/>
        </w:rPr>
        <w:t>Loewy, 1991</w:t>
      </w:r>
      <w:r w:rsidRPr="007B15B7">
        <w:t xml:space="preserve"> (associate professor of medicine at the University of Illinois and associate professor of humanities), “Suffering and the Beneficent Community: Beyond Libertarianism,” 1991, p. 17-21.</w:t>
      </w:r>
    </w:p>
    <w:p w:rsidR="00946253" w:rsidRPr="007B15B7" w:rsidRDefault="00946253" w:rsidP="00946253">
      <w:r w:rsidRPr="007B15B7">
        <w:rPr>
          <w:sz w:val="16"/>
        </w:rPr>
        <w:t>All of our judgments and decisions ultimately must be grounded in nonverifiable assumptions. The fundamentalist may deny this; but the fundamentalist grounds her judgments and decisions either in a religious belief based on revealed truth or, at least, on the assumption that “somewhere out there” truth exists and that we, in the human condition, can know it.</w:t>
      </w:r>
      <w:r w:rsidRPr="007B15B7">
        <w:t xml:space="preserve"> </w:t>
      </w:r>
      <w:r w:rsidRPr="007B15B7">
        <w:rPr>
          <w:u w:val="single"/>
        </w:rPr>
        <w:t>Ultimately, or at least up to this point in time, absolute verification eludes</w:t>
      </w:r>
      <w:r w:rsidRPr="007B15B7">
        <w:t xml:space="preserve"> [sic </w:t>
      </w:r>
      <w:r w:rsidRPr="007B15B7">
        <w:rPr>
          <w:u w:val="single"/>
        </w:rPr>
        <w:t>hu]man</w:t>
      </w:r>
      <w:r w:rsidRPr="007B15B7">
        <w:t xml:space="preserve">. </w:t>
      </w:r>
      <w:r w:rsidRPr="007B15B7">
        <w:rPr>
          <w:sz w:val="16"/>
        </w:rPr>
        <w:t>At the extreme of this point of view, there are those who claim that truth is not only knowable, but is in fact, known and only the stubborn recalcitrance of the uninitiated prevents it from being generally accepted. This point of view claims not only that morality exists as a discoverable truth, an absolute not fashioned by men but unchanging and immutable, but also that truth has in fact been discovered. Rights and wrongs exist quite apart from the stage on which their application is played out. Situations may differ but, at most, such differences force us to reinterpret old and forever valid principles in a new light. Those who believe themselves to know the truth, furthermore, oftentimes feel compelled not only to persuade others to their point of view but feel morally justified in using considerable force to do so. On the other hand, some of us would deny the existence of immutable truth or, what is not quite the same thing, deny at least that it is knowable in the human condition. Those who flatly deny the existence of unalterable truth find themselves in much the same pickle as do those who flatly assert it: Both lack a standard of truth to which their affirmations can be appealed. Those who concede the possibility that truth exists but not the possibility that man in the human condition can be privy to it, have modified the position without greatly improving it. Their affirmation that man in the human condition can never know absolute truth seems more reasonable but is, once again, not verifiable. Who can know with certainty that tomorrow someone will not discover a way of “getting at” absolute truth and, in addition, be able to provide a simple and brilliant proof which other mortals to date have missed? Only an absolutist could deny such a possibility! That leaves us with a more pragmatic answer: Holding that, in the human condition, truth is not—or at least is not currently—accessible to us leaves more options open and does not fly in the face of the undeniable fact that, unlikely as it seems, our knowing absolute truth may be just around the corner. Outside the religious sphere, no one has ever convinced most thinking people that they are the possessors of absolute truth.</w:t>
      </w:r>
      <w:r w:rsidRPr="007B15B7">
        <w:t xml:space="preserve"> </w:t>
      </w:r>
      <w:r w:rsidRPr="00D66C77">
        <w:rPr>
          <w:highlight w:val="cyan"/>
          <w:u w:val="single"/>
        </w:rPr>
        <w:t xml:space="preserve">Truth, whenever accepted at least for daily use, is </w:t>
      </w:r>
      <w:r w:rsidRPr="00D66C77">
        <w:rPr>
          <w:b/>
          <w:highlight w:val="cyan"/>
          <w:u w:val="single"/>
        </w:rPr>
        <w:t>invariably hedged</w:t>
      </w:r>
      <w:r w:rsidRPr="00D66C77">
        <w:rPr>
          <w:highlight w:val="cyan"/>
          <w:u w:val="single"/>
        </w:rPr>
        <w:t xml:space="preserve">. If we accept the fact that absolute truth (at least so far) is unknown to us and accept as an axiom that it may well be unknowable, we are left with a truth which for </w:t>
      </w:r>
      <w:r w:rsidRPr="00D66C77">
        <w:rPr>
          <w:b/>
          <w:highlight w:val="cyan"/>
          <w:u w:val="single"/>
        </w:rPr>
        <w:t xml:space="preserve">everyday use </w:t>
      </w:r>
      <w:r w:rsidRPr="00D66C77">
        <w:rPr>
          <w:highlight w:val="cyan"/>
          <w:u w:val="single"/>
        </w:rPr>
        <w:t>is fashioned rather than discovered</w:t>
      </w:r>
      <w:r w:rsidRPr="007B15B7">
        <w:rPr>
          <w:u w:val="single"/>
        </w:rPr>
        <w:t>.</w:t>
      </w:r>
      <w:r w:rsidRPr="007B15B7">
        <w:t xml:space="preserve"> </w:t>
      </w:r>
      <w:r w:rsidRPr="007B15B7">
        <w:rPr>
          <w:sz w:val="16"/>
        </w:rPr>
        <w:t>What is and what is not true or what is and what is not morally acceptable, therefore, varies with the culture in which we live. This claim (the claim on which, as we shall see, cultural relativism relies) rests on the assertion that there are many ways of looking at truths and that such truths are fashioned by people. Depending on our vantage point, there are many visions of reality,1 a fact which the defenders of this doctrine hold to be valid in dealing with the concrete, scientific reality of chemistry and physics.2 Such a claim, it would seem, is even more forceful when dealing with morals. As Engelhardt puts it so very well: “Our construals of reality exist within the embrace of cultural expectations.”3 And our “construals of reality” include our vision of the moral life. Furthermore, not only do our “visions of reality occur within the embrace of cultural expectations,” the limits of what we as humans can and what we cannot culturally (or otherwise) expect are biologically framed by the totality of our bodies and their capacities as well as (and inseparable from the rest of the body of which it is a part) by our minds.  All human judgments and decisions, then are inevitably grounded to prior assumptions which we accept and do not question for now.  There is a story about William James which illustrates the point. James was giving a lecture dealing with the universe at a Chattauqua: one of those events so popular at the turn of the century, which has, regrettably, been replaced by talk shows. At the end of his well-received lecture, a little old lady came up to him and said: “I enjoyed your talk, Mr. James, but you know you are making an error: The universe rests on the back of a tortoise!” “Very well,” James said, “I can accept that. But tell me, what in turn does that other tortoise rest upon?”  “It’s no use, Mr. James, it’s tortoises all the way down.” And so it goes:</w:t>
      </w:r>
      <w:r w:rsidRPr="007B15B7">
        <w:t xml:space="preserve"> </w:t>
      </w:r>
      <w:r w:rsidRPr="00D66C77">
        <w:rPr>
          <w:highlight w:val="cyan"/>
          <w:u w:val="single"/>
        </w:rPr>
        <w:t xml:space="preserve">Every assumption rests on the back of another assumption and if we are to examine all before proceeding with our everyday judgments and decisions we would get </w:t>
      </w:r>
      <w:r w:rsidRPr="00D66C77">
        <w:rPr>
          <w:b/>
          <w:highlight w:val="cyan"/>
          <w:u w:val="single"/>
        </w:rPr>
        <w:t>hopelessly mired in mud</w:t>
      </w:r>
      <w:r w:rsidRPr="00D66C77">
        <w:rPr>
          <w:highlight w:val="cyan"/>
          <w:u w:val="single"/>
        </w:rPr>
        <w:t>.  The quest is necessarily endless</w:t>
      </w:r>
      <w:r w:rsidRPr="007B15B7">
        <w:t xml:space="preserve"> </w:t>
      </w:r>
    </w:p>
    <w:p w:rsidR="00946253" w:rsidRPr="007B15B7" w:rsidRDefault="00946253" w:rsidP="00946253">
      <w:pPr>
        <w:pStyle w:val="tag"/>
      </w:pPr>
    </w:p>
    <w:p w:rsidR="00946253" w:rsidRPr="007B15B7" w:rsidRDefault="00946253" w:rsidP="00946253">
      <w:pPr>
        <w:rPr>
          <w:rFonts w:eastAsia="Times New Roman"/>
          <w:b/>
        </w:rPr>
      </w:pPr>
      <w:bookmarkStart w:id="0" w:name="_Toc320182012"/>
      <w:r w:rsidRPr="007B15B7">
        <w:rPr>
          <w:rFonts w:eastAsia="Times New Roman"/>
          <w:b/>
        </w:rPr>
        <w:t xml:space="preserve">Predictions are good </w:t>
      </w:r>
    </w:p>
    <w:p w:rsidR="00946253" w:rsidRPr="007B15B7" w:rsidRDefault="00946253" w:rsidP="00946253">
      <w:pPr>
        <w:rPr>
          <w:rFonts w:eastAsia="Times New Roman"/>
          <w:sz w:val="16"/>
        </w:rPr>
      </w:pPr>
      <w:r w:rsidRPr="00D66C77">
        <w:rPr>
          <w:rFonts w:eastAsia="Times New Roman"/>
          <w:b/>
          <w:highlight w:val="cyan"/>
        </w:rPr>
        <w:t>Kurasawa</w:t>
      </w:r>
      <w:r w:rsidRPr="007B15B7">
        <w:rPr>
          <w:rFonts w:eastAsia="Times New Roman"/>
          <w:sz w:val="16"/>
        </w:rPr>
        <w:t xml:space="preserve">, Assistant Professor of Sociology at York University, Toronto, and a Faculty Associate of the Center for Cultural Sociology at Yale, </w:t>
      </w:r>
      <w:r w:rsidRPr="00D66C77">
        <w:rPr>
          <w:rFonts w:eastAsia="Times New Roman"/>
          <w:sz w:val="16"/>
          <w:highlight w:val="cyan"/>
        </w:rPr>
        <w:t>200</w:t>
      </w:r>
      <w:r w:rsidRPr="00D66C77">
        <w:rPr>
          <w:rFonts w:eastAsia="Times New Roman"/>
          <w:b/>
          <w:highlight w:val="cyan"/>
        </w:rPr>
        <w:t>4</w:t>
      </w:r>
    </w:p>
    <w:p w:rsidR="00946253" w:rsidRPr="007B15B7" w:rsidRDefault="00946253" w:rsidP="00946253">
      <w:pPr>
        <w:rPr>
          <w:rFonts w:eastAsia="Times New Roman"/>
          <w:sz w:val="16"/>
        </w:rPr>
      </w:pPr>
      <w:r w:rsidRPr="007B15B7">
        <w:rPr>
          <w:rFonts w:eastAsia="Times New Roman"/>
          <w:sz w:val="16"/>
        </w:rPr>
        <w:t>(Fuyuki, “Cautionary Tales,” Constellations Volume 4 No. 11, December)</w:t>
      </w:r>
    </w:p>
    <w:p w:rsidR="00946253" w:rsidRPr="007B15B7" w:rsidRDefault="00946253" w:rsidP="00946253">
      <w:pPr>
        <w:ind w:left="288" w:right="288"/>
        <w:rPr>
          <w:rFonts w:eastAsia="Times New Roman"/>
          <w:sz w:val="16"/>
        </w:rPr>
      </w:pPr>
      <w:r w:rsidRPr="00D66C77">
        <w:rPr>
          <w:rFonts w:eastAsia="Times New Roman"/>
          <w:sz w:val="20"/>
          <w:highlight w:val="cyan"/>
          <w:u w:val="single"/>
        </w:rPr>
        <w:t>When engaging in</w:t>
      </w:r>
      <w:r w:rsidRPr="007B15B7">
        <w:rPr>
          <w:rFonts w:eastAsia="Times New Roman"/>
          <w:sz w:val="20"/>
          <w:u w:val="single"/>
        </w:rPr>
        <w:t xml:space="preserve"> the labor of </w:t>
      </w:r>
      <w:r w:rsidRPr="00D66C77">
        <w:rPr>
          <w:rFonts w:eastAsia="Times New Roman"/>
          <w:sz w:val="20"/>
          <w:highlight w:val="cyan"/>
          <w:u w:val="single"/>
        </w:rPr>
        <w:t>preventive foresight, the first obstacle</w:t>
      </w:r>
      <w:r w:rsidRPr="007B15B7">
        <w:rPr>
          <w:rFonts w:eastAsia="Times New Roman"/>
          <w:sz w:val="20"/>
          <w:u w:val="single"/>
        </w:rPr>
        <w:t xml:space="preserve"> that one is likely to encounter from some intellectual circles </w:t>
      </w:r>
      <w:r w:rsidRPr="00D66C77">
        <w:rPr>
          <w:rFonts w:eastAsia="Times New Roman"/>
          <w:sz w:val="20"/>
          <w:highlight w:val="cyan"/>
          <w:u w:val="single"/>
        </w:rPr>
        <w:t>is a deep-seated skepticism</w:t>
      </w:r>
      <w:r w:rsidRPr="007B15B7">
        <w:rPr>
          <w:rFonts w:eastAsia="Times New Roman"/>
          <w:sz w:val="20"/>
          <w:u w:val="single"/>
        </w:rPr>
        <w:t xml:space="preserve"> about the very value of the exercise. A</w:t>
      </w:r>
      <w:r w:rsidRPr="007B15B7">
        <w:rPr>
          <w:rFonts w:eastAsia="Times New Roman"/>
          <w:sz w:val="16"/>
        </w:rPr>
        <w:t xml:space="preserve"> radically </w:t>
      </w:r>
      <w:r w:rsidRPr="007B15B7">
        <w:rPr>
          <w:rFonts w:eastAsia="Times New Roman"/>
          <w:sz w:val="20"/>
          <w:u w:val="single"/>
        </w:rPr>
        <w:t>postmodern line of thinking</w:t>
      </w:r>
      <w:r w:rsidRPr="007B15B7">
        <w:rPr>
          <w:rFonts w:eastAsia="Times New Roman"/>
          <w:sz w:val="16"/>
        </w:rPr>
        <w:t xml:space="preserve">, for instance, </w:t>
      </w:r>
      <w:r w:rsidRPr="007B15B7">
        <w:rPr>
          <w:rFonts w:eastAsia="Times New Roman"/>
          <w:sz w:val="20"/>
          <w:u w:val="single"/>
        </w:rPr>
        <w:t>would lead us to believe that it is pointless</w:t>
      </w:r>
      <w:r w:rsidRPr="007B15B7">
        <w:rPr>
          <w:rFonts w:eastAsia="Times New Roman"/>
          <w:sz w:val="16"/>
        </w:rPr>
        <w:t xml:space="preserve">, perhaps even harmful, to strive for farsightedness in light of the aforementioned crisis of conventional paradigms of historical analysis. If, </w:t>
      </w:r>
      <w:r w:rsidRPr="007B15B7">
        <w:rPr>
          <w:rFonts w:eastAsia="Times New Roman"/>
          <w:i/>
          <w:iCs/>
          <w:sz w:val="16"/>
        </w:rPr>
        <w:t xml:space="preserve">contra </w:t>
      </w:r>
      <w:r w:rsidRPr="007B15B7">
        <w:rPr>
          <w:rFonts w:eastAsia="Times New Roman"/>
          <w:sz w:val="16"/>
        </w:rPr>
        <w:t xml:space="preserve">teleological models, history has no intrinsic meaning, direction, or endpoint to be discovered through human reason, and if, </w:t>
      </w:r>
      <w:r w:rsidRPr="007B15B7">
        <w:rPr>
          <w:rFonts w:eastAsia="Times New Roman"/>
          <w:i/>
          <w:iCs/>
          <w:sz w:val="16"/>
        </w:rPr>
        <w:t xml:space="preserve">contra </w:t>
      </w:r>
      <w:r w:rsidRPr="007B15B7">
        <w:rPr>
          <w:rFonts w:eastAsia="Times New Roman"/>
          <w:sz w:val="16"/>
        </w:rPr>
        <w:t xml:space="preserve">scientistic futurism, prospective trends cannot be predicted without error, then the abyss of chronological inscrutability supposedly opens up at our feet. </w:t>
      </w:r>
      <w:r w:rsidRPr="007B15B7">
        <w:rPr>
          <w:rFonts w:eastAsia="Times New Roman"/>
          <w:sz w:val="20"/>
          <w:u w:val="single"/>
        </w:rPr>
        <w:t>The future appears to be unknowable</w:t>
      </w:r>
      <w:r w:rsidRPr="007B15B7">
        <w:rPr>
          <w:rFonts w:eastAsia="Times New Roman"/>
          <w:sz w:val="16"/>
        </w:rPr>
        <w:t xml:space="preserve">, an outcome of chance. Therefore, rather than embarking upon grandiose speculation about what may occur, we should adopt a pragmatism that abandons itself to the twists and turns of history; let us be content to formulate </w:t>
      </w:r>
      <w:r w:rsidRPr="007B15B7">
        <w:rPr>
          <w:rFonts w:eastAsia="Times New Roman"/>
          <w:i/>
          <w:iCs/>
          <w:sz w:val="16"/>
        </w:rPr>
        <w:t xml:space="preserve">ad hoc </w:t>
      </w:r>
      <w:r w:rsidRPr="007B15B7">
        <w:rPr>
          <w:rFonts w:eastAsia="Times New Roman"/>
          <w:sz w:val="16"/>
        </w:rPr>
        <w:t xml:space="preserve">responses to emergencies as they arise. While </w:t>
      </w:r>
      <w:r w:rsidRPr="007B15B7">
        <w:rPr>
          <w:rFonts w:eastAsia="Times New Roman"/>
          <w:sz w:val="20"/>
          <w:u w:val="single"/>
        </w:rPr>
        <w:t>this argument</w:t>
      </w:r>
      <w:r w:rsidRPr="007B15B7">
        <w:rPr>
          <w:rFonts w:eastAsia="Times New Roman"/>
          <w:sz w:val="16"/>
        </w:rPr>
        <w:t xml:space="preserve"> has the merit of underscoring the fallibilistic nature of all predictive schemes, it </w:t>
      </w:r>
      <w:r w:rsidRPr="007B15B7">
        <w:rPr>
          <w:rFonts w:eastAsia="Times New Roman"/>
          <w:sz w:val="20"/>
          <w:u w:val="single"/>
        </w:rPr>
        <w:t xml:space="preserve">conflates the necessary recognition of the contingency of history with unwarranted assertions about the latter’s total opacity and indeterminacy. </w:t>
      </w:r>
      <w:r w:rsidRPr="00D66C77">
        <w:rPr>
          <w:rFonts w:eastAsia="Times New Roman"/>
          <w:sz w:val="20"/>
          <w:highlight w:val="cyan"/>
          <w:u w:val="single"/>
        </w:rPr>
        <w:t>Acknowledging</w:t>
      </w:r>
      <w:r w:rsidRPr="007B15B7">
        <w:rPr>
          <w:rFonts w:eastAsia="Times New Roman"/>
          <w:sz w:val="20"/>
          <w:u w:val="single"/>
        </w:rPr>
        <w:t xml:space="preserve"> the </w:t>
      </w:r>
      <w:r w:rsidRPr="00D66C77">
        <w:rPr>
          <w:rFonts w:eastAsia="Times New Roman"/>
          <w:sz w:val="20"/>
          <w:highlight w:val="cyan"/>
          <w:u w:val="single"/>
        </w:rPr>
        <w:t>fact that the future cannot be known with absolute certainty does not imply abandoning the task of trying to understand what is brewing on the horizon and to prepare for crises already coming into their own</w:t>
      </w:r>
      <w:r w:rsidRPr="00D66C77">
        <w:rPr>
          <w:rFonts w:eastAsia="Times New Roman"/>
          <w:sz w:val="16"/>
          <w:highlight w:val="cyan"/>
        </w:rPr>
        <w:t>.</w:t>
      </w:r>
      <w:r w:rsidRPr="007B15B7">
        <w:rPr>
          <w:rFonts w:eastAsia="Times New Roman"/>
          <w:sz w:val="16"/>
        </w:rPr>
        <w:t xml:space="preserve"> In fact, the incorporation of the principle of fallibility into the work of prevention means that </w:t>
      </w:r>
      <w:r w:rsidRPr="00D66C77">
        <w:rPr>
          <w:rFonts w:eastAsia="Times New Roman"/>
          <w:sz w:val="20"/>
          <w:highlight w:val="cyan"/>
          <w:u w:val="single"/>
        </w:rPr>
        <w:t>we must be ever more vigilant</w:t>
      </w:r>
      <w:r w:rsidRPr="007B15B7">
        <w:rPr>
          <w:rFonts w:eastAsia="Times New Roman"/>
          <w:sz w:val="20"/>
          <w:u w:val="single"/>
        </w:rPr>
        <w:t xml:space="preserve"> for warning signs of disaster and for responses that provoke unintended or unexpected consequences</w:t>
      </w:r>
      <w:r w:rsidRPr="007B15B7">
        <w:rPr>
          <w:rFonts w:eastAsia="Times New Roman"/>
          <w:sz w:val="16"/>
        </w:rPr>
        <w:t xml:space="preserve"> (a point to which I will return in the final section of this paper). In addition, from a normative point of view, the acceptance of historical contingency and of the self-limiting character of farsightedness places the duty of preventing catastrophe squarely on the shoulders of present generations</w:t>
      </w:r>
      <w:r w:rsidRPr="00D66C77">
        <w:rPr>
          <w:rFonts w:eastAsia="Times New Roman"/>
          <w:sz w:val="16"/>
          <w:highlight w:val="cyan"/>
        </w:rPr>
        <w:t xml:space="preserve">. </w:t>
      </w:r>
      <w:r w:rsidRPr="00D66C77">
        <w:rPr>
          <w:rFonts w:eastAsia="Times New Roman"/>
          <w:sz w:val="20"/>
          <w:highlight w:val="cyan"/>
          <w:u w:val="single"/>
        </w:rPr>
        <w:t>The future</w:t>
      </w:r>
      <w:r w:rsidRPr="007B15B7">
        <w:rPr>
          <w:rFonts w:eastAsia="Times New Roman"/>
          <w:sz w:val="16"/>
        </w:rPr>
        <w:t xml:space="preserve"> no longer appears to be a metaphysical creature of destiny or of the cunning of reason, nor can it be sloughed off to pure randomness. It </w:t>
      </w:r>
      <w:r w:rsidRPr="00D66C77">
        <w:rPr>
          <w:rFonts w:eastAsia="Times New Roman"/>
          <w:sz w:val="20"/>
          <w:highlight w:val="cyan"/>
          <w:u w:val="single"/>
        </w:rPr>
        <w:t>becomes</w:t>
      </w:r>
      <w:r w:rsidRPr="007B15B7">
        <w:rPr>
          <w:rFonts w:eastAsia="Times New Roman"/>
          <w:sz w:val="16"/>
        </w:rPr>
        <w:t xml:space="preserve">, instead, </w:t>
      </w:r>
      <w:r w:rsidRPr="00D66C77">
        <w:rPr>
          <w:rFonts w:eastAsia="Times New Roman"/>
          <w:sz w:val="20"/>
          <w:highlight w:val="cyan"/>
          <w:u w:val="single"/>
        </w:rPr>
        <w:t>a result of</w:t>
      </w:r>
      <w:r w:rsidRPr="007B15B7">
        <w:rPr>
          <w:rFonts w:eastAsia="Times New Roman"/>
          <w:sz w:val="20"/>
          <w:u w:val="single"/>
        </w:rPr>
        <w:t xml:space="preserve"> human </w:t>
      </w:r>
      <w:r w:rsidRPr="00D66C77">
        <w:rPr>
          <w:rFonts w:eastAsia="Times New Roman"/>
          <w:sz w:val="20"/>
          <w:highlight w:val="cyan"/>
          <w:u w:val="single"/>
        </w:rPr>
        <w:t>action shaped by decisions in the present</w:t>
      </w:r>
      <w:r w:rsidRPr="007B15B7">
        <w:rPr>
          <w:rFonts w:eastAsia="Times New Roman"/>
          <w:sz w:val="16"/>
        </w:rPr>
        <w:t xml:space="preserve"> – </w:t>
      </w:r>
      <w:r w:rsidRPr="007B15B7">
        <w:rPr>
          <w:rFonts w:eastAsia="Times New Roman"/>
          <w:sz w:val="20"/>
          <w:u w:val="single"/>
        </w:rPr>
        <w:t>including</w:t>
      </w:r>
      <w:r w:rsidRPr="007B15B7">
        <w:rPr>
          <w:rFonts w:eastAsia="Times New Roman"/>
          <w:sz w:val="16"/>
        </w:rPr>
        <w:t xml:space="preserve">, of course, </w:t>
      </w:r>
      <w:r w:rsidRPr="007B15B7">
        <w:rPr>
          <w:rFonts w:eastAsia="Times New Roman"/>
          <w:sz w:val="20"/>
          <w:u w:val="single"/>
        </w:rPr>
        <w:t>trying to anticipate and prepare for possible and avoidable sources of harm to our successors</w:t>
      </w:r>
      <w:r w:rsidRPr="007B15B7">
        <w:rPr>
          <w:rFonts w:eastAsia="Times New Roman"/>
          <w:sz w:val="16"/>
        </w:rPr>
        <w:t xml:space="preserve">. </w:t>
      </w:r>
    </w:p>
    <w:p w:rsidR="00A95652" w:rsidRPr="008C1B2E" w:rsidRDefault="00A95652" w:rsidP="008C1B2E">
      <w:bookmarkStart w:id="1" w:name="_GoBack"/>
      <w:bookmarkEnd w:id="0"/>
      <w:bookmarkEnd w:id="1"/>
    </w:p>
    <w:sectPr w:rsidR="00A95652"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946253"/>
    <w:rsid w:val="000139A3"/>
    <w:rsid w:val="00100833"/>
    <w:rsid w:val="00104529"/>
    <w:rsid w:val="00177B7D"/>
    <w:rsid w:val="0018322D"/>
    <w:rsid w:val="001B5776"/>
    <w:rsid w:val="00251FC7"/>
    <w:rsid w:val="002855A7"/>
    <w:rsid w:val="00315690"/>
    <w:rsid w:val="00325646"/>
    <w:rsid w:val="003902BA"/>
    <w:rsid w:val="003A09E2"/>
    <w:rsid w:val="00407037"/>
    <w:rsid w:val="004605D6"/>
    <w:rsid w:val="004C60E8"/>
    <w:rsid w:val="004E3579"/>
    <w:rsid w:val="004F39E0"/>
    <w:rsid w:val="00537BD5"/>
    <w:rsid w:val="00592249"/>
    <w:rsid w:val="006065BD"/>
    <w:rsid w:val="00665003"/>
    <w:rsid w:val="007F5B66"/>
    <w:rsid w:val="00823A1C"/>
    <w:rsid w:val="00845B9D"/>
    <w:rsid w:val="00860984"/>
    <w:rsid w:val="008B3ECB"/>
    <w:rsid w:val="008C1B2E"/>
    <w:rsid w:val="0091627E"/>
    <w:rsid w:val="00946253"/>
    <w:rsid w:val="009E1922"/>
    <w:rsid w:val="00A93661"/>
    <w:rsid w:val="00A95652"/>
    <w:rsid w:val="00B33C6D"/>
    <w:rsid w:val="00B4508F"/>
    <w:rsid w:val="00B8057C"/>
    <w:rsid w:val="00BF593B"/>
    <w:rsid w:val="00C83417"/>
    <w:rsid w:val="00CD736E"/>
    <w:rsid w:val="00CE161E"/>
    <w:rsid w:val="00CF59A8"/>
    <w:rsid w:val="00D325A9"/>
    <w:rsid w:val="00D36A8A"/>
    <w:rsid w:val="00D71170"/>
    <w:rsid w:val="00DA6538"/>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40E615-2395-42A2-8038-21CCCDB2A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46253"/>
  </w:style>
  <w:style w:type="paragraph" w:styleId="Heading1">
    <w:name w:val="heading 1"/>
    <w:aliases w:val="Pocket"/>
    <w:basedOn w:val="Normal"/>
    <w:next w:val="Normal"/>
    <w:link w:val="Heading1Char"/>
    <w:autoRedefine/>
    <w:qFormat/>
    <w:rsid w:val="0094625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4625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4625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94625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462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6253"/>
  </w:style>
  <w:style w:type="character" w:customStyle="1" w:styleId="Heading1Char">
    <w:name w:val="Heading 1 Char"/>
    <w:aliases w:val="Pocket Char"/>
    <w:basedOn w:val="DefaultParagraphFont"/>
    <w:link w:val="Heading1"/>
    <w:rsid w:val="00946253"/>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946253"/>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946253"/>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946253"/>
    <w:rPr>
      <w:rFonts w:eastAsiaTheme="majorEastAsia" w:cstheme="majorBidi"/>
      <w:b/>
      <w:iCs/>
      <w:sz w:val="26"/>
    </w:rPr>
  </w:style>
  <w:style w:type="character" w:styleId="Emphasis">
    <w:name w:val="Emphasis"/>
    <w:basedOn w:val="DefaultParagraphFont"/>
    <w:uiPriority w:val="7"/>
    <w:qFormat/>
    <w:rsid w:val="00946253"/>
    <w:rPr>
      <w:b/>
      <w:i w:val="0"/>
      <w:iCs/>
      <w:u w:val="single"/>
    </w:rPr>
  </w:style>
  <w:style w:type="character" w:customStyle="1" w:styleId="Style13ptBold">
    <w:name w:val="Style 13 pt Bold"/>
    <w:aliases w:val="Cite"/>
    <w:basedOn w:val="DefaultParagraphFont"/>
    <w:uiPriority w:val="5"/>
    <w:qFormat/>
    <w:rsid w:val="00946253"/>
    <w:rPr>
      <w:b/>
      <w:bCs/>
      <w:sz w:val="26"/>
    </w:rPr>
  </w:style>
  <w:style w:type="character" w:customStyle="1" w:styleId="StyleUnderline">
    <w:name w:val="Style Underline"/>
    <w:aliases w:val="Underline"/>
    <w:basedOn w:val="DefaultParagraphFont"/>
    <w:uiPriority w:val="6"/>
    <w:qFormat/>
    <w:rsid w:val="00946253"/>
    <w:rPr>
      <w:u w:val="single"/>
    </w:rPr>
  </w:style>
  <w:style w:type="character" w:styleId="Hyperlink">
    <w:name w:val="Hyperlink"/>
    <w:basedOn w:val="DefaultParagraphFont"/>
    <w:uiPriority w:val="99"/>
    <w:semiHidden/>
    <w:unhideWhenUsed/>
    <w:rsid w:val="00946253"/>
    <w:rPr>
      <w:color w:val="auto"/>
      <w:u w:val="none"/>
    </w:rPr>
  </w:style>
  <w:style w:type="character" w:styleId="FollowedHyperlink">
    <w:name w:val="FollowedHyperlink"/>
    <w:basedOn w:val="DefaultParagraphFont"/>
    <w:uiPriority w:val="99"/>
    <w:semiHidden/>
    <w:unhideWhenUsed/>
    <w:rsid w:val="00946253"/>
    <w:rPr>
      <w:color w:val="auto"/>
      <w:u w:val="none"/>
    </w:rPr>
  </w:style>
  <w:style w:type="paragraph" w:customStyle="1" w:styleId="tag">
    <w:name w:val="tag"/>
    <w:basedOn w:val="Normal"/>
    <w:link w:val="tagChar"/>
    <w:qFormat/>
    <w:rsid w:val="00946253"/>
    <w:rPr>
      <w:b/>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basedOn w:val="DefaultParagraphFont"/>
    <w:link w:val="tag"/>
    <w:qFormat/>
    <w:rsid w:val="00946253"/>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lissa%20Gayt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1201</Words>
  <Characters>6850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Gayton</dc:creator>
  <cp:keywords>5.0</cp:keywords>
  <dc:description/>
  <cp:lastModifiedBy>Melissa Gayton</cp:lastModifiedBy>
  <cp:revision>1</cp:revision>
  <dcterms:created xsi:type="dcterms:W3CDTF">2014-08-08T17:30:00Z</dcterms:created>
  <dcterms:modified xsi:type="dcterms:W3CDTF">2014-08-08T17:31:00Z</dcterms:modified>
</cp:coreProperties>
</file>