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4047" w:rsidRPr="005E4047" w:rsidRDefault="005E4047" w:rsidP="005E4047">
      <w:pPr>
        <w:pStyle w:val="Card"/>
        <w:spacing w:after="0"/>
        <w:ind w:left="0"/>
        <w:rPr>
          <w:rStyle w:val="Style13ptBold"/>
          <w:sz w:val="24"/>
        </w:rPr>
      </w:pPr>
      <w:r>
        <w:rPr>
          <w:rStyle w:val="Style13ptBold"/>
          <w:sz w:val="24"/>
        </w:rPr>
        <w:t>The state is the best strategy for social change—rejection is dangerous and ineffective</w:t>
      </w:r>
    </w:p>
    <w:p w:rsidR="005E4047" w:rsidRPr="00025C46" w:rsidRDefault="005E4047" w:rsidP="005E4047">
      <w:pPr>
        <w:pStyle w:val="Card"/>
        <w:ind w:left="0"/>
        <w:rPr>
          <w:sz w:val="20"/>
          <w:szCs w:val="20"/>
        </w:rPr>
      </w:pPr>
      <w:proofErr w:type="spellStart"/>
      <w:r w:rsidRPr="005E4047">
        <w:rPr>
          <w:rStyle w:val="Style13ptBold"/>
          <w:sz w:val="24"/>
        </w:rPr>
        <w:t>Dussel</w:t>
      </w:r>
      <w:proofErr w:type="spellEnd"/>
      <w:r w:rsidRPr="005E4047">
        <w:rPr>
          <w:rStyle w:val="Style13ptBold"/>
          <w:sz w:val="24"/>
        </w:rPr>
        <w:t xml:space="preserve">, ‘11 </w:t>
      </w:r>
      <w:r w:rsidRPr="00025C46">
        <w:rPr>
          <w:sz w:val="20"/>
          <w:szCs w:val="20"/>
        </w:rPr>
        <w:t xml:space="preserve">[2011, Enrique </w:t>
      </w:r>
      <w:proofErr w:type="spellStart"/>
      <w:r w:rsidR="00C964C9">
        <w:rPr>
          <w:sz w:val="20"/>
          <w:szCs w:val="20"/>
        </w:rPr>
        <w:t>Dussel</w:t>
      </w:r>
      <w:proofErr w:type="spellEnd"/>
      <w:r w:rsidR="00C964C9">
        <w:rPr>
          <w:sz w:val="20"/>
          <w:szCs w:val="20"/>
        </w:rPr>
        <w:t xml:space="preserve"> is the</w:t>
      </w:r>
      <w:bookmarkStart w:id="0" w:name="_GoBack"/>
      <w:bookmarkEnd w:id="0"/>
      <w:r w:rsidRPr="00025C46">
        <w:rPr>
          <w:sz w:val="20"/>
          <w:szCs w:val="20"/>
        </w:rPr>
        <w:t xml:space="preserve"> Professor of Philosophy at the Universidad </w:t>
      </w:r>
      <w:proofErr w:type="spellStart"/>
      <w:r w:rsidRPr="00025C46">
        <w:rPr>
          <w:sz w:val="20"/>
          <w:szCs w:val="20"/>
        </w:rPr>
        <w:t>Nacional</w:t>
      </w:r>
      <w:proofErr w:type="spellEnd"/>
      <w:r w:rsidRPr="00025C46">
        <w:rPr>
          <w:sz w:val="20"/>
          <w:szCs w:val="20"/>
        </w:rPr>
        <w:t xml:space="preserve"> </w:t>
      </w:r>
      <w:proofErr w:type="spellStart"/>
      <w:r w:rsidRPr="00025C46">
        <w:rPr>
          <w:sz w:val="20"/>
          <w:szCs w:val="20"/>
        </w:rPr>
        <w:t>Autonoma</w:t>
      </w:r>
      <w:proofErr w:type="spellEnd"/>
      <w:r w:rsidRPr="00025C46">
        <w:rPr>
          <w:sz w:val="20"/>
          <w:szCs w:val="20"/>
        </w:rPr>
        <w:t xml:space="preserve"> de Mexico, “From Critical Theory to the Philosophy of Liberation: Some Themes for Dialogue”, </w:t>
      </w:r>
      <w:proofErr w:type="spellStart"/>
      <w:r w:rsidRPr="00025C46">
        <w:rPr>
          <w:sz w:val="20"/>
          <w:szCs w:val="20"/>
        </w:rPr>
        <w:t>Transmodernity</w:t>
      </w:r>
      <w:proofErr w:type="spellEnd"/>
      <w:r w:rsidRPr="00025C46">
        <w:rPr>
          <w:sz w:val="20"/>
          <w:szCs w:val="20"/>
        </w:rPr>
        <w:t>: Journal of Peripheral Cultural Production, http://escholarship.org/uc/item/59m869d2]</w:t>
      </w:r>
    </w:p>
    <w:p w:rsidR="005E4047" w:rsidRDefault="005E4047" w:rsidP="005E4047">
      <w:pPr>
        <w:pStyle w:val="Card"/>
      </w:pPr>
      <w:r w:rsidRPr="005E4047">
        <w:rPr>
          <w:rStyle w:val="StyleUnderline"/>
        </w:rPr>
        <w:t xml:space="preserve">We should proceed in politics in the very same manner that Marx </w:t>
      </w:r>
      <w:proofErr w:type="gramStart"/>
      <w:r w:rsidRPr="005E4047">
        <w:rPr>
          <w:rStyle w:val="StyleUnderline"/>
        </w:rPr>
        <w:t>proceeded</w:t>
      </w:r>
      <w:proofErr w:type="gramEnd"/>
      <w:r w:rsidRPr="005E4047">
        <w:rPr>
          <w:rStyle w:val="StyleUnderline"/>
        </w:rPr>
        <w:t xml:space="preserve"> in economics: working on the level of macro-institutional feasibility. The “dissolution of the state” </w:t>
      </w:r>
      <w:r w:rsidRPr="005E4047">
        <w:t xml:space="preserve">should be defined as a political postulate. To seek to bring this about </w:t>
      </w:r>
      <w:r w:rsidRPr="005E4047">
        <w:rPr>
          <w:rStyle w:val="StyleUnderline"/>
        </w:rPr>
        <w:t xml:space="preserve">empirically leads to the “anti-institutional fallacy,” and the </w:t>
      </w:r>
      <w:r w:rsidRPr="005E4047">
        <w:rPr>
          <w:rStyle w:val="Emphasis"/>
        </w:rPr>
        <w:t>impossibility of a critical, transformative politics.</w:t>
      </w:r>
      <w:r w:rsidRPr="005E4047">
        <w:t xml:space="preserve"> To say that we need to transform the world without exercising power through institutions – including the state (which we need to radically transform, but not eliminate) – is the fallacy into which </w:t>
      </w:r>
      <w:proofErr w:type="spellStart"/>
      <w:r w:rsidRPr="005E4047">
        <w:t>Negri</w:t>
      </w:r>
      <w:proofErr w:type="spellEnd"/>
      <w:r w:rsidRPr="005E4047">
        <w:t xml:space="preserve"> and Holloway fall. </w:t>
      </w:r>
      <w:r w:rsidRPr="005E4047">
        <w:rPr>
          <w:rStyle w:val="StyleUnderline"/>
        </w:rPr>
        <w:t>The presently given institutions, and even the particular state as a political macro-institution, are never perfect and always require transformation</w:t>
      </w:r>
      <w:r w:rsidRPr="005E4047">
        <w:t xml:space="preserve">. But there are moments in which institutions become diachronically repressive in the extreme, in their final entropic moment. Hegemony – the consensus exercised over the “obedient” à la Weber's legitimate domination91 – gives rise to domination in the </w:t>
      </w:r>
      <w:proofErr w:type="spellStart"/>
      <w:r w:rsidRPr="005E4047">
        <w:t>Gramscian</w:t>
      </w:r>
      <w:proofErr w:type="spellEnd"/>
      <w:r w:rsidRPr="005E4047">
        <w:t xml:space="preserve"> sense. </w:t>
      </w:r>
      <w:r w:rsidRPr="005E4047">
        <w:rPr>
          <w:rStyle w:val="StyleUnderline"/>
        </w:rPr>
        <w:t>The state machinery</w:t>
      </w:r>
      <w:r w:rsidRPr="005E4047">
        <w:t xml:space="preserve">, in the service of the economic interests of the dominant classes in the postcolonial metropolitan nations, </w:t>
      </w:r>
      <w:proofErr w:type="gramStart"/>
      <w:r w:rsidRPr="005E4047">
        <w:rPr>
          <w:rStyle w:val="StyleUnderline"/>
        </w:rPr>
        <w:t>become</w:t>
      </w:r>
      <w:proofErr w:type="gramEnd"/>
      <w:r w:rsidRPr="005E4047">
        <w:rPr>
          <w:rStyle w:val="StyleUnderline"/>
        </w:rPr>
        <w:t xml:space="preserve"> definitively repressive.</w:t>
      </w:r>
      <w:r w:rsidRPr="005E4047">
        <w:t xml:space="preserve"> The popular masses go on gaining consciousness in proportion to level of their oppression. This accumulation of power-to (</w:t>
      </w:r>
      <w:proofErr w:type="spellStart"/>
      <w:r w:rsidRPr="005E4047">
        <w:t>potentia</w:t>
      </w:r>
      <w:proofErr w:type="spellEnd"/>
      <w:r w:rsidRPr="005E4047">
        <w:t>)</w:t>
      </w:r>
      <w:proofErr w:type="gramStart"/>
      <w:r w:rsidRPr="005E4047">
        <w:t>,93</w:t>
      </w:r>
      <w:proofErr w:type="gramEnd"/>
      <w:r w:rsidRPr="005E4047">
        <w:t xml:space="preserve"> which takes place partially in the exteriority of the structures of the particular state but within the “bosom of the people” (which is not without its contradictions), confronts the political institutions currently in force. </w:t>
      </w:r>
      <w:r w:rsidRPr="005E4047">
        <w:rPr>
          <w:rStyle w:val="StyleUnderline"/>
        </w:rPr>
        <w:t xml:space="preserve">It does so to “trans-form” them </w:t>
      </w:r>
      <w:r w:rsidRPr="005E4047">
        <w:t xml:space="preserve">(not necessarily for reforms94, but only rarely for revolution95), </w:t>
      </w:r>
      <w:r w:rsidRPr="005E4047">
        <w:rPr>
          <w:rStyle w:val="StyleUnderline"/>
        </w:rPr>
        <w:t>not necessarily to destroy them</w:t>
      </w:r>
      <w:r w:rsidRPr="005E4047">
        <w:t xml:space="preserve"> (though it could if required by the postulates), </w:t>
      </w:r>
      <w:r w:rsidRPr="005E4047">
        <w:rPr>
          <w:rStyle w:val="StyleUnderline"/>
        </w:rPr>
        <w:t>but to use them and transform them according to its ends</w:t>
      </w:r>
      <w:r w:rsidRPr="005E4047">
        <w:rPr>
          <w:rStyle w:val="underline"/>
        </w:rPr>
        <w:t xml:space="preserve"> </w:t>
      </w:r>
      <w:r w:rsidRPr="005E4047">
        <w:t xml:space="preserve">and according to the degree of correspondence to the permanence and extension of life and symmetrical democratic participation of the oppressed people. </w:t>
      </w:r>
      <w:r w:rsidRPr="005E4047">
        <w:rPr>
          <w:rStyle w:val="StyleUnderline"/>
        </w:rPr>
        <w:t>The anti-</w:t>
      </w:r>
      <w:proofErr w:type="spellStart"/>
      <w:r w:rsidRPr="005E4047">
        <w:rPr>
          <w:rStyle w:val="StyleUnderline"/>
        </w:rPr>
        <w:t>institutionalist</w:t>
      </w:r>
      <w:proofErr w:type="spellEnd"/>
      <w:r w:rsidRPr="005E4047">
        <w:rPr>
          <w:rStyle w:val="StyleUnderline"/>
        </w:rPr>
        <w:t xml:space="preserve"> believes that the destruction of the state represents an important victory on the path to revolution. This sort of </w:t>
      </w:r>
      <w:r w:rsidRPr="005E4047">
        <w:rPr>
          <w:rStyle w:val="Emphasis"/>
        </w:rPr>
        <w:t>destruction is irrational</w:t>
      </w:r>
      <w:r w:rsidRPr="005E4047">
        <w:rPr>
          <w:rStyle w:val="StyleUnderline"/>
        </w:rPr>
        <w:t>. They have confused the “dissolution of the state” as a postulate (empirically impossible, but functioning as a principle for strategic orientation) with its empirical negation. How are we to understand the postulate of the “dissolution of the state”? Right-wing anarchism</w:t>
      </w:r>
      <w:r w:rsidRPr="005E4047">
        <w:t xml:space="preserve"> – like that of </w:t>
      </w:r>
      <w:proofErr w:type="spellStart"/>
      <w:r w:rsidRPr="005E4047">
        <w:t>Nozick</w:t>
      </w:r>
      <w:proofErr w:type="spellEnd"/>
      <w:r w:rsidRPr="005E4047">
        <w:t xml:space="preserve"> – </w:t>
      </w:r>
      <w:r w:rsidRPr="005E4047">
        <w:rPr>
          <w:rStyle w:val="StyleUnderline"/>
        </w:rPr>
        <w:t>proposes the dissolution of the state or something close to it under the guise of the “minimal state.” The unhindered market produces equilibrium</w:t>
      </w:r>
      <w:r w:rsidRPr="005E4047">
        <w:t xml:space="preserve">, especially in Hayek's formulation; </w:t>
      </w:r>
      <w:r w:rsidRPr="005E4047">
        <w:rPr>
          <w:rStyle w:val="StyleUnderline"/>
        </w:rPr>
        <w:t>for this, the minimal state needs only to destroy the monopolies that impede the free movement of the market</w:t>
      </w:r>
      <w:r w:rsidRPr="005E4047">
        <w:t xml:space="preserve">. A union seeking a wage increase is a monopoly, because it places demands on the market that do not emanate from free competition. </w:t>
      </w:r>
      <w:r w:rsidRPr="005E4047">
        <w:rPr>
          <w:rStyle w:val="StyleUnderline"/>
        </w:rPr>
        <w:t>The duty of the state is therefore to dissolve the union.</w:t>
      </w:r>
      <w:r w:rsidRPr="005E4047">
        <w:t xml:space="preserve"> In the service of this total market definition, the process of globalization as controlled by transnational industrial and financial capital (not with hegemony, because this was lost in the move to the last-instance use: the violent coercion of military power), equally proposes the dissolution or weakening of the particular states in postcolonial peripheral nations. </w:t>
      </w:r>
      <w:r w:rsidRPr="005E4047">
        <w:rPr>
          <w:rStyle w:val="StyleUnderline"/>
        </w:rPr>
        <w:t>The postcolonial state – however much it may be dominated by the private bureaucracies of the transnational corporations</w:t>
      </w:r>
      <w:r w:rsidRPr="005E4047">
        <w:rPr>
          <w:rStyle w:val="underline"/>
        </w:rPr>
        <w:t xml:space="preserve"> </w:t>
      </w:r>
      <w:r w:rsidRPr="005E4047">
        <w:t xml:space="preserve">which impose their own members onto the political bureaucracies of those states (and we see, for example, a Coca-Cola distributor as president96) – </w:t>
      </w:r>
      <w:r w:rsidRPr="005E4047">
        <w:rPr>
          <w:rStyle w:val="StyleUnderline"/>
        </w:rPr>
        <w:t>still</w:t>
      </w:r>
      <w:r w:rsidRPr="005E4047">
        <w:rPr>
          <w:rStyle w:val="Emphasis"/>
        </w:rPr>
        <w:t xml:space="preserve"> represents the last possible resistance for oppressed peoples. To dissolve or substantially weaken their states is to take away their only possible defense.</w:t>
      </w:r>
      <w:r w:rsidRPr="005E4047">
        <w:rPr>
          <w:rStyle w:val="StyleUnderline"/>
        </w:rPr>
        <w:t xml:space="preserve"> </w:t>
      </w:r>
      <w:r w:rsidRPr="005E4047">
        <w:t xml:space="preserve">The second Iraq War represents a war against a particular postcolonial state that, however corrupt and dictatorial, nevertheless had a certain degree of sovereignty and self-determination which interposed some resistance to the appropriation of its petroleum by foreign companies. For all of this, it is tragic that a sector of the left coincides with the North American Empire – the home-state97 of the transnationals and the ultimate example of power based on its economic political-military complex – in dissolving the particular peripheral state. If Europeans alongside </w:t>
      </w:r>
      <w:proofErr w:type="spellStart"/>
      <w:r w:rsidRPr="005E4047">
        <w:t>Habermas</w:t>
      </w:r>
      <w:proofErr w:type="spellEnd"/>
      <w:r w:rsidRPr="005E4047">
        <w:t xml:space="preserve"> seemed as though they were dissolving the old particular state, it is for the strategic fortification of a Confederation of States in the European Union. In Latin America, if it were possible to proceed to organize a Confederation of Latin American States98 without American or Spanish influence, such a weakening of the particular state would be equally useful. But for the moment, this is not the situation. </w:t>
      </w:r>
      <w:r w:rsidRPr="005E4047">
        <w:rPr>
          <w:rStyle w:val="StyleUnderline"/>
        </w:rPr>
        <w:t>Any struggle for the real, effective dissolution of a particular postcolonial state is a reactionary project. It is an entirely different thing to struggle to transform the particular postcolonial state in view of a political postulate of the “dissolution of the state” as such. This would mean that in the creation of any new institution, in every exercise of institutional power, or in the transformation of all of the institutions (the transformation of the state)</w:t>
      </w:r>
      <w:proofErr w:type="gramStart"/>
      <w:r w:rsidRPr="005E4047">
        <w:rPr>
          <w:rStyle w:val="StyleUnderline"/>
        </w:rPr>
        <w:t>,</w:t>
      </w:r>
      <w:proofErr w:type="gramEnd"/>
      <w:r w:rsidRPr="005E4047">
        <w:rPr>
          <w:rStyle w:val="StyleUnderline"/>
        </w:rPr>
        <w:t xml:space="preserve"> one would have the “dissolution of the state” as an orienting principle</w:t>
      </w:r>
      <w:r w:rsidRPr="005E4047">
        <w:t xml:space="preserve">. However, </w:t>
      </w:r>
      <w:r w:rsidRPr="005E4047">
        <w:rPr>
          <w:rStyle w:val="StyleUnderline"/>
        </w:rPr>
        <w:t xml:space="preserve">this cannot take the form of the </w:t>
      </w:r>
      <w:r w:rsidRPr="005E4047">
        <w:rPr>
          <w:rStyle w:val="Emphasis"/>
        </w:rPr>
        <w:t>objective, empirical</w:t>
      </w:r>
      <w:r w:rsidRPr="005E4047">
        <w:rPr>
          <w:rStyle w:val="StyleUnderline"/>
        </w:rPr>
        <w:t xml:space="preserve"> negation of these institutions, but rather must take the form of a </w:t>
      </w:r>
      <w:r w:rsidRPr="005E4047">
        <w:rPr>
          <w:rStyle w:val="Emphasis"/>
        </w:rPr>
        <w:t>responsible, democratic, popular, social, and participatory</w:t>
      </w:r>
      <w:r w:rsidRPr="005E4047">
        <w:rPr>
          <w:rStyle w:val="StyleUnderline"/>
        </w:rPr>
        <w:t xml:space="preserve"> </w:t>
      </w:r>
      <w:proofErr w:type="spellStart"/>
      <w:r w:rsidRPr="005E4047">
        <w:rPr>
          <w:rStyle w:val="StyleUnderline"/>
        </w:rPr>
        <w:t>subjectivization</w:t>
      </w:r>
      <w:proofErr w:type="spellEnd"/>
      <w:r w:rsidRPr="005E4047">
        <w:rPr>
          <w:rStyle w:val="StyleUnderline"/>
        </w:rPr>
        <w:t xml:space="preserve"> of institutional functions,</w:t>
      </w:r>
      <w:r w:rsidRPr="005E4047">
        <w:rPr>
          <w:rStyle w:val="underline"/>
        </w:rPr>
        <w:t xml:space="preserve"> </w:t>
      </w:r>
      <w:r w:rsidRPr="005E4047">
        <w:rPr>
          <w:rStyle w:val="StyleUnderline"/>
        </w:rPr>
        <w:t xml:space="preserve">in which </w:t>
      </w:r>
      <w:r w:rsidRPr="005E4047">
        <w:rPr>
          <w:rStyle w:val="Emphasis"/>
        </w:rPr>
        <w:t>representation proceeds by approaching</w:t>
      </w:r>
      <w:r w:rsidRPr="005E4047">
        <w:rPr>
          <w:rStyle w:val="underline"/>
        </w:rPr>
        <w:t xml:space="preserve"> </w:t>
      </w:r>
      <w:r w:rsidRPr="005E4047">
        <w:t xml:space="preserve">(to use a Kantian word) </w:t>
      </w:r>
      <w:r w:rsidRPr="005E4047">
        <w:rPr>
          <w:rStyle w:val="Emphasis"/>
        </w:rPr>
        <w:t>the represented.</w:t>
      </w:r>
      <w:r w:rsidRPr="005E4047">
        <w:rPr>
          <w:rStyle w:val="StyleUnderline"/>
        </w:rPr>
        <w:t xml:space="preserve"> </w:t>
      </w:r>
      <w:r w:rsidRPr="005E4047">
        <w:t xml:space="preserve">In this situation, </w:t>
      </w:r>
      <w:r w:rsidRPr="005E4047">
        <w:rPr>
          <w:rStyle w:val="StyleUnderline"/>
        </w:rPr>
        <w:t>the symmetrical participation of all those affected would become flesh in all political actions to such a degree that the state will cease to weigh so heavily, becoming lighter, more transparent, and more public and democratic. This would not be a “minimal state”</w:t>
      </w:r>
      <w:r w:rsidRPr="005E4047">
        <w:t xml:space="preserve"> (which leaves everything to the market or to the impossibility of perfect citizens99), </w:t>
      </w:r>
      <w:r w:rsidRPr="005E4047">
        <w:rPr>
          <w:rStyle w:val="StyleUnderline"/>
        </w:rPr>
        <w:t>but more accurately a “</w:t>
      </w:r>
      <w:proofErr w:type="spellStart"/>
      <w:r w:rsidRPr="005E4047">
        <w:rPr>
          <w:rStyle w:val="StyleUnderline"/>
        </w:rPr>
        <w:t>subjectivized</w:t>
      </w:r>
      <w:proofErr w:type="spellEnd"/>
      <w:r w:rsidRPr="005E4047">
        <w:rPr>
          <w:rStyle w:val="StyleUnderline"/>
        </w:rPr>
        <w:t xml:space="preserve"> state” in which the citizens will participate to such a degree that the existing institutional sphere will shift toward transparency, the bureaucracy will be the minimum necessary, while its efficacy and instrumentality when it comes to the permanence and extension of human life will nevertheless be at a maximum. I do not believe that it makes sense to attempt to transform political institutions without the state, without exercising power which is communicative, democratic, legitimate, participatory, socialized, and popular.</w:t>
      </w:r>
      <w:r w:rsidRPr="005E4047">
        <w:t xml:space="preserve"> It is, however, possible to declare a postulate which could never be realized, but which functions like the “North Star” that helped the Chinese navigators to sail at night. Despite all that I have expounded, I think that the postulate of the “dissolution of the state” is a strategic orienting principle that functions as a regulative horizon.</w:t>
      </w:r>
      <w:r w:rsidRPr="00025C46">
        <w:t xml:space="preserve"> </w:t>
      </w: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ophie Bell"/>
    <w:docVar w:name="RibbonPointer" w:val="44595448"/>
    <w:docVar w:name="VerbatimVersion" w:val="5.0"/>
  </w:docVars>
  <w:rsids>
    <w:rsidRoot w:val="005E4047"/>
    <w:rsid w:val="000139A3"/>
    <w:rsid w:val="00100833"/>
    <w:rsid w:val="00104529"/>
    <w:rsid w:val="00177B7D"/>
    <w:rsid w:val="0018322D"/>
    <w:rsid w:val="001B5776"/>
    <w:rsid w:val="00251FC7"/>
    <w:rsid w:val="002855A7"/>
    <w:rsid w:val="00315690"/>
    <w:rsid w:val="00325646"/>
    <w:rsid w:val="003902BA"/>
    <w:rsid w:val="003A09E2"/>
    <w:rsid w:val="00407037"/>
    <w:rsid w:val="00423011"/>
    <w:rsid w:val="004605D6"/>
    <w:rsid w:val="004C60E8"/>
    <w:rsid w:val="004E3579"/>
    <w:rsid w:val="004F39E0"/>
    <w:rsid w:val="00537BD5"/>
    <w:rsid w:val="005E4047"/>
    <w:rsid w:val="005F5F4B"/>
    <w:rsid w:val="006065BD"/>
    <w:rsid w:val="00665003"/>
    <w:rsid w:val="007F5B66"/>
    <w:rsid w:val="008109C8"/>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964C9"/>
    <w:rsid w:val="00CD3A9A"/>
    <w:rsid w:val="00CD736E"/>
    <w:rsid w:val="00CE161E"/>
    <w:rsid w:val="00CF59A8"/>
    <w:rsid w:val="00D325A9"/>
    <w:rsid w:val="00D36A8A"/>
    <w:rsid w:val="00D71170"/>
    <w:rsid w:val="00DA6538"/>
    <w:rsid w:val="00DC5F8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4047"/>
    <w:rPr>
      <w:rFonts w:ascii="Times New Roman" w:hAnsi="Times New Roman" w:cs="Times New Roman"/>
      <w:sz w:val="20"/>
    </w:rPr>
  </w:style>
  <w:style w:type="paragraph" w:styleId="Heading1">
    <w:name w:val="heading 1"/>
    <w:aliases w:val="Pocket"/>
    <w:basedOn w:val="Normal"/>
    <w:next w:val="Normal"/>
    <w:link w:val="Heading1Char"/>
    <w:autoRedefine/>
    <w:qFormat/>
    <w:rsid w:val="005E4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4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4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404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E4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047"/>
  </w:style>
  <w:style w:type="character" w:customStyle="1" w:styleId="Heading1Char">
    <w:name w:val="Heading 1 Char"/>
    <w:aliases w:val="Pocket Char"/>
    <w:basedOn w:val="DefaultParagraphFont"/>
    <w:link w:val="Heading1"/>
    <w:rsid w:val="005E404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E404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E404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E4047"/>
    <w:rPr>
      <w:rFonts w:ascii="Times New Roman" w:eastAsiaTheme="majorEastAsia" w:hAnsi="Times New Roman" w:cstheme="majorBidi"/>
      <w:b/>
      <w:iCs/>
      <w:sz w:val="24"/>
    </w:rPr>
  </w:style>
  <w:style w:type="character" w:styleId="Emphasis">
    <w:name w:val="Emphasis"/>
    <w:aliases w:val="CD Card,Minimized,minimized,Evidence,Highlighted,tag2,Size 10,emphasis in card,ED - Tag,Underlined,emphasis,Bold Underline"/>
    <w:basedOn w:val="DefaultParagraphFont"/>
    <w:uiPriority w:val="7"/>
    <w:qFormat/>
    <w:rsid w:val="005E4047"/>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5E4047"/>
    <w:rPr>
      <w:b/>
      <w:bCs/>
      <w:sz w:val="20"/>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cite,Bo"/>
    <w:basedOn w:val="DefaultParagraphFont"/>
    <w:uiPriority w:val="6"/>
    <w:qFormat/>
    <w:rsid w:val="005E4047"/>
    <w:rPr>
      <w:b/>
      <w:sz w:val="20"/>
      <w:u w:val="single"/>
    </w:rPr>
  </w:style>
  <w:style w:type="character" w:styleId="Hyperlink">
    <w:name w:val="Hyperlink"/>
    <w:basedOn w:val="DefaultParagraphFont"/>
    <w:uiPriority w:val="99"/>
    <w:semiHidden/>
    <w:unhideWhenUsed/>
    <w:rsid w:val="005E4047"/>
    <w:rPr>
      <w:color w:val="auto"/>
      <w:u w:val="none"/>
    </w:rPr>
  </w:style>
  <w:style w:type="character" w:styleId="FollowedHyperlink">
    <w:name w:val="FollowedHyperlink"/>
    <w:basedOn w:val="DefaultParagraphFont"/>
    <w:uiPriority w:val="99"/>
    <w:semiHidden/>
    <w:unhideWhenUsed/>
    <w:rsid w:val="005E4047"/>
    <w:rPr>
      <w:color w:val="auto"/>
      <w:u w:val="none"/>
    </w:rPr>
  </w:style>
  <w:style w:type="character" w:customStyle="1" w:styleId="underline">
    <w:name w:val="underline"/>
    <w:basedOn w:val="DefaultParagraphFont"/>
    <w:link w:val="textbold"/>
    <w:qFormat/>
    <w:rsid w:val="005E4047"/>
    <w:rPr>
      <w:u w:val="single"/>
    </w:rPr>
  </w:style>
  <w:style w:type="paragraph" w:customStyle="1" w:styleId="textbold">
    <w:name w:val="text bold"/>
    <w:basedOn w:val="Normal"/>
    <w:link w:val="underline"/>
    <w:rsid w:val="005E4047"/>
    <w:pPr>
      <w:ind w:left="720"/>
      <w:jc w:val="both"/>
    </w:pPr>
    <w:rPr>
      <w:rFonts w:asciiTheme="minorHAnsi" w:hAnsiTheme="minorHAnsi" w:cstheme="minorBidi"/>
      <w:sz w:val="22"/>
      <w:u w:val="single"/>
    </w:rPr>
  </w:style>
  <w:style w:type="paragraph" w:customStyle="1" w:styleId="Card">
    <w:name w:val="Card"/>
    <w:aliases w:val="No Spacing1,Tags,No Spacing11,Debate Text,No Spacing111,No Spacing2,Read stuff,No Spacing1111,tags,No Spacing21,No Spacing3,No Spacing211,No Spacing4,No Spacing11111,Tag and Cite,No Spacing5,No Spacing51,tag,No Spacing111111,No Spacing1111111"/>
    <w:basedOn w:val="Normal"/>
    <w:link w:val="CardChar"/>
    <w:qFormat/>
    <w:rsid w:val="005E4047"/>
    <w:pPr>
      <w:ind w:left="288" w:right="288"/>
    </w:pPr>
    <w:rPr>
      <w:sz w:val="16"/>
    </w:rPr>
  </w:style>
  <w:style w:type="character" w:customStyle="1" w:styleId="CardChar">
    <w:name w:val="Card Char"/>
    <w:aliases w:val="No Spacing Char,CD - Cite Char,Dont use Char,Tag and Cite Char,Debate Text Char,No Spacing1 Char,DDI Tag Char,Underlined Char,Read stuff Char,No Spacing1 Char1,No Spacing Char1,No Spacing11 Char,tags Char,Heading 2 Char Char Char1 Char,Heading"/>
    <w:basedOn w:val="DefaultParagraphFont"/>
    <w:link w:val="Card"/>
    <w:rsid w:val="005E4047"/>
    <w:rPr>
      <w:rFonts w:ascii="Times New Roman" w:hAnsi="Times New Roman" w:cs="Times New Roman"/>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4047"/>
    <w:rPr>
      <w:rFonts w:ascii="Times New Roman" w:hAnsi="Times New Roman" w:cs="Times New Roman"/>
      <w:sz w:val="20"/>
    </w:rPr>
  </w:style>
  <w:style w:type="paragraph" w:styleId="Heading1">
    <w:name w:val="heading 1"/>
    <w:aliases w:val="Pocket"/>
    <w:basedOn w:val="Normal"/>
    <w:next w:val="Normal"/>
    <w:link w:val="Heading1Char"/>
    <w:autoRedefine/>
    <w:qFormat/>
    <w:rsid w:val="005E4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4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4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404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E4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047"/>
  </w:style>
  <w:style w:type="character" w:customStyle="1" w:styleId="Heading1Char">
    <w:name w:val="Heading 1 Char"/>
    <w:aliases w:val="Pocket Char"/>
    <w:basedOn w:val="DefaultParagraphFont"/>
    <w:link w:val="Heading1"/>
    <w:rsid w:val="005E404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E404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E404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E4047"/>
    <w:rPr>
      <w:rFonts w:ascii="Times New Roman" w:eastAsiaTheme="majorEastAsia" w:hAnsi="Times New Roman" w:cstheme="majorBidi"/>
      <w:b/>
      <w:iCs/>
      <w:sz w:val="24"/>
    </w:rPr>
  </w:style>
  <w:style w:type="character" w:styleId="Emphasis">
    <w:name w:val="Emphasis"/>
    <w:aliases w:val="CD Card,Minimized,minimized,Evidence,Highlighted,tag2,Size 10,emphasis in card,ED - Tag,Underlined,emphasis,Bold Underline"/>
    <w:basedOn w:val="DefaultParagraphFont"/>
    <w:uiPriority w:val="7"/>
    <w:qFormat/>
    <w:rsid w:val="005E4047"/>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5E4047"/>
    <w:rPr>
      <w:b/>
      <w:bCs/>
      <w:sz w:val="20"/>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cite,Bo"/>
    <w:basedOn w:val="DefaultParagraphFont"/>
    <w:uiPriority w:val="6"/>
    <w:qFormat/>
    <w:rsid w:val="005E4047"/>
    <w:rPr>
      <w:b/>
      <w:sz w:val="20"/>
      <w:u w:val="single"/>
    </w:rPr>
  </w:style>
  <w:style w:type="character" w:styleId="Hyperlink">
    <w:name w:val="Hyperlink"/>
    <w:basedOn w:val="DefaultParagraphFont"/>
    <w:uiPriority w:val="99"/>
    <w:semiHidden/>
    <w:unhideWhenUsed/>
    <w:rsid w:val="005E4047"/>
    <w:rPr>
      <w:color w:val="auto"/>
      <w:u w:val="none"/>
    </w:rPr>
  </w:style>
  <w:style w:type="character" w:styleId="FollowedHyperlink">
    <w:name w:val="FollowedHyperlink"/>
    <w:basedOn w:val="DefaultParagraphFont"/>
    <w:uiPriority w:val="99"/>
    <w:semiHidden/>
    <w:unhideWhenUsed/>
    <w:rsid w:val="005E4047"/>
    <w:rPr>
      <w:color w:val="auto"/>
      <w:u w:val="none"/>
    </w:rPr>
  </w:style>
  <w:style w:type="character" w:customStyle="1" w:styleId="underline">
    <w:name w:val="underline"/>
    <w:basedOn w:val="DefaultParagraphFont"/>
    <w:link w:val="textbold"/>
    <w:qFormat/>
    <w:rsid w:val="005E4047"/>
    <w:rPr>
      <w:u w:val="single"/>
    </w:rPr>
  </w:style>
  <w:style w:type="paragraph" w:customStyle="1" w:styleId="textbold">
    <w:name w:val="text bold"/>
    <w:basedOn w:val="Normal"/>
    <w:link w:val="underline"/>
    <w:rsid w:val="005E4047"/>
    <w:pPr>
      <w:ind w:left="720"/>
      <w:jc w:val="both"/>
    </w:pPr>
    <w:rPr>
      <w:rFonts w:asciiTheme="minorHAnsi" w:hAnsiTheme="minorHAnsi" w:cstheme="minorBidi"/>
      <w:sz w:val="22"/>
      <w:u w:val="single"/>
    </w:rPr>
  </w:style>
  <w:style w:type="paragraph" w:customStyle="1" w:styleId="Card">
    <w:name w:val="Card"/>
    <w:aliases w:val="No Spacing1,Tags,No Spacing11,Debate Text,No Spacing111,No Spacing2,Read stuff,No Spacing1111,tags,No Spacing21,No Spacing3,No Spacing211,No Spacing4,No Spacing11111,Tag and Cite,No Spacing5,No Spacing51,tag,No Spacing111111,No Spacing1111111"/>
    <w:basedOn w:val="Normal"/>
    <w:link w:val="CardChar"/>
    <w:qFormat/>
    <w:rsid w:val="005E4047"/>
    <w:pPr>
      <w:ind w:left="288" w:right="288"/>
    </w:pPr>
    <w:rPr>
      <w:sz w:val="16"/>
    </w:rPr>
  </w:style>
  <w:style w:type="character" w:customStyle="1" w:styleId="CardChar">
    <w:name w:val="Card Char"/>
    <w:aliases w:val="No Spacing Char,CD - Cite Char,Dont use Char,Tag and Cite Char,Debate Text Char,No Spacing1 Char,DDI Tag Char,Underlined Char,Read stuff Char,No Spacing1 Char1,No Spacing Char1,No Spacing11 Char,tags Char,Heading 2 Char Char Char1 Char,Heading"/>
    <w:basedOn w:val="DefaultParagraphFont"/>
    <w:link w:val="Card"/>
    <w:rsid w:val="005E4047"/>
    <w:rPr>
      <w:rFonts w:ascii="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dc:creator>
  <cp:keywords>5.0</cp:keywords>
  <cp:lastModifiedBy>Soph</cp:lastModifiedBy>
  <cp:revision>2</cp:revision>
  <dcterms:created xsi:type="dcterms:W3CDTF">2014-08-07T23:30:00Z</dcterms:created>
  <dcterms:modified xsi:type="dcterms:W3CDTF">2014-08-07T23:31:00Z</dcterms:modified>
</cp:coreProperties>
</file>