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7074" w:rsidRDefault="00CF7074" w:rsidP="00CF7074">
      <w:pPr>
        <w:pStyle w:val="Heading2"/>
      </w:pPr>
      <w:r>
        <w:t>Case</w:t>
      </w:r>
    </w:p>
    <w:p w:rsidR="00CF7074" w:rsidRPr="00066BB9" w:rsidRDefault="00CF7074" w:rsidP="00CF7074">
      <w:pPr>
        <w:pStyle w:val="Heading3"/>
      </w:pPr>
      <w:r>
        <w:lastRenderedPageBreak/>
        <w:t>“Exception” Bad</w:t>
      </w:r>
    </w:p>
    <w:p w:rsidR="00CF7074" w:rsidRDefault="00CF7074" w:rsidP="00CF7074">
      <w:pPr>
        <w:pStyle w:val="Heading4"/>
      </w:pPr>
      <w:r>
        <w:t xml:space="preserve">The affirmative’s reading of </w:t>
      </w:r>
      <w:proofErr w:type="spellStart"/>
      <w:r>
        <w:t>biopolitics</w:t>
      </w:r>
      <w:proofErr w:type="spellEnd"/>
      <w:r>
        <w:t xml:space="preserve"> through the jargon of exception neutralizes the ability to resist state power-Ignorance of the origins of state power reproduces </w:t>
      </w:r>
      <w:proofErr w:type="spellStart"/>
      <w:r>
        <w:t>biopolitical</w:t>
      </w:r>
      <w:proofErr w:type="spellEnd"/>
      <w:r>
        <w:t xml:space="preserve"> violence through a lack of democratization within and against </w:t>
      </w:r>
      <w:proofErr w:type="spellStart"/>
      <w:r>
        <w:t>biopolitics</w:t>
      </w:r>
      <w:proofErr w:type="spellEnd"/>
    </w:p>
    <w:p w:rsidR="00CF7074" w:rsidRPr="003D4AE6" w:rsidRDefault="00CF7074" w:rsidP="00CF7074">
      <w:pPr>
        <w:rPr>
          <w:rStyle w:val="Style13ptBold"/>
          <w:b w:val="0"/>
        </w:rPr>
      </w:pPr>
      <w:proofErr w:type="spellStart"/>
      <w:r>
        <w:rPr>
          <w:rStyle w:val="Style13ptBold"/>
          <w:b w:val="0"/>
        </w:rPr>
        <w:t>Jef</w:t>
      </w:r>
      <w:proofErr w:type="spellEnd"/>
      <w:r>
        <w:rPr>
          <w:rStyle w:val="Style13ptBold"/>
          <w:b w:val="0"/>
        </w:rPr>
        <w:t xml:space="preserve"> </w:t>
      </w:r>
      <w:r>
        <w:rPr>
          <w:rStyle w:val="Style13ptBold"/>
        </w:rPr>
        <w:t xml:space="preserve">Huysmans 8, </w:t>
      </w:r>
      <w:r w:rsidRPr="003D4AE6">
        <w:rPr>
          <w:rStyle w:val="Style13ptBold"/>
          <w:b w:val="0"/>
        </w:rPr>
        <w:t>Professor of Security Studies at the Open University</w:t>
      </w:r>
      <w:r>
        <w:rPr>
          <w:rStyle w:val="Style13ptBold"/>
          <w:b w:val="0"/>
        </w:rPr>
        <w:t xml:space="preserve">, 5/8/2008, “The Jargon of Exception—On Schmitt, </w:t>
      </w:r>
      <w:proofErr w:type="spellStart"/>
      <w:r>
        <w:rPr>
          <w:rStyle w:val="Style13ptBold"/>
          <w:b w:val="0"/>
        </w:rPr>
        <w:t>Agamben</w:t>
      </w:r>
      <w:proofErr w:type="spellEnd"/>
      <w:r>
        <w:rPr>
          <w:rStyle w:val="Style13ptBold"/>
          <w:b w:val="0"/>
        </w:rPr>
        <w:t xml:space="preserve"> and the Absence of Political Society”, International Political Sociology, http://onlinelibrary.wiley.com/doi/10.1111/j.1749-5687.2008.00042.x/full </w:t>
      </w:r>
    </w:p>
    <w:p w:rsidR="00CF7074" w:rsidRPr="00066BB9" w:rsidRDefault="00CF7074" w:rsidP="00CF7074">
      <w:pPr>
        <w:rPr>
          <w:sz w:val="16"/>
        </w:rPr>
      </w:pPr>
      <w:r w:rsidRPr="00066BB9">
        <w:rPr>
          <w:sz w:val="16"/>
        </w:rPr>
        <w:t xml:space="preserve">Contrasting </w:t>
      </w:r>
      <w:proofErr w:type="spellStart"/>
      <w:r w:rsidRPr="00066BB9">
        <w:rPr>
          <w:sz w:val="16"/>
        </w:rPr>
        <w:t>Agamben’s</w:t>
      </w:r>
      <w:proofErr w:type="spellEnd"/>
      <w:r w:rsidRPr="00066BB9">
        <w:rPr>
          <w:sz w:val="16"/>
        </w:rPr>
        <w:t xml:space="preserve"> reading of </w:t>
      </w:r>
      <w:proofErr w:type="spellStart"/>
      <w:r w:rsidRPr="00066BB9">
        <w:rPr>
          <w:sz w:val="16"/>
        </w:rPr>
        <w:t>biopolitics</w:t>
      </w:r>
      <w:proofErr w:type="spellEnd"/>
      <w:r w:rsidRPr="00066BB9">
        <w:rPr>
          <w:sz w:val="16"/>
        </w:rPr>
        <w:t xml:space="preserve"> with Foucault’s is instructive. Similarly to </w:t>
      </w:r>
      <w:proofErr w:type="spellStart"/>
      <w:r w:rsidRPr="00066BB9">
        <w:rPr>
          <w:sz w:val="16"/>
        </w:rPr>
        <w:t>Agamben</w:t>
      </w:r>
      <w:proofErr w:type="spellEnd"/>
      <w:r w:rsidRPr="00066BB9">
        <w:rPr>
          <w:sz w:val="16"/>
        </w:rPr>
        <w:t xml:space="preserve">, Foucault’s work on </w:t>
      </w:r>
      <w:proofErr w:type="spellStart"/>
      <w:r w:rsidRPr="00066BB9">
        <w:rPr>
          <w:sz w:val="16"/>
        </w:rPr>
        <w:t>biopolitics</w:t>
      </w:r>
      <w:proofErr w:type="spellEnd"/>
      <w:r w:rsidRPr="00066BB9">
        <w:rPr>
          <w:sz w:val="16"/>
        </w:rPr>
        <w:t>, discipline and governmentality addresses the emergence and governance of life in its biological existence as a form of power that considerably differs from legal-constitutional understandings of politics (Foucault 1976, 2004a</w:t>
      </w:r>
      <w:proofErr w:type="gramStart"/>
      <w:r w:rsidRPr="00066BB9">
        <w:rPr>
          <w:sz w:val="16"/>
        </w:rPr>
        <w:t>,b</w:t>
      </w:r>
      <w:proofErr w:type="gramEnd"/>
      <w:r w:rsidRPr="00066BB9">
        <w:rPr>
          <w:sz w:val="16"/>
        </w:rPr>
        <w:t xml:space="preserve">). However, unlike </w:t>
      </w:r>
      <w:proofErr w:type="spellStart"/>
      <w:r w:rsidRPr="00066BB9">
        <w:rPr>
          <w:sz w:val="16"/>
        </w:rPr>
        <w:t>Agamben</w:t>
      </w:r>
      <w:proofErr w:type="spellEnd"/>
      <w:r w:rsidRPr="00066BB9">
        <w:rPr>
          <w:sz w:val="16"/>
        </w:rPr>
        <w:t xml:space="preserve"> this life is not an empty, that is, unmediated space or entity. In Foucault’s reading, </w:t>
      </w:r>
      <w:r w:rsidRPr="00FC0AD2">
        <w:rPr>
          <w:rStyle w:val="StyleUnderline"/>
        </w:rPr>
        <w:t xml:space="preserve">life is rendered not primarily through “being freed” from the politico-legal order but by being constituted through, among others, the mediation of technologies and professional </w:t>
      </w:r>
      <w:proofErr w:type="spellStart"/>
      <w:r w:rsidRPr="00FC0AD2">
        <w:rPr>
          <w:rStyle w:val="StyleUnderline"/>
        </w:rPr>
        <w:t>knowledges</w:t>
      </w:r>
      <w:proofErr w:type="spellEnd"/>
      <w:r w:rsidRPr="00066BB9">
        <w:rPr>
          <w:sz w:val="16"/>
        </w:rPr>
        <w:t xml:space="preserve">. The invention of political economy, knowledge struggles within psychiatry, the invention of history, etc. defined how modern life, its governance and its politics have been constituted as a </w:t>
      </w:r>
      <w:proofErr w:type="spellStart"/>
      <w:r w:rsidRPr="00066BB9">
        <w:rPr>
          <w:sz w:val="16"/>
        </w:rPr>
        <w:t>biopolitical</w:t>
      </w:r>
      <w:proofErr w:type="spellEnd"/>
      <w:r w:rsidRPr="00066BB9">
        <w:rPr>
          <w:sz w:val="16"/>
        </w:rPr>
        <w:t xml:space="preserve"> </w:t>
      </w:r>
      <w:proofErr w:type="spellStart"/>
      <w:r w:rsidRPr="00066BB9">
        <w:rPr>
          <w:sz w:val="16"/>
        </w:rPr>
        <w:t>dispositifs</w:t>
      </w:r>
      <w:proofErr w:type="spellEnd"/>
      <w:r w:rsidRPr="00066BB9">
        <w:rPr>
          <w:sz w:val="16"/>
        </w:rPr>
        <w:t>.</w:t>
      </w:r>
    </w:p>
    <w:p w:rsidR="00CF7074" w:rsidRPr="00FC0AD2" w:rsidRDefault="00CF7074" w:rsidP="00CF7074">
      <w:pPr>
        <w:rPr>
          <w:rStyle w:val="StyleUnderline"/>
        </w:rPr>
      </w:pPr>
      <w:r w:rsidRPr="00066BB9">
        <w:rPr>
          <w:sz w:val="16"/>
        </w:rPr>
        <w:t xml:space="preserve">In analyzing how power operates through dispersed, fragmented practices that nevertheless weave a diagram of constituting and governing societal relations, the total categories in which politics has been conceptualized in the constitutional framing of exception—state versus society, law versus politics, sovereignty—collapse into a relational picture of various expert discourses, professional </w:t>
      </w:r>
      <w:proofErr w:type="spellStart"/>
      <w:r w:rsidRPr="00066BB9">
        <w:rPr>
          <w:sz w:val="16"/>
        </w:rPr>
        <w:t>knowledges</w:t>
      </w:r>
      <w:proofErr w:type="spellEnd"/>
      <w:r w:rsidRPr="00066BB9">
        <w:rPr>
          <w:sz w:val="16"/>
        </w:rPr>
        <w:t xml:space="preserve">, institutional practices governing a biological and economic understanding of life, and a rich history of sociopolitical struggles (Foucault 1997, 2004a,b). </w:t>
      </w:r>
      <w:r w:rsidRPr="00FC0AD2">
        <w:rPr>
          <w:rStyle w:val="StyleUnderline"/>
        </w:rPr>
        <w:t xml:space="preserve">Instead of being naked and anomic life, </w:t>
      </w:r>
      <w:proofErr w:type="spellStart"/>
      <w:r w:rsidRPr="00FC0AD2">
        <w:rPr>
          <w:rStyle w:val="StyleUnderline"/>
        </w:rPr>
        <w:t>biopolitical</w:t>
      </w:r>
      <w:proofErr w:type="spellEnd"/>
      <w:r w:rsidRPr="00FC0AD2">
        <w:rPr>
          <w:rStyle w:val="StyleUnderline"/>
        </w:rPr>
        <w:t xml:space="preserve"> life is constituted through an extremely detailed mediation of social and individual being and is steeped in a multidimensional history of strategic and tactical interactions</w:t>
      </w:r>
      <w:r w:rsidRPr="00066BB9">
        <w:rPr>
          <w:sz w:val="16"/>
        </w:rPr>
        <w:t xml:space="preserve">. Not means without ends but the patching into a </w:t>
      </w:r>
      <w:proofErr w:type="spellStart"/>
      <w:r w:rsidRPr="00066BB9">
        <w:rPr>
          <w:sz w:val="16"/>
        </w:rPr>
        <w:t>dispositifs</w:t>
      </w:r>
      <w:proofErr w:type="spellEnd"/>
      <w:r w:rsidRPr="00066BB9">
        <w:rPr>
          <w:sz w:val="16"/>
        </w:rPr>
        <w:t xml:space="preserve"> of multiple strategies of connecting means and ends that have been enacted and struggled over in a multiplicity of sites and times. </w:t>
      </w:r>
      <w:r w:rsidRPr="00FC0AD2">
        <w:rPr>
          <w:rStyle w:val="StyleUnderline"/>
        </w:rPr>
        <w:t xml:space="preserve">While the central characteristic of </w:t>
      </w:r>
      <w:proofErr w:type="spellStart"/>
      <w:r w:rsidRPr="00FC0AD2">
        <w:rPr>
          <w:rStyle w:val="StyleUnderline"/>
        </w:rPr>
        <w:t>Agamben’s</w:t>
      </w:r>
      <w:proofErr w:type="spellEnd"/>
      <w:r w:rsidRPr="00FC0AD2">
        <w:rPr>
          <w:rStyle w:val="StyleUnderline"/>
        </w:rPr>
        <w:t xml:space="preserve"> </w:t>
      </w:r>
      <w:proofErr w:type="spellStart"/>
      <w:r w:rsidRPr="00FC0AD2">
        <w:rPr>
          <w:rStyle w:val="StyleUnderline"/>
        </w:rPr>
        <w:t>biopolitics</w:t>
      </w:r>
      <w:proofErr w:type="spellEnd"/>
      <w:r w:rsidRPr="00FC0AD2">
        <w:rPr>
          <w:rStyle w:val="StyleUnderline"/>
        </w:rPr>
        <w:t xml:space="preserve"> is anomie, Foucault’s is extremely detailed and fragmented mediations that produce, reproduce, and shift strategic, governmental practice and resistance to it.</w:t>
      </w:r>
    </w:p>
    <w:p w:rsidR="00CF7074" w:rsidRPr="00066BB9" w:rsidRDefault="00CF7074" w:rsidP="00CF7074">
      <w:pPr>
        <w:rPr>
          <w:sz w:val="16"/>
        </w:rPr>
      </w:pPr>
      <w:r w:rsidRPr="00FC0AD2">
        <w:rPr>
          <w:rStyle w:val="StyleUnderline"/>
        </w:rPr>
        <w:t>These latter struggles over knowledge, truth and governmental technologies</w:t>
      </w:r>
      <w:r w:rsidRPr="00066BB9">
        <w:rPr>
          <w:sz w:val="16"/>
        </w:rPr>
        <w:t xml:space="preserve"> and their bearing upon social relations and individual being often </w:t>
      </w:r>
      <w:r w:rsidRPr="00FC0AD2">
        <w:rPr>
          <w:rStyle w:val="StyleUnderline"/>
        </w:rPr>
        <w:t>are not articulated primarily within the field of professional politicians and the state institutions</w:t>
      </w:r>
      <w:r w:rsidRPr="00066BB9">
        <w:rPr>
          <w:sz w:val="16"/>
        </w:rPr>
        <w:t xml:space="preserve">. Politics as the contestation over the collective structuring of relations between human beings and between them and their environment has “left” the state and has been absorbed by societal practices. </w:t>
      </w:r>
      <w:r w:rsidRPr="00FC0AD2">
        <w:rPr>
          <w:rStyle w:val="StyleUnderline"/>
        </w:rPr>
        <w:t xml:space="preserve">Politics becomes fragmented and dispersed within the societal. One of the central realms of </w:t>
      </w:r>
      <w:proofErr w:type="spellStart"/>
      <w:r w:rsidRPr="00FC0AD2">
        <w:rPr>
          <w:rStyle w:val="StyleUnderline"/>
        </w:rPr>
        <w:t>Foucaultian</w:t>
      </w:r>
      <w:proofErr w:type="spellEnd"/>
      <w:r w:rsidRPr="00FC0AD2">
        <w:rPr>
          <w:rStyle w:val="StyleUnderline"/>
        </w:rPr>
        <w:t xml:space="preserve"> </w:t>
      </w:r>
      <w:proofErr w:type="spellStart"/>
      <w:r w:rsidRPr="00FC0AD2">
        <w:rPr>
          <w:rStyle w:val="StyleUnderline"/>
        </w:rPr>
        <w:t>biopolitics</w:t>
      </w:r>
      <w:proofErr w:type="spellEnd"/>
      <w:r w:rsidRPr="00FC0AD2">
        <w:rPr>
          <w:rStyle w:val="StyleUnderline"/>
        </w:rPr>
        <w:t xml:space="preserve"> is the traveling and clustering of professional knowledge, skills and technologies, and the formulation of counter-knowledge</w:t>
      </w:r>
      <w:r w:rsidRPr="00066BB9">
        <w:rPr>
          <w:sz w:val="16"/>
        </w:rPr>
        <w:t xml:space="preserve">, skills and technologies, as the sociological interpretations of Foucault in the so-called governmentality literature have most explicitly brought out (Dean 1991, 1994, 1999; Barry, Osborne, and Rose 1996; </w:t>
      </w:r>
      <w:proofErr w:type="spellStart"/>
      <w:r w:rsidRPr="00066BB9">
        <w:rPr>
          <w:sz w:val="16"/>
        </w:rPr>
        <w:t>Hindess</w:t>
      </w:r>
      <w:proofErr w:type="spellEnd"/>
      <w:r w:rsidRPr="00066BB9">
        <w:rPr>
          <w:sz w:val="16"/>
        </w:rPr>
        <w:t xml:space="preserve"> 1996; Rose 1999).</w:t>
      </w:r>
    </w:p>
    <w:p w:rsidR="00CF7074" w:rsidRPr="00066BB9" w:rsidRDefault="00CF7074" w:rsidP="00CF7074">
      <w:pPr>
        <w:rPr>
          <w:sz w:val="16"/>
        </w:rPr>
      </w:pPr>
      <w:r w:rsidRPr="00FC0AD2">
        <w:rPr>
          <w:rStyle w:val="StyleUnderline"/>
        </w:rPr>
        <w:t xml:space="preserve">Unlike the jargon of exception, this </w:t>
      </w:r>
      <w:proofErr w:type="spellStart"/>
      <w:r w:rsidRPr="00FC0AD2">
        <w:rPr>
          <w:rStyle w:val="StyleUnderline"/>
        </w:rPr>
        <w:t>Foucaultian</w:t>
      </w:r>
      <w:proofErr w:type="spellEnd"/>
      <w:r w:rsidRPr="00FC0AD2">
        <w:rPr>
          <w:rStyle w:val="StyleUnderline"/>
        </w:rPr>
        <w:t xml:space="preserve"> reading does not interpret the nature of modern politics from the perspective of its ultimate limit</w:t>
      </w:r>
      <w:r w:rsidRPr="00066BB9">
        <w:rPr>
          <w:sz w:val="16"/>
        </w:rPr>
        <w:t xml:space="preserve">. As Marie </w:t>
      </w:r>
      <w:proofErr w:type="spellStart"/>
      <w:r w:rsidRPr="00066BB9">
        <w:rPr>
          <w:sz w:val="16"/>
        </w:rPr>
        <w:t>Mühle's</w:t>
      </w:r>
      <w:proofErr w:type="spellEnd"/>
      <w:r w:rsidRPr="00066BB9">
        <w:rPr>
          <w:sz w:val="16"/>
        </w:rPr>
        <w:t xml:space="preserve"> reading of </w:t>
      </w:r>
      <w:proofErr w:type="spellStart"/>
      <w:r w:rsidRPr="00066BB9">
        <w:rPr>
          <w:sz w:val="16"/>
        </w:rPr>
        <w:t>Agamben</w:t>
      </w:r>
      <w:proofErr w:type="spellEnd"/>
      <w:r w:rsidRPr="00066BB9">
        <w:rPr>
          <w:sz w:val="16"/>
        </w:rPr>
        <w:t xml:space="preserve"> and Foucault shows, they fundamentally differ in that </w:t>
      </w:r>
      <w:r w:rsidRPr="00FC0AD2">
        <w:rPr>
          <w:rStyle w:val="StyleUnderline"/>
        </w:rPr>
        <w:t xml:space="preserve">Foucault reads modern politics from the inside—from the practices that have constituted it—while </w:t>
      </w:r>
      <w:proofErr w:type="spellStart"/>
      <w:r w:rsidRPr="00FC0AD2">
        <w:rPr>
          <w:rStyle w:val="StyleUnderline"/>
        </w:rPr>
        <w:t>Agamben</w:t>
      </w:r>
      <w:proofErr w:type="spellEnd"/>
      <w:r w:rsidRPr="00FC0AD2">
        <w:rPr>
          <w:rStyle w:val="StyleUnderline"/>
        </w:rPr>
        <w:t xml:space="preserve"> interprets the nature of modern politics from its absolute outside</w:t>
      </w:r>
      <w:r w:rsidRPr="00066BB9">
        <w:rPr>
          <w:sz w:val="16"/>
        </w:rPr>
        <w:t xml:space="preserve"> (</w:t>
      </w:r>
      <w:proofErr w:type="spellStart"/>
      <w:r w:rsidRPr="00066BB9">
        <w:rPr>
          <w:sz w:val="16"/>
        </w:rPr>
        <w:t>Mühle</w:t>
      </w:r>
      <w:proofErr w:type="spellEnd"/>
      <w:r w:rsidRPr="00066BB9">
        <w:rPr>
          <w:sz w:val="16"/>
        </w:rPr>
        <w:t xml:space="preserve"> 2007).11 The </w:t>
      </w:r>
      <w:r w:rsidRPr="00FC0AD2">
        <w:rPr>
          <w:rStyle w:val="StyleUnderline"/>
        </w:rPr>
        <w:t>idioms of exception</w:t>
      </w:r>
      <w:r w:rsidRPr="00066BB9">
        <w:rPr>
          <w:sz w:val="16"/>
        </w:rPr>
        <w:t xml:space="preserve"> and exception-as-the-rule </w:t>
      </w:r>
      <w:r w:rsidRPr="00FC0AD2">
        <w:rPr>
          <w:rStyle w:val="StyleUnderline"/>
        </w:rPr>
        <w:t>seek to understand the nature of democratic politics from the perspective of its collapse</w:t>
      </w:r>
      <w:r w:rsidRPr="00066BB9">
        <w:rPr>
          <w:sz w:val="16"/>
        </w:rPr>
        <w:t xml:space="preserve">. For </w:t>
      </w:r>
      <w:proofErr w:type="spellStart"/>
      <w:r w:rsidRPr="00066BB9">
        <w:rPr>
          <w:sz w:val="16"/>
        </w:rPr>
        <w:t>Agamben</w:t>
      </w:r>
      <w:proofErr w:type="spellEnd"/>
      <w:r w:rsidRPr="00066BB9">
        <w:rPr>
          <w:sz w:val="16"/>
        </w:rPr>
        <w:t>, the concentration camps, that is, loci where the exception has become the rule, define the matrix of modern politics (</w:t>
      </w:r>
      <w:proofErr w:type="spellStart"/>
      <w:r w:rsidRPr="00066BB9">
        <w:rPr>
          <w:sz w:val="16"/>
        </w:rPr>
        <w:t>Agamben</w:t>
      </w:r>
      <w:proofErr w:type="spellEnd"/>
      <w:r w:rsidRPr="00066BB9">
        <w:rPr>
          <w:sz w:val="16"/>
        </w:rPr>
        <w:t xml:space="preserve"> 1998). The concentration camp has been the reference point of the absolute limit of modern, democratic government in Europe at least since the middle of the twentieth century. Schmitt defines the nature of politics through the specter of dictatorship. The relation to a total enemy and thus the possibility of total war as well as in the existence of an absolute normative vacuum in which the relation between norms and anomie can no longer be bridged but has to be reconstituted defines the “essence” of modern politics. Both points of view conceptualize the political from the point of view of the absolute limit of democratic governance both in its liberal and social-democratic forms. </w:t>
      </w:r>
      <w:r w:rsidRPr="00FC0AD2">
        <w:rPr>
          <w:rStyle w:val="StyleUnderline"/>
        </w:rPr>
        <w:lastRenderedPageBreak/>
        <w:t xml:space="preserve">This thinking of democratic politics through its limit is a central characteristic of the jargon of exception </w:t>
      </w:r>
      <w:r w:rsidRPr="00066BB9">
        <w:rPr>
          <w:sz w:val="16"/>
        </w:rPr>
        <w:t>(</w:t>
      </w:r>
      <w:proofErr w:type="spellStart"/>
      <w:r w:rsidRPr="00066BB9">
        <w:rPr>
          <w:sz w:val="16"/>
        </w:rPr>
        <w:t>Bartelson</w:t>
      </w:r>
      <w:proofErr w:type="spellEnd"/>
      <w:r w:rsidRPr="00066BB9">
        <w:rPr>
          <w:sz w:val="16"/>
        </w:rPr>
        <w:t xml:space="preserve"> 1997). It is therefore not surprising that </w:t>
      </w:r>
      <w:r w:rsidRPr="00FC0AD2">
        <w:rPr>
          <w:rStyle w:val="StyleUnderline"/>
        </w:rPr>
        <w:t>the key category of democratic politics, “the people” as a political societal multiplicity of relations and political practices, slips out of the jargon of exception</w:t>
      </w:r>
      <w:r w:rsidRPr="00066BB9">
        <w:rPr>
          <w:sz w:val="16"/>
        </w:rPr>
        <w:t>. After all, it seeks to understand democratic politics from sites and times where it no longer exists.</w:t>
      </w:r>
    </w:p>
    <w:p w:rsidR="00CF7074" w:rsidRPr="00066BB9" w:rsidRDefault="00CF7074" w:rsidP="00CF7074">
      <w:pPr>
        <w:rPr>
          <w:sz w:val="16"/>
        </w:rPr>
      </w:pPr>
      <w:r w:rsidRPr="00066BB9">
        <w:rPr>
          <w:sz w:val="16"/>
        </w:rPr>
        <w:t xml:space="preserve">Reading </w:t>
      </w:r>
      <w:r w:rsidRPr="003D4AE6">
        <w:rPr>
          <w:rStyle w:val="StyleUnderline"/>
        </w:rPr>
        <w:t xml:space="preserve">Foucault sharply brings out this peculiarity of the jargon of exception. </w:t>
      </w:r>
      <w:r w:rsidRPr="00066BB9">
        <w:rPr>
          <w:sz w:val="16"/>
        </w:rPr>
        <w:t xml:space="preserve">Unlike Schmitt and </w:t>
      </w:r>
      <w:proofErr w:type="spellStart"/>
      <w:r w:rsidRPr="00066BB9">
        <w:rPr>
          <w:sz w:val="16"/>
        </w:rPr>
        <w:t>Agamben</w:t>
      </w:r>
      <w:proofErr w:type="spellEnd"/>
      <w:r w:rsidRPr="003D4AE6">
        <w:rPr>
          <w:rStyle w:val="StyleUnderline"/>
        </w:rPr>
        <w:t xml:space="preserve">, his interpretation draws us into the richness and transformations of </w:t>
      </w:r>
      <w:proofErr w:type="spellStart"/>
      <w:r w:rsidRPr="003D4AE6">
        <w:rPr>
          <w:rStyle w:val="StyleUnderline"/>
        </w:rPr>
        <w:t>biopolitical</w:t>
      </w:r>
      <w:proofErr w:type="spellEnd"/>
      <w:r w:rsidRPr="003D4AE6">
        <w:rPr>
          <w:rStyle w:val="StyleUnderline"/>
        </w:rPr>
        <w:t xml:space="preserve"> history through which modern governance and politics has developed</w:t>
      </w:r>
      <w:r w:rsidRPr="00066BB9">
        <w:rPr>
          <w:sz w:val="16"/>
        </w:rPr>
        <w:t xml:space="preserve"> (Neal 2006). The question is not what the camps tell us about the nature of modern politics but rather how practices such as camps and therapeutic policies exist within democratic forms of governance that aim to optimize and improve life and constitute freedom as a defining category of subjects and governance (</w:t>
      </w:r>
      <w:proofErr w:type="spellStart"/>
      <w:r w:rsidRPr="00066BB9">
        <w:rPr>
          <w:sz w:val="16"/>
        </w:rPr>
        <w:t>Mühle</w:t>
      </w:r>
      <w:proofErr w:type="spellEnd"/>
      <w:r w:rsidRPr="00066BB9">
        <w:rPr>
          <w:sz w:val="16"/>
        </w:rPr>
        <w:t xml:space="preserve"> 2007). </w:t>
      </w:r>
      <w:r w:rsidRPr="003D4AE6">
        <w:rPr>
          <w:rStyle w:val="StyleUnderline"/>
        </w:rPr>
        <w:t xml:space="preserve">These histories, sites of governance and contestations of knowledge and truth always consist of highly relational and heavily mediated practices. </w:t>
      </w:r>
      <w:r w:rsidRPr="00066BB9">
        <w:rPr>
          <w:sz w:val="16"/>
        </w:rPr>
        <w:t xml:space="preserve">As stated above, in Foucault’s work, </w:t>
      </w:r>
      <w:proofErr w:type="spellStart"/>
      <w:r w:rsidRPr="003D4AE6">
        <w:rPr>
          <w:rStyle w:val="StyleUnderline"/>
        </w:rPr>
        <w:t>biopolitics</w:t>
      </w:r>
      <w:proofErr w:type="spellEnd"/>
      <w:r w:rsidRPr="003D4AE6">
        <w:rPr>
          <w:rStyle w:val="StyleUnderline"/>
        </w:rPr>
        <w:t xml:space="preserve"> does not enact anomie but its contrary: an extremely detailed governance and self-governance of relations between humans and between humans and their environment.</w:t>
      </w:r>
      <w:r w:rsidRPr="00066BB9">
        <w:rPr>
          <w:sz w:val="16"/>
        </w:rPr>
        <w:t xml:space="preserve"> </w:t>
      </w:r>
      <w:r w:rsidRPr="003D4AE6">
        <w:rPr>
          <w:rStyle w:val="StyleUnderline"/>
        </w:rPr>
        <w:t>This view</w:t>
      </w:r>
      <w:r w:rsidRPr="00066BB9">
        <w:rPr>
          <w:sz w:val="16"/>
        </w:rPr>
        <w:t xml:space="preserve"> of </w:t>
      </w:r>
      <w:proofErr w:type="spellStart"/>
      <w:r w:rsidRPr="00066BB9">
        <w:rPr>
          <w:sz w:val="16"/>
        </w:rPr>
        <w:t>biopolitical</w:t>
      </w:r>
      <w:proofErr w:type="spellEnd"/>
      <w:r w:rsidRPr="00066BB9">
        <w:rPr>
          <w:sz w:val="16"/>
        </w:rPr>
        <w:t xml:space="preserve"> </w:t>
      </w:r>
      <w:proofErr w:type="spellStart"/>
      <w:r w:rsidRPr="003D4AE6">
        <w:rPr>
          <w:rStyle w:val="StyleUnderline"/>
        </w:rPr>
        <w:t>relationality</w:t>
      </w:r>
      <w:proofErr w:type="spellEnd"/>
      <w:r w:rsidRPr="003D4AE6">
        <w:rPr>
          <w:rStyle w:val="StyleUnderline"/>
        </w:rPr>
        <w:t xml:space="preserve"> is not totalitarian because change and resistance are internally generated within </w:t>
      </w:r>
      <w:proofErr w:type="spellStart"/>
      <w:r w:rsidRPr="003D4AE6">
        <w:rPr>
          <w:rStyle w:val="StyleUnderline"/>
        </w:rPr>
        <w:t>biopolitics</w:t>
      </w:r>
      <w:proofErr w:type="spellEnd"/>
      <w:r w:rsidRPr="003D4AE6">
        <w:rPr>
          <w:rStyle w:val="StyleUnderline"/>
        </w:rPr>
        <w:t xml:space="preserve"> and therefore political life is not simply imposition through governance but always also necessarily struggles over knowledge</w:t>
      </w:r>
      <w:r w:rsidRPr="00066BB9">
        <w:rPr>
          <w:sz w:val="16"/>
        </w:rPr>
        <w:t xml:space="preserve">, technologies, living conditions, discriminations, etc. (for example, Foucault 1973, 1978, 1997). Such a reading of </w:t>
      </w:r>
      <w:proofErr w:type="spellStart"/>
      <w:r w:rsidRPr="00066BB9">
        <w:rPr>
          <w:sz w:val="16"/>
        </w:rPr>
        <w:t>biopolitics</w:t>
      </w:r>
      <w:proofErr w:type="spellEnd"/>
      <w:r w:rsidRPr="00066BB9">
        <w:rPr>
          <w:sz w:val="16"/>
        </w:rPr>
        <w:t xml:space="preserve"> reintroduces the societal as a history, a multiplicity of places and times, and traditions of thinking the political, thus taking exception to the erasure of the societal and the catastrophic conceptions of the political in the jargon of exception.</w:t>
      </w:r>
    </w:p>
    <w:p w:rsidR="00CF7074" w:rsidRPr="00066BB9" w:rsidRDefault="00CF7074" w:rsidP="00CF7074">
      <w:pPr>
        <w:rPr>
          <w:sz w:val="16"/>
        </w:rPr>
      </w:pPr>
      <w:r w:rsidRPr="00066BB9">
        <w:rPr>
          <w:sz w:val="16"/>
        </w:rPr>
        <w:t xml:space="preserve">Looked at from this perspective, </w:t>
      </w:r>
      <w:r w:rsidRPr="003D4AE6">
        <w:rPr>
          <w:rStyle w:val="StyleUnderline"/>
        </w:rPr>
        <w:t>debates about the reconciliation of liberty and security</w:t>
      </w:r>
      <w:r w:rsidRPr="00066BB9">
        <w:rPr>
          <w:sz w:val="16"/>
        </w:rPr>
        <w:t xml:space="preserve">, for example, </w:t>
      </w:r>
      <w:r w:rsidRPr="003D4AE6">
        <w:rPr>
          <w:rStyle w:val="StyleUnderline"/>
        </w:rPr>
        <w:t xml:space="preserve">are not, as </w:t>
      </w:r>
      <w:proofErr w:type="spellStart"/>
      <w:r w:rsidRPr="003D4AE6">
        <w:rPr>
          <w:rStyle w:val="StyleUnderline"/>
        </w:rPr>
        <w:t>Agamben</w:t>
      </w:r>
      <w:proofErr w:type="spellEnd"/>
      <w:r w:rsidRPr="003D4AE6">
        <w:rPr>
          <w:rStyle w:val="StyleUnderline"/>
        </w:rPr>
        <w:t xml:space="preserve"> argues, an ideological practice that hides the fundamental break down of the dialectic between law and anomie</w:t>
      </w:r>
      <w:r w:rsidRPr="00066BB9">
        <w:rPr>
          <w:sz w:val="16"/>
        </w:rPr>
        <w:t xml:space="preserve"> that has been central to modern politics (</w:t>
      </w:r>
      <w:proofErr w:type="spellStart"/>
      <w:r w:rsidRPr="00066BB9">
        <w:rPr>
          <w:sz w:val="16"/>
        </w:rPr>
        <w:t>Agamben</w:t>
      </w:r>
      <w:proofErr w:type="spellEnd"/>
      <w:r w:rsidRPr="00066BB9">
        <w:rPr>
          <w:sz w:val="16"/>
        </w:rPr>
        <w:t xml:space="preserve"> 2003:144–148). </w:t>
      </w:r>
      <w:r w:rsidRPr="003D4AE6">
        <w:rPr>
          <w:rStyle w:val="StyleUnderline"/>
        </w:rPr>
        <w:t xml:space="preserve">Rather these debates insert questions of and challenges to the role of law and generalized norm-setting in highly charged </w:t>
      </w:r>
      <w:proofErr w:type="spellStart"/>
      <w:r w:rsidRPr="003D4AE6">
        <w:rPr>
          <w:rStyle w:val="StyleUnderline"/>
        </w:rPr>
        <w:t>biopolitical</w:t>
      </w:r>
      <w:proofErr w:type="spellEnd"/>
      <w:r w:rsidRPr="003D4AE6">
        <w:rPr>
          <w:rStyle w:val="StyleUnderline"/>
        </w:rPr>
        <w:t xml:space="preserve"> governance of insecurities</w:t>
      </w:r>
      <w:r w:rsidRPr="00066BB9">
        <w:rPr>
          <w:sz w:val="16"/>
        </w:rPr>
        <w:t xml:space="preserve">. Instead of collapsing the dialectic between law and anomie, contestation of the protection of civil liberties, </w:t>
      </w:r>
      <w:r w:rsidRPr="003D4AE6">
        <w:rPr>
          <w:rStyle w:val="StyleUnderline"/>
        </w:rPr>
        <w:t>demands for re-negotiating balances between liberties and security are neither simply to be taken at face value</w:t>
      </w:r>
      <w:r w:rsidRPr="00066BB9">
        <w:rPr>
          <w:sz w:val="16"/>
        </w:rPr>
        <w:t xml:space="preserve"> as a matter of the necessity of balancing and rebalancing </w:t>
      </w:r>
      <w:r w:rsidRPr="003D4AE6">
        <w:rPr>
          <w:rStyle w:val="StyleUnderline"/>
        </w:rPr>
        <w:t>nor to be seen as the endgame of the validity of legal mediations of politics and life.</w:t>
      </w:r>
      <w:r w:rsidRPr="00066BB9">
        <w:rPr>
          <w:sz w:val="16"/>
        </w:rPr>
        <w:t xml:space="preserve"> Rather </w:t>
      </w:r>
      <w:r w:rsidRPr="003D4AE6">
        <w:rPr>
          <w:rStyle w:val="StyleUnderline"/>
        </w:rPr>
        <w:t>they open up a need to revisit</w:t>
      </w:r>
      <w:r w:rsidRPr="00066BB9">
        <w:rPr>
          <w:sz w:val="16"/>
        </w:rPr>
        <w:t xml:space="preserve"> the particular kind of work that law does and does not do in specific sites (</w:t>
      </w:r>
      <w:proofErr w:type="spellStart"/>
      <w:r w:rsidRPr="00066BB9">
        <w:rPr>
          <w:sz w:val="16"/>
        </w:rPr>
        <w:t>Neocleous</w:t>
      </w:r>
      <w:proofErr w:type="spellEnd"/>
      <w:r w:rsidRPr="00066BB9">
        <w:rPr>
          <w:sz w:val="16"/>
        </w:rPr>
        <w:t xml:space="preserve"> 2006), such as camps, and </w:t>
      </w:r>
      <w:r w:rsidRPr="003D4AE6">
        <w:rPr>
          <w:rStyle w:val="StyleUnderline"/>
        </w:rPr>
        <w:t>what the practices possibly tell us about if and how the dialectic between law and anomie operates</w:t>
      </w:r>
      <w:r w:rsidRPr="00066BB9">
        <w:rPr>
          <w:sz w:val="16"/>
        </w:rPr>
        <w:t xml:space="preserve"> in </w:t>
      </w:r>
      <w:proofErr w:type="spellStart"/>
      <w:r w:rsidRPr="00066BB9">
        <w:rPr>
          <w:sz w:val="16"/>
        </w:rPr>
        <w:t>biopolitical</w:t>
      </w:r>
      <w:proofErr w:type="spellEnd"/>
      <w:r w:rsidRPr="00066BB9">
        <w:rPr>
          <w:sz w:val="16"/>
        </w:rPr>
        <w:t xml:space="preserve"> governance. Fleur </w:t>
      </w:r>
      <w:proofErr w:type="spellStart"/>
      <w:r w:rsidRPr="00066BB9">
        <w:rPr>
          <w:sz w:val="16"/>
        </w:rPr>
        <w:t>Johns’s</w:t>
      </w:r>
      <w:proofErr w:type="spellEnd"/>
      <w:r w:rsidRPr="00066BB9">
        <w:rPr>
          <w:sz w:val="16"/>
        </w:rPr>
        <w:t xml:space="preserve"> analysis of the camp in Guantanamo Bay is one such example (Johns 2005). She argues that the camp is penetrated by a form of norm setting, thus implying that a dialectic between norms and anomie, political transgression and law is not absent from the organization and governing practice in the camp. Unlike some other analyses that focus on constitutional transgressions and battles in the constitutional courts, Johns emphasizes the importance for </w:t>
      </w:r>
      <w:proofErr w:type="spellStart"/>
      <w:r w:rsidRPr="00066BB9">
        <w:rPr>
          <w:sz w:val="16"/>
        </w:rPr>
        <w:t>biopolitical</w:t>
      </w:r>
      <w:proofErr w:type="spellEnd"/>
      <w:r w:rsidRPr="00066BB9">
        <w:rPr>
          <w:sz w:val="16"/>
        </w:rPr>
        <w:t xml:space="preserve"> governance of the detailed and in a sense banal regulations that seek to structure the everyday practices of the guards, the administrators and the prisoners. The norm setting is thus not primarily constitutional but administrative.</w:t>
      </w:r>
    </w:p>
    <w:p w:rsidR="00CF7074" w:rsidRDefault="00CF7074" w:rsidP="00CF7074">
      <w:pPr>
        <w:pStyle w:val="Heading3"/>
      </w:pPr>
      <w:r>
        <w:lastRenderedPageBreak/>
        <w:t>Bare Life Impact D</w:t>
      </w:r>
    </w:p>
    <w:p w:rsidR="00CF7074" w:rsidRDefault="00CF7074" w:rsidP="00CF7074">
      <w:pPr>
        <w:pStyle w:val="Heading4"/>
      </w:pPr>
      <w:r>
        <w:t>Bare Life oversimplifies-It is a matter of degree and value to life is still possible</w:t>
      </w:r>
    </w:p>
    <w:p w:rsidR="00CF7074" w:rsidRPr="00184E4B" w:rsidRDefault="00CF7074" w:rsidP="00CF7074">
      <w:pPr>
        <w:rPr>
          <w:rStyle w:val="Style13ptBold"/>
          <w:b w:val="0"/>
        </w:rPr>
      </w:pPr>
      <w:r>
        <w:rPr>
          <w:rStyle w:val="Style13ptBold"/>
          <w:b w:val="0"/>
        </w:rPr>
        <w:t xml:space="preserve">Thomas </w:t>
      </w:r>
      <w:r>
        <w:rPr>
          <w:rStyle w:val="Style13ptBold"/>
        </w:rPr>
        <w:t xml:space="preserve">Lemke 5, </w:t>
      </w:r>
      <w:r>
        <w:rPr>
          <w:rStyle w:val="Style13ptBold"/>
          <w:b w:val="0"/>
        </w:rPr>
        <w:t xml:space="preserve">Professor of Sociology at Goethe University Frankfurt, Fall 2005, ““A Zone of </w:t>
      </w:r>
      <w:proofErr w:type="spellStart"/>
      <w:r>
        <w:rPr>
          <w:rStyle w:val="Style13ptBold"/>
          <w:b w:val="0"/>
        </w:rPr>
        <w:t>Indistinction</w:t>
      </w:r>
      <w:proofErr w:type="spellEnd"/>
      <w:r>
        <w:rPr>
          <w:rStyle w:val="Style13ptBold"/>
          <w:b w:val="0"/>
        </w:rPr>
        <w:t xml:space="preserve">” – A Critique of Giorgio </w:t>
      </w:r>
      <w:proofErr w:type="spellStart"/>
      <w:r>
        <w:rPr>
          <w:rStyle w:val="Style13ptBold"/>
          <w:b w:val="0"/>
        </w:rPr>
        <w:t>Agamben’s</w:t>
      </w:r>
      <w:proofErr w:type="spellEnd"/>
      <w:r>
        <w:rPr>
          <w:rStyle w:val="Style13ptBold"/>
          <w:b w:val="0"/>
        </w:rPr>
        <w:t xml:space="preserve"> Concept of </w:t>
      </w:r>
      <w:proofErr w:type="spellStart"/>
      <w:r>
        <w:rPr>
          <w:rStyle w:val="Style13ptBold"/>
          <w:b w:val="0"/>
        </w:rPr>
        <w:t>Biopolitics</w:t>
      </w:r>
      <w:proofErr w:type="spellEnd"/>
      <w:r>
        <w:rPr>
          <w:rStyle w:val="Style13ptBold"/>
          <w:b w:val="0"/>
        </w:rPr>
        <w:t xml:space="preserve">”, Genomics, Society and Policy, Vol. 1, No. 3, http://www.thomaslemkeweb.de/engl.%20texte/A%20Zone3.pdf </w:t>
      </w:r>
    </w:p>
    <w:p w:rsidR="00CF7074" w:rsidRPr="00184E4B" w:rsidRDefault="00CF7074" w:rsidP="00CF7074">
      <w:pPr>
        <w:rPr>
          <w:rFonts w:asciiTheme="minorHAnsi" w:hAnsiTheme="minorHAnsi"/>
          <w:sz w:val="16"/>
        </w:rPr>
      </w:pPr>
      <w:r w:rsidRPr="00184E4B">
        <w:rPr>
          <w:rFonts w:asciiTheme="minorHAnsi" w:hAnsiTheme="minorHAnsi"/>
          <w:sz w:val="16"/>
        </w:rPr>
        <w:t xml:space="preserve">For </w:t>
      </w:r>
      <w:proofErr w:type="spellStart"/>
      <w:r w:rsidRPr="00184E4B">
        <w:rPr>
          <w:rFonts w:asciiTheme="minorHAnsi" w:hAnsiTheme="minorHAnsi"/>
          <w:sz w:val="16"/>
        </w:rPr>
        <w:t>Agamben</w:t>
      </w:r>
      <w:proofErr w:type="spellEnd"/>
      <w:r w:rsidRPr="00184E4B">
        <w:rPr>
          <w:rFonts w:asciiTheme="minorHAnsi" w:hAnsiTheme="minorHAnsi"/>
          <w:sz w:val="16"/>
        </w:rPr>
        <w:t xml:space="preserve"> </w:t>
      </w:r>
      <w:r w:rsidRPr="00184E4B">
        <w:rPr>
          <w:rStyle w:val="StyleUnderline"/>
        </w:rPr>
        <w:t>the decision about life and death “no longer appears today as a stable border dividing two clearly distinct zones</w:t>
      </w:r>
      <w:r w:rsidRPr="00184E4B">
        <w:rPr>
          <w:rFonts w:asciiTheme="minorHAnsi" w:hAnsiTheme="minorHAnsi"/>
          <w:sz w:val="16"/>
        </w:rPr>
        <w:t xml:space="preserve">” (1998: 122). This sentence allows for two completely different readings. If the accent is placed on the first part of the phrase that stresses the dissolution of a clear distinction line, the border is conceived as a flexible zone or a mobile line. Or – this is the second interpretation – if the accent is put on the last part of the phrase, the phrase seems to indicate that there is no longer a borderline at all, that both domains have become indistinguishable. </w:t>
      </w:r>
      <w:r w:rsidRPr="00184E4B">
        <w:rPr>
          <w:rStyle w:val="StyleUnderline"/>
        </w:rPr>
        <w:t xml:space="preserve">This is probably the direction that </w:t>
      </w:r>
      <w:proofErr w:type="spellStart"/>
      <w:r w:rsidRPr="00184E4B">
        <w:rPr>
          <w:rStyle w:val="StyleUnderline"/>
        </w:rPr>
        <w:t>Agamben</w:t>
      </w:r>
      <w:proofErr w:type="spellEnd"/>
      <w:r w:rsidRPr="00184E4B">
        <w:rPr>
          <w:rStyle w:val="StyleUnderline"/>
        </w:rPr>
        <w:t xml:space="preserve"> takes when he speaks of a “zone of </w:t>
      </w:r>
      <w:proofErr w:type="spellStart"/>
      <w:r w:rsidRPr="00184E4B">
        <w:rPr>
          <w:rStyle w:val="StyleUnderline"/>
        </w:rPr>
        <w:t>indistinction</w:t>
      </w:r>
      <w:proofErr w:type="spellEnd"/>
      <w:r w:rsidRPr="00184E4B">
        <w:rPr>
          <w:rStyle w:val="StyleUnderline"/>
        </w:rPr>
        <w:t>”,</w:t>
      </w:r>
      <w:r w:rsidRPr="00184E4B">
        <w:rPr>
          <w:rFonts w:asciiTheme="minorHAnsi" w:hAnsiTheme="minorHAnsi"/>
          <w:sz w:val="16"/>
        </w:rPr>
        <w:t xml:space="preserve"> the tendentious identity of life and politics (1998: 122 resp. 148). But </w:t>
      </w:r>
      <w:r w:rsidRPr="00184E4B">
        <w:rPr>
          <w:rStyle w:val="StyleUnderline"/>
        </w:rPr>
        <w:t xml:space="preserve">this leads into a blind alley. </w:t>
      </w:r>
      <w:proofErr w:type="spellStart"/>
      <w:r w:rsidRPr="00184E4B">
        <w:rPr>
          <w:rStyle w:val="StyleUnderline"/>
        </w:rPr>
        <w:t>Agamben</w:t>
      </w:r>
      <w:proofErr w:type="spellEnd"/>
      <w:r w:rsidRPr="00184E4B">
        <w:rPr>
          <w:rStyle w:val="StyleUnderline"/>
        </w:rPr>
        <w:t xml:space="preserve"> does not comprehend “camp” as an internally differentiated continuum, but only as a “line” </w:t>
      </w:r>
      <w:r w:rsidRPr="00184E4B">
        <w:rPr>
          <w:rFonts w:asciiTheme="minorHAnsi" w:hAnsiTheme="minorHAnsi"/>
          <w:sz w:val="16"/>
        </w:rPr>
        <w:t xml:space="preserve">(1998: 122) that separates more or less clearly between bare life and political existence. As a consequence, </w:t>
      </w:r>
      <w:r w:rsidRPr="00184E4B">
        <w:rPr>
          <w:rStyle w:val="StyleUnderline"/>
        </w:rPr>
        <w:t xml:space="preserve">he cannot </w:t>
      </w:r>
      <w:proofErr w:type="spellStart"/>
      <w:r w:rsidRPr="00184E4B">
        <w:rPr>
          <w:rStyle w:val="StyleUnderline"/>
        </w:rPr>
        <w:t>analyse</w:t>
      </w:r>
      <w:proofErr w:type="spellEnd"/>
      <w:r w:rsidRPr="00184E4B">
        <w:rPr>
          <w:rStyle w:val="StyleUnderline"/>
        </w:rPr>
        <w:t xml:space="preserve"> how inside “bare life” </w:t>
      </w:r>
      <w:proofErr w:type="spellStart"/>
      <w:r w:rsidRPr="00184E4B">
        <w:rPr>
          <w:rStyle w:val="StyleUnderline"/>
        </w:rPr>
        <w:t>hierarchisations</w:t>
      </w:r>
      <w:proofErr w:type="spellEnd"/>
      <w:r w:rsidRPr="00184E4B">
        <w:rPr>
          <w:rStyle w:val="StyleUnderline"/>
        </w:rPr>
        <w:t xml:space="preserve"> and evaluations become possible, how life can be classified and qualified as higher or lower, as descending or ascending.</w:t>
      </w:r>
      <w:r w:rsidRPr="00184E4B">
        <w:rPr>
          <w:rFonts w:asciiTheme="minorHAnsi" w:hAnsiTheme="minorHAnsi"/>
          <w:sz w:val="16"/>
        </w:rPr>
        <w:t xml:space="preserve"> </w:t>
      </w:r>
      <w:proofErr w:type="spellStart"/>
      <w:r w:rsidRPr="00184E4B">
        <w:rPr>
          <w:rStyle w:val="StyleUnderline"/>
        </w:rPr>
        <w:t>Agamben</w:t>
      </w:r>
      <w:proofErr w:type="spellEnd"/>
      <w:r w:rsidRPr="00184E4B">
        <w:rPr>
          <w:rStyle w:val="StyleUnderline"/>
        </w:rPr>
        <w:t xml:space="preserve"> cannot account for these processes since his attention is fixed on the establishment of a border</w:t>
      </w:r>
      <w:r w:rsidRPr="00184E4B">
        <w:rPr>
          <w:rFonts w:asciiTheme="minorHAnsi" w:hAnsiTheme="minorHAnsi"/>
          <w:sz w:val="16"/>
        </w:rPr>
        <w:t xml:space="preserve"> – a border that he does not comprehend as a staggered zone but as a line without extension that reduces the question to an either-or. In other words: </w:t>
      </w:r>
      <w:proofErr w:type="spellStart"/>
      <w:r w:rsidRPr="00184E4B">
        <w:rPr>
          <w:rStyle w:val="StyleUnderline"/>
        </w:rPr>
        <w:t>Agamben</w:t>
      </w:r>
      <w:proofErr w:type="spellEnd"/>
      <w:r w:rsidRPr="00184E4B">
        <w:rPr>
          <w:rStyle w:val="StyleUnderline"/>
        </w:rPr>
        <w:t xml:space="preserve"> is less interested in life than in its “bareness”, whereby his account does not focus on the </w:t>
      </w:r>
      <w:proofErr w:type="spellStart"/>
      <w:r w:rsidRPr="00184E4B">
        <w:rPr>
          <w:rStyle w:val="StyleUnderline"/>
        </w:rPr>
        <w:t>normalisation</w:t>
      </w:r>
      <w:proofErr w:type="spellEnd"/>
      <w:r w:rsidRPr="00184E4B">
        <w:rPr>
          <w:rStyle w:val="StyleUnderline"/>
        </w:rPr>
        <w:t xml:space="preserve"> of life, but on death as the </w:t>
      </w:r>
      <w:proofErr w:type="spellStart"/>
      <w:r w:rsidRPr="00184E4B">
        <w:rPr>
          <w:rStyle w:val="StyleUnderline"/>
        </w:rPr>
        <w:t>materialisation</w:t>
      </w:r>
      <w:proofErr w:type="spellEnd"/>
      <w:r w:rsidRPr="00184E4B">
        <w:rPr>
          <w:rStyle w:val="StyleUnderline"/>
        </w:rPr>
        <w:t xml:space="preserve"> of a borderline. </w:t>
      </w:r>
      <w:r w:rsidRPr="00184E4B">
        <w:rPr>
          <w:rFonts w:asciiTheme="minorHAnsi" w:hAnsiTheme="minorHAnsi"/>
          <w:sz w:val="16"/>
        </w:rPr>
        <w:t xml:space="preserve">For </w:t>
      </w:r>
      <w:proofErr w:type="spellStart"/>
      <w:r w:rsidRPr="00184E4B">
        <w:rPr>
          <w:rFonts w:asciiTheme="minorHAnsi" w:hAnsiTheme="minorHAnsi"/>
          <w:sz w:val="16"/>
        </w:rPr>
        <w:t>Agamben</w:t>
      </w:r>
      <w:proofErr w:type="spellEnd"/>
      <w:r w:rsidRPr="00184E4B">
        <w:rPr>
          <w:rFonts w:asciiTheme="minorHAnsi" w:hAnsiTheme="minorHAnsi"/>
          <w:sz w:val="16"/>
        </w:rPr>
        <w:t xml:space="preserve"> </w:t>
      </w:r>
      <w:proofErr w:type="spellStart"/>
      <w:r w:rsidRPr="00184E4B">
        <w:rPr>
          <w:rFonts w:asciiTheme="minorHAnsi" w:hAnsiTheme="minorHAnsi"/>
          <w:sz w:val="16"/>
        </w:rPr>
        <w:t>biopolitics</w:t>
      </w:r>
      <w:proofErr w:type="spellEnd"/>
      <w:r w:rsidRPr="00184E4B">
        <w:rPr>
          <w:rFonts w:asciiTheme="minorHAnsi" w:hAnsiTheme="minorHAnsi"/>
          <w:sz w:val="16"/>
        </w:rPr>
        <w:t xml:space="preserve"> is essentially “</w:t>
      </w:r>
      <w:proofErr w:type="spellStart"/>
      <w:r w:rsidRPr="00184E4B">
        <w:rPr>
          <w:rFonts w:asciiTheme="minorHAnsi" w:hAnsiTheme="minorHAnsi"/>
          <w:sz w:val="16"/>
        </w:rPr>
        <w:t>thanatopolitics</w:t>
      </w:r>
      <w:proofErr w:type="spellEnd"/>
      <w:r w:rsidRPr="00184E4B">
        <w:rPr>
          <w:rFonts w:asciiTheme="minorHAnsi" w:hAnsiTheme="minorHAnsi"/>
          <w:sz w:val="16"/>
        </w:rPr>
        <w:t xml:space="preserve">” (1998: 122; Fitzpatrick 2001: 263-265; </w:t>
      </w:r>
      <w:proofErr w:type="spellStart"/>
      <w:r w:rsidRPr="00184E4B">
        <w:rPr>
          <w:rFonts w:asciiTheme="minorHAnsi" w:hAnsiTheme="minorHAnsi"/>
          <w:sz w:val="16"/>
        </w:rPr>
        <w:t>Werber</w:t>
      </w:r>
      <w:proofErr w:type="spellEnd"/>
      <w:r w:rsidRPr="00184E4B">
        <w:rPr>
          <w:rFonts w:asciiTheme="minorHAnsi" w:hAnsiTheme="minorHAnsi"/>
          <w:sz w:val="16"/>
        </w:rPr>
        <w:t xml:space="preserve"> 2002: 419). </w:t>
      </w:r>
    </w:p>
    <w:p w:rsidR="00CF7074" w:rsidRDefault="00CF7074" w:rsidP="00CF7074">
      <w:pPr>
        <w:rPr>
          <w:rFonts w:asciiTheme="minorHAnsi" w:hAnsiTheme="minorHAnsi"/>
        </w:rPr>
      </w:pPr>
    </w:p>
    <w:p w:rsidR="00CF7074" w:rsidRDefault="00CF7074" w:rsidP="00CF7074">
      <w:pPr>
        <w:pStyle w:val="Heading3"/>
      </w:pPr>
      <w:r>
        <w:lastRenderedPageBreak/>
        <w:t>No Solvency</w:t>
      </w:r>
    </w:p>
    <w:p w:rsidR="00CF7074" w:rsidRDefault="00CF7074" w:rsidP="00CF7074">
      <w:pPr>
        <w:pStyle w:val="Heading4"/>
      </w:pPr>
      <w:proofErr w:type="spellStart"/>
      <w:r>
        <w:t>Aff</w:t>
      </w:r>
      <w:proofErr w:type="spellEnd"/>
      <w:r>
        <w:t xml:space="preserve"> can’t solve-“State of Exception” rests on an outdated view of politics that fails to account for a move to sovereign individuals as the tools of </w:t>
      </w:r>
      <w:proofErr w:type="spellStart"/>
      <w:r>
        <w:t>biopolitics</w:t>
      </w:r>
      <w:proofErr w:type="spellEnd"/>
    </w:p>
    <w:p w:rsidR="00CF7074" w:rsidRPr="00184E4B" w:rsidRDefault="00CF7074" w:rsidP="00CF7074">
      <w:pPr>
        <w:rPr>
          <w:rStyle w:val="Style13ptBold"/>
          <w:b w:val="0"/>
        </w:rPr>
      </w:pPr>
      <w:r>
        <w:rPr>
          <w:rStyle w:val="Style13ptBold"/>
          <w:b w:val="0"/>
        </w:rPr>
        <w:t xml:space="preserve">Thomas </w:t>
      </w:r>
      <w:r>
        <w:rPr>
          <w:rStyle w:val="Style13ptBold"/>
        </w:rPr>
        <w:t xml:space="preserve">Lemke 5, </w:t>
      </w:r>
      <w:r>
        <w:rPr>
          <w:rStyle w:val="Style13ptBold"/>
          <w:b w:val="0"/>
        </w:rPr>
        <w:t xml:space="preserve">Professor of Sociology at Goethe University Frankfurt, Fall 2005, ““A Zone of </w:t>
      </w:r>
      <w:proofErr w:type="spellStart"/>
      <w:r>
        <w:rPr>
          <w:rStyle w:val="Style13ptBold"/>
          <w:b w:val="0"/>
        </w:rPr>
        <w:t>Indistinction</w:t>
      </w:r>
      <w:proofErr w:type="spellEnd"/>
      <w:r>
        <w:rPr>
          <w:rStyle w:val="Style13ptBold"/>
          <w:b w:val="0"/>
        </w:rPr>
        <w:t xml:space="preserve">” – A Critique of Giorgio </w:t>
      </w:r>
      <w:proofErr w:type="spellStart"/>
      <w:r>
        <w:rPr>
          <w:rStyle w:val="Style13ptBold"/>
          <w:b w:val="0"/>
        </w:rPr>
        <w:t>Agamben’s</w:t>
      </w:r>
      <w:proofErr w:type="spellEnd"/>
      <w:r>
        <w:rPr>
          <w:rStyle w:val="Style13ptBold"/>
          <w:b w:val="0"/>
        </w:rPr>
        <w:t xml:space="preserve"> Concept of </w:t>
      </w:r>
      <w:proofErr w:type="spellStart"/>
      <w:r>
        <w:rPr>
          <w:rStyle w:val="Style13ptBold"/>
          <w:b w:val="0"/>
        </w:rPr>
        <w:t>Biopolitics</w:t>
      </w:r>
      <w:proofErr w:type="spellEnd"/>
      <w:r>
        <w:rPr>
          <w:rStyle w:val="Style13ptBold"/>
          <w:b w:val="0"/>
        </w:rPr>
        <w:t xml:space="preserve">”, Genomics, Society and Policy, Vol. 1, No. 3, http://www.thomaslemkeweb.de/engl.%20texte/A%20Zone3.pdf </w:t>
      </w:r>
    </w:p>
    <w:p w:rsidR="00CF7074" w:rsidRDefault="00CF7074" w:rsidP="00CF7074">
      <w:pPr>
        <w:rPr>
          <w:rFonts w:asciiTheme="minorHAnsi" w:hAnsiTheme="minorHAnsi"/>
        </w:rPr>
      </w:pPr>
      <w:proofErr w:type="spellStart"/>
      <w:r>
        <w:rPr>
          <w:rFonts w:asciiTheme="minorHAnsi" w:hAnsiTheme="minorHAnsi"/>
        </w:rPr>
        <w:t>Agamben</w:t>
      </w:r>
      <w:proofErr w:type="spellEnd"/>
      <w:r>
        <w:rPr>
          <w:rFonts w:asciiTheme="minorHAnsi" w:hAnsiTheme="minorHAnsi"/>
        </w:rPr>
        <w:t xml:space="preserve"> sees the novelty of the modern </w:t>
      </w:r>
      <w:proofErr w:type="spellStart"/>
      <w:r>
        <w:rPr>
          <w:rFonts w:asciiTheme="minorHAnsi" w:hAnsiTheme="minorHAnsi"/>
        </w:rPr>
        <w:t>biopolitics</w:t>
      </w:r>
      <w:proofErr w:type="spellEnd"/>
      <w:r>
        <w:rPr>
          <w:rFonts w:asciiTheme="minorHAnsi" w:hAnsiTheme="minorHAnsi"/>
        </w:rPr>
        <w:t xml:space="preserve"> in the fact that “the biological given is as such immediately political, and the political is as such immediately the biological given” (1998: 148; emphasis in orig.). In the political program of the Nazis, the preoccupation with life is at the same time a struggle against the enemy. While there are probably convincing reasons to state that in the present we are one step further on the way towards a </w:t>
      </w:r>
      <w:proofErr w:type="spellStart"/>
      <w:r>
        <w:rPr>
          <w:rFonts w:asciiTheme="minorHAnsi" w:hAnsiTheme="minorHAnsi"/>
        </w:rPr>
        <w:t>politicisation</w:t>
      </w:r>
      <w:proofErr w:type="spellEnd"/>
      <w:r>
        <w:rPr>
          <w:rFonts w:asciiTheme="minorHAnsi" w:hAnsiTheme="minorHAnsi"/>
        </w:rPr>
        <w:t xml:space="preserve"> of nature, there are at least two major problems that this conception of </w:t>
      </w:r>
      <w:proofErr w:type="spellStart"/>
      <w:r>
        <w:rPr>
          <w:rFonts w:asciiTheme="minorHAnsi" w:hAnsiTheme="minorHAnsi"/>
        </w:rPr>
        <w:t>biopolitics</w:t>
      </w:r>
      <w:proofErr w:type="spellEnd"/>
      <w:r>
        <w:rPr>
          <w:rFonts w:asciiTheme="minorHAnsi" w:hAnsiTheme="minorHAnsi"/>
        </w:rPr>
        <w:t xml:space="preserve"> fails to address. Firstly, </w:t>
      </w:r>
      <w:proofErr w:type="spellStart"/>
      <w:r w:rsidRPr="00184E4B">
        <w:rPr>
          <w:rStyle w:val="StyleUnderline"/>
        </w:rPr>
        <w:t>Agamben</w:t>
      </w:r>
      <w:proofErr w:type="spellEnd"/>
      <w:r w:rsidRPr="00184E4B">
        <w:rPr>
          <w:rStyle w:val="StyleUnderline"/>
        </w:rPr>
        <w:t xml:space="preserve"> does not take into account that the site of sovereignty has been displaced. While in the eugenic programs in the first half of the 20th century </w:t>
      </w:r>
      <w:proofErr w:type="spellStart"/>
      <w:r w:rsidRPr="00184E4B">
        <w:rPr>
          <w:rStyle w:val="StyleUnderline"/>
        </w:rPr>
        <w:t>biopolitical</w:t>
      </w:r>
      <w:proofErr w:type="spellEnd"/>
      <w:r w:rsidRPr="00184E4B">
        <w:rPr>
          <w:rStyle w:val="StyleUnderline"/>
        </w:rPr>
        <w:t xml:space="preserve"> interventions were mainly executed by the state that controlled the health of the population</w:t>
      </w:r>
      <w:r>
        <w:rPr>
          <w:rFonts w:asciiTheme="minorHAnsi" w:hAnsiTheme="minorHAnsi"/>
        </w:rPr>
        <w:t xml:space="preserve"> or the hygiene of the race</w:t>
      </w:r>
      <w:r w:rsidRPr="00184E4B">
        <w:rPr>
          <w:rStyle w:val="StyleUnderline"/>
        </w:rPr>
        <w:t xml:space="preserve">, </w:t>
      </w:r>
      <w:proofErr w:type="spellStart"/>
      <w:r w:rsidRPr="00184E4B">
        <w:rPr>
          <w:rStyle w:val="StyleUnderline"/>
        </w:rPr>
        <w:t>biopolitics</w:t>
      </w:r>
      <w:proofErr w:type="spellEnd"/>
      <w:r w:rsidRPr="00184E4B">
        <w:rPr>
          <w:rStyle w:val="StyleUnderline"/>
        </w:rPr>
        <w:t xml:space="preserve"> today is becoming more and more a responsibility of sovereign subjects. As autonomous patients</w:t>
      </w:r>
      <w:r>
        <w:rPr>
          <w:rFonts w:asciiTheme="minorHAnsi" w:hAnsiTheme="minorHAnsi"/>
        </w:rPr>
        <w:t xml:space="preserve">, active consumers or responsible parents </w:t>
      </w:r>
      <w:r w:rsidRPr="00184E4B">
        <w:rPr>
          <w:rStyle w:val="StyleUnderline"/>
        </w:rPr>
        <w:t>they demand medical or biotechnological options.</w:t>
      </w:r>
      <w:r>
        <w:rPr>
          <w:rFonts w:asciiTheme="minorHAnsi" w:hAnsiTheme="minorHAnsi"/>
        </w:rPr>
        <w:t xml:space="preserve"> Today, </w:t>
      </w:r>
      <w:r w:rsidRPr="00184E4B">
        <w:rPr>
          <w:rStyle w:val="StyleUnderline"/>
        </w:rPr>
        <w:t xml:space="preserve">it is less the state that regulates by direct interventions and restrictions, since the capacity and competence of decision-making is increasingly ascribed to the individual subject to make “informed choices” </w:t>
      </w:r>
      <w:r>
        <w:rPr>
          <w:rFonts w:asciiTheme="minorHAnsi" w:hAnsiTheme="minorHAnsi"/>
        </w:rPr>
        <w:t xml:space="preserve">beyond political authoritarianism and medical paternalism. </w:t>
      </w:r>
      <w:r w:rsidRPr="00184E4B">
        <w:rPr>
          <w:rStyle w:val="StyleUnderline"/>
        </w:rPr>
        <w:t>Decisions on life and death are less the explicit result of legal provisions and political regulations but the outcome of an “invisible hand” that represents the options and practices of sovereign individuals</w:t>
      </w:r>
      <w:r>
        <w:rPr>
          <w:rFonts w:asciiTheme="minorHAnsi" w:hAnsiTheme="minorHAnsi"/>
        </w:rPr>
        <w:t xml:space="preserve"> (Lemke 2002b; Koch 2002). </w:t>
      </w:r>
      <w:proofErr w:type="spellStart"/>
      <w:r w:rsidRPr="00184E4B">
        <w:rPr>
          <w:rStyle w:val="StyleUnderline"/>
        </w:rPr>
        <w:t>Agamben’s</w:t>
      </w:r>
      <w:proofErr w:type="spellEnd"/>
      <w:r w:rsidRPr="00184E4B">
        <w:rPr>
          <w:rStyle w:val="StyleUnderline"/>
        </w:rPr>
        <w:t xml:space="preserve"> analysis</w:t>
      </w:r>
      <w:r>
        <w:rPr>
          <w:rFonts w:asciiTheme="minorHAnsi" w:hAnsiTheme="minorHAnsi"/>
        </w:rPr>
        <w:t xml:space="preserve"> is too state-</w:t>
      </w:r>
      <w:proofErr w:type="spellStart"/>
      <w:r>
        <w:rPr>
          <w:rFonts w:asciiTheme="minorHAnsi" w:hAnsiTheme="minorHAnsi"/>
        </w:rPr>
        <w:t>centred</w:t>
      </w:r>
      <w:proofErr w:type="spellEnd"/>
      <w:r>
        <w:rPr>
          <w:rFonts w:asciiTheme="minorHAnsi" w:hAnsiTheme="minorHAnsi"/>
        </w:rPr>
        <w:t xml:space="preserve">, or rather, it </w:t>
      </w:r>
      <w:r w:rsidRPr="00184E4B">
        <w:rPr>
          <w:rStyle w:val="StyleUnderline"/>
        </w:rPr>
        <w:t xml:space="preserve">relies on a limited conception of the state which does not take into account important political transformations </w:t>
      </w:r>
      <w:r>
        <w:rPr>
          <w:rFonts w:asciiTheme="minorHAnsi" w:hAnsiTheme="minorHAnsi"/>
        </w:rPr>
        <w:t xml:space="preserve">since the Nazi era. He does not take into account that in </w:t>
      </w:r>
      <w:r w:rsidRPr="00982CCB">
        <w:rPr>
          <w:rStyle w:val="StyleUnderline"/>
        </w:rPr>
        <w:t xml:space="preserve">contemporary liberal </w:t>
      </w:r>
      <w:proofErr w:type="gramStart"/>
      <w:r w:rsidRPr="00982CCB">
        <w:rPr>
          <w:rStyle w:val="StyleUnderline"/>
        </w:rPr>
        <w:t>societies</w:t>
      </w:r>
      <w:proofErr w:type="gramEnd"/>
      <w:r w:rsidRPr="00982CCB">
        <w:rPr>
          <w:rStyle w:val="StyleUnderline"/>
        </w:rPr>
        <w:t xml:space="preserve"> political power is exercised through a multiplicity of agencies and techniques that are often only loosely associated with the formal organs of the state</w:t>
      </w:r>
      <w:r>
        <w:rPr>
          <w:rFonts w:asciiTheme="minorHAnsi" w:hAnsiTheme="minorHAnsi"/>
        </w:rPr>
        <w:t xml:space="preserve">. The </w:t>
      </w:r>
      <w:r w:rsidRPr="00982CCB">
        <w:rPr>
          <w:rStyle w:val="StyleUnderline"/>
        </w:rPr>
        <w:t>self-regulating capacities of subjects as autonomous actors have become key resources for present forms of government</w:t>
      </w:r>
      <w:r>
        <w:rPr>
          <w:rFonts w:asciiTheme="minorHAnsi" w:hAnsiTheme="minorHAnsi"/>
        </w:rPr>
        <w:t xml:space="preserve"> that rely in crucial respects on forms of scientific expertise and knowledge (Rose/Miller 1992).</w:t>
      </w:r>
    </w:p>
    <w:p w:rsidR="00CF7074" w:rsidRDefault="00CF7074" w:rsidP="00CF7074">
      <w:pPr>
        <w:rPr>
          <w:rFonts w:asciiTheme="minorHAnsi" w:hAnsiTheme="minorHAnsi"/>
        </w:rPr>
      </w:pPr>
    </w:p>
    <w:p w:rsidR="00CF7074" w:rsidRDefault="00CF7074" w:rsidP="00CF7074">
      <w:pPr>
        <w:pStyle w:val="Heading4"/>
      </w:pPr>
      <w:r>
        <w:t xml:space="preserve">No solvency-Their view of legal rights as the only way bare life can be created means that bare life will be reproduced in </w:t>
      </w:r>
      <w:proofErr w:type="spellStart"/>
      <w:r>
        <w:t>non legal</w:t>
      </w:r>
      <w:proofErr w:type="spellEnd"/>
      <w:r>
        <w:t xml:space="preserve"> ways</w:t>
      </w:r>
    </w:p>
    <w:p w:rsidR="00CF7074" w:rsidRDefault="00CF7074" w:rsidP="00CF7074">
      <w:pPr>
        <w:rPr>
          <w:rStyle w:val="Style13ptBold"/>
          <w:b w:val="0"/>
        </w:rPr>
      </w:pPr>
      <w:r>
        <w:rPr>
          <w:rStyle w:val="Style13ptBold"/>
          <w:b w:val="0"/>
        </w:rPr>
        <w:t xml:space="preserve">Thomas </w:t>
      </w:r>
      <w:r>
        <w:rPr>
          <w:rStyle w:val="Style13ptBold"/>
        </w:rPr>
        <w:t xml:space="preserve">Lemke 5, </w:t>
      </w:r>
      <w:r>
        <w:rPr>
          <w:rStyle w:val="Style13ptBold"/>
          <w:b w:val="0"/>
        </w:rPr>
        <w:t xml:space="preserve">Professor of Sociology at Goethe University Frankfurt, Fall 2005, ““A Zone of </w:t>
      </w:r>
      <w:proofErr w:type="spellStart"/>
      <w:r>
        <w:rPr>
          <w:rStyle w:val="Style13ptBold"/>
          <w:b w:val="0"/>
        </w:rPr>
        <w:t>Indistinction</w:t>
      </w:r>
      <w:proofErr w:type="spellEnd"/>
      <w:r>
        <w:rPr>
          <w:rStyle w:val="Style13ptBold"/>
          <w:b w:val="0"/>
        </w:rPr>
        <w:t xml:space="preserve">” – A Critique of Giorgio </w:t>
      </w:r>
      <w:proofErr w:type="spellStart"/>
      <w:r>
        <w:rPr>
          <w:rStyle w:val="Style13ptBold"/>
          <w:b w:val="0"/>
        </w:rPr>
        <w:t>Agamben’s</w:t>
      </w:r>
      <w:proofErr w:type="spellEnd"/>
      <w:r>
        <w:rPr>
          <w:rStyle w:val="Style13ptBold"/>
          <w:b w:val="0"/>
        </w:rPr>
        <w:t xml:space="preserve"> Concept of </w:t>
      </w:r>
      <w:proofErr w:type="spellStart"/>
      <w:r>
        <w:rPr>
          <w:rStyle w:val="Style13ptBold"/>
          <w:b w:val="0"/>
        </w:rPr>
        <w:t>Biopolitics</w:t>
      </w:r>
      <w:proofErr w:type="spellEnd"/>
      <w:r>
        <w:rPr>
          <w:rStyle w:val="Style13ptBold"/>
          <w:b w:val="0"/>
        </w:rPr>
        <w:t xml:space="preserve">”, Genomics, Society and Policy, Vol. 1, No. 3, http://www.thomaslemkeweb.de/engl.%20texte/A%20Zone3.pdf </w:t>
      </w:r>
    </w:p>
    <w:p w:rsidR="00CF7074" w:rsidRPr="00184E4B" w:rsidRDefault="00CF7074" w:rsidP="00CF7074">
      <w:pPr>
        <w:rPr>
          <w:rStyle w:val="Style13ptBold"/>
          <w:b w:val="0"/>
        </w:rPr>
      </w:pPr>
      <w:r>
        <w:rPr>
          <w:rStyle w:val="Style13ptBold"/>
          <w:b w:val="0"/>
        </w:rPr>
        <w:t>*Edited for offensive language*</w:t>
      </w:r>
    </w:p>
    <w:p w:rsidR="00CF7074" w:rsidRDefault="00CF7074" w:rsidP="00CF7074">
      <w:pPr>
        <w:rPr>
          <w:rFonts w:asciiTheme="minorHAnsi" w:hAnsiTheme="minorHAnsi"/>
        </w:rPr>
      </w:pPr>
      <w:proofErr w:type="spellStart"/>
      <w:r w:rsidRPr="00982CCB">
        <w:t>Agamben’s</w:t>
      </w:r>
      <w:proofErr w:type="spellEnd"/>
      <w:r w:rsidRPr="00982CCB">
        <w:rPr>
          <w:rStyle w:val="StyleUnderline"/>
        </w:rPr>
        <w:t xml:space="preserve"> concept of </w:t>
      </w:r>
      <w:proofErr w:type="spellStart"/>
      <w:r w:rsidRPr="00982CCB">
        <w:rPr>
          <w:rStyle w:val="StyleUnderline"/>
        </w:rPr>
        <w:t>biopolitics</w:t>
      </w:r>
      <w:proofErr w:type="spellEnd"/>
      <w:r w:rsidRPr="00982CCB">
        <w:rPr>
          <w:rStyle w:val="StyleUnderline"/>
        </w:rPr>
        <w:t xml:space="preserve"> is marked by a second weakness that also demonstrates his excessively legalistic approach</w:t>
      </w:r>
      <w:r>
        <w:rPr>
          <w:rFonts w:asciiTheme="minorHAnsi" w:hAnsiTheme="minorHAnsi"/>
        </w:rPr>
        <w:t xml:space="preserve">. </w:t>
      </w:r>
      <w:proofErr w:type="spellStart"/>
      <w:r>
        <w:rPr>
          <w:rFonts w:asciiTheme="minorHAnsi" w:hAnsiTheme="minorHAnsi"/>
        </w:rPr>
        <w:t>Biopolitical</w:t>
      </w:r>
      <w:proofErr w:type="spellEnd"/>
      <w:r>
        <w:rPr>
          <w:rFonts w:asciiTheme="minorHAnsi" w:hAnsiTheme="minorHAnsi"/>
        </w:rPr>
        <w:t xml:space="preserve"> mechanisms confront not only those who have been </w:t>
      </w:r>
      <w:r>
        <w:rPr>
          <w:rFonts w:asciiTheme="minorHAnsi" w:hAnsiTheme="minorHAnsi"/>
        </w:rPr>
        <w:lastRenderedPageBreak/>
        <w:t xml:space="preserve">deprived of elementary rights and reduced to the status of living beings. </w:t>
      </w:r>
      <w:r w:rsidRPr="00982CCB">
        <w:rPr>
          <w:rStyle w:val="StyleUnderline"/>
        </w:rPr>
        <w:t xml:space="preserve">The analysis of </w:t>
      </w:r>
      <w:proofErr w:type="spellStart"/>
      <w:r w:rsidRPr="00982CCB">
        <w:rPr>
          <w:rStyle w:val="StyleUnderline"/>
        </w:rPr>
        <w:t>biopolitics</w:t>
      </w:r>
      <w:proofErr w:type="spellEnd"/>
      <w:r w:rsidRPr="00982CCB">
        <w:rPr>
          <w:rStyle w:val="StyleUnderline"/>
        </w:rPr>
        <w:t xml:space="preserve"> cannot be limited to those without legal rights</w:t>
      </w:r>
      <w:r>
        <w:rPr>
          <w:rFonts w:asciiTheme="minorHAnsi" w:hAnsiTheme="minorHAnsi"/>
        </w:rPr>
        <w:t xml:space="preserve">, such as the refugee or the asylum seeker, </w:t>
      </w:r>
      <w:r w:rsidRPr="00982CCB">
        <w:rPr>
          <w:rStyle w:val="StyleUnderline"/>
        </w:rPr>
        <w:t>but must encompass all those who are confronted with social processes of exclusion – even if they may be formally enjoying full political rights:</w:t>
      </w:r>
      <w:r>
        <w:rPr>
          <w:rFonts w:asciiTheme="minorHAnsi" w:hAnsiTheme="minorHAnsi"/>
        </w:rPr>
        <w:t xml:space="preserve"> the “useless”, the “unnecessary”, or the “redundant”. While in the past these ominous figures inhabited only peripheral spaces in the so-called third and </w:t>
      </w:r>
      <w:proofErr w:type="spellStart"/>
      <w:r>
        <w:rPr>
          <w:rFonts w:asciiTheme="minorHAnsi" w:hAnsiTheme="minorHAnsi"/>
        </w:rPr>
        <w:t>forth</w:t>
      </w:r>
      <w:proofErr w:type="spellEnd"/>
      <w:r>
        <w:rPr>
          <w:rFonts w:asciiTheme="minorHAnsi" w:hAnsiTheme="minorHAnsi"/>
        </w:rPr>
        <w:t xml:space="preserve"> world, </w:t>
      </w:r>
      <w:r w:rsidRPr="00982CCB">
        <w:rPr>
          <w:rStyle w:val="StyleUnderline"/>
        </w:rPr>
        <w:t xml:space="preserve">today in a global economy these forms of exclusion can also be found in the industrialized </w:t>
      </w:r>
      <w:proofErr w:type="spellStart"/>
      <w:r w:rsidRPr="00982CCB">
        <w:rPr>
          <w:rStyle w:val="StyleUnderline"/>
        </w:rPr>
        <w:t>centres</w:t>
      </w:r>
      <w:proofErr w:type="spellEnd"/>
      <w:r>
        <w:rPr>
          <w:rFonts w:asciiTheme="minorHAnsi" w:hAnsiTheme="minorHAnsi"/>
        </w:rPr>
        <w:t xml:space="preserve">. As a result of the crisis of the welfare state and </w:t>
      </w:r>
      <w:proofErr w:type="spellStart"/>
      <w:r>
        <w:rPr>
          <w:rFonts w:asciiTheme="minorHAnsi" w:hAnsiTheme="minorHAnsi"/>
        </w:rPr>
        <w:t>Fordist</w:t>
      </w:r>
      <w:proofErr w:type="spellEnd"/>
      <w:r>
        <w:rPr>
          <w:rFonts w:asciiTheme="minorHAnsi" w:hAnsiTheme="minorHAnsi"/>
        </w:rPr>
        <w:t xml:space="preserve"> modes of social integration, </w:t>
      </w:r>
      <w:r w:rsidRPr="00982CCB">
        <w:rPr>
          <w:rStyle w:val="StyleUnderline"/>
        </w:rPr>
        <w:t xml:space="preserve">more and different segments of the populations are effectively excluded not only from </w:t>
      </w:r>
      <w:proofErr w:type="spellStart"/>
      <w:r w:rsidRPr="00982CCB">
        <w:rPr>
          <w:rStyle w:val="StyleUnderline"/>
        </w:rPr>
        <w:t>labour</w:t>
      </w:r>
      <w:proofErr w:type="spellEnd"/>
      <w:r w:rsidRPr="00982CCB">
        <w:rPr>
          <w:rStyle w:val="StyleUnderline"/>
        </w:rPr>
        <w:t xml:space="preserve"> and the working process but from education, housing and social life </w:t>
      </w:r>
      <w:r>
        <w:rPr>
          <w:rFonts w:asciiTheme="minorHAnsi" w:hAnsiTheme="minorHAnsi"/>
        </w:rPr>
        <w:t xml:space="preserve">(Castel 2000; </w:t>
      </w:r>
      <w:proofErr w:type="spellStart"/>
      <w:r>
        <w:rPr>
          <w:rFonts w:asciiTheme="minorHAnsi" w:hAnsiTheme="minorHAnsi"/>
        </w:rPr>
        <w:t>Imbusch</w:t>
      </w:r>
      <w:proofErr w:type="spellEnd"/>
      <w:r>
        <w:rPr>
          <w:rFonts w:asciiTheme="minorHAnsi" w:hAnsiTheme="minorHAnsi"/>
        </w:rPr>
        <w:t xml:space="preserve"> 2001).</w:t>
      </w:r>
    </w:p>
    <w:p w:rsidR="00CF7074" w:rsidRDefault="00CF7074" w:rsidP="00CF7074">
      <w:r>
        <w:rPr>
          <w:rFonts w:asciiTheme="minorHAnsi" w:hAnsiTheme="minorHAnsi"/>
        </w:rPr>
        <w:t xml:space="preserve">By concentrating on </w:t>
      </w:r>
      <w:r w:rsidRPr="00184E4B">
        <w:t xml:space="preserve">questions of law and the figure of the sovereign ban, </w:t>
      </w:r>
      <w:proofErr w:type="spellStart"/>
      <w:r w:rsidRPr="00184E4B">
        <w:t>Agamben</w:t>
      </w:r>
      <w:proofErr w:type="spellEnd"/>
      <w:r w:rsidRPr="00184E4B">
        <w:t xml:space="preserve"> ignores central aspects of contemporary </w:t>
      </w:r>
      <w:proofErr w:type="spellStart"/>
      <w:r w:rsidRPr="00184E4B">
        <w:t>biopolitics</w:t>
      </w:r>
      <w:proofErr w:type="spellEnd"/>
      <w:r w:rsidRPr="00184E4B">
        <w:t xml:space="preserve">. </w:t>
      </w:r>
      <w:r w:rsidRPr="00982CCB">
        <w:rPr>
          <w:rStyle w:val="StyleUnderline"/>
        </w:rPr>
        <w:t>He takes for granted that the state of exception is not only the point of departure for politics, but its essence and destination. In this light, politics is reduced to</w:t>
      </w:r>
      <w:r w:rsidRPr="00184E4B">
        <w:t xml:space="preserve"> the production of </w:t>
      </w:r>
      <w:proofErr w:type="spellStart"/>
      <w:r w:rsidRPr="00184E4B">
        <w:t>homines</w:t>
      </w:r>
      <w:proofErr w:type="spellEnd"/>
      <w:r w:rsidRPr="00184E4B">
        <w:t xml:space="preserve"> </w:t>
      </w:r>
      <w:proofErr w:type="spellStart"/>
      <w:r w:rsidRPr="00184E4B">
        <w:t>sacri</w:t>
      </w:r>
      <w:proofErr w:type="spellEnd"/>
      <w:r w:rsidRPr="00184E4B">
        <w:t xml:space="preserve"> – </w:t>
      </w:r>
      <w:r w:rsidRPr="00982CCB">
        <w:rPr>
          <w:rStyle w:val="StyleUnderline"/>
        </w:rPr>
        <w:t>a production that in a sense has to be called non-productive since bare life is only produced to be suppressed and killed.</w:t>
      </w:r>
      <w:r w:rsidRPr="00184E4B">
        <w:t xml:space="preserve"> </w:t>
      </w:r>
      <w:r w:rsidRPr="00982CCB">
        <w:rPr>
          <w:rStyle w:val="StyleUnderline"/>
        </w:rPr>
        <w:t xml:space="preserve">But </w:t>
      </w:r>
      <w:proofErr w:type="spellStart"/>
      <w:r w:rsidRPr="00982CCB">
        <w:rPr>
          <w:rStyle w:val="StyleUnderline"/>
        </w:rPr>
        <w:t>biopolitical</w:t>
      </w:r>
      <w:proofErr w:type="spellEnd"/>
      <w:r w:rsidRPr="00982CCB">
        <w:rPr>
          <w:rStyle w:val="StyleUnderline"/>
        </w:rPr>
        <w:t xml:space="preserve"> interventions cannot be limited to registering the opposition of bare life and political existence</w:t>
      </w:r>
      <w:r w:rsidRPr="00184E4B">
        <w:t xml:space="preserve">. </w:t>
      </w:r>
      <w:r w:rsidRPr="00982CCB">
        <w:rPr>
          <w:rStyle w:val="StyleUnderline"/>
        </w:rPr>
        <w:t>Bare life</w:t>
      </w:r>
      <w:r w:rsidRPr="00184E4B">
        <w:t xml:space="preserve"> is no longer simply subject to death; it </w:t>
      </w:r>
      <w:r w:rsidRPr="00982CCB">
        <w:rPr>
          <w:rStyle w:val="StyleUnderline"/>
        </w:rPr>
        <w:t xml:space="preserve">falls prey to a </w:t>
      </w:r>
      <w:proofErr w:type="spellStart"/>
      <w:r w:rsidRPr="00982CCB">
        <w:rPr>
          <w:rStyle w:val="StyleUnderline"/>
        </w:rPr>
        <w:t>bioeconomical</w:t>
      </w:r>
      <w:proofErr w:type="spellEnd"/>
      <w:r w:rsidRPr="00982CCB">
        <w:rPr>
          <w:rStyle w:val="StyleUnderline"/>
        </w:rPr>
        <w:t xml:space="preserve"> imperative that aims at the increase of life’s value and the </w:t>
      </w:r>
      <w:proofErr w:type="spellStart"/>
      <w:r w:rsidRPr="00982CCB">
        <w:rPr>
          <w:rStyle w:val="StyleUnderline"/>
        </w:rPr>
        <w:t>optimalisation</w:t>
      </w:r>
      <w:proofErr w:type="spellEnd"/>
      <w:r w:rsidRPr="00982CCB">
        <w:rPr>
          <w:rStyle w:val="StyleUnderline"/>
        </w:rPr>
        <w:t xml:space="preserve"> of its quality.</w:t>
      </w:r>
      <w:r w:rsidRPr="00184E4B">
        <w:t xml:space="preserve"> </w:t>
      </w:r>
      <w:r w:rsidRPr="00982CCB">
        <w:rPr>
          <w:rStyle w:val="StyleUnderline"/>
        </w:rPr>
        <w:t xml:space="preserve">Contemporary </w:t>
      </w:r>
      <w:proofErr w:type="spellStart"/>
      <w:r w:rsidRPr="00982CCB">
        <w:rPr>
          <w:rStyle w:val="StyleUnderline"/>
        </w:rPr>
        <w:t>biopolitics</w:t>
      </w:r>
      <w:proofErr w:type="spellEnd"/>
      <w:r w:rsidRPr="00982CCB">
        <w:rPr>
          <w:rStyle w:val="StyleUnderline"/>
        </w:rPr>
        <w:t xml:space="preserve"> is essentially political economy of life that is neither reducible to state agencies nor to the form of law</w:t>
      </w:r>
      <w:r w:rsidRPr="00184E4B">
        <w:t xml:space="preserve">. </w:t>
      </w:r>
      <w:proofErr w:type="spellStart"/>
      <w:r w:rsidRPr="00982CCB">
        <w:rPr>
          <w:rStyle w:val="StyleUnderline"/>
        </w:rPr>
        <w:t>Agamben</w:t>
      </w:r>
      <w:r w:rsidRPr="00184E4B">
        <w:t>’s</w:t>
      </w:r>
      <w:proofErr w:type="spellEnd"/>
      <w:r w:rsidRPr="00184E4B">
        <w:t xml:space="preserve"> concept of </w:t>
      </w:r>
      <w:proofErr w:type="spellStart"/>
      <w:r w:rsidRPr="00184E4B">
        <w:t>biopolitics</w:t>
      </w:r>
      <w:proofErr w:type="spellEnd"/>
      <w:r w:rsidRPr="00184E4B">
        <w:t xml:space="preserve"> remains inside the ban of sovereignty, it </w:t>
      </w:r>
      <w:r w:rsidRPr="00DA50B2">
        <w:rPr>
          <w:rStyle w:val="StyleUnderline"/>
        </w:rPr>
        <w:t>is</w:t>
      </w:r>
      <w:r w:rsidRPr="00184E4B">
        <w:t xml:space="preserve"> </w:t>
      </w:r>
      <w:r w:rsidRPr="00982CCB">
        <w:rPr>
          <w:strike/>
        </w:rPr>
        <w:t>blind</w:t>
      </w:r>
      <w:r w:rsidRPr="00184E4B">
        <w:t xml:space="preserve"> </w:t>
      </w:r>
      <w:r>
        <w:t>(</w:t>
      </w:r>
      <w:r w:rsidRPr="00DA50B2">
        <w:rPr>
          <w:rStyle w:val="StyleUnderline"/>
        </w:rPr>
        <w:t>oblivious) to all the mechanisms operating beneath or beyond the law</w:t>
      </w:r>
      <w:r w:rsidRPr="00184E4B">
        <w:t xml:space="preserve"> (see also </w:t>
      </w:r>
      <w:proofErr w:type="spellStart"/>
      <w:r w:rsidRPr="00184E4B">
        <w:t>Bröckling</w:t>
      </w:r>
      <w:proofErr w:type="spellEnd"/>
      <w:r w:rsidRPr="00184E4B">
        <w:t xml:space="preserve"> 2003).</w:t>
      </w:r>
    </w:p>
    <w:p w:rsidR="00CF7074" w:rsidRDefault="00CF7074" w:rsidP="00CF7074">
      <w:pPr>
        <w:pStyle w:val="Heading3"/>
      </w:pPr>
      <w:r>
        <w:lastRenderedPageBreak/>
        <w:t>Law Good</w:t>
      </w:r>
    </w:p>
    <w:p w:rsidR="00CF7074" w:rsidRDefault="00CF7074" w:rsidP="00CF7074">
      <w:pPr>
        <w:pStyle w:val="Heading4"/>
      </w:pPr>
      <w:bookmarkStart w:id="0" w:name="_GoBack"/>
      <w:bookmarkEnd w:id="0"/>
      <w:r>
        <w:t>Their critique of the law has no solvent alternative system</w:t>
      </w:r>
    </w:p>
    <w:p w:rsidR="00CF7074" w:rsidRPr="00DE686D" w:rsidRDefault="00CF7074" w:rsidP="00CF7074">
      <w:pPr>
        <w:rPr>
          <w:rStyle w:val="Style13ptBold"/>
          <w:b w:val="0"/>
        </w:rPr>
      </w:pPr>
      <w:r>
        <w:rPr>
          <w:rStyle w:val="Style13ptBold"/>
          <w:b w:val="0"/>
        </w:rPr>
        <w:t xml:space="preserve">Matthew </w:t>
      </w:r>
      <w:r>
        <w:rPr>
          <w:rStyle w:val="Style13ptBold"/>
        </w:rPr>
        <w:t xml:space="preserve">Sharpe 6, </w:t>
      </w:r>
      <w:r w:rsidRPr="00DE686D">
        <w:rPr>
          <w:rStyle w:val="Style13ptBold"/>
          <w:b w:val="0"/>
        </w:rPr>
        <w:t xml:space="preserve">Professor of political philosophy and psychoanalytic studies at Deakin University's School of International </w:t>
      </w:r>
      <w:r>
        <w:rPr>
          <w:rStyle w:val="Style13ptBold"/>
          <w:b w:val="0"/>
        </w:rPr>
        <w:t>and Political Studies, 2006, “'THINKING OF THE EXTREME SITUATION ... ' ON THE NEW ANTI-TERRORISM LAWS, OR AGAINST A RECENT (THEORETICAL AND LEGAL) RETURN TO CARL SCHMITT”, 24 Austl. Feminist L.J. 95, http://www.tandfonline.com/doi/abs/10.1080/13200968.2006.10854354?journalCode=rfem20#.VbzwCflViko</w:t>
      </w:r>
    </w:p>
    <w:p w:rsidR="00CF7074" w:rsidRPr="00DE686D" w:rsidRDefault="00CF7074" w:rsidP="00CF7074">
      <w:pPr>
        <w:rPr>
          <w:rStyle w:val="StyleUnderline"/>
        </w:rPr>
      </w:pPr>
      <w:r w:rsidRPr="00DE686D">
        <w:t xml:space="preserve">Arguably the </w:t>
      </w:r>
      <w:r w:rsidRPr="00DE686D">
        <w:rPr>
          <w:rStyle w:val="StyleUnderline"/>
        </w:rPr>
        <w:t>most worrying question that can be asked about the passage of</w:t>
      </w:r>
      <w:r w:rsidRPr="00DE686D">
        <w:t xml:space="preserve"> Australia's </w:t>
      </w:r>
      <w:r w:rsidRPr="00DE686D">
        <w:rPr>
          <w:rStyle w:val="StyleUnderline"/>
        </w:rPr>
        <w:t>antiterrorism laws</w:t>
      </w:r>
      <w:r w:rsidRPr="00DE686D">
        <w:t xml:space="preserve">, I commented in the Introduction, </w:t>
      </w:r>
      <w:r w:rsidRPr="00DE686D">
        <w:rPr>
          <w:rStyle w:val="StyleUnderline"/>
        </w:rPr>
        <w:t>is simply the absence of any more concerted public opposition to them</w:t>
      </w:r>
      <w:r w:rsidRPr="00DE686D">
        <w:t>, given their extreme and illiberal nature. This essay has addressed this</w:t>
      </w:r>
      <w:r>
        <w:t xml:space="preserve"> </w:t>
      </w:r>
      <w:r w:rsidRPr="00DE686D">
        <w:t xml:space="preserve">question in the theoretical field, by critically examining Giorgio </w:t>
      </w:r>
      <w:proofErr w:type="spellStart"/>
      <w:r w:rsidRPr="00DE686D">
        <w:t>Agamben's</w:t>
      </w:r>
      <w:proofErr w:type="spellEnd"/>
      <w:r w:rsidRPr="00DE686D">
        <w:t xml:space="preserve"> influential legal and</w:t>
      </w:r>
      <w:r>
        <w:t xml:space="preserve"> </w:t>
      </w:r>
      <w:r w:rsidRPr="00DE686D">
        <w:t>political philosophy. For all its undoubted empirical relevance, I have argued</w:t>
      </w:r>
      <w:r w:rsidRPr="00DE686D">
        <w:rPr>
          <w:rStyle w:val="StyleUnderline"/>
        </w:rPr>
        <w:t xml:space="preserve">, </w:t>
      </w:r>
      <w:proofErr w:type="spellStart"/>
      <w:r w:rsidRPr="00DE686D">
        <w:rPr>
          <w:rStyle w:val="StyleUnderline"/>
        </w:rPr>
        <w:t>Agamben's</w:t>
      </w:r>
      <w:proofErr w:type="spellEnd"/>
      <w:r w:rsidRPr="00DE686D">
        <w:rPr>
          <w:rStyle w:val="StyleUnderline"/>
        </w:rPr>
        <w:t xml:space="preserve"> work deleteriously hypostasizes the profoundly reactionary legal theory of Carl Schmitt to the elevated rank of that which would tell us the Truth not only of our current malaise but of -Western politics ...</w:t>
      </w:r>
      <w:r w:rsidRPr="00DE686D">
        <w:t xml:space="preserve"> from the very beginning'. 13 9 </w:t>
      </w:r>
      <w:r w:rsidRPr="00DE686D">
        <w:rPr>
          <w:rStyle w:val="StyleUnderline"/>
        </w:rPr>
        <w:t>By taking the extreme situation as yielding the truth of law, and arguing that emergency jurisprudence is more or less necessary and universal in later modernity,</w:t>
      </w:r>
      <w:r w:rsidRPr="00DE686D">
        <w:t xml:space="preserve"> I</w:t>
      </w:r>
      <w:r>
        <w:t xml:space="preserve"> </w:t>
      </w:r>
      <w:r w:rsidRPr="00DE686D">
        <w:t xml:space="preserve">have argued that </w:t>
      </w:r>
      <w:proofErr w:type="spellStart"/>
      <w:r w:rsidRPr="00DE686D">
        <w:rPr>
          <w:rStyle w:val="StyleUnderline"/>
        </w:rPr>
        <w:t>Agamben</w:t>
      </w:r>
      <w:proofErr w:type="spellEnd"/>
      <w:r w:rsidRPr="00DE686D">
        <w:rPr>
          <w:rStyle w:val="StyleUnderline"/>
        </w:rPr>
        <w:t xml:space="preserve"> proffers a theory which uncannily mirrors the justificatory apparatus of the postmodern-conservative or neoconservative governments of the USA</w:t>
      </w:r>
      <w:r w:rsidRPr="00DE686D">
        <w:t xml:space="preserve"> and Australia. </w:t>
      </w:r>
      <w:r w:rsidRPr="00DE686D">
        <w:rPr>
          <w:rStyle w:val="StyleUnderline"/>
        </w:rPr>
        <w:t xml:space="preserve">If </w:t>
      </w:r>
      <w:proofErr w:type="spellStart"/>
      <w:r w:rsidRPr="00DE686D">
        <w:rPr>
          <w:rStyle w:val="StyleUnderline"/>
        </w:rPr>
        <w:t>Agamben</w:t>
      </w:r>
      <w:proofErr w:type="spellEnd"/>
      <w:r w:rsidRPr="00DE686D">
        <w:rPr>
          <w:rStyle w:val="StyleUnderline"/>
        </w:rPr>
        <w:t xml:space="preserve"> allows us to interpret the 'state of exception'</w:t>
      </w:r>
      <w:r w:rsidRPr="00DE686D">
        <w:t xml:space="preserve"> that is currently being advocated by the</w:t>
      </w:r>
      <w:r>
        <w:t xml:space="preserve"> </w:t>
      </w:r>
      <w:r w:rsidRPr="00DE686D">
        <w:t xml:space="preserve">Australian and other executives, </w:t>
      </w:r>
      <w:r w:rsidRPr="00DE686D">
        <w:rPr>
          <w:rStyle w:val="StyleUnderline"/>
        </w:rPr>
        <w:t>that is, he also strays perilously close</w:t>
      </w:r>
      <w:r w:rsidRPr="00DE686D">
        <w:t xml:space="preserve"> - in a logic familiar since</w:t>
      </w:r>
      <w:r>
        <w:t xml:space="preserve"> </w:t>
      </w:r>
      <w:r w:rsidRPr="00DE686D">
        <w:t xml:space="preserve">at least The Dialectic of Enlightenment - </w:t>
      </w:r>
      <w:r w:rsidRPr="00DE686D">
        <w:rPr>
          <w:rStyle w:val="StyleUnderline"/>
        </w:rPr>
        <w:t>to explaining away any possibility that we could actually do anything more about it than to 'bunker down' and hope for the advent of some redemptive politics 'beyond law' altogether.</w:t>
      </w:r>
    </w:p>
    <w:p w:rsidR="00CF7074" w:rsidRDefault="00CF7074" w:rsidP="00CF7074">
      <w:pPr>
        <w:pStyle w:val="Heading4"/>
      </w:pPr>
      <w:proofErr w:type="spellStart"/>
      <w:r>
        <w:t>Aff</w:t>
      </w:r>
      <w:proofErr w:type="spellEnd"/>
      <w:r>
        <w:t xml:space="preserve"> can’t solve-No way to challenge current power structures</w:t>
      </w:r>
    </w:p>
    <w:p w:rsidR="00CF7074" w:rsidRPr="00D337F4" w:rsidRDefault="00CF7074" w:rsidP="00CF7074">
      <w:pPr>
        <w:rPr>
          <w:rStyle w:val="Style13ptBold"/>
          <w:b w:val="0"/>
        </w:rPr>
      </w:pPr>
      <w:r>
        <w:rPr>
          <w:rStyle w:val="Style13ptBold"/>
          <w:b w:val="0"/>
        </w:rPr>
        <w:t xml:space="preserve">Tara </w:t>
      </w:r>
      <w:r>
        <w:rPr>
          <w:rStyle w:val="Style13ptBold"/>
        </w:rPr>
        <w:t xml:space="preserve">McCormack 10, </w:t>
      </w:r>
      <w:r w:rsidRPr="00D337F4">
        <w:rPr>
          <w:rStyle w:val="Style13ptBold"/>
          <w:b w:val="0"/>
        </w:rPr>
        <w:t>Lecturer in International Politics at the University of</w:t>
      </w:r>
      <w:r>
        <w:rPr>
          <w:rStyle w:val="Style13ptBold"/>
          <w:b w:val="0"/>
        </w:rPr>
        <w:t xml:space="preserve"> </w:t>
      </w:r>
      <w:r w:rsidRPr="00D337F4">
        <w:rPr>
          <w:rStyle w:val="Style13ptBold"/>
          <w:b w:val="0"/>
        </w:rPr>
        <w:t>Leicester</w:t>
      </w:r>
      <w:r>
        <w:rPr>
          <w:rStyle w:val="Style13ptBold"/>
          <w:b w:val="0"/>
        </w:rPr>
        <w:t>, 2010, “Critique, Security and Power: The political limits to emancipatory approaches”, Routledge Critical Security Studies, m.friendfeed-media.com/48db0c148fff1c2b0524b6226fde42760e83ab67</w:t>
      </w:r>
    </w:p>
    <w:p w:rsidR="00CF7074" w:rsidRPr="00220CFE" w:rsidRDefault="00CF7074" w:rsidP="00CF7074">
      <w:r w:rsidRPr="00220CFE">
        <w:t>In the preceding chapters I have attempted to develop an argument about the</w:t>
      </w:r>
      <w:r>
        <w:t xml:space="preserve"> </w:t>
      </w:r>
      <w:r w:rsidRPr="00220CFE">
        <w:t>political limits to critical and emancipatory approaches to contemporary international</w:t>
      </w:r>
      <w:r>
        <w:t xml:space="preserve"> </w:t>
      </w:r>
      <w:r w:rsidRPr="00220CFE">
        <w:t xml:space="preserve">relations. </w:t>
      </w:r>
      <w:r w:rsidRPr="00D337F4">
        <w:rPr>
          <w:rStyle w:val="StyleUnderline"/>
        </w:rPr>
        <w:t>The key claim of critical and emancipatory theorists is to pose a challenge to contemporary global power structures</w:t>
      </w:r>
      <w:r w:rsidRPr="00220CFE">
        <w:t>. In the preceding chapters I</w:t>
      </w:r>
      <w:r>
        <w:t xml:space="preserve"> </w:t>
      </w:r>
      <w:r w:rsidRPr="00220CFE">
        <w:t xml:space="preserve">have argued that </w:t>
      </w:r>
      <w:r w:rsidRPr="00D337F4">
        <w:rPr>
          <w:rStyle w:val="StyleUnderline"/>
        </w:rPr>
        <w:t>critical approaches cannot pose a challenge to contemporary power relations</w:t>
      </w:r>
      <w:r w:rsidRPr="00220CFE">
        <w:t xml:space="preserve">. However, </w:t>
      </w:r>
      <w:r w:rsidRPr="00D337F4">
        <w:rPr>
          <w:rStyle w:val="StyleUnderline"/>
        </w:rPr>
        <w:t>this is neither because</w:t>
      </w:r>
      <w:r w:rsidRPr="00220CFE">
        <w:t>, as critical theorists such as</w:t>
      </w:r>
      <w:r>
        <w:t xml:space="preserve"> </w:t>
      </w:r>
      <w:r w:rsidRPr="00220CFE">
        <w:t xml:space="preserve">Richard </w:t>
      </w:r>
      <w:proofErr w:type="spellStart"/>
      <w:r w:rsidRPr="00220CFE">
        <w:t>Devetak</w:t>
      </w:r>
      <w:proofErr w:type="spellEnd"/>
      <w:r w:rsidRPr="00220CFE">
        <w:t xml:space="preserve"> have argued, </w:t>
      </w:r>
      <w:r w:rsidRPr="00D337F4">
        <w:rPr>
          <w:rStyle w:val="StyleUnderline"/>
        </w:rPr>
        <w:t>critical theorists need to ensure that they maintain a distance from interventionist policies</w:t>
      </w:r>
      <w:r w:rsidRPr="00220CFE">
        <w:t xml:space="preserve"> (2007) </w:t>
      </w:r>
      <w:r w:rsidRPr="00D337F4">
        <w:rPr>
          <w:rStyle w:val="StyleUnderline"/>
        </w:rPr>
        <w:t>nor because</w:t>
      </w:r>
      <w:r w:rsidRPr="00220CFE">
        <w:t>, as radical critics have</w:t>
      </w:r>
      <w:r>
        <w:t xml:space="preserve"> </w:t>
      </w:r>
      <w:r w:rsidRPr="00220CFE">
        <w:t xml:space="preserve">argued, </w:t>
      </w:r>
      <w:r w:rsidRPr="00D337F4">
        <w:rPr>
          <w:rStyle w:val="StyleUnderline"/>
        </w:rPr>
        <w:t xml:space="preserve">critical theorists are simply the theoretical wing of liberal interventionism </w:t>
      </w:r>
      <w:r w:rsidRPr="00220CFE">
        <w:t>(</w:t>
      </w:r>
      <w:proofErr w:type="spellStart"/>
      <w:r w:rsidRPr="00220CFE">
        <w:t>Douzinas</w:t>
      </w:r>
      <w:proofErr w:type="spellEnd"/>
      <w:r w:rsidRPr="00220CFE">
        <w:t>, 2007).</w:t>
      </w:r>
    </w:p>
    <w:p w:rsidR="00CF7074" w:rsidRPr="00220CFE" w:rsidRDefault="00CF7074" w:rsidP="00CF7074">
      <w:r w:rsidRPr="00220CFE">
        <w:t xml:space="preserve">Rather, </w:t>
      </w:r>
      <w:r w:rsidRPr="00D337F4">
        <w:rPr>
          <w:rStyle w:val="StyleUnderline"/>
        </w:rPr>
        <w:t>the work has sought to draw out the problematic political assumptions of critical and emancipatory theorists and similarities with contemporary security policies and rhetoric.</w:t>
      </w:r>
      <w:r w:rsidRPr="00220CFE">
        <w:t xml:space="preserve"> </w:t>
      </w:r>
      <w:r w:rsidRPr="00D337F4">
        <w:rPr>
          <w:rStyle w:val="StyleUnderline"/>
        </w:rPr>
        <w:t xml:space="preserve">There are </w:t>
      </w:r>
      <w:r w:rsidRPr="00D337F4">
        <w:rPr>
          <w:rStyle w:val="StyleUnderline"/>
        </w:rPr>
        <w:lastRenderedPageBreak/>
        <w:t>theoretical and political limits to contemporary critical</w:t>
      </w:r>
      <w:r>
        <w:t xml:space="preserve"> </w:t>
      </w:r>
      <w:r w:rsidRPr="00220CFE">
        <w:t xml:space="preserve">and emancipatory </w:t>
      </w:r>
      <w:r w:rsidRPr="00D337F4">
        <w:rPr>
          <w:rStyle w:val="StyleUnderline"/>
        </w:rPr>
        <w:t>approaches</w:t>
      </w:r>
      <w:r w:rsidRPr="00220CFE">
        <w:t xml:space="preserve"> which mean that </w:t>
      </w:r>
      <w:r w:rsidRPr="00D337F4">
        <w:rPr>
          <w:rStyle w:val="StyleUnderline"/>
        </w:rPr>
        <w:t>whatever the intent of contemporary critical theorists they cannot pose a challenge to contemporary power structures or discourses</w:t>
      </w:r>
      <w:r w:rsidRPr="00220CFE">
        <w:t>. This argument was explored in two ways, in chapters 1–3</w:t>
      </w:r>
      <w:r>
        <w:t xml:space="preserve"> </w:t>
      </w:r>
      <w:r w:rsidRPr="00220CFE">
        <w:t>I engaged with contemporary critical and emancipatory approaches to security, and</w:t>
      </w:r>
      <w:r>
        <w:t xml:space="preserve"> </w:t>
      </w:r>
      <w:r w:rsidRPr="00220CFE">
        <w:t>in chapters 4–6 with critical approaches to the Yugoslav break-up and wars.</w:t>
      </w:r>
      <w:r>
        <w:t xml:space="preserve"> </w:t>
      </w:r>
      <w:r w:rsidRPr="00220CFE">
        <w:t>In chapter 1 I drew out the central arguments of contemporary critical and emancipatory</w:t>
      </w:r>
      <w:r>
        <w:t xml:space="preserve"> </w:t>
      </w:r>
      <w:r w:rsidRPr="00220CFE">
        <w:t xml:space="preserve">theorists that security needs to be </w:t>
      </w:r>
      <w:proofErr w:type="spellStart"/>
      <w:r w:rsidRPr="00220CFE">
        <w:t>reconceptualised</w:t>
      </w:r>
      <w:proofErr w:type="spellEnd"/>
      <w:r w:rsidRPr="00220CFE">
        <w:t xml:space="preserve"> in terms of human</w:t>
      </w:r>
      <w:r>
        <w:t xml:space="preserve"> </w:t>
      </w:r>
      <w:r w:rsidRPr="00220CFE">
        <w:t xml:space="preserve">freedom and </w:t>
      </w:r>
      <w:proofErr w:type="spellStart"/>
      <w:r w:rsidRPr="00220CFE">
        <w:t>well being</w:t>
      </w:r>
      <w:proofErr w:type="spellEnd"/>
      <w:r w:rsidRPr="00220CFE">
        <w:t xml:space="preserve">, and that </w:t>
      </w:r>
      <w:r w:rsidRPr="00D337F4">
        <w:rPr>
          <w:rStyle w:val="StyleUnderline"/>
        </w:rPr>
        <w:t xml:space="preserve">more cosmopolitan forms of international </w:t>
      </w:r>
      <w:proofErr w:type="spellStart"/>
      <w:r w:rsidRPr="00D337F4">
        <w:rPr>
          <w:rStyle w:val="StyleUnderline"/>
        </w:rPr>
        <w:t>organisation</w:t>
      </w:r>
      <w:proofErr w:type="spellEnd"/>
      <w:r w:rsidRPr="00D337F4">
        <w:rPr>
          <w:rStyle w:val="StyleUnderline"/>
        </w:rPr>
        <w:t xml:space="preserve"> should be constructed, in which human rights and dignity should not be a matter of chance depending upon which state a person happens to be born in, but universal rights.</w:t>
      </w:r>
      <w:r w:rsidRPr="00220CFE">
        <w:t xml:space="preserve"> In chapter 2 I put critical and emancipatory theory in its contemporary</w:t>
      </w:r>
      <w:r>
        <w:t xml:space="preserve"> </w:t>
      </w:r>
      <w:r w:rsidRPr="00220CFE">
        <w:t xml:space="preserve">context, and argued that </w:t>
      </w:r>
      <w:r w:rsidRPr="00D337F4">
        <w:rPr>
          <w:rStyle w:val="StyleUnderline"/>
        </w:rPr>
        <w:t>critical theorists were engaging with a security framework which has decreasing relevance in the contemporary context.</w:t>
      </w:r>
      <w:r w:rsidRPr="00220CFE">
        <w:t xml:space="preserve"> Within</w:t>
      </w:r>
      <w:r>
        <w:t xml:space="preserve"> </w:t>
      </w:r>
      <w:r w:rsidRPr="00220CFE">
        <w:t>major international institutions, such as the UN, and in the policy and policy discourse</w:t>
      </w:r>
      <w:r>
        <w:t xml:space="preserve"> </w:t>
      </w:r>
      <w:r w:rsidRPr="00220CFE">
        <w:t>of states the old certainties of the pluralist security framework were being</w:t>
      </w:r>
      <w:r>
        <w:t xml:space="preserve"> </w:t>
      </w:r>
      <w:r w:rsidRPr="00220CFE">
        <w:t>subjected to critique and redefinition at the highest level of international policy</w:t>
      </w:r>
      <w:r>
        <w:t xml:space="preserve"> </w:t>
      </w:r>
      <w:r w:rsidRPr="00220CFE">
        <w:t xml:space="preserve">making. In fact, </w:t>
      </w:r>
      <w:r w:rsidRPr="00D337F4">
        <w:rPr>
          <w:rStyle w:val="StyleUnderline"/>
        </w:rPr>
        <w:t>security policies and discourses are much similar than otherwise to the prescriptions of</w:t>
      </w:r>
      <w:r w:rsidRPr="00220CFE">
        <w:t xml:space="preserve"> critical security </w:t>
      </w:r>
      <w:r w:rsidRPr="00D337F4">
        <w:rPr>
          <w:rStyle w:val="StyleUnderline"/>
        </w:rPr>
        <w:t>theorists</w:t>
      </w:r>
      <w:r w:rsidRPr="00220CFE">
        <w:t>.</w:t>
      </w:r>
    </w:p>
    <w:p w:rsidR="00CF7074" w:rsidRPr="00D337F4" w:rsidRDefault="00CF7074" w:rsidP="00CF7074">
      <w:pPr>
        <w:rPr>
          <w:rStyle w:val="StyleUnderline"/>
        </w:rPr>
      </w:pPr>
      <w:r w:rsidRPr="00220CFE">
        <w:t>This suggests that contrary to the claims of contemporary critical and emancipatory</w:t>
      </w:r>
      <w:r>
        <w:t xml:space="preserve"> </w:t>
      </w:r>
      <w:r w:rsidRPr="00220CFE">
        <w:t xml:space="preserve">theorists </w:t>
      </w:r>
      <w:r w:rsidRPr="00D337F4">
        <w:rPr>
          <w:rStyle w:val="StyleUnderline"/>
        </w:rPr>
        <w:t>they are not engaging in the ‘here and now’</w:t>
      </w:r>
      <w:r w:rsidRPr="00220CFE">
        <w:t xml:space="preserve">. However, </w:t>
      </w:r>
      <w:r w:rsidRPr="00D337F4">
        <w:rPr>
          <w:rStyle w:val="StyleUnderline"/>
        </w:rPr>
        <w:t>engaging with structures</w:t>
      </w:r>
      <w:r w:rsidRPr="00220CFE">
        <w:t xml:space="preserve"> and discourses </w:t>
      </w:r>
      <w:r w:rsidRPr="00D337F4">
        <w:rPr>
          <w:rStyle w:val="StyleUnderline"/>
        </w:rPr>
        <w:t>of contemporary power must be fundamental to the task of posing a challenge to those power relations and structures</w:t>
      </w:r>
      <w:r w:rsidRPr="00220CFE">
        <w:t>. This suggests that</w:t>
      </w:r>
      <w:r>
        <w:t xml:space="preserve"> </w:t>
      </w:r>
      <w:r w:rsidRPr="00D337F4">
        <w:rPr>
          <w:rStyle w:val="StyleUnderline"/>
        </w:rPr>
        <w:t>critical and emancipatory theorists are idealistic, because their critique is not driven by an engagement with contemporary power structures</w:t>
      </w:r>
      <w:r w:rsidRPr="00220CFE">
        <w:t>. In chapter 3 I explored</w:t>
      </w:r>
      <w:r>
        <w:t xml:space="preserve"> </w:t>
      </w:r>
      <w:r w:rsidRPr="00220CFE">
        <w:t>this theoretical problem in more depth, and argued that for contemporary critical</w:t>
      </w:r>
      <w:r>
        <w:t xml:space="preserve"> </w:t>
      </w:r>
      <w:r w:rsidRPr="00220CFE">
        <w:t>and emancipatory theorists the source of critical engagement was in their own</w:t>
      </w:r>
      <w:r>
        <w:t xml:space="preserve"> </w:t>
      </w:r>
      <w:r w:rsidRPr="00220CFE">
        <w:t>moral values rather than engagement with structures of power. This points to a serious</w:t>
      </w:r>
      <w:r>
        <w:t xml:space="preserve"> </w:t>
      </w:r>
      <w:r w:rsidRPr="00220CFE">
        <w:t>theoretical limit to contemporary critical and emancipatory approaches.</w:t>
      </w:r>
      <w:r>
        <w:t xml:space="preserve"> </w:t>
      </w:r>
      <w:r w:rsidRPr="00D337F4">
        <w:rPr>
          <w:rStyle w:val="StyleUnderline"/>
        </w:rPr>
        <w:t>Critical and emancipatory theorists are engaging in an exercise in idealism,</w:t>
      </w:r>
      <w:r w:rsidRPr="00220CFE">
        <w:t xml:space="preserve"> this is</w:t>
      </w:r>
      <w:r>
        <w:t xml:space="preserve"> </w:t>
      </w:r>
      <w:r w:rsidRPr="00220CFE">
        <w:t xml:space="preserve">shown </w:t>
      </w:r>
      <w:r w:rsidRPr="00D337F4">
        <w:rPr>
          <w:rStyle w:val="StyleUnderline"/>
        </w:rPr>
        <w:t>because their critique is not rooted in an engagement with</w:t>
      </w:r>
      <w:r w:rsidRPr="00220CFE">
        <w:t>, and critique of,</w:t>
      </w:r>
      <w:r>
        <w:t xml:space="preserve"> </w:t>
      </w:r>
      <w:r w:rsidRPr="00D337F4">
        <w:rPr>
          <w:rStyle w:val="StyleUnderline"/>
        </w:rPr>
        <w:t>contemporary structures</w:t>
      </w:r>
      <w:r w:rsidRPr="00220CFE">
        <w:t xml:space="preserve"> and discourses </w:t>
      </w:r>
      <w:r w:rsidRPr="00D337F4">
        <w:rPr>
          <w:rStyle w:val="StyleUnderline"/>
        </w:rPr>
        <w:t>of power</w:t>
      </w:r>
      <w:r w:rsidRPr="00220CFE">
        <w:t xml:space="preserve">. Rather, </w:t>
      </w:r>
      <w:r w:rsidRPr="00D337F4">
        <w:rPr>
          <w:rStyle w:val="StyleUnderline"/>
        </w:rPr>
        <w:t>the critique of critical theorists is little more than a statement of their own moral values.</w:t>
      </w:r>
    </w:p>
    <w:p w:rsidR="00CF21A1" w:rsidRDefault="00CF21A1" w:rsidP="00CF21A1">
      <w:pPr>
        <w:pStyle w:val="Heading4"/>
      </w:pPr>
      <w:r>
        <w:t>Their critique fails-Forces within the law can transform it</w:t>
      </w:r>
    </w:p>
    <w:p w:rsidR="00CF21A1" w:rsidRPr="00BF36C6" w:rsidRDefault="00CF21A1" w:rsidP="00CF21A1">
      <w:pPr>
        <w:rPr>
          <w:rStyle w:val="Style13ptBold"/>
          <w:b w:val="0"/>
        </w:rPr>
      </w:pPr>
      <w:r>
        <w:rPr>
          <w:rStyle w:val="Style13ptBold"/>
          <w:b w:val="0"/>
        </w:rPr>
        <w:t xml:space="preserve">Antonio </w:t>
      </w:r>
      <w:proofErr w:type="spellStart"/>
      <w:r>
        <w:rPr>
          <w:rStyle w:val="Style13ptBold"/>
        </w:rPr>
        <w:t>Negri</w:t>
      </w:r>
      <w:proofErr w:type="spellEnd"/>
      <w:r>
        <w:rPr>
          <w:rStyle w:val="Style13ptBold"/>
        </w:rPr>
        <w:t xml:space="preserve"> 4, </w:t>
      </w:r>
      <w:r w:rsidRPr="00BF36C6">
        <w:rPr>
          <w:rStyle w:val="Style13ptBold"/>
          <w:b w:val="0"/>
        </w:rPr>
        <w:t>Italian Moral and Political Philosopher</w:t>
      </w:r>
      <w:r>
        <w:rPr>
          <w:rStyle w:val="Style13ptBold"/>
          <w:b w:val="0"/>
        </w:rPr>
        <w:t xml:space="preserve">, Spring 2004, “It's a Powerful Life: A Conversation on Contemporary Philosophy”, Interviewed by Cesare </w:t>
      </w:r>
      <w:proofErr w:type="spellStart"/>
      <w:r>
        <w:rPr>
          <w:rStyle w:val="Style13ptBold"/>
          <w:b w:val="0"/>
        </w:rPr>
        <w:t>Casarino</w:t>
      </w:r>
      <w:proofErr w:type="spellEnd"/>
      <w:r>
        <w:rPr>
          <w:rStyle w:val="Style13ptBold"/>
          <w:b w:val="0"/>
        </w:rPr>
        <w:t xml:space="preserve">, Associate Professor Of Cultural Studies And Comparative Literature At The University Of Minnesota, Cultural Critique, http://www.jstor.org/stable/4140765  </w:t>
      </w:r>
      <w:r w:rsidRPr="00BF36C6">
        <w:rPr>
          <w:rStyle w:val="Style13ptBold"/>
          <w:b w:val="0"/>
        </w:rPr>
        <w:t xml:space="preserve"> </w:t>
      </w:r>
    </w:p>
    <w:p w:rsidR="00CF21A1" w:rsidRPr="00F363AC" w:rsidRDefault="00CF21A1" w:rsidP="00CF21A1">
      <w:pPr>
        <w:rPr>
          <w:sz w:val="16"/>
        </w:rPr>
      </w:pPr>
      <w:r w:rsidRPr="00F363AC">
        <w:rPr>
          <w:sz w:val="16"/>
        </w:rPr>
        <w:t xml:space="preserve">AN: Whenever I tell him what I have just finished telling you, he gets quite irritated, even angry. I still maintain, nonetheless, that </w:t>
      </w:r>
      <w:r w:rsidRPr="00F363AC">
        <w:rPr>
          <w:rStyle w:val="StyleUnderline"/>
        </w:rPr>
        <w:t xml:space="preserve">the conclusions he draws in Homo </w:t>
      </w:r>
      <w:proofErr w:type="spellStart"/>
      <w:r w:rsidRPr="00F363AC">
        <w:rPr>
          <w:rStyle w:val="StyleUnderline"/>
        </w:rPr>
        <w:t>Sacer</w:t>
      </w:r>
      <w:proofErr w:type="spellEnd"/>
      <w:r w:rsidRPr="00F363AC">
        <w:rPr>
          <w:rStyle w:val="StyleUnderline"/>
        </w:rPr>
        <w:t xml:space="preserve"> lead to dangerous political outcomes and that the burden of finding a way out of this mess rests entirely on him</w:t>
      </w:r>
      <w:r w:rsidRPr="00F363AC">
        <w:rPr>
          <w:sz w:val="16"/>
        </w:rPr>
        <w:t xml:space="preserve">. And </w:t>
      </w:r>
      <w:r w:rsidRPr="00F363AC">
        <w:rPr>
          <w:rStyle w:val="StyleUnderline"/>
        </w:rPr>
        <w:t>the type of problems he runs into in this book recur throughout many of his other works.</w:t>
      </w:r>
      <w:r w:rsidRPr="00F363AC">
        <w:rPr>
          <w:sz w:val="16"/>
        </w:rPr>
        <w:t xml:space="preserve"> I found his essay on Bartleby, for example, absolutely infuriating. This essay was published originally as a little book that also contained </w:t>
      </w:r>
      <w:proofErr w:type="spellStart"/>
      <w:r w:rsidRPr="00F363AC">
        <w:rPr>
          <w:sz w:val="16"/>
        </w:rPr>
        <w:t>Deleuze's</w:t>
      </w:r>
      <w:proofErr w:type="spellEnd"/>
      <w:r w:rsidRPr="00F363AC">
        <w:rPr>
          <w:sz w:val="16"/>
        </w:rPr>
        <w:t xml:space="preserve"> essay on Bartleby: well, it turns out that what </w:t>
      </w:r>
      <w:proofErr w:type="spellStart"/>
      <w:r w:rsidRPr="00F363AC">
        <w:rPr>
          <w:sz w:val="16"/>
        </w:rPr>
        <w:t>Deleuze</w:t>
      </w:r>
      <w:proofErr w:type="spellEnd"/>
      <w:r w:rsidRPr="00F363AC">
        <w:rPr>
          <w:sz w:val="16"/>
        </w:rPr>
        <w:t xml:space="preserve"> says in his essay is exactly the contrary of what Giorgio says in his! I suppose one could say that they decided to publish their essays together precisely so as to attempt to figure this </w:t>
      </w:r>
      <w:proofErr w:type="spellStart"/>
      <w:r w:rsidRPr="00F363AC">
        <w:rPr>
          <w:sz w:val="16"/>
        </w:rPr>
        <w:t>limitthat</w:t>
      </w:r>
      <w:proofErr w:type="spellEnd"/>
      <w:r w:rsidRPr="00F363AC">
        <w:rPr>
          <w:sz w:val="16"/>
        </w:rPr>
        <w:t xml:space="preserve"> is, to find a figure for it, to give it a form-by some sort of paradoxical juxtaposition, but I don't think that this attempt was really successful in the end. In any case, all this incessant talk about the limit bores me and tires me out after a little while. The point is that, inasmuch as it is death, the limit is not creative. The limit is creative to the extent to which you have been able to overcome it qua death: the limit is creative because you have overcome death.</w:t>
      </w:r>
    </w:p>
    <w:p w:rsidR="00CF21A1" w:rsidRPr="00F363AC" w:rsidRDefault="00CF21A1" w:rsidP="00CF21A1">
      <w:pPr>
        <w:rPr>
          <w:sz w:val="16"/>
        </w:rPr>
      </w:pPr>
      <w:r w:rsidRPr="00F363AC">
        <w:rPr>
          <w:sz w:val="16"/>
        </w:rPr>
        <w:t xml:space="preserve">cc: Yes, and the creativity-indeed, the productivity-that derives from having overcome this limit is the creativity of absolute freedom in the Spinozian sense. This is, in fact, one way of understanding what Spinoza means when he says that one must free oneself from the fear of death and that nobody is more free, more powerful, and more dangerous than somebody who no longer fears death: in Spinoza, absence of the fear </w:t>
      </w:r>
      <w:r w:rsidRPr="00F363AC">
        <w:rPr>
          <w:sz w:val="16"/>
        </w:rPr>
        <w:lastRenderedPageBreak/>
        <w:t>of death is at once absolute freedom and untrammeled productivity, namely, the expression of the most creative potentials, the zenith of creativity; or, more precisely, in Spinoza, that moment of absolute freedom that is the absence of the fear of death constitutes the indispensable condition of possibility for such an exponential leap in expression, production, creation (without, perhaps, necessarily guaranteeing it</w:t>
      </w:r>
      <w:r w:rsidRPr="00F363AC">
        <w:rPr>
          <w:rStyle w:val="StyleUnderline"/>
        </w:rPr>
        <w:t>).</w:t>
      </w:r>
    </w:p>
    <w:p w:rsidR="00CF21A1" w:rsidRPr="00F363AC" w:rsidRDefault="00CF21A1" w:rsidP="00CF21A1">
      <w:pPr>
        <w:rPr>
          <w:sz w:val="16"/>
          <w:szCs w:val="16"/>
        </w:rPr>
      </w:pPr>
      <w:r w:rsidRPr="00F363AC">
        <w:rPr>
          <w:sz w:val="16"/>
          <w:szCs w:val="16"/>
        </w:rPr>
        <w:t xml:space="preserve">AN: And while Spinoza tells us to free ourselves from the presence of death, Heidegger tells us the contrary. </w:t>
      </w:r>
    </w:p>
    <w:p w:rsidR="00CF21A1" w:rsidRPr="00F363AC" w:rsidRDefault="00CF21A1" w:rsidP="00CF21A1">
      <w:pPr>
        <w:rPr>
          <w:sz w:val="16"/>
          <w:szCs w:val="16"/>
        </w:rPr>
      </w:pPr>
      <w:r w:rsidRPr="00F363AC">
        <w:rPr>
          <w:sz w:val="16"/>
          <w:szCs w:val="16"/>
        </w:rPr>
        <w:t xml:space="preserve">cc: But let's return one last time to the question of naked life. In your recent book </w:t>
      </w:r>
      <w:proofErr w:type="spellStart"/>
      <w:r w:rsidRPr="00F363AC">
        <w:rPr>
          <w:sz w:val="16"/>
          <w:szCs w:val="16"/>
        </w:rPr>
        <w:t>Kairbs</w:t>
      </w:r>
      <w:proofErr w:type="spellEnd"/>
      <w:r w:rsidRPr="00F363AC">
        <w:rPr>
          <w:sz w:val="16"/>
          <w:szCs w:val="16"/>
        </w:rPr>
        <w:t xml:space="preserve">, Alma Venus, </w:t>
      </w:r>
      <w:proofErr w:type="spellStart"/>
      <w:r w:rsidRPr="00F363AC">
        <w:rPr>
          <w:sz w:val="16"/>
          <w:szCs w:val="16"/>
        </w:rPr>
        <w:t>Multitudo</w:t>
      </w:r>
      <w:proofErr w:type="spellEnd"/>
      <w:r w:rsidRPr="00F363AC">
        <w:rPr>
          <w:sz w:val="16"/>
          <w:szCs w:val="16"/>
        </w:rPr>
        <w:t xml:space="preserve">, you discuss at length the question of poverty; in fact, one could say that you elaborate there a specific conception of poverty, that you produce the concept of poverty." I want to return to this concept later. What interests me for the moment is to note that in those pages on poverty you also engage with the question of nakedness, you often speak of the nakedness of poverty. At one point, for example, you write that, far from being an object constituted by the suffering inflicted by </w:t>
      </w:r>
      <w:proofErr w:type="spellStart"/>
      <w:r w:rsidRPr="00F363AC">
        <w:rPr>
          <w:sz w:val="16"/>
          <w:szCs w:val="16"/>
        </w:rPr>
        <w:t>biopolitics</w:t>
      </w:r>
      <w:proofErr w:type="spellEnd"/>
      <w:r w:rsidRPr="00F363AC">
        <w:rPr>
          <w:sz w:val="16"/>
          <w:szCs w:val="16"/>
        </w:rPr>
        <w:t xml:space="preserve">, the poor are precisely the </w:t>
      </w:r>
      <w:proofErr w:type="spellStart"/>
      <w:r w:rsidRPr="00F363AC">
        <w:rPr>
          <w:sz w:val="16"/>
          <w:szCs w:val="16"/>
        </w:rPr>
        <w:t>biopolitical</w:t>
      </w:r>
      <w:proofErr w:type="spellEnd"/>
      <w:r w:rsidRPr="00F363AC">
        <w:rPr>
          <w:sz w:val="16"/>
          <w:szCs w:val="16"/>
        </w:rPr>
        <w:t xml:space="preserve"> subject, and, moreover, that "the poor are the naked eternity of the power [</w:t>
      </w:r>
      <w:proofErr w:type="spellStart"/>
      <w:r w:rsidRPr="00F363AC">
        <w:rPr>
          <w:sz w:val="16"/>
          <w:szCs w:val="16"/>
        </w:rPr>
        <w:t>potenza</w:t>
      </w:r>
      <w:proofErr w:type="spellEnd"/>
      <w:r w:rsidRPr="00F363AC">
        <w:rPr>
          <w:sz w:val="16"/>
          <w:szCs w:val="16"/>
        </w:rPr>
        <w:t xml:space="preserve">] to be."12 As I was reading these passages, it occurred to me that your insistence on the question of nakedness here is a reference and a reply to the nakedness of </w:t>
      </w:r>
      <w:proofErr w:type="spellStart"/>
      <w:r w:rsidRPr="00F363AC">
        <w:rPr>
          <w:sz w:val="16"/>
          <w:szCs w:val="16"/>
        </w:rPr>
        <w:t>Agamben's</w:t>
      </w:r>
      <w:proofErr w:type="spellEnd"/>
      <w:r w:rsidRPr="00F363AC">
        <w:rPr>
          <w:sz w:val="16"/>
          <w:szCs w:val="16"/>
        </w:rPr>
        <w:t xml:space="preserve"> naked life.</w:t>
      </w:r>
    </w:p>
    <w:p w:rsidR="00CF21A1" w:rsidRPr="00F363AC" w:rsidRDefault="00CF21A1" w:rsidP="00CF21A1">
      <w:pPr>
        <w:rPr>
          <w:sz w:val="16"/>
          <w:szCs w:val="16"/>
        </w:rPr>
      </w:pPr>
      <w:r w:rsidRPr="00F363AC">
        <w:rPr>
          <w:sz w:val="16"/>
          <w:szCs w:val="16"/>
        </w:rPr>
        <w:t>AN: Yes, I completely agree: the fact that I took this term up again and redeployed it is a clear indication of Giorgio's presence and influence in my work-and I must say I am pleased about it, and I am glad that you noticed it. Undoubtedly, there is always ongoing dialogue, exchange, discussion between Giorgio and myself.</w:t>
      </w:r>
    </w:p>
    <w:p w:rsidR="00CF21A1" w:rsidRPr="00F363AC" w:rsidRDefault="00CF21A1" w:rsidP="00CF21A1">
      <w:pPr>
        <w:rPr>
          <w:sz w:val="16"/>
          <w:szCs w:val="16"/>
        </w:rPr>
      </w:pPr>
      <w:r w:rsidRPr="00F363AC">
        <w:rPr>
          <w:sz w:val="16"/>
          <w:szCs w:val="16"/>
        </w:rPr>
        <w:t>cc: What is the nature of the exchange in this specific case? What is the difference between the nakedness of poverty and the nakedness of naked life?</w:t>
      </w:r>
    </w:p>
    <w:p w:rsidR="00CF21A1" w:rsidRDefault="00CF21A1" w:rsidP="00CF21A1">
      <w:r>
        <w:t xml:space="preserve">AN: </w:t>
      </w:r>
      <w:r w:rsidRPr="00F363AC">
        <w:rPr>
          <w:rStyle w:val="StyleUnderline"/>
        </w:rPr>
        <w:t>The nakedness of poverty is immediately linked to love, that is, to a positive power</w:t>
      </w:r>
      <w:r>
        <w:t xml:space="preserve"> </w:t>
      </w:r>
      <w:r w:rsidRPr="00F363AC">
        <w:rPr>
          <w:sz w:val="16"/>
          <w:szCs w:val="16"/>
        </w:rPr>
        <w:t>[</w:t>
      </w:r>
      <w:proofErr w:type="spellStart"/>
      <w:r w:rsidRPr="00F363AC">
        <w:rPr>
          <w:sz w:val="16"/>
          <w:szCs w:val="16"/>
        </w:rPr>
        <w:t>potenzal</w:t>
      </w:r>
      <w:proofErr w:type="spellEnd"/>
      <w:r w:rsidRPr="00F363AC">
        <w:rPr>
          <w:sz w:val="16"/>
          <w:szCs w:val="16"/>
        </w:rPr>
        <w:t>. Such nakedness is always already there as element of being.</w:t>
      </w:r>
    </w:p>
    <w:p w:rsidR="00CF21A1" w:rsidRPr="00F363AC" w:rsidRDefault="00CF21A1" w:rsidP="00CF21A1">
      <w:pPr>
        <w:rPr>
          <w:sz w:val="16"/>
          <w:szCs w:val="16"/>
        </w:rPr>
      </w:pPr>
      <w:r w:rsidRPr="00F363AC">
        <w:rPr>
          <w:sz w:val="16"/>
          <w:szCs w:val="16"/>
        </w:rPr>
        <w:t xml:space="preserve">cc: And hence it is part and parcel of constituent power-the concept with which we began this conversation and which you claim differentiates your project from Foucault's as well as from </w:t>
      </w:r>
      <w:proofErr w:type="spellStart"/>
      <w:r w:rsidRPr="00F363AC">
        <w:rPr>
          <w:sz w:val="16"/>
          <w:szCs w:val="16"/>
        </w:rPr>
        <w:t>Deleuze</w:t>
      </w:r>
      <w:proofErr w:type="spellEnd"/>
      <w:r w:rsidRPr="00F363AC">
        <w:rPr>
          <w:sz w:val="16"/>
          <w:szCs w:val="16"/>
        </w:rPr>
        <w:t xml:space="preserve"> and </w:t>
      </w:r>
      <w:proofErr w:type="spellStart"/>
      <w:r w:rsidRPr="00F363AC">
        <w:rPr>
          <w:sz w:val="16"/>
          <w:szCs w:val="16"/>
        </w:rPr>
        <w:t>Guattari's</w:t>
      </w:r>
      <w:proofErr w:type="spellEnd"/>
      <w:r w:rsidRPr="00F363AC">
        <w:rPr>
          <w:sz w:val="16"/>
          <w:szCs w:val="16"/>
        </w:rPr>
        <w:t xml:space="preserve"> projects. Unsurprisingly, the concept of constituent power also turns out to mark a crucial difference between your project and </w:t>
      </w:r>
      <w:proofErr w:type="spellStart"/>
      <w:r w:rsidRPr="00F363AC">
        <w:rPr>
          <w:sz w:val="16"/>
          <w:szCs w:val="16"/>
        </w:rPr>
        <w:t>Agamben's</w:t>
      </w:r>
      <w:proofErr w:type="spellEnd"/>
      <w:r w:rsidRPr="00F363AC">
        <w:rPr>
          <w:sz w:val="16"/>
          <w:szCs w:val="16"/>
        </w:rPr>
        <w:t xml:space="preserve"> project. </w:t>
      </w:r>
      <w:proofErr w:type="spellStart"/>
      <w:r w:rsidRPr="00F363AC">
        <w:rPr>
          <w:sz w:val="16"/>
          <w:szCs w:val="16"/>
        </w:rPr>
        <w:t>Agamben</w:t>
      </w:r>
      <w:proofErr w:type="spellEnd"/>
      <w:r w:rsidRPr="00F363AC">
        <w:rPr>
          <w:sz w:val="16"/>
          <w:szCs w:val="16"/>
        </w:rPr>
        <w:t xml:space="preserve"> has commented on this matter. In Homo </w:t>
      </w:r>
      <w:proofErr w:type="spellStart"/>
      <w:r w:rsidRPr="00F363AC">
        <w:rPr>
          <w:sz w:val="16"/>
          <w:szCs w:val="16"/>
        </w:rPr>
        <w:t>Sacer</w:t>
      </w:r>
      <w:proofErr w:type="spellEnd"/>
      <w:r w:rsidRPr="00F363AC">
        <w:rPr>
          <w:sz w:val="16"/>
          <w:szCs w:val="16"/>
        </w:rPr>
        <w:t>, he briefly discusses your Insurgencies, and, in particular, he critiques the way in which you separate constituent power and constituted power from each other in that work: he maintains that you are not able to find a plausible criterion according to which a distinction between these two powers can be made, and, furthermore, that it is not possible to sustain or even to posit any separation between them anyway. What do you think about such a critique?</w:t>
      </w:r>
    </w:p>
    <w:p w:rsidR="00CF21A1" w:rsidRPr="00F363AC" w:rsidRDefault="00CF21A1" w:rsidP="00CF21A1">
      <w:pPr>
        <w:rPr>
          <w:sz w:val="16"/>
        </w:rPr>
      </w:pPr>
      <w:r w:rsidRPr="00F363AC">
        <w:rPr>
          <w:sz w:val="16"/>
        </w:rPr>
        <w:t xml:space="preserve">AN: I am not really sure. </w:t>
      </w:r>
      <w:r w:rsidRPr="00F363AC">
        <w:rPr>
          <w:rStyle w:val="StyleUnderline"/>
        </w:rPr>
        <w:t>Giorgio has always tried to show how juridical categories as well as the juridical as a category cannot be raised or made to answer to coherent metaphysical criteria. His critique</w:t>
      </w:r>
      <w:r w:rsidRPr="00F363AC">
        <w:rPr>
          <w:sz w:val="16"/>
        </w:rPr>
        <w:t xml:space="preserve">, in other words, </w:t>
      </w:r>
      <w:r w:rsidRPr="00F363AC">
        <w:rPr>
          <w:rStyle w:val="StyleUnderline"/>
        </w:rPr>
        <w:t>is a purely negative critique</w:t>
      </w:r>
      <w:r w:rsidRPr="00F363AC">
        <w:rPr>
          <w:sz w:val="16"/>
        </w:rPr>
        <w:t xml:space="preserve">: what I mean by this is not that he criticizes the substance of what I say about constituent power; what I mean, rather, is that </w:t>
      </w:r>
      <w:r w:rsidRPr="00F363AC">
        <w:rPr>
          <w:rStyle w:val="StyleUnderline"/>
        </w:rPr>
        <w:t>he does not want to solve this problem, that he believes it is not even advisable to look for a solution to this problem at all.</w:t>
      </w:r>
      <w:r w:rsidRPr="00F363AC">
        <w:rPr>
          <w:sz w:val="16"/>
        </w:rPr>
        <w:t xml:space="preserve"> In the end, I find this type of critique to be rather banal.</w:t>
      </w:r>
    </w:p>
    <w:p w:rsidR="00CF21A1" w:rsidRPr="00F363AC" w:rsidRDefault="00CF21A1" w:rsidP="00CF21A1">
      <w:pPr>
        <w:rPr>
          <w:sz w:val="16"/>
          <w:szCs w:val="16"/>
        </w:rPr>
      </w:pPr>
      <w:r w:rsidRPr="00F363AC">
        <w:rPr>
          <w:sz w:val="16"/>
          <w:szCs w:val="16"/>
        </w:rPr>
        <w:t>cc: Could you be more specific?</w:t>
      </w:r>
    </w:p>
    <w:p w:rsidR="00CF21A1" w:rsidRDefault="00CF21A1" w:rsidP="00CF21A1">
      <w:pPr>
        <w:rPr>
          <w:sz w:val="16"/>
        </w:rPr>
      </w:pPr>
      <w:r w:rsidRPr="00F363AC">
        <w:rPr>
          <w:sz w:val="16"/>
        </w:rPr>
        <w:t xml:space="preserve">AN: </w:t>
      </w:r>
      <w:r w:rsidRPr="00F363AC">
        <w:rPr>
          <w:rStyle w:val="StyleUnderline"/>
        </w:rPr>
        <w:t>Giorgio's main critique</w:t>
      </w:r>
      <w:r w:rsidRPr="00F363AC">
        <w:rPr>
          <w:sz w:val="16"/>
        </w:rPr>
        <w:t xml:space="preserve"> of my positions </w:t>
      </w:r>
      <w:r w:rsidRPr="00F363AC">
        <w:rPr>
          <w:rStyle w:val="StyleUnderline"/>
        </w:rPr>
        <w:t>consists of arguing that constituent power and constituted power cannot be distinguished from each other according to any juridical-political criterion.</w:t>
      </w:r>
      <w:r w:rsidRPr="00F363AC">
        <w:rPr>
          <w:sz w:val="16"/>
        </w:rPr>
        <w:t xml:space="preserve"> Well, thank you very much! That's entirely obvious-and, in fact, my analysis of constituent power begins precisely from this problem. All jurists argue that constituent power does not exist unless it is codified, that it ruptures the juridical system and its </w:t>
      </w:r>
      <w:proofErr w:type="gramStart"/>
      <w:r w:rsidRPr="00F363AC">
        <w:rPr>
          <w:sz w:val="16"/>
        </w:rPr>
        <w:t>continuity, that</w:t>
      </w:r>
      <w:proofErr w:type="gramEnd"/>
      <w:r w:rsidRPr="00F363AC">
        <w:rPr>
          <w:sz w:val="16"/>
        </w:rPr>
        <w:t xml:space="preserve"> it cannot come into being unless it has been recognized and validated by constituted power. </w:t>
      </w:r>
      <w:r w:rsidRPr="00F363AC">
        <w:rPr>
          <w:rStyle w:val="StyleUnderline"/>
        </w:rPr>
        <w:t>According to such arguments</w:t>
      </w:r>
      <w:r w:rsidRPr="00F363AC">
        <w:rPr>
          <w:sz w:val="16"/>
        </w:rPr>
        <w:t xml:space="preserve">, therefore, </w:t>
      </w:r>
      <w:r w:rsidRPr="00F363AC">
        <w:rPr>
          <w:rStyle w:val="StyleUnderline"/>
        </w:rPr>
        <w:t xml:space="preserve">constituent power paradoxically can take two forms at once: </w:t>
      </w:r>
      <w:r w:rsidRPr="00F363AC">
        <w:rPr>
          <w:sz w:val="16"/>
        </w:rPr>
        <w:t xml:space="preserve">on the one hand, </w:t>
      </w:r>
      <w:r w:rsidRPr="00F363AC">
        <w:rPr>
          <w:rStyle w:val="StyleUnderline"/>
        </w:rPr>
        <w:t>it lives outside the Law</w:t>
      </w:r>
      <w:r w:rsidRPr="00F363AC">
        <w:rPr>
          <w:sz w:val="16"/>
        </w:rPr>
        <w:t xml:space="preserve">, </w:t>
      </w:r>
      <w:r w:rsidRPr="00F363AC">
        <w:rPr>
          <w:rStyle w:val="StyleUnderline"/>
        </w:rPr>
        <w:t>and</w:t>
      </w:r>
      <w:r w:rsidRPr="00F363AC">
        <w:rPr>
          <w:sz w:val="16"/>
        </w:rPr>
        <w:t xml:space="preserve">, on the other hand, it lives </w:t>
      </w:r>
      <w:r w:rsidRPr="00F363AC">
        <w:rPr>
          <w:rStyle w:val="StyleUnderline"/>
        </w:rPr>
        <w:t>inside</w:t>
      </w:r>
      <w:r w:rsidRPr="00F363AC">
        <w:rPr>
          <w:sz w:val="16"/>
        </w:rPr>
        <w:t xml:space="preserve"> the Law, that is, </w:t>
      </w:r>
      <w:r w:rsidRPr="00F363AC">
        <w:rPr>
          <w:rStyle w:val="StyleUnderline"/>
        </w:rPr>
        <w:t>in the form of the Supreme Court's power to innovate the legal system</w:t>
      </w:r>
      <w:r w:rsidRPr="00F363AC">
        <w:rPr>
          <w:sz w:val="16"/>
        </w:rPr>
        <w:t xml:space="preserve"> [</w:t>
      </w:r>
      <w:proofErr w:type="spellStart"/>
      <w:r w:rsidRPr="00F363AC">
        <w:rPr>
          <w:sz w:val="16"/>
        </w:rPr>
        <w:t>ordinamento</w:t>
      </w:r>
      <w:proofErr w:type="spellEnd"/>
      <w:r w:rsidRPr="00F363AC">
        <w:rPr>
          <w:sz w:val="16"/>
        </w:rPr>
        <w:t xml:space="preserve"> </w:t>
      </w:r>
      <w:proofErr w:type="spellStart"/>
      <w:r w:rsidRPr="00F363AC">
        <w:rPr>
          <w:sz w:val="16"/>
        </w:rPr>
        <w:t>giuridico</w:t>
      </w:r>
      <w:proofErr w:type="spellEnd"/>
      <w:r w:rsidRPr="00F363AC">
        <w:rPr>
          <w:sz w:val="16"/>
        </w:rPr>
        <w:t xml:space="preserve">]. </w:t>
      </w:r>
    </w:p>
    <w:p w:rsidR="00CF7074" w:rsidRDefault="00CF7074" w:rsidP="00CF7074">
      <w:pPr>
        <w:pStyle w:val="Heading2"/>
      </w:pPr>
      <w:r>
        <w:lastRenderedPageBreak/>
        <w:t>Off Case</w:t>
      </w:r>
    </w:p>
    <w:p w:rsidR="00CF7074" w:rsidRDefault="00CF7074" w:rsidP="00CF7074">
      <w:pPr>
        <w:pStyle w:val="Heading2"/>
      </w:pPr>
      <w:r>
        <w:lastRenderedPageBreak/>
        <w:t>Terror DA</w:t>
      </w:r>
    </w:p>
    <w:p w:rsidR="00CF7074" w:rsidRDefault="00CF7074" w:rsidP="00CF7074">
      <w:pPr>
        <w:pStyle w:val="Heading3"/>
      </w:pPr>
      <w:r>
        <w:lastRenderedPageBreak/>
        <w:t>AT Terror Reps/Security K</w:t>
      </w:r>
    </w:p>
    <w:p w:rsidR="00CF7074" w:rsidRDefault="00CF7074" w:rsidP="00CF7074">
      <w:pPr>
        <w:pStyle w:val="Heading4"/>
      </w:pPr>
      <w:r>
        <w:t>Our scholarship is sound-It uses unbiased, in depth study to prove terror threats real</w:t>
      </w:r>
    </w:p>
    <w:p w:rsidR="00CF7074" w:rsidRPr="00EC1C45" w:rsidRDefault="00CF7074" w:rsidP="00CF7074">
      <w:pPr>
        <w:rPr>
          <w:rStyle w:val="Style13ptBold"/>
          <w:b w:val="0"/>
        </w:rPr>
      </w:pPr>
      <w:r w:rsidRPr="00EC1C45">
        <w:rPr>
          <w:rStyle w:val="Style13ptBold"/>
          <w:b w:val="0"/>
        </w:rPr>
        <w:t xml:space="preserve">Michael J. </w:t>
      </w:r>
      <w:r w:rsidRPr="00EC1C45">
        <w:rPr>
          <w:rStyle w:val="Style13ptBold"/>
        </w:rPr>
        <w:t>Boyle</w:t>
      </w:r>
      <w:r w:rsidRPr="00EC1C45">
        <w:rPr>
          <w:rStyle w:val="Style13ptBold"/>
          <w:b w:val="0"/>
        </w:rPr>
        <w:t xml:space="preserve"> </w:t>
      </w:r>
      <w:r w:rsidRPr="00EC1C45">
        <w:rPr>
          <w:rStyle w:val="Style13ptBold"/>
        </w:rPr>
        <w:t>and</w:t>
      </w:r>
      <w:r w:rsidRPr="00EC1C45">
        <w:rPr>
          <w:rStyle w:val="Style13ptBold"/>
          <w:b w:val="0"/>
        </w:rPr>
        <w:t xml:space="preserve"> John </w:t>
      </w:r>
      <w:proofErr w:type="spellStart"/>
      <w:r w:rsidRPr="00EC1C45">
        <w:rPr>
          <w:rStyle w:val="Style13ptBold"/>
        </w:rPr>
        <w:t>Horgan</w:t>
      </w:r>
      <w:proofErr w:type="spellEnd"/>
      <w:r w:rsidRPr="00EC1C45">
        <w:rPr>
          <w:rStyle w:val="Style13ptBold"/>
          <w:b w:val="0"/>
        </w:rPr>
        <w:t xml:space="preserve"> </w:t>
      </w:r>
      <w:r w:rsidRPr="00EC1C45">
        <w:rPr>
          <w:rStyle w:val="Style13ptBold"/>
        </w:rPr>
        <w:t>8</w:t>
      </w:r>
      <w:r w:rsidRPr="00EC1C45">
        <w:rPr>
          <w:rStyle w:val="Style13ptBold"/>
          <w:b w:val="0"/>
        </w:rPr>
        <w:t>, School of International Relations, University of St. Andrews, and, International Center for the Study of Terrorism, Department of Psychology, Pennsylvania State University, April 2008, “A Case Against Critical Terrorism Studies,” Critical Studies On Terrorism, Vol. 1, No. 1, p. 51-64</w:t>
      </w:r>
    </w:p>
    <w:p w:rsidR="00CF7074" w:rsidRDefault="00CF7074" w:rsidP="00CF7074">
      <w:r>
        <w:t xml:space="preserve">We believe this is overstating the case. Like much of political science, </w:t>
      </w:r>
      <w:r w:rsidRPr="00EC1C45">
        <w:rPr>
          <w:rStyle w:val="StyleUnderline"/>
        </w:rPr>
        <w:t>the study of terrorism has been influenced by the logic of ‘problem-solving’ theory and includes a strong dose of instrumental rationality</w:t>
      </w:r>
      <w:r>
        <w:t xml:space="preserve">. </w:t>
      </w:r>
      <w:r w:rsidRPr="00EC1C45">
        <w:rPr>
          <w:rStyle w:val="StyleUnderline"/>
        </w:rPr>
        <w:t>But to imply that all those working within an empirical tradition of research in terrorism studies do not challenge the status quo, or suggest uncomfortable truths</w:t>
      </w:r>
      <w:r>
        <w:t xml:space="preserve"> to those in power, </w:t>
      </w:r>
      <w:r w:rsidRPr="00EC1C45">
        <w:rPr>
          <w:rStyle w:val="StyleUnderline"/>
        </w:rPr>
        <w:t>is misleading</w:t>
      </w:r>
      <w:r>
        <w:t xml:space="preserve">. Many of the serious scholars who work in this field are sympathetic to the normative goals that CTS scholars espouse, and are unafraid to speak truth to power when needed. For example, </w:t>
      </w:r>
      <w:r w:rsidRPr="00EC1C45">
        <w:rPr>
          <w:rStyle w:val="StyleUnderline"/>
        </w:rPr>
        <w:t>many terrorism scholars do not hesitate to tell governments bluntly that unpopular certain foreign policy choices</w:t>
      </w:r>
      <w:r>
        <w:t xml:space="preserve"> (such as the US invasion of Iraq or the Israeli occupation of the West Bank and Gaza) </w:t>
      </w:r>
      <w:r w:rsidRPr="00EC1C45">
        <w:rPr>
          <w:rStyle w:val="StyleUnderline"/>
        </w:rPr>
        <w:t>generate terrorism</w:t>
      </w:r>
      <w:r>
        <w:t>, and that addressing pervasive economic and social inequalities is an essential part of counter-terrorism.4</w:t>
      </w:r>
    </w:p>
    <w:p w:rsidR="00CF7074" w:rsidRDefault="00CF7074" w:rsidP="00CF7074">
      <w:r>
        <w:t xml:space="preserve"> In fact, in a 2004 ‘Open Letter to the American People’, </w:t>
      </w:r>
      <w:r w:rsidRPr="00EC1C45">
        <w:rPr>
          <w:rStyle w:val="StyleUnderline"/>
        </w:rPr>
        <w:t>over 700 security studies scholars in the USA and elsewhere signed their names to a case which included the following: We judge that the current American policy centered around the war in Iraq is the most misguided one since the Vietnam period, one which harms the cause of the struggle against extreme Islamist terrorists</w:t>
      </w:r>
      <w:r>
        <w:t>. One result has been a great distortion in the terms of public debate on foreign and national security policy-an emphasis on speculation instead of facts. (Security Scholars for a Sensible Foreign Policy (2004)5</w:t>
      </w:r>
    </w:p>
    <w:p w:rsidR="00CF7074" w:rsidRDefault="00CF7074" w:rsidP="00CF7074">
      <w:r>
        <w:t xml:space="preserve">The list included such well-known terrorism experts as Jessica Stern, David </w:t>
      </w:r>
      <w:proofErr w:type="spellStart"/>
      <w:r>
        <w:t>Rapoport</w:t>
      </w:r>
      <w:proofErr w:type="spellEnd"/>
      <w:r>
        <w:t xml:space="preserve"> (Co-editor of Terrorism and Political Violence), and Mia Bloom. </w:t>
      </w:r>
      <w:r w:rsidRPr="00EC1C45">
        <w:rPr>
          <w:rStyle w:val="StyleUnderline"/>
        </w:rPr>
        <w:t>If terrorism scholars</w:t>
      </w:r>
      <w:r>
        <w:t xml:space="preserve">, including these, </w:t>
      </w:r>
      <w:r w:rsidRPr="00EC1C45">
        <w:rPr>
          <w:rStyle w:val="StyleUnderline"/>
        </w:rPr>
        <w:t>were solely interested in telling comforting lies to those in power, they would shy away from these uncomfortable facts and would certainly not publicly identify themselves</w:t>
      </w:r>
      <w:r>
        <w:t xml:space="preserve"> with such an openly critical stance.</w:t>
      </w:r>
    </w:p>
    <w:p w:rsidR="00CF7074" w:rsidRPr="00EC1C45" w:rsidRDefault="00CF7074" w:rsidP="00CF7074">
      <w:pPr>
        <w:rPr>
          <w:rStyle w:val="StyleUnderline"/>
        </w:rPr>
      </w:pPr>
      <w:r>
        <w:t xml:space="preserve">Moreover, </w:t>
      </w:r>
      <w:r w:rsidRPr="00EC1C45">
        <w:rPr>
          <w:rStyle w:val="StyleUnderline"/>
        </w:rPr>
        <w:t>many of the ‘embedded experts’ identified by name in existing CTS</w:t>
      </w:r>
      <w:r>
        <w:t xml:space="preserve"> work </w:t>
      </w:r>
      <w:r w:rsidRPr="00EC1C45">
        <w:rPr>
          <w:rStyle w:val="StyleUnderline"/>
        </w:rPr>
        <w:t>have deep liberal concerns for economic and social justice</w:t>
      </w:r>
      <w:r>
        <w:t xml:space="preserve"> (Hoffman 2007, Wilkinson 1977, and subsequent revisions). Their ambitions may not be entirely ‘emancipatory’ (Linklater 1996), but neither are they content to accept the world as it is. Let us be clear: </w:t>
      </w:r>
      <w:r w:rsidRPr="00EC1C45">
        <w:rPr>
          <w:rStyle w:val="StyleUnderline"/>
        </w:rPr>
        <w:t>within the broad community of self-ascribed terrorism ‘experts’ there are some charlatans who will do whatever they need to get close to power and to solve problems for them. But these are not representative of the serious scholars in the field, and even those who do not adopt the language of critical theory often work with the same social, political and moral purpose of advancing social justice as CTS scholars.</w:t>
      </w:r>
    </w:p>
    <w:p w:rsidR="00CF7074" w:rsidRDefault="00CF7074" w:rsidP="00CF7074">
      <w:r w:rsidRPr="00EC1C45">
        <w:rPr>
          <w:rStyle w:val="StyleUnderline"/>
        </w:rPr>
        <w:t xml:space="preserve">Serious and reflective scholars of terrorism also do not deny the observation that theory is often for </w:t>
      </w:r>
      <w:proofErr w:type="spellStart"/>
      <w:r w:rsidRPr="00EC1C45">
        <w:rPr>
          <w:rStyle w:val="StyleUnderline"/>
        </w:rPr>
        <w:t>some one</w:t>
      </w:r>
      <w:proofErr w:type="spellEnd"/>
      <w:r w:rsidRPr="00EC1C45">
        <w:rPr>
          <w:rStyle w:val="StyleUnderline"/>
        </w:rPr>
        <w:t>, and for some purpose</w:t>
      </w:r>
      <w:r>
        <w:t xml:space="preserve">. </w:t>
      </w:r>
      <w:r w:rsidRPr="00EC1C45">
        <w:rPr>
          <w:rStyle w:val="StyleUnderline"/>
        </w:rPr>
        <w:t>What they do not share is the explicit normative and ideological commitment to ‘emancipation</w:t>
      </w:r>
      <w:r>
        <w:t xml:space="preserve">’, however defined. One of our chief concerns about CTS is that the precise meaning of this commitment to emancipation has not been made clear, beyond the basic point that ‘emancipation’ would involve strengthening the voices of moderation and increasing the political voice of some dissident groups (McDonald 2007, p. 257). These are worthwhile goals, certainly, but not </w:t>
      </w:r>
      <w:r>
        <w:lastRenderedPageBreak/>
        <w:t xml:space="preserve">unique to CTS in any respect. So the analytic value of this maddeningly vague notion of emancipation in this instance is not yet obvious to us. </w:t>
      </w:r>
      <w:r w:rsidRPr="00EC1C45">
        <w:rPr>
          <w:rStyle w:val="StyleUnderline"/>
        </w:rPr>
        <w:t>How exactly does attacking the concept of ‘terrorism’ generate greater prospects for freedom in existing social relations, or produce a broadly progressive outcome</w:t>
      </w:r>
      <w:r>
        <w:t xml:space="preserve"> (McDonald 2007, p. 257)?6 In part due to the fact that CTS advocates have not yet made their ontological and epistemological commitments or their intellectual debts within critical theory clear, it remains unclear just who has agency in their account, how ‘emancipation’ would be achieved, and to what substantive normative and political goals ‘emancipation’ is directed.</w:t>
      </w:r>
    </w:p>
    <w:p w:rsidR="00CF7074" w:rsidRDefault="00CF7074" w:rsidP="00CF7074">
      <w:pPr>
        <w:pStyle w:val="Heading4"/>
      </w:pPr>
      <w:r>
        <w:t>Our Terrorism studies are best-Self-Reflexivity</w:t>
      </w:r>
    </w:p>
    <w:p w:rsidR="00CF7074" w:rsidRPr="00EC1C45" w:rsidRDefault="00CF7074" w:rsidP="00CF7074">
      <w:pPr>
        <w:rPr>
          <w:rStyle w:val="Style13ptBold"/>
          <w:b w:val="0"/>
        </w:rPr>
      </w:pPr>
      <w:r w:rsidRPr="00EC1C45">
        <w:rPr>
          <w:rStyle w:val="Style13ptBold"/>
          <w:b w:val="0"/>
        </w:rPr>
        <w:t xml:space="preserve">Michael J. </w:t>
      </w:r>
      <w:r w:rsidRPr="00EC1C45">
        <w:rPr>
          <w:rStyle w:val="Style13ptBold"/>
        </w:rPr>
        <w:t>Boyle</w:t>
      </w:r>
      <w:r w:rsidRPr="00EC1C45">
        <w:rPr>
          <w:rStyle w:val="Style13ptBold"/>
          <w:b w:val="0"/>
        </w:rPr>
        <w:t xml:space="preserve"> </w:t>
      </w:r>
      <w:r w:rsidRPr="00EC1C45">
        <w:rPr>
          <w:rStyle w:val="Style13ptBold"/>
        </w:rPr>
        <w:t>and</w:t>
      </w:r>
      <w:r w:rsidRPr="00EC1C45">
        <w:rPr>
          <w:rStyle w:val="Style13ptBold"/>
          <w:b w:val="0"/>
        </w:rPr>
        <w:t xml:space="preserve"> John </w:t>
      </w:r>
      <w:proofErr w:type="spellStart"/>
      <w:r w:rsidRPr="00EC1C45">
        <w:rPr>
          <w:rStyle w:val="Style13ptBold"/>
        </w:rPr>
        <w:t>Horgan</w:t>
      </w:r>
      <w:proofErr w:type="spellEnd"/>
      <w:r w:rsidRPr="00EC1C45">
        <w:rPr>
          <w:rStyle w:val="Style13ptBold"/>
          <w:b w:val="0"/>
        </w:rPr>
        <w:t xml:space="preserve"> </w:t>
      </w:r>
      <w:r w:rsidRPr="00EC1C45">
        <w:rPr>
          <w:rStyle w:val="Style13ptBold"/>
        </w:rPr>
        <w:t>8</w:t>
      </w:r>
      <w:r w:rsidRPr="00EC1C45">
        <w:rPr>
          <w:rStyle w:val="Style13ptBold"/>
          <w:b w:val="0"/>
        </w:rPr>
        <w:t>, School of International Relations, University of St. Andrews, and, International Center for the Study of Terrorism, Department of Psychology, Pennsylvania State University, April 2008, “A Case Against Critical Terrorism Studies,” Critical Studies On Terrorism, Vol. 1, No. 1, p. 51-64</w:t>
      </w:r>
    </w:p>
    <w:p w:rsidR="00CF7074" w:rsidRDefault="00CF7074" w:rsidP="00CF7074">
      <w:r w:rsidRPr="0039723F">
        <w:rPr>
          <w:rStyle w:val="StyleUnderline"/>
        </w:rPr>
        <w:t>Jackson</w:t>
      </w:r>
      <w:r>
        <w:t xml:space="preserve"> (2007c) calls for the development of an explicitly CTS on the basis of what he argues preceded it, </w:t>
      </w:r>
      <w:r w:rsidRPr="0039723F">
        <w:rPr>
          <w:rStyle w:val="StyleUnderline"/>
        </w:rPr>
        <w:t>dubbed ‘Orthodox Terrorism Studies’</w:t>
      </w:r>
      <w:r>
        <w:t xml:space="preserve">. </w:t>
      </w:r>
      <w:r w:rsidRPr="0039723F">
        <w:rPr>
          <w:rStyle w:val="StyleUnderline"/>
        </w:rPr>
        <w:t>The latter, he suggests, is characterized by: (1) its poor methods and theories, (2) its state centricity, (3) its problem solving orientation, and (4) its institutional and intellectual links to state security projects</w:t>
      </w:r>
      <w:r>
        <w:t>. Jackson argues that the major defining characteristic of CTS, on the other hand, should be ‘a skeptical attitude towards accepted terrorism “knowledge”’.</w:t>
      </w:r>
    </w:p>
    <w:p w:rsidR="00CF7074" w:rsidRPr="0039723F" w:rsidRDefault="00CF7074" w:rsidP="00CF7074">
      <w:pPr>
        <w:rPr>
          <w:rStyle w:val="StyleUnderline"/>
        </w:rPr>
      </w:pPr>
      <w:r w:rsidRPr="0039723F">
        <w:rPr>
          <w:rStyle w:val="StyleUnderline"/>
        </w:rPr>
        <w:t xml:space="preserve">An implicit presumption from this is that terrorism scholars have </w:t>
      </w:r>
      <w:proofErr w:type="spellStart"/>
      <w:r w:rsidRPr="0039723F">
        <w:rPr>
          <w:rStyle w:val="StyleUnderline"/>
        </w:rPr>
        <w:t>laboured</w:t>
      </w:r>
      <w:proofErr w:type="spellEnd"/>
      <w:r w:rsidRPr="0039723F">
        <w:rPr>
          <w:rStyle w:val="StyleUnderline"/>
        </w:rPr>
        <w:t xml:space="preserve"> for all of these years without being aware that their area of study has </w:t>
      </w:r>
      <w:r w:rsidRPr="0039723F">
        <w:t>an implicit bias, as well as</w:t>
      </w:r>
      <w:r w:rsidRPr="0039723F">
        <w:rPr>
          <w:rStyle w:val="StyleUnderline"/>
        </w:rPr>
        <w:t xml:space="preserve"> definitional and methodological problems. </w:t>
      </w:r>
      <w:r w:rsidRPr="0039723F">
        <w:t>In fact,</w:t>
      </w:r>
      <w:r w:rsidRPr="0039723F">
        <w:rPr>
          <w:rStyle w:val="StyleUnderline"/>
        </w:rPr>
        <w:t xml:space="preserve"> terrorism scholars are not only well aware of these problems, but also have provided their own searching critiques of the field at various points during the last few decades</w:t>
      </w:r>
      <w:r>
        <w:t xml:space="preserve"> (e.g. </w:t>
      </w:r>
      <w:proofErr w:type="spellStart"/>
      <w:r>
        <w:t>Silke</w:t>
      </w:r>
      <w:proofErr w:type="spellEnd"/>
      <w:r>
        <w:t xml:space="preserve"> 1996, Crenshaw 1998, Gordon 1999, </w:t>
      </w:r>
      <w:proofErr w:type="spellStart"/>
      <w:r>
        <w:t>Horgan</w:t>
      </w:r>
      <w:proofErr w:type="spellEnd"/>
      <w:r>
        <w:t xml:space="preserve"> 2005, esp. </w:t>
      </w:r>
      <w:proofErr w:type="spellStart"/>
      <w:r>
        <w:t>ch.</w:t>
      </w:r>
      <w:proofErr w:type="spellEnd"/>
      <w:r>
        <w:t xml:space="preserve"> 2, ‘Understanding Terrorism’). Some of </w:t>
      </w:r>
      <w:r w:rsidRPr="0039723F">
        <w:rPr>
          <w:rStyle w:val="StyleUnderline"/>
        </w:rPr>
        <w:t>those scholars</w:t>
      </w:r>
      <w:r>
        <w:t xml:space="preserve"> most </w:t>
      </w:r>
      <w:r w:rsidRPr="0039723F">
        <w:rPr>
          <w:rStyle w:val="StyleUnderline"/>
        </w:rPr>
        <w:t>associated with the critique of empiricism implied in ‘Orthodox Terrorism Studies’ have also engaged in deeply critical examinations of the nature of sources, methods, and data in the study of terrorism.</w:t>
      </w:r>
      <w:r>
        <w:t xml:space="preserve"> For example, Jackson (2007a) regularly cites the handbook produced by </w:t>
      </w:r>
      <w:proofErr w:type="spellStart"/>
      <w:r>
        <w:t>Schmid</w:t>
      </w:r>
      <w:proofErr w:type="spellEnd"/>
      <w:r>
        <w:t xml:space="preserve"> and </w:t>
      </w:r>
      <w:proofErr w:type="spellStart"/>
      <w:r>
        <w:t>Jongman</w:t>
      </w:r>
      <w:proofErr w:type="spellEnd"/>
      <w:r>
        <w:t xml:space="preserve"> (1988) to support his claims that theoretical progress has been limited. But this fact was well recognized by the authors; indeed, in the introduction of the second edition they point out that they have not revised their chapter on theories of terrorism from the first edition, because the failure to address persistent conceptual and data problems has undermined progress in the field. The point of their handbook was to sharpen and make more comprehensive the result of research on terrorism, not to glide over its methodological and definitional failings (</w:t>
      </w:r>
      <w:proofErr w:type="spellStart"/>
      <w:r>
        <w:t>Schmid</w:t>
      </w:r>
      <w:proofErr w:type="spellEnd"/>
      <w:r>
        <w:t xml:space="preserve"> and </w:t>
      </w:r>
      <w:proofErr w:type="spellStart"/>
      <w:r>
        <w:t>Jongman</w:t>
      </w:r>
      <w:proofErr w:type="spellEnd"/>
      <w:r>
        <w:t xml:space="preserve"> 1988, p. xiv). Similarly, </w:t>
      </w:r>
      <w:proofErr w:type="spellStart"/>
      <w:r w:rsidRPr="0039723F">
        <w:rPr>
          <w:rStyle w:val="StyleUnderline"/>
        </w:rPr>
        <w:t>Silke’s</w:t>
      </w:r>
      <w:proofErr w:type="spellEnd"/>
      <w:r>
        <w:t xml:space="preserve"> (2004) </w:t>
      </w:r>
      <w:r w:rsidRPr="0039723F">
        <w:rPr>
          <w:rStyle w:val="StyleUnderline"/>
        </w:rPr>
        <w:t>volume on the state of the field of terrorism research performed a similar function, highlighting the shortcomings of the field</w:t>
      </w:r>
      <w:r>
        <w:t xml:space="preserve">, in particular the lack of rigorous primary data collection. </w:t>
      </w:r>
      <w:r w:rsidRPr="0039723F">
        <w:rPr>
          <w:rStyle w:val="StyleUnderline"/>
        </w:rPr>
        <w:t>A non-reflective community of scholars does not produce such scathing indictments of its own work.</w:t>
      </w:r>
    </w:p>
    <w:p w:rsidR="00CF7074" w:rsidRDefault="00CF7074" w:rsidP="00CF7074">
      <w:r>
        <w:t xml:space="preserve">One might </w:t>
      </w:r>
      <w:r w:rsidRPr="0039723F">
        <w:t xml:space="preserve">counter that the problem is in fact that scholars of terrorism are not sufficiently self-critical in the theoretically informed way that CTS aims to be. And of course, there are certainly instances of scholars working in terrorism studies who appear to be unaware or less than critical of their theoretical foundations or who do not frame their criticisms in theoretically informed language. But </w:t>
      </w:r>
      <w:r w:rsidRPr="0039723F">
        <w:rPr>
          <w:rStyle w:val="StyleUnderline"/>
        </w:rPr>
        <w:t xml:space="preserve">it is not the case that the critiques offered by CTS on this point are novel; critics have attacked scholarship on terrorism for its bias and ‘silences’ long before critical theory was imported into its study, and further </w:t>
      </w:r>
      <w:r w:rsidRPr="0039723F">
        <w:rPr>
          <w:rStyle w:val="StyleUnderline"/>
        </w:rPr>
        <w:lastRenderedPageBreak/>
        <w:t xml:space="preserve">some of the most trenchant criticisms of terrorism studies come without the language and assumptions of critical theory </w:t>
      </w:r>
      <w:r w:rsidRPr="0039723F">
        <w:t>(George 1991, Mueller</w:t>
      </w:r>
      <w:r>
        <w:t xml:space="preserve"> 2006, respectively).</w:t>
      </w:r>
    </w:p>
    <w:p w:rsidR="00CF7074" w:rsidRDefault="00CF7074" w:rsidP="00CF7074">
      <w:pPr>
        <w:pStyle w:val="Heading4"/>
      </w:pPr>
      <w:r>
        <w:t>Prefer our studies-Our scholars use rigorous methodology and policy relevance is good</w:t>
      </w:r>
    </w:p>
    <w:p w:rsidR="00CF7074" w:rsidRPr="00EC1C45" w:rsidRDefault="00CF7074" w:rsidP="00CF7074">
      <w:pPr>
        <w:rPr>
          <w:rStyle w:val="Style13ptBold"/>
          <w:b w:val="0"/>
        </w:rPr>
      </w:pPr>
      <w:r w:rsidRPr="00EC1C45">
        <w:rPr>
          <w:rStyle w:val="Style13ptBold"/>
          <w:b w:val="0"/>
        </w:rPr>
        <w:t xml:space="preserve">Michael J. </w:t>
      </w:r>
      <w:r w:rsidRPr="00EC1C45">
        <w:rPr>
          <w:rStyle w:val="Style13ptBold"/>
        </w:rPr>
        <w:t>Boyle</w:t>
      </w:r>
      <w:r w:rsidRPr="00EC1C45">
        <w:rPr>
          <w:rStyle w:val="Style13ptBold"/>
          <w:b w:val="0"/>
        </w:rPr>
        <w:t xml:space="preserve"> </w:t>
      </w:r>
      <w:r w:rsidRPr="00EC1C45">
        <w:rPr>
          <w:rStyle w:val="Style13ptBold"/>
        </w:rPr>
        <w:t>and</w:t>
      </w:r>
      <w:r w:rsidRPr="00EC1C45">
        <w:rPr>
          <w:rStyle w:val="Style13ptBold"/>
          <w:b w:val="0"/>
        </w:rPr>
        <w:t xml:space="preserve"> John </w:t>
      </w:r>
      <w:proofErr w:type="spellStart"/>
      <w:r w:rsidRPr="00EC1C45">
        <w:rPr>
          <w:rStyle w:val="Style13ptBold"/>
        </w:rPr>
        <w:t>Horgan</w:t>
      </w:r>
      <w:proofErr w:type="spellEnd"/>
      <w:r w:rsidRPr="00EC1C45">
        <w:rPr>
          <w:rStyle w:val="Style13ptBold"/>
          <w:b w:val="0"/>
        </w:rPr>
        <w:t xml:space="preserve"> </w:t>
      </w:r>
      <w:r w:rsidRPr="00EC1C45">
        <w:rPr>
          <w:rStyle w:val="Style13ptBold"/>
        </w:rPr>
        <w:t>8</w:t>
      </w:r>
      <w:r w:rsidRPr="00EC1C45">
        <w:rPr>
          <w:rStyle w:val="Style13ptBold"/>
          <w:b w:val="0"/>
        </w:rPr>
        <w:t>, School of International Relations, University of St. Andrews, and, International Center for the Study of Terrorism, Department of Psychology, Pennsylvania State University, April 2008, “A Case Against Critical Terrorism Studies,” Critical Studies On Terrorism, Vol. 1, No. 1, p. 51-64</w:t>
      </w:r>
    </w:p>
    <w:p w:rsidR="00CF7074" w:rsidRPr="000C2AF1" w:rsidRDefault="00CF7074" w:rsidP="00CF7074">
      <w:pPr>
        <w:rPr>
          <w:rStyle w:val="StyleUnderline"/>
        </w:rPr>
      </w:pPr>
      <w:r w:rsidRPr="000C2AF1">
        <w:rPr>
          <w:rStyle w:val="StyleUnderline"/>
        </w:rPr>
        <w:t>One of the tensions within CTS concerns the issue of ‘policy relevance’</w:t>
      </w:r>
      <w:r>
        <w:t xml:space="preserve">. At the most basic level, there are some sweeping generalizations made by CTS scholars, often with little evidence. For example, Jackson (2007c) describes ‘the core terrorism scholars’ (without explicitly saying who he is referring to) as ‘intimately connected – institutionally, financially, politically, and ideologically – with a state hegemonic project’ (p. 245). Without giving any details of who these ‘core’ scholars are, where they are, what they do, and exactly who funds them, his arguments are tantamount to conjecture at best. We do not deny that governments fund terrorism research and terrorism researchers, and that this can influence the direction (and even the findings) of the research. But </w:t>
      </w:r>
      <w:r w:rsidRPr="000C2AF1">
        <w:rPr>
          <w:rStyle w:val="StyleUnderline"/>
        </w:rPr>
        <w:t>we are suspicious of over-generalizations of this count on two grounds: (1) accepting government funding or information does not necessarily obviate one’s independent scholarly judgment in a particular project; and (2) having policy relevance is not always a sin.</w:t>
      </w:r>
    </w:p>
    <w:p w:rsidR="00CF7074" w:rsidRDefault="00CF7074" w:rsidP="00CF7074">
      <w:r>
        <w:t xml:space="preserve">On the first point, we are in agreement with some CTS scholars. Gunning provides a sensitive analysis of this problem, and calls on CTS advocates to come to terms with how they can engage policy-makers without losing their critical distance. He recognizes that </w:t>
      </w:r>
      <w:r w:rsidRPr="000C2AF1">
        <w:rPr>
          <w:rStyle w:val="StyleUnderline"/>
        </w:rPr>
        <w:t>CTS can (and should) aim to be policy-relevant, but perhaps to a different audience, including</w:t>
      </w:r>
      <w:r>
        <w:t xml:space="preserve"> non-governmental organizations (</w:t>
      </w:r>
      <w:r w:rsidRPr="000C2AF1">
        <w:rPr>
          <w:rStyle w:val="StyleUnderline"/>
        </w:rPr>
        <w:t>NGOs</w:t>
      </w:r>
      <w:r>
        <w:t>), civil society than just governments and security services. In other words, CTS aims to whisper into the ear of the prince, but it is just a different prince.</w:t>
      </w:r>
    </w:p>
    <w:p w:rsidR="00CF7074" w:rsidRDefault="00CF7074" w:rsidP="00CF7074">
      <w:r>
        <w:t xml:space="preserve">Gunning (2007a) also argues that </w:t>
      </w:r>
      <w:r w:rsidRPr="000C2AF1">
        <w:rPr>
          <w:rStyle w:val="StyleUnderline"/>
        </w:rPr>
        <w:t>research should be assessed on its own merits, for ‘just because a piece of research comes from RAND does not invalidate it; conversely, a “critical” study is not inherently good’</w:t>
      </w:r>
      <w:r>
        <w:t xml:space="preserve"> (p. 240). We agree entirely with this. </w:t>
      </w:r>
      <w:r w:rsidRPr="000C2AF1">
        <w:rPr>
          <w:rStyle w:val="StyleUnderline"/>
        </w:rPr>
        <w:t>Not all sponsored or contract research is made to ‘toe a party line’, and much of the work coming out of official government agencies or affiliated government agencies has little agenda and can be analytically useful.</w:t>
      </w:r>
      <w:r>
        <w:t xml:space="preserve"> The task of the scholar is to retain one’s sense of critical judgment and integrity, and we believe that there is no prima facie reason to assume that this cannot be done in sponsored research projects. </w:t>
      </w:r>
      <w:r w:rsidRPr="000C2AF1">
        <w:rPr>
          <w:rStyle w:val="StyleUnderline"/>
        </w:rPr>
        <w:t xml:space="preserve">What matters here are the details of the research </w:t>
      </w:r>
      <w:r>
        <w:t xml:space="preserve">– what is the purpose of the work, how will it be done, how might the work be used in policy – </w:t>
      </w:r>
      <w:r w:rsidRPr="000C2AF1">
        <w:rPr>
          <w:rStyle w:val="StyleUnderline"/>
        </w:rPr>
        <w:t>and for these questions the scholar must be self-critical and insistent on their intellectual autonomy.</w:t>
      </w:r>
      <w:r>
        <w:t xml:space="preserve"> The scholar must also be mindful of the responsibility they bear for shaping a government’s response to the problem of terrorism. </w:t>
      </w:r>
      <w:r w:rsidRPr="000C2AF1">
        <w:rPr>
          <w:rStyle w:val="StyleUnderline"/>
        </w:rPr>
        <w:t>Nothing – not the source of the funding, purpose of the research or prior empirical or theoretical commitment – obviates the need of the scholar to consider his or her own conscience carefully when engaging in work with any external actor</w:t>
      </w:r>
      <w:r>
        <w:t>. But simply engaging with governments on discrete projects does not make one an ‘embedded expert’ nor does it imply sanction to their actions.</w:t>
      </w:r>
    </w:p>
    <w:p w:rsidR="00CF7074" w:rsidRDefault="00CF7074" w:rsidP="00CF7074">
      <w:r>
        <w:t xml:space="preserve">But we also believe that </w:t>
      </w:r>
      <w:r w:rsidRPr="000C2AF1">
        <w:rPr>
          <w:rStyle w:val="StyleUnderline"/>
        </w:rPr>
        <w:t xml:space="preserve">the study of political violence lends itself to policy relevance and that those who seek to produce research that might help policy-makers reduce the rates of terrorist attack are </w:t>
      </w:r>
      <w:r w:rsidRPr="000C2AF1">
        <w:rPr>
          <w:rStyle w:val="StyleUnderline"/>
        </w:rPr>
        <w:lastRenderedPageBreak/>
        <w:t>committing no sin</w:t>
      </w:r>
      <w:r>
        <w:t xml:space="preserve">, provided that they retain their independent judgment and report their findings candidly and honestly. In the case of terrorism, we would go further to argue that </w:t>
      </w:r>
      <w:r w:rsidRPr="000C2AF1">
        <w:rPr>
          <w:rStyle w:val="StyleUnderline"/>
        </w:rPr>
        <w:t>being policy relevant is in some instances an entirely justifiable moral choice</w:t>
      </w:r>
      <w:r>
        <w:t xml:space="preserve">. For example, neither of us has any problem producing research with a morally defensible but policy relevant goal (for example, helping the British government to prevent suicide bombers from attacking the London Underground) and we do not believe that engaging in such work tarnishes one’s stature as an independent scholar. </w:t>
      </w:r>
      <w:r w:rsidRPr="000C2AF1">
        <w:rPr>
          <w:rStyle w:val="StyleUnderline"/>
        </w:rPr>
        <w:t xml:space="preserve">Implicit in the CTS literature is a deep suspicion about the state and those who engage with it. </w:t>
      </w:r>
      <w:r>
        <w:t xml:space="preserve">Such a suspicion may blind some CTS scholars to good work done by those associated with the state. But </w:t>
      </w:r>
      <w:r w:rsidRPr="000C2AF1">
        <w:rPr>
          <w:rStyle w:val="StyleUnderline"/>
        </w:rPr>
        <w:t>to assume that being ‘embedded’ in an institution linked to the ‘establishment’ consists of being captured by a state hegemonic project is too simple</w:t>
      </w:r>
      <w:r>
        <w:t xml:space="preserve">. We do not believe that scholars studying terrorism must all be policy-relevant, but equally </w:t>
      </w:r>
      <w:r w:rsidRPr="000C2AF1">
        <w:rPr>
          <w:rStyle w:val="StyleUnderline"/>
        </w:rPr>
        <w:t xml:space="preserve">we do not believe that being policy relevant should always be interpreted as writing a blank </w:t>
      </w:r>
      <w:proofErr w:type="spellStart"/>
      <w:r w:rsidRPr="000C2AF1">
        <w:rPr>
          <w:rStyle w:val="StyleUnderline"/>
        </w:rPr>
        <w:t>cheque</w:t>
      </w:r>
      <w:proofErr w:type="spellEnd"/>
      <w:r w:rsidRPr="000C2AF1">
        <w:rPr>
          <w:rStyle w:val="StyleUnderline"/>
        </w:rPr>
        <w:t xml:space="preserve"> for governments or as necessarily implicating the scholar in the </w:t>
      </w:r>
      <w:proofErr w:type="spellStart"/>
      <w:r w:rsidRPr="000C2AF1">
        <w:rPr>
          <w:rStyle w:val="StyleUnderline"/>
        </w:rPr>
        <w:t>behaviour</w:t>
      </w:r>
      <w:proofErr w:type="spellEnd"/>
      <w:r w:rsidRPr="000C2AF1">
        <w:rPr>
          <w:rStyle w:val="StyleUnderline"/>
        </w:rPr>
        <w:t xml:space="preserve"> of that government on issues unrelated to one’s work</w:t>
      </w:r>
      <w:r>
        <w:t xml:space="preserve">. Working for the US government, for instance, does not imply that the scholar sanctions or approves of the abuses at Abu Ghraib prison. </w:t>
      </w:r>
      <w:r w:rsidRPr="000C2AF1">
        <w:rPr>
          <w:rStyle w:val="StyleUnderline"/>
        </w:rPr>
        <w:t>The assumption that those who do not practice CTS are all ‘embedded’ with the ‘establishment’ and that this somehow gives the green light for states to engage in illegal activity is</w:t>
      </w:r>
      <w:r w:rsidRPr="000C2AF1">
        <w:t xml:space="preserve"> in our view </w:t>
      </w:r>
      <w:r w:rsidRPr="000C2AF1">
        <w:rPr>
          <w:rStyle w:val="StyleUnderline"/>
        </w:rPr>
        <w:t>unwarranted</w:t>
      </w:r>
      <w:r>
        <w:t>, to say the very least.</w:t>
      </w:r>
    </w:p>
    <w:p w:rsidR="00CF7074" w:rsidRPr="00764D5E" w:rsidRDefault="00CF7074" w:rsidP="00CF7074">
      <w:pPr>
        <w:rPr>
          <w:u w:val="single"/>
        </w:rPr>
      </w:pPr>
      <w:r>
        <w:t xml:space="preserve">The limits of this moral responsibility are overlooked in current CTS work; indeed, if anything there is an attempt to inflate the policy relevance that terrorism scholars have. </w:t>
      </w:r>
      <w:r w:rsidRPr="000C2AF1">
        <w:rPr>
          <w:rStyle w:val="StyleUnderline"/>
        </w:rPr>
        <w:t>Jackson</w:t>
      </w:r>
      <w:r>
        <w:t xml:space="preserve"> (2007c) </w:t>
      </w:r>
      <w:r w:rsidRPr="000C2AF1">
        <w:rPr>
          <w:rStyle w:val="StyleUnderline"/>
        </w:rPr>
        <w:t xml:space="preserve">alleges that ‘the direction of domestic counter-terrorism policies’ are ‘to a large degree based on orthodox terrorism studies research’ </w:t>
      </w:r>
      <w:r>
        <w:t xml:space="preserve">(p. 225). </w:t>
      </w:r>
      <w:r w:rsidRPr="000C2AF1">
        <w:rPr>
          <w:rStyle w:val="StyleUnderline"/>
        </w:rPr>
        <w:t xml:space="preserve">Yet he provides no examples, let alone evidence </w:t>
      </w:r>
      <w:r>
        <w:t xml:space="preserve">for this claim. Jackson further alleges ‘terrorism studies actually provides an authoritative judgment about who may legitimately be killed, tortured, rendered or incarcerated by the state in the name of counter-terrorism’ (p. 249). Again, there is a tension here: </w:t>
      </w:r>
      <w:r w:rsidRPr="000C2AF1">
        <w:rPr>
          <w:rStyle w:val="StyleUnderline"/>
        </w:rPr>
        <w:t>Jackson conjures an image of terrorism studies which no matter its conceptual and empirical flaws is somehow able to influence governments to the point of constructing who is and is not a legitimate target</w:t>
      </w:r>
      <w:r>
        <w:t xml:space="preserve">. </w:t>
      </w:r>
      <w:r w:rsidRPr="000C2AF1">
        <w:rPr>
          <w:rStyle w:val="StyleUnderline"/>
        </w:rPr>
        <w:t>This implies that not only is there a secret cabal of terrorism researchers quietly pulling the strings of government, but also that those engaged in terrorism research sanction abuse of human rights and state directed violence</w:t>
      </w:r>
      <w:r>
        <w:t xml:space="preserve">. This implies a measure of bad faith on the part of some terrorism researchers, and we believe that </w:t>
      </w:r>
      <w:r w:rsidRPr="000C2AF1">
        <w:rPr>
          <w:rStyle w:val="StyleUnderline"/>
        </w:rPr>
        <w:t>CTS advocates should offer a more nuanced portrayal of those engaged in policy relevant search than this assessment allows.</w:t>
      </w:r>
    </w:p>
    <w:p w:rsidR="00CF7074" w:rsidRDefault="00CF7074" w:rsidP="00CF7074">
      <w:pPr>
        <w:pStyle w:val="Heading4"/>
      </w:pPr>
      <w:r>
        <w:t>The criticism breaks down intellectual cooperation and creates false dualisms that wreck progress</w:t>
      </w:r>
    </w:p>
    <w:p w:rsidR="00CF7074" w:rsidRPr="00EC1C45" w:rsidRDefault="00CF7074" w:rsidP="00CF7074">
      <w:pPr>
        <w:rPr>
          <w:rStyle w:val="Style13ptBold"/>
          <w:b w:val="0"/>
        </w:rPr>
      </w:pPr>
      <w:r w:rsidRPr="00EC1C45">
        <w:rPr>
          <w:rStyle w:val="Style13ptBold"/>
          <w:b w:val="0"/>
        </w:rPr>
        <w:t xml:space="preserve">Michael J. </w:t>
      </w:r>
      <w:r w:rsidRPr="00EC1C45">
        <w:rPr>
          <w:rStyle w:val="Style13ptBold"/>
        </w:rPr>
        <w:t>Boyle</w:t>
      </w:r>
      <w:r w:rsidRPr="00EC1C45">
        <w:rPr>
          <w:rStyle w:val="Style13ptBold"/>
          <w:b w:val="0"/>
        </w:rPr>
        <w:t xml:space="preserve"> </w:t>
      </w:r>
      <w:r w:rsidRPr="00EC1C45">
        <w:rPr>
          <w:rStyle w:val="Style13ptBold"/>
        </w:rPr>
        <w:t>and</w:t>
      </w:r>
      <w:r w:rsidRPr="00EC1C45">
        <w:rPr>
          <w:rStyle w:val="Style13ptBold"/>
          <w:b w:val="0"/>
        </w:rPr>
        <w:t xml:space="preserve"> John </w:t>
      </w:r>
      <w:proofErr w:type="spellStart"/>
      <w:r w:rsidRPr="00EC1C45">
        <w:rPr>
          <w:rStyle w:val="Style13ptBold"/>
        </w:rPr>
        <w:t>Horgan</w:t>
      </w:r>
      <w:proofErr w:type="spellEnd"/>
      <w:r w:rsidRPr="00EC1C45">
        <w:rPr>
          <w:rStyle w:val="Style13ptBold"/>
          <w:b w:val="0"/>
        </w:rPr>
        <w:t xml:space="preserve"> </w:t>
      </w:r>
      <w:r w:rsidRPr="00EC1C45">
        <w:rPr>
          <w:rStyle w:val="Style13ptBold"/>
        </w:rPr>
        <w:t>8</w:t>
      </w:r>
      <w:r w:rsidRPr="00EC1C45">
        <w:rPr>
          <w:rStyle w:val="Style13ptBold"/>
          <w:b w:val="0"/>
        </w:rPr>
        <w:t>, School of International Relations, University of St. Andrews, and, International Center for the Study of Terrorism, Department of Psychology, Pennsylvania State University, April 2008, “A Case Against Critical Terrorism Studies,” Critical Studies On Terrorism, Vol. 1, No. 1, p. 51-64</w:t>
      </w:r>
    </w:p>
    <w:p w:rsidR="00CF7074" w:rsidRDefault="00CF7074" w:rsidP="00CF7074">
      <w:r w:rsidRPr="00F6160B">
        <w:t>J</w:t>
      </w:r>
      <w:r w:rsidRPr="00F6160B">
        <w:rPr>
          <w:rStyle w:val="StyleUnderline"/>
        </w:rPr>
        <w:t>ackson</w:t>
      </w:r>
      <w:r w:rsidRPr="00F6160B">
        <w:t xml:space="preserve"> and his colleagues </w:t>
      </w:r>
      <w:r w:rsidRPr="00F6160B">
        <w:rPr>
          <w:rStyle w:val="StyleUnderline"/>
        </w:rPr>
        <w:t xml:space="preserve">argue ‘the case for critical terrorism studies depends in the first instance on </w:t>
      </w:r>
      <w:r w:rsidRPr="00F6160B">
        <w:t xml:space="preserve">a credible and compelling </w:t>
      </w:r>
      <w:r w:rsidRPr="00F6160B">
        <w:rPr>
          <w:rStyle w:val="StyleUnderline"/>
        </w:rPr>
        <w:t>critique</w:t>
      </w:r>
      <w:r w:rsidRPr="00F6160B">
        <w:t xml:space="preserve"> of the current state </w:t>
      </w:r>
      <w:r w:rsidRPr="00F6160B">
        <w:rPr>
          <w:rStyle w:val="StyleUnderline"/>
        </w:rPr>
        <w:t>of orthodox terrorism studies’</w:t>
      </w:r>
      <w:r>
        <w:t xml:space="preserve"> (Jackson 2007c, p. 226). </w:t>
      </w:r>
      <w:r w:rsidRPr="00F6160B">
        <w:rPr>
          <w:rStyle w:val="StyleUnderline"/>
        </w:rPr>
        <w:t>We are not yet convinced. Limited, narrowly selective literature reviews, based in part on research surveys conducted in the 1980s, do not constitute valid grounds on which to develop assertions about the scope and focus of research in this field in 2007.</w:t>
      </w:r>
      <w:r>
        <w:t xml:space="preserve"> In some instances, we believe that </w:t>
      </w:r>
      <w:r w:rsidRPr="00F6160B">
        <w:rPr>
          <w:rStyle w:val="StyleUnderline"/>
        </w:rPr>
        <w:t>the case for CTS has been built on an aggressive reading of the most easily identifiable limitations of the progress of terrorism research, and has downplayed the difficulties associated with research</w:t>
      </w:r>
      <w:r>
        <w:t xml:space="preserve"> (specifically, the </w:t>
      </w:r>
      <w:r>
        <w:lastRenderedPageBreak/>
        <w:t xml:space="preserve">natural limits of the data). </w:t>
      </w:r>
      <w:r w:rsidRPr="00F6160B">
        <w:rPr>
          <w:rStyle w:val="StyleUnderline"/>
        </w:rPr>
        <w:t>The ‘core set of concerns’ have already been articulated by the very people CTS advocates identify with the ‘orthodoxy’, thus undermining the claim that CTS is fundamentally ‘different’</w:t>
      </w:r>
      <w:r>
        <w:t>. It might be difficult for some proponents of CTS to accept, but perhaps we are not so different after all.</w:t>
      </w:r>
    </w:p>
    <w:p w:rsidR="00CF7074" w:rsidRDefault="00CF7074" w:rsidP="00CF7074">
      <w:r w:rsidRPr="00F6160B">
        <w:rPr>
          <w:rStyle w:val="StyleUnderline"/>
        </w:rPr>
        <w:t>This raises the question of why we need an explicitly CTS approach at all.</w:t>
      </w:r>
      <w:r>
        <w:t xml:space="preserve"> </w:t>
      </w:r>
      <w:r w:rsidRPr="00F6160B">
        <w:rPr>
          <w:rStyle w:val="StyleUnderline"/>
        </w:rPr>
        <w:t>It is</w:t>
      </w:r>
      <w:r>
        <w:t xml:space="preserve"> manifestly </w:t>
      </w:r>
      <w:r w:rsidRPr="00F6160B">
        <w:rPr>
          <w:rStyle w:val="StyleUnderline"/>
        </w:rPr>
        <w:t>clear from the papers</w:t>
      </w:r>
      <w:r>
        <w:t xml:space="preserve"> produced under the CTS banner so far that </w:t>
      </w:r>
      <w:r w:rsidRPr="00F6160B">
        <w:rPr>
          <w:rStyle w:val="StyleUnderline"/>
        </w:rPr>
        <w:t>this is an intellectual project, designed to reclaim ‘terrorism’ from ‘orthodox terrorism scholarship’ and to insist on a different interpretation of its context and causes. But in calling for the establishment of an explicitly ‘critical’ terrorism studies,</w:t>
      </w:r>
      <w:r w:rsidRPr="00F6160B">
        <w:t xml:space="preserve"> the </w:t>
      </w:r>
      <w:r w:rsidRPr="00F6160B">
        <w:rPr>
          <w:rStyle w:val="StyleUnderline"/>
        </w:rPr>
        <w:t>onus of responsibility is on its advocates to make a clear case</w:t>
      </w:r>
      <w:r>
        <w:t xml:space="preserve"> for not only how this is justified, and with appropriate, transparent, and clearly articulated evidence, but also </w:t>
      </w:r>
      <w:r w:rsidRPr="00F6160B">
        <w:rPr>
          <w:rStyle w:val="StyleUnderline"/>
        </w:rPr>
        <w:t>to demonstrate how the concerns implicitly claimed to be characteristic of CTS, are sufficient to distinguish it from what it says is the ‘orthodoxy’</w:t>
      </w:r>
      <w:r>
        <w:t>, which presumably is bereft of such concerns. We do not believe this case has been fully made in work published so far.</w:t>
      </w:r>
    </w:p>
    <w:p w:rsidR="00CF7074" w:rsidRDefault="00CF7074" w:rsidP="00CF7074">
      <w:r>
        <w:t xml:space="preserve">Instead, we believe that some </w:t>
      </w:r>
      <w:r w:rsidRPr="00F6160B">
        <w:rPr>
          <w:rStyle w:val="StyleUnderline"/>
        </w:rPr>
        <w:t>CTS advocates have</w:t>
      </w:r>
      <w:r>
        <w:t xml:space="preserve"> – rather ironically – </w:t>
      </w:r>
      <w:r w:rsidRPr="00F6160B">
        <w:rPr>
          <w:rStyle w:val="StyleUnderline"/>
        </w:rPr>
        <w:t>created a false dualism, between ‘them’ and ‘us’ which overlooks the similarities between both camps.</w:t>
      </w:r>
      <w:r>
        <w:t xml:space="preserve"> One particularly strand of critical theory – represented in International Relations by the work of Rob Walker – is focused on breaking down false dualisms, like inside/outside, identity/difference, time/space, among others (Walker 1993, also </w:t>
      </w:r>
      <w:proofErr w:type="spellStart"/>
      <w:r>
        <w:t>Rengger</w:t>
      </w:r>
      <w:proofErr w:type="spellEnd"/>
      <w:r>
        <w:t xml:space="preserve"> and </w:t>
      </w:r>
      <w:proofErr w:type="spellStart"/>
      <w:r>
        <w:t>ThirkellWhite</w:t>
      </w:r>
      <w:proofErr w:type="spellEnd"/>
      <w:r>
        <w:t xml:space="preserve"> 2007, p. 10). This raises an unsettling question. Will the creation of CTS – as a mirror image of ‘terrorism studies’ in its critique of the field – just replicate another unhelpful dualism? Is this not at odds with the point of critical theory, that is, to embrace open dialogue and to envisage a community (in this case, of scholars) that does not exclude alternative views?</w:t>
      </w:r>
    </w:p>
    <w:p w:rsidR="00CF7074" w:rsidRDefault="00CF7074" w:rsidP="00CF7074">
      <w:r w:rsidRPr="00F6160B">
        <w:rPr>
          <w:rStyle w:val="StyleUnderline"/>
        </w:rPr>
        <w:t>Jackson and others recognize this problem, and are concerned about the: potentially fraught intellectual struggle and there are many dangers</w:t>
      </w:r>
      <w:r>
        <w:t xml:space="preserve"> along the way</w:t>
      </w:r>
      <w:r w:rsidRPr="00F6160B">
        <w:rPr>
          <w:rStyle w:val="StyleUnderline"/>
        </w:rPr>
        <w:t>, not least that CTS will fail to engage with Orthodox Terrorism Studies scholars and security officials and instead evolve into an exclusionary</w:t>
      </w:r>
      <w:r>
        <w:t xml:space="preserve"> and marginalized, </w:t>
      </w:r>
      <w:proofErr w:type="spellStart"/>
      <w:r>
        <w:t>ghettoised</w:t>
      </w:r>
      <w:proofErr w:type="spellEnd"/>
      <w:r>
        <w:t xml:space="preserve"> </w:t>
      </w:r>
      <w:r w:rsidRPr="00F6160B">
        <w:rPr>
          <w:rStyle w:val="StyleUnderline"/>
        </w:rPr>
        <w:t>subfield</w:t>
      </w:r>
      <w:r>
        <w:t>. It will be the responsibility of both “critical” and “orthodox” terrorism scholars to ensure that this does not occur, but that through rigorous and respectful dialogue the broader field is invigorated and revitalized. (Jackson 2007b, p. 227)</w:t>
      </w:r>
    </w:p>
    <w:p w:rsidR="00CF7074" w:rsidRPr="00F6160B" w:rsidRDefault="00CF7074" w:rsidP="00CF7074">
      <w:r>
        <w:t xml:space="preserve">On this point, we agree. But </w:t>
      </w:r>
      <w:r w:rsidRPr="00F6160B">
        <w:rPr>
          <w:rStyle w:val="StyleUnderline"/>
        </w:rPr>
        <w:t>we have to ask the fundamental question: why create the dualism in the first place, by fostering a camp of scholars with strong prior theoretical or ideological commitments if it leads scholars with the same goals to not engage seriously with one another</w:t>
      </w:r>
      <w:r>
        <w:t xml:space="preserve">? To avoid this outcome, </w:t>
      </w:r>
      <w:r w:rsidRPr="00F6160B">
        <w:rPr>
          <w:rStyle w:val="StyleUnderline"/>
        </w:rPr>
        <w:t>CTS advocates will need to engage seriously and fairly with the rest of ‘us’ in their research. But to do this they will need to offer a respectful but critical reading of current research on terrorism</w:t>
      </w:r>
      <w:r>
        <w:t>. We will do our best to promote the same respectful dialogue, and we hope that this critical reading of the current CTS work is taken in that light.</w:t>
      </w:r>
    </w:p>
    <w:p w:rsidR="00CF7074" w:rsidRDefault="00CF7074" w:rsidP="00CF7074">
      <w:pPr>
        <w:pStyle w:val="Heading4"/>
      </w:pPr>
      <w:r>
        <w:t>Our studies use robust methodology and bear no resemblance to the warmongering they critique</w:t>
      </w:r>
    </w:p>
    <w:p w:rsidR="00CF7074" w:rsidRPr="00EC1C45" w:rsidRDefault="00CF7074" w:rsidP="00CF7074">
      <w:pPr>
        <w:rPr>
          <w:rStyle w:val="Style13ptBold"/>
          <w:b w:val="0"/>
        </w:rPr>
      </w:pPr>
      <w:r w:rsidRPr="00EC1C45">
        <w:rPr>
          <w:rStyle w:val="Style13ptBold"/>
          <w:b w:val="0"/>
        </w:rPr>
        <w:t xml:space="preserve">Michael J. </w:t>
      </w:r>
      <w:r w:rsidRPr="00EC1C45">
        <w:rPr>
          <w:rStyle w:val="Style13ptBold"/>
        </w:rPr>
        <w:t>Boyle</w:t>
      </w:r>
      <w:r w:rsidRPr="00EC1C45">
        <w:rPr>
          <w:rStyle w:val="Style13ptBold"/>
          <w:b w:val="0"/>
        </w:rPr>
        <w:t xml:space="preserve"> </w:t>
      </w:r>
      <w:r w:rsidRPr="00EC1C45">
        <w:rPr>
          <w:rStyle w:val="Style13ptBold"/>
        </w:rPr>
        <w:t>and</w:t>
      </w:r>
      <w:r w:rsidRPr="00EC1C45">
        <w:rPr>
          <w:rStyle w:val="Style13ptBold"/>
          <w:b w:val="0"/>
        </w:rPr>
        <w:t xml:space="preserve"> John </w:t>
      </w:r>
      <w:proofErr w:type="spellStart"/>
      <w:r w:rsidRPr="00EC1C45">
        <w:rPr>
          <w:rStyle w:val="Style13ptBold"/>
        </w:rPr>
        <w:t>Horgan</w:t>
      </w:r>
      <w:proofErr w:type="spellEnd"/>
      <w:r w:rsidRPr="00EC1C45">
        <w:rPr>
          <w:rStyle w:val="Style13ptBold"/>
          <w:b w:val="0"/>
        </w:rPr>
        <w:t xml:space="preserve"> </w:t>
      </w:r>
      <w:r w:rsidRPr="00EC1C45">
        <w:rPr>
          <w:rStyle w:val="Style13ptBold"/>
        </w:rPr>
        <w:t>8</w:t>
      </w:r>
      <w:r w:rsidRPr="00EC1C45">
        <w:rPr>
          <w:rStyle w:val="Style13ptBold"/>
          <w:b w:val="0"/>
        </w:rPr>
        <w:t>, School of International Relations, University of St. Andrews, and, International Center for the Study of Terrorism, Department of Psychology, Pennsylvania State University, April 2008, “A Case Against Critical Terrorism Studies,” Critical Studies On Terrorism, Vol. 1, No. 1, p. 51-64</w:t>
      </w:r>
    </w:p>
    <w:p w:rsidR="00CF7074" w:rsidRPr="00884A5C" w:rsidRDefault="00CF7074" w:rsidP="00CF7074">
      <w:r w:rsidRPr="00884A5C">
        <w:lastRenderedPageBreak/>
        <w:t xml:space="preserve">The </w:t>
      </w:r>
      <w:r w:rsidRPr="00884A5C">
        <w:rPr>
          <w:rStyle w:val="StyleUnderline"/>
        </w:rPr>
        <w:t>call for an explicitly CTS carries with it the assumption that is represents a departure from what can only be assumed to be uncritical terrorism studies</w:t>
      </w:r>
      <w:r w:rsidRPr="00884A5C">
        <w:t>. Jackson’s allegation that</w:t>
      </w:r>
      <w:r>
        <w:t xml:space="preserve"> </w:t>
      </w:r>
      <w:r w:rsidRPr="00884A5C">
        <w:t>he has laid out the basis for a ‘multi-level critique of the field’ is not yet convincing to us</w:t>
      </w:r>
      <w:r>
        <w:t xml:space="preserve"> </w:t>
      </w:r>
      <w:r w:rsidRPr="00884A5C">
        <w:t>(Jackson 2007c, p. 250</w:t>
      </w:r>
      <w:r w:rsidRPr="00884A5C">
        <w:rPr>
          <w:rStyle w:val="StyleUnderline"/>
        </w:rPr>
        <w:t>). What CTS has produced so far is not</w:t>
      </w:r>
      <w:r w:rsidRPr="00884A5C">
        <w:t xml:space="preserve"> always </w:t>
      </w:r>
      <w:r w:rsidRPr="00884A5C">
        <w:rPr>
          <w:rStyle w:val="StyleUnderline"/>
        </w:rPr>
        <w:t xml:space="preserve">grounded in a </w:t>
      </w:r>
      <w:proofErr w:type="spellStart"/>
      <w:r w:rsidRPr="00884A5C">
        <w:rPr>
          <w:rStyle w:val="StyleUnderline"/>
        </w:rPr>
        <w:t>fairminded</w:t>
      </w:r>
      <w:proofErr w:type="spellEnd"/>
      <w:r w:rsidRPr="00884A5C">
        <w:rPr>
          <w:rStyle w:val="StyleUnderline"/>
        </w:rPr>
        <w:t xml:space="preserve"> appraisal of a complex, multi-disciplinary, inter-disciplinary</w:t>
      </w:r>
      <w:r w:rsidRPr="00884A5C">
        <w:t xml:space="preserve"> – though often</w:t>
      </w:r>
      <w:r>
        <w:t xml:space="preserve"> </w:t>
      </w:r>
      <w:r w:rsidRPr="00884A5C">
        <w:t xml:space="preserve">flawed or imperfect – </w:t>
      </w:r>
      <w:r w:rsidRPr="00884A5C">
        <w:rPr>
          <w:rStyle w:val="StyleUnderline"/>
        </w:rPr>
        <w:t xml:space="preserve">field of study. This is a field rife with conceptual development, yet in some CTS accounts it finds itself criticized for failing to meet standards ‘it’ could not possibly aspire to be even if ‘it’ wanted. </w:t>
      </w:r>
      <w:r w:rsidRPr="00884A5C">
        <w:t xml:space="preserve">For better or worse, </w:t>
      </w:r>
      <w:r w:rsidRPr="00884A5C">
        <w:rPr>
          <w:rStyle w:val="StyleUnderline"/>
        </w:rPr>
        <w:t>research work on terrorism is growing at exponential rates, and what has emerged as a critique of today’s terrorism research is not convincing to those familiar with the progress that terrorism research has made</w:t>
      </w:r>
      <w:r w:rsidRPr="00884A5C">
        <w:t>, especially recently.</w:t>
      </w:r>
    </w:p>
    <w:p w:rsidR="00CF7074" w:rsidRDefault="00CF7074" w:rsidP="00CF7074">
      <w:pPr>
        <w:rPr>
          <w:rStyle w:val="StyleUnderline"/>
        </w:rPr>
      </w:pPr>
      <w:r w:rsidRPr="00884A5C">
        <w:t>Jackson and other CTS advocates are correct; any ‘orthodoxy’ should be challenged.</w:t>
      </w:r>
      <w:r>
        <w:t xml:space="preserve"> </w:t>
      </w:r>
      <w:r w:rsidRPr="00884A5C">
        <w:t xml:space="preserve">But as we have attempted to demonstrate in the preceding discussion, </w:t>
      </w:r>
      <w:r w:rsidRPr="00884A5C">
        <w:rPr>
          <w:rStyle w:val="StyleUnderline"/>
        </w:rPr>
        <w:t>throughout the history of research on terrorism over the past forty years, there really is no ‘orthodoxy’ worthy of the name to be found.</w:t>
      </w:r>
      <w:r w:rsidRPr="00884A5C">
        <w:t xml:space="preserve"> There may well be some methodological orientations or</w:t>
      </w:r>
      <w:r>
        <w:t xml:space="preserve"> </w:t>
      </w:r>
      <w:r w:rsidRPr="00884A5C">
        <w:t>theoretical overtures that aspire to dominance, and of course these can (and should) be</w:t>
      </w:r>
      <w:r>
        <w:t xml:space="preserve"> </w:t>
      </w:r>
      <w:r w:rsidRPr="00884A5C">
        <w:t>debated and challenged, but this is a much more general point and not reducible to a single</w:t>
      </w:r>
      <w:r>
        <w:t xml:space="preserve"> </w:t>
      </w:r>
      <w:r w:rsidRPr="00884A5C">
        <w:t>portrayal of ‘terrorism studies’.</w:t>
      </w:r>
      <w:r w:rsidRPr="00884A5C">
        <w:rPr>
          <w:rStyle w:val="StyleUnderline"/>
        </w:rPr>
        <w:t xml:space="preserve"> The challenge facing CTS is to offer a fully informed theoretical position, or set of related positions. We believe that a critical theory approach to terrorism studies can deliver such a theoretical position, but only with a full review of the literature without undue theoretical or ideological prejudices </w:t>
      </w:r>
      <w:r w:rsidRPr="00884A5C">
        <w:t>(literally, of course, prejudgments),</w:t>
      </w:r>
      <w:r>
        <w:t xml:space="preserve"> </w:t>
      </w:r>
      <w:r w:rsidRPr="00884A5C">
        <w:t>and with due respect to the efforts of those CTS advocates claim represent a</w:t>
      </w:r>
      <w:r>
        <w:t xml:space="preserve"> </w:t>
      </w:r>
      <w:r w:rsidRPr="00884A5C">
        <w:t xml:space="preserve">different set of concerns and values than they do. </w:t>
      </w:r>
      <w:r w:rsidRPr="00884A5C">
        <w:rPr>
          <w:rStyle w:val="StyleUnderline"/>
        </w:rPr>
        <w:t>And we say to CTS proponents directly – if this is done, you will discover that you have more in common with us than you believe.</w:t>
      </w:r>
    </w:p>
    <w:p w:rsidR="00CF7074" w:rsidRDefault="00CF7074" w:rsidP="00CF7074">
      <w:pPr>
        <w:pStyle w:val="Heading4"/>
      </w:pPr>
      <w:r>
        <w:t>The terror threat is real and increasing-Their studies are not based in facts</w:t>
      </w:r>
    </w:p>
    <w:p w:rsidR="00CF7074" w:rsidRPr="00513299" w:rsidRDefault="00CF7074" w:rsidP="00CF7074">
      <w:pPr>
        <w:rPr>
          <w:rStyle w:val="Style13ptBold"/>
          <w:b w:val="0"/>
        </w:rPr>
      </w:pPr>
      <w:r w:rsidRPr="00513299">
        <w:rPr>
          <w:rStyle w:val="Style13ptBold"/>
          <w:b w:val="0"/>
        </w:rPr>
        <w:t>Alex P. </w:t>
      </w:r>
      <w:proofErr w:type="spellStart"/>
      <w:r w:rsidRPr="00513299">
        <w:rPr>
          <w:rStyle w:val="Style13ptBold"/>
        </w:rPr>
        <w:t>Schmid</w:t>
      </w:r>
      <w:proofErr w:type="spellEnd"/>
      <w:r w:rsidRPr="00513299">
        <w:rPr>
          <w:rStyle w:val="Style13ptBold"/>
        </w:rPr>
        <w:t xml:space="preserve"> 9,</w:t>
      </w:r>
      <w:r w:rsidRPr="00513299">
        <w:rPr>
          <w:rStyle w:val="Style13ptBold"/>
          <w:b w:val="0"/>
        </w:rPr>
        <w:t xml:space="preserve"> senior research fellow at the Center for the Study of Social Conflicts, University of Leiden, 2009, Perspectives on Terrorism, Vol. 3, No. 4, </w:t>
      </w:r>
      <w:hyperlink r:id="rId6" w:tgtFrame="_blank" w:history="1">
        <w:r w:rsidRPr="00513299">
          <w:rPr>
            <w:rStyle w:val="Style13ptBold"/>
            <w:b w:val="0"/>
          </w:rPr>
          <w:t>http://www.terrorismanalysts.com/pt/index.php/pot/article/view/83/html</w:t>
        </w:r>
      </w:hyperlink>
    </w:p>
    <w:p w:rsidR="00CF7074" w:rsidRPr="001678E2" w:rsidRDefault="00CF7074" w:rsidP="00CF7074">
      <w:r w:rsidRPr="001678E2">
        <w:t xml:space="preserve">In the late 1960s traditional War and Peace Studies were challenged on the European continent by "critical </w:t>
      </w:r>
      <w:proofErr w:type="spellStart"/>
      <w:r w:rsidRPr="001678E2">
        <w:t>polemologists</w:t>
      </w:r>
      <w:proofErr w:type="spellEnd"/>
      <w:r w:rsidRPr="001678E2">
        <w:t xml:space="preserve">". </w:t>
      </w:r>
      <w:r w:rsidRPr="001678E2">
        <w:rPr>
          <w:rStyle w:val="StyleUnderline"/>
        </w:rPr>
        <w:t>Today, "Orthodox Terrorism Studies" are challenged by "Critical Terrorism Studies"</w:t>
      </w:r>
      <w:r w:rsidRPr="001678E2">
        <w:t xml:space="preserve"> (CTS</w:t>
      </w:r>
      <w:proofErr w:type="gramStart"/>
      <w:r w:rsidRPr="001678E2">
        <w:t>) .</w:t>
      </w:r>
      <w:proofErr w:type="gramEnd"/>
      <w:r w:rsidRPr="001678E2">
        <w:t xml:space="preserve"> The critical </w:t>
      </w:r>
      <w:proofErr w:type="spellStart"/>
      <w:r w:rsidRPr="001678E2">
        <w:t>polemologists</w:t>
      </w:r>
      <w:proofErr w:type="spellEnd"/>
      <w:r w:rsidRPr="001678E2">
        <w:t xml:space="preserve"> who </w:t>
      </w:r>
      <w:proofErr w:type="spellStart"/>
      <w:r w:rsidRPr="001678E2">
        <w:t>criticised</w:t>
      </w:r>
      <w:proofErr w:type="spellEnd"/>
      <w:r w:rsidRPr="001678E2">
        <w:t xml:space="preserve"> almost exclusively NATO but not the Warsaw Pact have disappeared long ago. </w:t>
      </w:r>
      <w:r w:rsidRPr="001678E2">
        <w:rPr>
          <w:rStyle w:val="StyleUnderline"/>
        </w:rPr>
        <w:t>Critical Terrorism Studies tend to be equally one-eyed by being "critical" mainly about Western counter-terrorism rather than focusing also on non-state terrorism. Ideology plays a large role such disputes.</w:t>
      </w:r>
      <w:r w:rsidRPr="001678E2">
        <w:t xml:space="preserve"> For many of the CTS scholars "objective social science …is a hegemonic project to sustain the status quo" (</w:t>
      </w:r>
      <w:proofErr w:type="spellStart"/>
      <w:r w:rsidRPr="001678E2">
        <w:t>H.Toros</w:t>
      </w:r>
      <w:proofErr w:type="spellEnd"/>
      <w:r w:rsidRPr="001678E2">
        <w:t xml:space="preserve"> &amp; J. Gunning, p. 106) while "CTS is at heart an anti-hegemonic project" (R. Jackson et al, p. 227).</w:t>
      </w:r>
    </w:p>
    <w:p w:rsidR="00CF7074" w:rsidRDefault="00CF7074" w:rsidP="00CF7074">
      <w:r w:rsidRPr="001678E2">
        <w:rPr>
          <w:rStyle w:val="StyleUnderline"/>
        </w:rPr>
        <w:t>The editors accuse</w:t>
      </w:r>
      <w:r w:rsidRPr="001678E2">
        <w:t>, in their introduction "the orthodox field" of</w:t>
      </w:r>
      <w:r w:rsidRPr="001678E2">
        <w:rPr>
          <w:rStyle w:val="StyleUnderline"/>
        </w:rPr>
        <w:t xml:space="preserve"> orthodox terrorism studies of functioning "ideologically in the service of existing power structures", with their academic research</w:t>
      </w:r>
      <w:r w:rsidRPr="001678E2">
        <w:t xml:space="preserve">. Furthermore, they claim that orthodox scholars are frequently being used "to </w:t>
      </w:r>
      <w:proofErr w:type="spellStart"/>
      <w:r w:rsidRPr="001678E2">
        <w:t>legitimise</w:t>
      </w:r>
      <w:proofErr w:type="spellEnd"/>
      <w:r w:rsidRPr="001678E2">
        <w:t xml:space="preserve"> coercive intervention in the global South…." (p.6). The present volume is edited by three authors associated with the Centre for the Study of </w:t>
      </w:r>
      <w:proofErr w:type="spellStart"/>
      <w:r w:rsidRPr="001678E2">
        <w:t>Radicalisation</w:t>
      </w:r>
      <w:proofErr w:type="spellEnd"/>
      <w:r w:rsidRPr="001678E2">
        <w:t xml:space="preserve"> and Contemporary Political Violence (CSRV) in the Department of International Politics in </w:t>
      </w:r>
      <w:proofErr w:type="spellStart"/>
      <w:r w:rsidRPr="001678E2">
        <w:t>Aberystwyth</w:t>
      </w:r>
      <w:proofErr w:type="spellEnd"/>
      <w:r w:rsidRPr="001678E2">
        <w:t xml:space="preserve"> (Wales, UK). They also happen to be editors of a new Routledge journal "Critical Studies on </w:t>
      </w:r>
      <w:proofErr w:type="gramStart"/>
      <w:r w:rsidRPr="001678E2">
        <w:t>Terrorism' .</w:t>
      </w:r>
      <w:proofErr w:type="gramEnd"/>
      <w:r w:rsidRPr="001678E2">
        <w:t xml:space="preserve"> The "critical" refers principally but not exclusively to the "Frankfurt-via-Welsh School Critical Theory Perspective". The twelve contributors are not all equally </w:t>
      </w:r>
      <w:r w:rsidRPr="001678E2">
        <w:lastRenderedPageBreak/>
        <w:t>"critical" in a</w:t>
      </w:r>
      <w:r>
        <w:t xml:space="preserve"> </w:t>
      </w:r>
      <w:proofErr w:type="spellStart"/>
      <w:r w:rsidRPr="001678E2">
        <w:t>Habermasian</w:t>
      </w:r>
      <w:proofErr w:type="spellEnd"/>
      <w:r w:rsidRPr="001678E2">
        <w:t xml:space="preserve"> sense. The programmatic introduction of the editors is followed by two solid chapters from Magnus </w:t>
      </w:r>
      <w:proofErr w:type="spellStart"/>
      <w:r w:rsidRPr="001678E2">
        <w:t>Ranstorp</w:t>
      </w:r>
      <w:proofErr w:type="spellEnd"/>
      <w:r w:rsidRPr="001678E2">
        <w:t xml:space="preserve"> (former Director of CSTPV, St. Andrews, and currently Director of the Centre for Asymmetric Threat Studies at the Swedish National </w:t>
      </w:r>
      <w:proofErr w:type="spellStart"/>
      <w:r w:rsidRPr="001678E2">
        <w:t>Defence</w:t>
      </w:r>
      <w:proofErr w:type="spellEnd"/>
      <w:r w:rsidRPr="001678E2">
        <w:t xml:space="preserve"> College) and Andrew </w:t>
      </w:r>
      <w:proofErr w:type="spellStart"/>
      <w:r w:rsidRPr="001678E2">
        <w:t>Silke</w:t>
      </w:r>
      <w:proofErr w:type="spellEnd"/>
      <w:r w:rsidRPr="001678E2">
        <w:t xml:space="preserve"> (formerly with the UK Home Office and now Field Leader for Criminology at the University of East London). </w:t>
      </w:r>
      <w:r w:rsidRPr="001678E2">
        <w:rPr>
          <w:rStyle w:val="StyleUnderline"/>
        </w:rPr>
        <w:t>They both rightfully criticize some of the past sins and present shortcomings of the field of Terrorism Studies</w:t>
      </w:r>
      <w:r w:rsidRPr="001678E2">
        <w:t xml:space="preserve">. One of them approvingly quotes Marc </w:t>
      </w:r>
      <w:proofErr w:type="spellStart"/>
      <w:r w:rsidRPr="001678E2">
        <w:t>Sageman</w:t>
      </w:r>
      <w:proofErr w:type="spellEnd"/>
      <w:r w:rsidRPr="001678E2">
        <w:t xml:space="preserve"> who observed that "disagreements among experts are the driving force of the scientific enterprise". </w:t>
      </w:r>
      <w:r w:rsidRPr="001678E2">
        <w:rPr>
          <w:rStyle w:val="StyleUnderline"/>
        </w:rPr>
        <w:t>Such disagreements, however, exist among "orthodox" scholars</w:t>
      </w:r>
      <w:r w:rsidRPr="001678E2">
        <w:t xml:space="preserve"> like </w:t>
      </w:r>
      <w:proofErr w:type="spellStart"/>
      <w:r w:rsidRPr="001678E2">
        <w:t>Sageman</w:t>
      </w:r>
      <w:proofErr w:type="spellEnd"/>
      <w:r w:rsidRPr="001678E2">
        <w:t xml:space="preserve"> and Hoffman or Pape and Abrams. In that sense, </w:t>
      </w:r>
      <w:r w:rsidRPr="001678E2">
        <w:rPr>
          <w:rStyle w:val="StyleUnderline"/>
        </w:rPr>
        <w:t>the claim by some critical theorists that the field of traditional Terrorism Studies is ossified without them, is simply is not true. One of the problems with many of the adherents of the "critical" school is that the focus is almost exclusively on the strawman they set up to shoot - "orthodox" terrorism discourse rather than on the practitioners of terrorism</w:t>
      </w:r>
      <w:r w:rsidRPr="001678E2">
        <w:t xml:space="preserve">. Richard </w:t>
      </w:r>
      <w:r w:rsidRPr="001678E2">
        <w:rPr>
          <w:rStyle w:val="StyleUnderline"/>
        </w:rPr>
        <w:t>Jackson</w:t>
      </w:r>
      <w:r w:rsidRPr="001678E2">
        <w:t xml:space="preserve"> claims that "…most of what is accepted as well-founded 'knowledge' in terrorism studies is, in fact, highly debatable and unstable" (p.74), </w:t>
      </w:r>
      <w:r w:rsidRPr="001678E2">
        <w:rPr>
          <w:rStyle w:val="StyleUnderline"/>
        </w:rPr>
        <w:t>dismissing thereby almost four decades of scholarship as "based on a series of 'virulent myths',</w:t>
      </w:r>
      <w:r w:rsidRPr="001678E2">
        <w:t xml:space="preserve"> 'half-truths' and contested claims…biased towards Western state priorities" (p.80). </w:t>
      </w:r>
      <w:r w:rsidRPr="001678E2">
        <w:rPr>
          <w:rStyle w:val="StyleUnderline"/>
        </w:rPr>
        <w:t xml:space="preserve">For him "terrorism is…a social fact rather than a brute fact" </w:t>
      </w:r>
      <w:r w:rsidRPr="001678E2">
        <w:t xml:space="preserve">and "…does not exist outside of the definitions and practices which seek to enclose it, including those of the terrorism studies field" (pp.75-76). He objects to prevailing "problem-solving theories of terrorism" in </w:t>
      </w:r>
      <w:proofErr w:type="spellStart"/>
      <w:r w:rsidRPr="001678E2">
        <w:t>favour</w:t>
      </w:r>
      <w:proofErr w:type="spellEnd"/>
      <w:r w:rsidRPr="001678E2">
        <w:t xml:space="preserve"> of an approach that questions </w:t>
      </w:r>
      <w:proofErr w:type="gramStart"/>
      <w:r w:rsidRPr="001678E2">
        <w:t>" the</w:t>
      </w:r>
      <w:proofErr w:type="gramEnd"/>
      <w:r w:rsidRPr="001678E2">
        <w:t xml:space="preserve"> status quo and the dominant acts within it" (p.77). Another contributor, J.A. </w:t>
      </w:r>
      <w:proofErr w:type="spellStart"/>
      <w:r w:rsidRPr="001678E2">
        <w:rPr>
          <w:rStyle w:val="StyleUnderline"/>
        </w:rPr>
        <w:t>Sluka</w:t>
      </w:r>
      <w:proofErr w:type="spellEnd"/>
      <w:r w:rsidRPr="001678E2">
        <w:t xml:space="preserve">, </w:t>
      </w:r>
      <w:r w:rsidRPr="001678E2">
        <w:rPr>
          <w:rStyle w:val="StyleUnderline"/>
        </w:rPr>
        <w:t>argues, without offering any proof, that "terrorism is fundamentally a product of social inequality and</w:t>
      </w:r>
      <w:r w:rsidRPr="001678E2">
        <w:t xml:space="preserve"> </w:t>
      </w:r>
      <w:r w:rsidRPr="001678E2">
        <w:rPr>
          <w:rStyle w:val="StyleUnderline"/>
        </w:rPr>
        <w:t>state politics"</w:t>
      </w:r>
      <w:r w:rsidRPr="001678E2">
        <w:t xml:space="preserve"> (p. 139). </w:t>
      </w:r>
      <w:r w:rsidRPr="001678E2">
        <w:rPr>
          <w:rStyle w:val="StyleUnderline"/>
        </w:rPr>
        <w:t>Behind many of the critical theorists who blame mainstream terrorism research for taking 'the world as it finds it' there is an agenda for changing the status quo and overthrowing existing power structures</w:t>
      </w:r>
      <w:r w:rsidRPr="001678E2">
        <w:t xml:space="preserve">. There is, in itself, nothing wrong with wanting a new and better world order. However, </w:t>
      </w:r>
      <w:r w:rsidRPr="001678E2">
        <w:rPr>
          <w:rStyle w:val="StyleUnderline"/>
        </w:rPr>
        <w:t>it is not going to be achieved by using an alternative discourse on terrorism and counter-terrorism.</w:t>
      </w:r>
      <w:r w:rsidRPr="001678E2">
        <w:t xml:space="preserve"> </w:t>
      </w:r>
      <w:proofErr w:type="spellStart"/>
      <w:r w:rsidRPr="001678E2">
        <w:t>Toros</w:t>
      </w:r>
      <w:proofErr w:type="spellEnd"/>
      <w:r w:rsidRPr="001678E2">
        <w:t xml:space="preserve"> and Gunning, contributors of another chapter, state that "the sine qua non of Critical Theory is emancipation" (p. 99) and M. McDonald </w:t>
      </w:r>
      <w:proofErr w:type="spellStart"/>
      <w:proofErr w:type="gramStart"/>
      <w:r w:rsidRPr="001678E2">
        <w:t>als</w:t>
      </w:r>
      <w:proofErr w:type="spellEnd"/>
      <w:proofErr w:type="gramEnd"/>
      <w:r w:rsidRPr="001678E2">
        <w:t xml:space="preserve"> puts "emancipation as central to the study of terrorism" (p.121). However</w:t>
      </w:r>
      <w:r w:rsidRPr="001678E2">
        <w:rPr>
          <w:rStyle w:val="StyleUnderline"/>
        </w:rPr>
        <w:t>, there is not a single word on the non-emancipated position of women under Islam in general or among the Taliban and their friends from al-Qaeda in particular.</w:t>
      </w:r>
      <w:r w:rsidRPr="001678E2">
        <w:t xml:space="preserve"> </w:t>
      </w:r>
      <w:r w:rsidRPr="001678E2">
        <w:rPr>
          <w:rStyle w:val="StyleUnderline"/>
        </w:rPr>
        <w:t>One of the strength</w:t>
      </w:r>
      <w:r w:rsidRPr="001678E2">
        <w:t xml:space="preserve"> (some argue weakness) </w:t>
      </w:r>
      <w:r w:rsidRPr="001678E2">
        <w:rPr>
          <w:rStyle w:val="StyleUnderline"/>
        </w:rPr>
        <w:t>of Western thinking is its ability for self-criticism</w:t>
      </w:r>
      <w:r w:rsidRPr="001678E2">
        <w:t xml:space="preserve"> – something largely absent in the Muslim world. In that sense, this volume falls within a Western tradition. However, </w:t>
      </w:r>
      <w:r w:rsidRPr="001678E2">
        <w:rPr>
          <w:rStyle w:val="StyleUnderline"/>
        </w:rPr>
        <w:t xml:space="preserve">self-criticism should not come at the cost of not </w:t>
      </w:r>
      <w:proofErr w:type="spellStart"/>
      <w:r w:rsidRPr="001678E2">
        <w:rPr>
          <w:rStyle w:val="StyleUnderline"/>
        </w:rPr>
        <w:t>criticising</w:t>
      </w:r>
      <w:proofErr w:type="spellEnd"/>
      <w:r w:rsidRPr="001678E2">
        <w:rPr>
          <w:rStyle w:val="StyleUnderline"/>
        </w:rPr>
        <w:t xml:space="preserve"> adversaries by using the same yardstick. In this sense, this volume is strangely silent about the worldview of those terrorists who have no self-doubts and attack the Red Cross, the United Nations, NGOs and their fellow Muslims </w:t>
      </w:r>
      <w:r w:rsidRPr="001678E2">
        <w:t xml:space="preserve">with equal lack of scruples. </w:t>
      </w:r>
      <w:r w:rsidRPr="001678E2">
        <w:rPr>
          <w:rStyle w:val="StyleUnderline"/>
        </w:rPr>
        <w:t>A number of authors in the volume appear to equate terrorism uncritically with political violence in general while in fact it is more usefully thought of as one of some twenty sub-categories of political violence</w:t>
      </w:r>
      <w:r w:rsidRPr="001678E2">
        <w:t xml:space="preserve"> - one characterized by deliberate attacks on civilians and non-combatants in order to intimidate, coerce or otherwise manipulate various audiences and parties to a conflict. Part of the volume advocates reinventing the wheel. J. Gunning, for instance, recommends to employ Social Movement Theory for the study of terrorism. However, that theory has been employed already explicitly or implicitly by a number of more orthodox scholars, e.g. Donatella </w:t>
      </w:r>
      <w:proofErr w:type="spellStart"/>
      <w:proofErr w:type="gramStart"/>
      <w:r w:rsidRPr="001678E2">
        <w:t>della</w:t>
      </w:r>
      <w:proofErr w:type="spellEnd"/>
      <w:proofErr w:type="gramEnd"/>
      <w:r w:rsidRPr="001678E2">
        <w:t xml:space="preserve"> Porta. </w:t>
      </w:r>
      <w:r w:rsidRPr="001678E2">
        <w:rPr>
          <w:rStyle w:val="StyleUnderline"/>
        </w:rPr>
        <w:t>Many "critical" statements in the volume are unsupported by convincing evidence</w:t>
      </w:r>
      <w:r w:rsidRPr="001678E2">
        <w:t xml:space="preserve">, e.g. when C. Sylvester and S. </w:t>
      </w:r>
      <w:proofErr w:type="spellStart"/>
      <w:r w:rsidRPr="001678E2">
        <w:t>Parashar</w:t>
      </w:r>
      <w:proofErr w:type="spellEnd"/>
      <w:r w:rsidRPr="001678E2">
        <w:t xml:space="preserve"> state "The September 11 attacks and the ongoing war on terror reinforce gender hierarchy and power in international relations" (p.190). Jackson claims that the key question for critical </w:t>
      </w:r>
      <w:proofErr w:type="gramStart"/>
      <w:r w:rsidRPr="001678E2">
        <w:t>terrorism</w:t>
      </w:r>
      <w:proofErr w:type="gramEnd"/>
      <w:r w:rsidRPr="001678E2">
        <w:t xml:space="preserve"> theory is "who is terrorism research for and how does terrorism knowledge support particular interests?" (p.224) </w:t>
      </w:r>
      <w:proofErr w:type="gramStart"/>
      <w:r w:rsidRPr="001678E2">
        <w:rPr>
          <w:rStyle w:val="StyleUnderline"/>
        </w:rPr>
        <w:t>It</w:t>
      </w:r>
      <w:proofErr w:type="gramEnd"/>
      <w:r w:rsidRPr="001678E2">
        <w:rPr>
          <w:rStyle w:val="StyleUnderline"/>
        </w:rPr>
        <w:t xml:space="preserve"> does not seem to occur to him that he could have studied this question by looking </w:t>
      </w:r>
      <w:r w:rsidRPr="001678E2">
        <w:rPr>
          <w:rStyle w:val="StyleUnderline"/>
        </w:rPr>
        <w:lastRenderedPageBreak/>
        <w:t xml:space="preserve">at the practitioners of terrorism and study al-Qaeda's ideological writings and its training and recruiting manuals. If CTS is a call for "making a commitment to emancipatory praxis central to the research enterprise" </w:t>
      </w:r>
      <w:r w:rsidRPr="001678E2">
        <w:t xml:space="preserve">(R. Jackson et al, p. 228), </w:t>
      </w:r>
      <w:r w:rsidRPr="001678E2">
        <w:rPr>
          <w:rStyle w:val="StyleUnderline"/>
        </w:rPr>
        <w:t>CTS academics should be the first on the barricades against jihadists who treat women not as equals and who would, if they get their way, eradicate freedom of thought and religion for all mankind</w:t>
      </w:r>
      <w:r w:rsidRPr="001678E2">
        <w:t>. It is sad that some leading proponents of Critical Terrorism Studies appear to be in fact uncritical and blind on one eye.</w:t>
      </w:r>
    </w:p>
    <w:p w:rsidR="00CF7074" w:rsidRDefault="00CF7074" w:rsidP="00CF7074">
      <w:pPr>
        <w:pStyle w:val="Heading4"/>
      </w:pPr>
      <w:r>
        <w:t xml:space="preserve">Their knowledge base is useless-Filled with logical fallacies and </w:t>
      </w:r>
      <w:proofErr w:type="spellStart"/>
      <w:r>
        <w:t>missapropriation</w:t>
      </w:r>
      <w:proofErr w:type="spellEnd"/>
      <w:r>
        <w:t xml:space="preserve"> of knowledge</w:t>
      </w:r>
    </w:p>
    <w:p w:rsidR="00CF7074" w:rsidRPr="00851637" w:rsidRDefault="00CF7074" w:rsidP="00CF7074">
      <w:pPr>
        <w:rPr>
          <w:rStyle w:val="Style13ptBold"/>
          <w:b w:val="0"/>
        </w:rPr>
      </w:pPr>
      <w:r w:rsidRPr="00851637">
        <w:rPr>
          <w:rStyle w:val="Style13ptBold"/>
          <w:b w:val="0"/>
        </w:rPr>
        <w:t xml:space="preserve">Charlotte </w:t>
      </w:r>
      <w:r w:rsidRPr="00851637">
        <w:rPr>
          <w:rStyle w:val="Style13ptBold"/>
        </w:rPr>
        <w:t>Heath-Kelly 10</w:t>
      </w:r>
      <w:r w:rsidRPr="00851637">
        <w:rPr>
          <w:rStyle w:val="Style13ptBold"/>
          <w:b w:val="0"/>
        </w:rPr>
        <w:t xml:space="preserve">, </w:t>
      </w:r>
      <w:proofErr w:type="spellStart"/>
      <w:r>
        <w:rPr>
          <w:rStyle w:val="Style13ptBold"/>
          <w:b w:val="0"/>
        </w:rPr>
        <w:t>Reasearch</w:t>
      </w:r>
      <w:proofErr w:type="spellEnd"/>
      <w:r>
        <w:rPr>
          <w:rStyle w:val="Style13ptBold"/>
          <w:b w:val="0"/>
        </w:rPr>
        <w:t xml:space="preserve"> Fellow, University of Warwick</w:t>
      </w:r>
      <w:r w:rsidRPr="00851637">
        <w:rPr>
          <w:rStyle w:val="Style13ptBold"/>
          <w:b w:val="0"/>
        </w:rPr>
        <w:t>, June 2010, “Critical Terrorism Studies, Critical Theory and the 'Naturalistic Fallacy',” Security Dialogue, Vol. 41, No. 3</w:t>
      </w:r>
    </w:p>
    <w:p w:rsidR="00CF7074" w:rsidRPr="00851637" w:rsidRDefault="00CF7074" w:rsidP="00CF7074">
      <w:pPr>
        <w:rPr>
          <w:rStyle w:val="StyleUnderline"/>
        </w:rPr>
      </w:pPr>
      <w:r w:rsidRPr="00851637">
        <w:rPr>
          <w:rStyle w:val="StyleUnderline"/>
        </w:rPr>
        <w:t>Critical Terrorism Studies – and Critical Security Studies</w:t>
      </w:r>
      <w:r w:rsidRPr="00851637">
        <w:t>, for that matter</w:t>
      </w:r>
      <w:r>
        <w:t xml:space="preserve"> </w:t>
      </w:r>
      <w:r w:rsidRPr="00851637">
        <w:rPr>
          <w:rStyle w:val="StyleUnderline"/>
        </w:rPr>
        <w:t>– show no cognizance of the direction accorded to history by</w:t>
      </w:r>
      <w:r w:rsidRPr="00851637">
        <w:t xml:space="preserve"> </w:t>
      </w:r>
      <w:proofErr w:type="spellStart"/>
      <w:r w:rsidRPr="00851637">
        <w:t>Horkheimer’s</w:t>
      </w:r>
      <w:proofErr w:type="spellEnd"/>
      <w:r>
        <w:t xml:space="preserve"> </w:t>
      </w:r>
      <w:r w:rsidRPr="00851637">
        <w:rPr>
          <w:rStyle w:val="StyleUnderline"/>
        </w:rPr>
        <w:t>attachment of materialism to idealism</w:t>
      </w:r>
      <w:r w:rsidRPr="00851637">
        <w:t xml:space="preserve">. </w:t>
      </w:r>
      <w:r w:rsidRPr="00851637">
        <w:rPr>
          <w:rStyle w:val="StyleUnderline"/>
        </w:rPr>
        <w:t>The</w:t>
      </w:r>
      <w:r w:rsidRPr="00851637">
        <w:t xml:space="preserve"> occasionally </w:t>
      </w:r>
      <w:r w:rsidRPr="00851637">
        <w:rPr>
          <w:rStyle w:val="StyleUnderline"/>
        </w:rPr>
        <w:t>vaunted method</w:t>
      </w:r>
      <w:r w:rsidRPr="00851637">
        <w:t xml:space="preserve"> of</w:t>
      </w:r>
      <w:r>
        <w:t xml:space="preserve"> </w:t>
      </w:r>
      <w:r w:rsidRPr="00851637">
        <w:t xml:space="preserve">‘pearl fishing’ utilized by the two research agendas (see </w:t>
      </w:r>
      <w:proofErr w:type="spellStart"/>
      <w:r w:rsidRPr="00851637">
        <w:t>Toros</w:t>
      </w:r>
      <w:proofErr w:type="spellEnd"/>
      <w:r w:rsidRPr="00851637">
        <w:t xml:space="preserve"> &amp; Gunning,</w:t>
      </w:r>
      <w:r>
        <w:t xml:space="preserve"> </w:t>
      </w:r>
      <w:r w:rsidRPr="00851637">
        <w:t xml:space="preserve">2009: 88; Booth, 2007: 39, 492), </w:t>
      </w:r>
      <w:r w:rsidRPr="00851637">
        <w:rPr>
          <w:rStyle w:val="StyleUnderline"/>
        </w:rPr>
        <w:t xml:space="preserve">where slices of arguments and devices are appropriated without regard for the whole context, is responsible for this. CTS embraces emancipatory practice for normative reasons, but not within a conception of historical becoming as revealed by the ‘law which holds sway in the apparent arbitrariness of the scientific and other </w:t>
      </w:r>
      <w:proofErr w:type="spellStart"/>
      <w:r w:rsidRPr="00851637">
        <w:rPr>
          <w:rStyle w:val="StyleUnderline"/>
        </w:rPr>
        <w:t>endeavours’</w:t>
      </w:r>
      <w:proofErr w:type="spellEnd"/>
      <w:r w:rsidRPr="00851637">
        <w:rPr>
          <w:rStyle w:val="StyleUnderline"/>
        </w:rPr>
        <w:t xml:space="preserve"> </w:t>
      </w:r>
      <w:r>
        <w:t>(</w:t>
      </w:r>
      <w:proofErr w:type="spellStart"/>
      <w:r>
        <w:t>Horkheimer</w:t>
      </w:r>
      <w:proofErr w:type="spellEnd"/>
      <w:r>
        <w:t xml:space="preserve">, 1982: 8–9). The responsibility of the pearl-fishing method for this error is clear: when one checks the bibliography of the Critical Terrorism Studies edited collection, only one reference to a </w:t>
      </w:r>
      <w:proofErr w:type="spellStart"/>
      <w:r>
        <w:t>Horkheimer</w:t>
      </w:r>
      <w:proofErr w:type="spellEnd"/>
      <w:r>
        <w:t xml:space="preserve">-authored work can be found. </w:t>
      </w:r>
      <w:r w:rsidRPr="00851637">
        <w:rPr>
          <w:rStyle w:val="StyleUnderline"/>
        </w:rPr>
        <w:t xml:space="preserve">The lack of attention paid to </w:t>
      </w:r>
      <w:proofErr w:type="spellStart"/>
      <w:r w:rsidRPr="00851637">
        <w:rPr>
          <w:rStyle w:val="StyleUnderline"/>
        </w:rPr>
        <w:t>Horkheimer’s</w:t>
      </w:r>
      <w:proofErr w:type="spellEnd"/>
      <w:r w:rsidRPr="00851637">
        <w:rPr>
          <w:rStyle w:val="StyleUnderline"/>
        </w:rPr>
        <w:t xml:space="preserve"> wider philosophy is responsible for CTS’s ignorance of the conception of historical progress that crucially underpins the theme of emancipation.</w:t>
      </w:r>
    </w:p>
    <w:p w:rsidR="00CF7074" w:rsidRDefault="00CF7074" w:rsidP="00CF7074">
      <w:r>
        <w:t xml:space="preserve">Of all the CTS and CSS scholars, Ken </w:t>
      </w:r>
      <w:r w:rsidRPr="00851637">
        <w:rPr>
          <w:rStyle w:val="StyleUnderline"/>
        </w:rPr>
        <w:t>Booth</w:t>
      </w:r>
      <w:r>
        <w:t xml:space="preserve"> (2007: 127–130) devotes the most attention to the conception of progress – understanding moral progress to be visible in retrospective comparison. He </w:t>
      </w:r>
      <w:r w:rsidRPr="00851637">
        <w:rPr>
          <w:rStyle w:val="StyleUnderline"/>
        </w:rPr>
        <w:t>makes no reference to an understanding of historical ‘becoming’ or unidirectional history</w:t>
      </w:r>
      <w:r>
        <w:t xml:space="preserve">, however. As there are limited grounds on which to base an acceptance of </w:t>
      </w:r>
      <w:proofErr w:type="spellStart"/>
      <w:r>
        <w:t>Horkheimerian</w:t>
      </w:r>
      <w:proofErr w:type="spellEnd"/>
      <w:r>
        <w:t xml:space="preserve"> philo­sophy of history, we must reject the Frankfurt School basis for objective reason and emancipation (as subsequently did the major Frankfurt scholars, Adorno and </w:t>
      </w:r>
      <w:proofErr w:type="spellStart"/>
      <w:r>
        <w:t>Horkheimer</w:t>
      </w:r>
      <w:proofErr w:type="spellEnd"/>
      <w:r>
        <w:t xml:space="preserve">, except that they maintained a much transformed and limited idea of emancipation concerning the development of human mutuality with nature; see </w:t>
      </w:r>
      <w:proofErr w:type="spellStart"/>
      <w:r>
        <w:t>Wyn</w:t>
      </w:r>
      <w:proofErr w:type="spellEnd"/>
      <w:r>
        <w:t xml:space="preserve"> Jones, 1999: 38–39).</w:t>
      </w:r>
    </w:p>
    <w:p w:rsidR="00CF7074" w:rsidRPr="00851637" w:rsidRDefault="00CF7074" w:rsidP="00CF7074">
      <w:pPr>
        <w:rPr>
          <w:rStyle w:val="StyleUnderline"/>
        </w:rPr>
      </w:pPr>
      <w:r w:rsidRPr="00851637">
        <w:rPr>
          <w:rStyle w:val="StyleUnderline"/>
        </w:rPr>
        <w:t>CTS</w:t>
      </w:r>
      <w:r>
        <w:t xml:space="preserve"> (and Critical Security Studies, for that matter) </w:t>
      </w:r>
      <w:r w:rsidRPr="00851637">
        <w:rPr>
          <w:rStyle w:val="StyleUnderline"/>
        </w:rPr>
        <w:t>shows no signs of recog­nizing the presence of a philosophy-of-history approach</w:t>
      </w:r>
      <w:r>
        <w:t xml:space="preserve"> and utilizes </w:t>
      </w:r>
      <w:proofErr w:type="spellStart"/>
      <w:r>
        <w:t>Horkheimerian</w:t>
      </w:r>
      <w:proofErr w:type="spellEnd"/>
      <w:r>
        <w:t xml:space="preserve"> theory, alongside its </w:t>
      </w:r>
      <w:proofErr w:type="spellStart"/>
      <w:r>
        <w:t>Coxian</w:t>
      </w:r>
      <w:proofErr w:type="spellEnd"/>
      <w:r>
        <w:t xml:space="preserve"> foundations, in a </w:t>
      </w:r>
      <w:proofErr w:type="spellStart"/>
      <w:r>
        <w:t>Coxian</w:t>
      </w:r>
      <w:proofErr w:type="spellEnd"/>
      <w:r>
        <w:t xml:space="preserve"> manner – possibly </w:t>
      </w:r>
      <w:r w:rsidRPr="00851637">
        <w:rPr>
          <w:rStyle w:val="StyleUnderline"/>
        </w:rPr>
        <w:t>exposing itself to the ‘naturalistic fallacy’ charge. Its use of the ‘pearl-fishing method</w:t>
      </w:r>
      <w:r>
        <w:t xml:space="preserve">’ (see </w:t>
      </w:r>
      <w:proofErr w:type="spellStart"/>
      <w:r>
        <w:t>Toros</w:t>
      </w:r>
      <w:proofErr w:type="spellEnd"/>
      <w:r>
        <w:t xml:space="preserve"> &amp; Gunning, 2009: 88; Booth, 2007: 39, 492), </w:t>
      </w:r>
      <w:r w:rsidRPr="00851637">
        <w:rPr>
          <w:rStyle w:val="StyleUnderline"/>
        </w:rPr>
        <w:t>where useful argumentative and theoretical devices are appropriated from diverse literatures, has</w:t>
      </w:r>
      <w:r>
        <w:t xml:space="preserve"> – I argue – </w:t>
      </w:r>
      <w:r w:rsidRPr="00851637">
        <w:rPr>
          <w:rStyle w:val="StyleUnderline"/>
        </w:rPr>
        <w:t>resulted in the inappropriate transition of emancipatory commitment without the philosophical context that made it intelligible.</w:t>
      </w:r>
      <w:r>
        <w:t xml:space="preserve"> Without regard for the philosophical grounding of emancipatory commitment within </w:t>
      </w:r>
      <w:proofErr w:type="spellStart"/>
      <w:r>
        <w:t>Horkheimer’s</w:t>
      </w:r>
      <w:proofErr w:type="spellEnd"/>
      <w:r>
        <w:t xml:space="preserve"> philosophy of history, scholars appear to fall prey to the naturalistic fallacy. </w:t>
      </w:r>
      <w:r w:rsidRPr="00851637">
        <w:rPr>
          <w:rStyle w:val="StyleUnderline"/>
        </w:rPr>
        <w:t>While the pearl-fishing method can often be acceptable academic practice, here it has led</w:t>
      </w:r>
      <w:r>
        <w:t xml:space="preserve"> – it is argued – </w:t>
      </w:r>
      <w:r w:rsidRPr="00851637">
        <w:rPr>
          <w:rStyle w:val="StyleUnderline"/>
        </w:rPr>
        <w:t>to logical errors in the formulation of emancipation within international relations.</w:t>
      </w:r>
    </w:p>
    <w:p w:rsidR="00A95652" w:rsidRPr="00CF7074" w:rsidRDefault="00A95652" w:rsidP="00CF7074"/>
    <w:sectPr w:rsidR="00A95652" w:rsidRPr="00CF7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F1BD1"/>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1BD1"/>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D4038"/>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21A1"/>
    <w:rsid w:val="00CF59A8"/>
    <w:rsid w:val="00CF7074"/>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5BAE51-F3AC-4D6F-A2CB-526A983AF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F7074"/>
    <w:rPr>
      <w:rFonts w:ascii="Calibri" w:hAnsi="Calibri"/>
    </w:rPr>
  </w:style>
  <w:style w:type="paragraph" w:styleId="Heading1">
    <w:name w:val="heading 1"/>
    <w:aliases w:val="Pocket"/>
    <w:basedOn w:val="Normal"/>
    <w:next w:val="Normal"/>
    <w:link w:val="Heading1Char"/>
    <w:qFormat/>
    <w:rsid w:val="00CF70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F70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F70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F707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F70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7074"/>
  </w:style>
  <w:style w:type="character" w:customStyle="1" w:styleId="Heading1Char">
    <w:name w:val="Heading 1 Char"/>
    <w:aliases w:val="Pocket Char"/>
    <w:basedOn w:val="DefaultParagraphFont"/>
    <w:link w:val="Heading1"/>
    <w:rsid w:val="00CF70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F707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F707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F7074"/>
    <w:rPr>
      <w:rFonts w:ascii="Calibri" w:eastAsiaTheme="majorEastAsia" w:hAnsi="Calibri" w:cstheme="majorBidi"/>
      <w:b/>
      <w:iCs/>
      <w:sz w:val="26"/>
    </w:rPr>
  </w:style>
  <w:style w:type="character" w:styleId="Emphasis">
    <w:name w:val="Emphasis"/>
    <w:basedOn w:val="DefaultParagraphFont"/>
    <w:uiPriority w:val="7"/>
    <w:qFormat/>
    <w:rsid w:val="00CF7074"/>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CF7074"/>
    <w:rPr>
      <w:b/>
      <w:bCs/>
      <w:sz w:val="26"/>
      <w:u w:val="none"/>
    </w:rPr>
  </w:style>
  <w:style w:type="character" w:customStyle="1" w:styleId="StyleUnderline">
    <w:name w:val="Style Underline"/>
    <w:aliases w:val="Underline"/>
    <w:basedOn w:val="DefaultParagraphFont"/>
    <w:uiPriority w:val="6"/>
    <w:qFormat/>
    <w:rsid w:val="00CF7074"/>
    <w:rPr>
      <w:b w:val="0"/>
      <w:sz w:val="22"/>
      <w:u w:val="single"/>
    </w:rPr>
  </w:style>
  <w:style w:type="character" w:styleId="Hyperlink">
    <w:name w:val="Hyperlink"/>
    <w:basedOn w:val="DefaultParagraphFont"/>
    <w:uiPriority w:val="99"/>
    <w:semiHidden/>
    <w:unhideWhenUsed/>
    <w:rsid w:val="00CF7074"/>
    <w:rPr>
      <w:color w:val="auto"/>
      <w:u w:val="none"/>
    </w:rPr>
  </w:style>
  <w:style w:type="character" w:styleId="FollowedHyperlink">
    <w:name w:val="FollowedHyperlink"/>
    <w:basedOn w:val="DefaultParagraphFont"/>
    <w:uiPriority w:val="99"/>
    <w:semiHidden/>
    <w:unhideWhenUsed/>
    <w:rsid w:val="00CF707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terrorismanalysts.com/pt/index.php/pot/article/view/83/html"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o%20Be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1B40F-7E63-4C9A-B57A-D7A97E198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19</Pages>
  <Words>8942</Words>
  <Characters>50975</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 Bert</dc:creator>
  <cp:keywords>5.1.1</cp:keywords>
  <dc:description/>
  <cp:lastModifiedBy>Niko Bert</cp:lastModifiedBy>
  <cp:revision>3</cp:revision>
  <dcterms:created xsi:type="dcterms:W3CDTF">2015-07-31T15:56:00Z</dcterms:created>
  <dcterms:modified xsi:type="dcterms:W3CDTF">2015-08-02T21:41:00Z</dcterms:modified>
</cp:coreProperties>
</file>