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1D12" w:rsidRPr="00215F59" w:rsidRDefault="00851D12" w:rsidP="00215F59">
      <w:pPr>
        <w:pStyle w:val="Heading3"/>
        <w:spacing w:before="0"/>
        <w:rPr>
          <w:rFonts w:cs="Arial"/>
        </w:rPr>
      </w:pPr>
      <w:bookmarkStart w:id="0" w:name="_Toc424259076"/>
      <w:r w:rsidRPr="00215F59">
        <w:rPr>
          <w:rFonts w:cs="Arial"/>
        </w:rPr>
        <w:t>Index</w:t>
      </w:r>
      <w:bookmarkEnd w:id="0"/>
    </w:p>
    <w:sdt>
      <w:sdtPr>
        <w:id w:val="-415786048"/>
        <w:docPartObj>
          <w:docPartGallery w:val="Table of Contents"/>
          <w:docPartUnique/>
        </w:docPartObj>
      </w:sdtPr>
      <w:sdtEndPr>
        <w:rPr>
          <w:b/>
          <w:bCs/>
          <w:noProof/>
        </w:rPr>
      </w:sdtEndPr>
      <w:sdtContent>
        <w:p w:rsidR="00F70DE6" w:rsidRDefault="00851D12">
          <w:pPr>
            <w:pStyle w:val="TOC3"/>
            <w:tabs>
              <w:tab w:val="right" w:leader="dot" w:pos="10790"/>
            </w:tabs>
            <w:rPr>
              <w:rFonts w:asciiTheme="minorHAnsi" w:eastAsiaTheme="minorEastAsia" w:hAnsiTheme="minorHAnsi" w:cstheme="minorBidi"/>
              <w:noProof/>
              <w:sz w:val="22"/>
            </w:rPr>
          </w:pPr>
          <w:r w:rsidRPr="00215F59">
            <w:fldChar w:fldCharType="begin"/>
          </w:r>
          <w:r w:rsidRPr="00215F59">
            <w:instrText xml:space="preserve"> TOC \o "1-3" \h \z \u </w:instrText>
          </w:r>
          <w:r w:rsidRPr="00215F59">
            <w:fldChar w:fldCharType="separate"/>
          </w:r>
          <w:hyperlink w:anchor="_Toc424259076" w:history="1">
            <w:r w:rsidR="00F70DE6" w:rsidRPr="00460B77">
              <w:rPr>
                <w:rStyle w:val="Hyperlink"/>
                <w:noProof/>
              </w:rPr>
              <w:t>Index</w:t>
            </w:r>
            <w:r w:rsidR="00F70DE6">
              <w:rPr>
                <w:noProof/>
                <w:webHidden/>
              </w:rPr>
              <w:tab/>
            </w:r>
            <w:r w:rsidR="00F70DE6">
              <w:rPr>
                <w:noProof/>
                <w:webHidden/>
              </w:rPr>
              <w:fldChar w:fldCharType="begin"/>
            </w:r>
            <w:r w:rsidR="00F70DE6">
              <w:rPr>
                <w:noProof/>
                <w:webHidden/>
              </w:rPr>
              <w:instrText xml:space="preserve"> PAGEREF _Toc424259076 \h </w:instrText>
            </w:r>
            <w:r w:rsidR="00F70DE6">
              <w:rPr>
                <w:noProof/>
                <w:webHidden/>
              </w:rPr>
            </w:r>
            <w:r w:rsidR="00F70DE6">
              <w:rPr>
                <w:noProof/>
                <w:webHidden/>
              </w:rPr>
              <w:fldChar w:fldCharType="separate"/>
            </w:r>
            <w:r w:rsidR="006C5205">
              <w:rPr>
                <w:noProof/>
                <w:webHidden/>
              </w:rPr>
              <w:t>1</w:t>
            </w:r>
            <w:r w:rsidR="00F70DE6">
              <w:rPr>
                <w:noProof/>
                <w:webHidden/>
              </w:rPr>
              <w:fldChar w:fldCharType="end"/>
            </w:r>
          </w:hyperlink>
        </w:p>
        <w:p w:rsidR="00F70DE6" w:rsidRDefault="00F70DE6">
          <w:pPr>
            <w:pStyle w:val="TOC1"/>
            <w:tabs>
              <w:tab w:val="right" w:leader="dot" w:pos="10790"/>
            </w:tabs>
            <w:rPr>
              <w:rFonts w:asciiTheme="minorHAnsi" w:eastAsiaTheme="minorEastAsia" w:hAnsiTheme="minorHAnsi" w:cstheme="minorBidi"/>
              <w:noProof/>
              <w:sz w:val="22"/>
            </w:rPr>
          </w:pPr>
          <w:hyperlink w:anchor="_Toc424259077" w:history="1">
            <w:r w:rsidRPr="00460B77">
              <w:rPr>
                <w:rStyle w:val="Hyperlink"/>
                <w:noProof/>
              </w:rPr>
              <w:t>PCLOB CP</w:t>
            </w:r>
            <w:r>
              <w:rPr>
                <w:noProof/>
                <w:webHidden/>
              </w:rPr>
              <w:tab/>
            </w:r>
            <w:r>
              <w:rPr>
                <w:noProof/>
                <w:webHidden/>
              </w:rPr>
              <w:fldChar w:fldCharType="begin"/>
            </w:r>
            <w:r>
              <w:rPr>
                <w:noProof/>
                <w:webHidden/>
              </w:rPr>
              <w:instrText xml:space="preserve"> PAGEREF _Toc424259077 \h </w:instrText>
            </w:r>
            <w:r>
              <w:rPr>
                <w:noProof/>
                <w:webHidden/>
              </w:rPr>
            </w:r>
            <w:r>
              <w:rPr>
                <w:noProof/>
                <w:webHidden/>
              </w:rPr>
              <w:fldChar w:fldCharType="separate"/>
            </w:r>
            <w:r w:rsidR="006C5205">
              <w:rPr>
                <w:noProof/>
                <w:webHidden/>
              </w:rPr>
              <w:t>4</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078" w:history="1">
            <w:r w:rsidRPr="00460B77">
              <w:rPr>
                <w:rStyle w:val="Hyperlink"/>
                <w:noProof/>
              </w:rPr>
              <w:t>What’s PCLOB?</w:t>
            </w:r>
            <w:r>
              <w:rPr>
                <w:noProof/>
                <w:webHidden/>
              </w:rPr>
              <w:tab/>
            </w:r>
            <w:r>
              <w:rPr>
                <w:noProof/>
                <w:webHidden/>
              </w:rPr>
              <w:fldChar w:fldCharType="begin"/>
            </w:r>
            <w:r>
              <w:rPr>
                <w:noProof/>
                <w:webHidden/>
              </w:rPr>
              <w:instrText xml:space="preserve"> PAGEREF _Toc424259078 \h </w:instrText>
            </w:r>
            <w:r>
              <w:rPr>
                <w:noProof/>
                <w:webHidden/>
              </w:rPr>
            </w:r>
            <w:r>
              <w:rPr>
                <w:noProof/>
                <w:webHidden/>
              </w:rPr>
              <w:fldChar w:fldCharType="separate"/>
            </w:r>
            <w:r w:rsidR="006C5205">
              <w:rPr>
                <w:noProof/>
                <w:webHidden/>
              </w:rPr>
              <w:t>5</w:t>
            </w:r>
            <w:r>
              <w:rPr>
                <w:noProof/>
                <w:webHidden/>
              </w:rPr>
              <w:fldChar w:fldCharType="end"/>
            </w:r>
          </w:hyperlink>
        </w:p>
        <w:p w:rsidR="00F70DE6" w:rsidRDefault="00F70DE6">
          <w:pPr>
            <w:pStyle w:val="TOC2"/>
            <w:tabs>
              <w:tab w:val="right" w:leader="dot" w:pos="10790"/>
            </w:tabs>
            <w:rPr>
              <w:rFonts w:asciiTheme="minorHAnsi" w:eastAsiaTheme="minorEastAsia" w:hAnsiTheme="minorHAnsi" w:cstheme="minorBidi"/>
              <w:noProof/>
              <w:sz w:val="22"/>
            </w:rPr>
          </w:pPr>
          <w:hyperlink w:anchor="_Toc424259079" w:history="1">
            <w:r w:rsidRPr="00460B77">
              <w:rPr>
                <w:rStyle w:val="Hyperlink"/>
                <w:noProof/>
              </w:rPr>
              <w:t>PCLOB CP</w:t>
            </w:r>
            <w:r>
              <w:rPr>
                <w:noProof/>
                <w:webHidden/>
              </w:rPr>
              <w:tab/>
            </w:r>
            <w:r>
              <w:rPr>
                <w:noProof/>
                <w:webHidden/>
              </w:rPr>
              <w:fldChar w:fldCharType="begin"/>
            </w:r>
            <w:r>
              <w:rPr>
                <w:noProof/>
                <w:webHidden/>
              </w:rPr>
              <w:instrText xml:space="preserve"> PAGEREF _Toc424259079 \h </w:instrText>
            </w:r>
            <w:r>
              <w:rPr>
                <w:noProof/>
                <w:webHidden/>
              </w:rPr>
            </w:r>
            <w:r>
              <w:rPr>
                <w:noProof/>
                <w:webHidden/>
              </w:rPr>
              <w:fldChar w:fldCharType="separate"/>
            </w:r>
            <w:r w:rsidR="006C5205">
              <w:rPr>
                <w:noProof/>
                <w:webHidden/>
              </w:rPr>
              <w:t>6</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080" w:history="1">
            <w:r w:rsidRPr="00460B77">
              <w:rPr>
                <w:rStyle w:val="Hyperlink"/>
                <w:noProof/>
              </w:rPr>
              <w:t>PCLOB CP 1NC Shell</w:t>
            </w:r>
            <w:r>
              <w:rPr>
                <w:noProof/>
                <w:webHidden/>
              </w:rPr>
              <w:tab/>
            </w:r>
            <w:r>
              <w:rPr>
                <w:noProof/>
                <w:webHidden/>
              </w:rPr>
              <w:fldChar w:fldCharType="begin"/>
            </w:r>
            <w:r>
              <w:rPr>
                <w:noProof/>
                <w:webHidden/>
              </w:rPr>
              <w:instrText xml:space="preserve"> PAGEREF _Toc424259080 \h </w:instrText>
            </w:r>
            <w:r>
              <w:rPr>
                <w:noProof/>
                <w:webHidden/>
              </w:rPr>
            </w:r>
            <w:r>
              <w:rPr>
                <w:noProof/>
                <w:webHidden/>
              </w:rPr>
              <w:fldChar w:fldCharType="separate"/>
            </w:r>
            <w:r w:rsidR="006C5205">
              <w:rPr>
                <w:noProof/>
                <w:webHidden/>
              </w:rPr>
              <w:t>7</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081" w:history="1">
            <w:r w:rsidRPr="00460B77">
              <w:rPr>
                <w:rStyle w:val="Hyperlink"/>
                <w:noProof/>
              </w:rPr>
              <w:t>Solvency – General Extension</w:t>
            </w:r>
            <w:r>
              <w:rPr>
                <w:noProof/>
                <w:webHidden/>
              </w:rPr>
              <w:tab/>
            </w:r>
            <w:r>
              <w:rPr>
                <w:noProof/>
                <w:webHidden/>
              </w:rPr>
              <w:fldChar w:fldCharType="begin"/>
            </w:r>
            <w:r>
              <w:rPr>
                <w:noProof/>
                <w:webHidden/>
              </w:rPr>
              <w:instrText xml:space="preserve"> PAGEREF _Toc424259081 \h </w:instrText>
            </w:r>
            <w:r>
              <w:rPr>
                <w:noProof/>
                <w:webHidden/>
              </w:rPr>
            </w:r>
            <w:r>
              <w:rPr>
                <w:noProof/>
                <w:webHidden/>
              </w:rPr>
              <w:fldChar w:fldCharType="separate"/>
            </w:r>
            <w:r w:rsidR="006C5205">
              <w:rPr>
                <w:noProof/>
                <w:webHidden/>
              </w:rPr>
              <w:t>9</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082" w:history="1">
            <w:r w:rsidRPr="00460B77">
              <w:rPr>
                <w:rStyle w:val="Hyperlink"/>
                <w:noProof/>
              </w:rPr>
              <w:t>Solvency – Awareness</w:t>
            </w:r>
            <w:r>
              <w:rPr>
                <w:noProof/>
                <w:webHidden/>
              </w:rPr>
              <w:tab/>
            </w:r>
            <w:r>
              <w:rPr>
                <w:noProof/>
                <w:webHidden/>
              </w:rPr>
              <w:fldChar w:fldCharType="begin"/>
            </w:r>
            <w:r>
              <w:rPr>
                <w:noProof/>
                <w:webHidden/>
              </w:rPr>
              <w:instrText xml:space="preserve"> PAGEREF _Toc424259082 \h </w:instrText>
            </w:r>
            <w:r>
              <w:rPr>
                <w:noProof/>
                <w:webHidden/>
              </w:rPr>
            </w:r>
            <w:r>
              <w:rPr>
                <w:noProof/>
                <w:webHidden/>
              </w:rPr>
              <w:fldChar w:fldCharType="separate"/>
            </w:r>
            <w:r w:rsidR="006C5205">
              <w:rPr>
                <w:noProof/>
                <w:webHidden/>
              </w:rPr>
              <w:t>10</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083" w:history="1">
            <w:r w:rsidRPr="00460B77">
              <w:rPr>
                <w:rStyle w:val="Hyperlink"/>
                <w:noProof/>
              </w:rPr>
              <w:t>Solvency – Awareness</w:t>
            </w:r>
            <w:r>
              <w:rPr>
                <w:noProof/>
                <w:webHidden/>
              </w:rPr>
              <w:tab/>
            </w:r>
            <w:r>
              <w:rPr>
                <w:noProof/>
                <w:webHidden/>
              </w:rPr>
              <w:fldChar w:fldCharType="begin"/>
            </w:r>
            <w:r>
              <w:rPr>
                <w:noProof/>
                <w:webHidden/>
              </w:rPr>
              <w:instrText xml:space="preserve"> PAGEREF _Toc424259083 \h </w:instrText>
            </w:r>
            <w:r>
              <w:rPr>
                <w:noProof/>
                <w:webHidden/>
              </w:rPr>
            </w:r>
            <w:r>
              <w:rPr>
                <w:noProof/>
                <w:webHidden/>
              </w:rPr>
              <w:fldChar w:fldCharType="separate"/>
            </w:r>
            <w:r w:rsidR="006C5205">
              <w:rPr>
                <w:noProof/>
                <w:webHidden/>
              </w:rPr>
              <w:t>11</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084" w:history="1">
            <w:r w:rsidRPr="00460B77">
              <w:rPr>
                <w:rStyle w:val="Hyperlink"/>
                <w:noProof/>
              </w:rPr>
              <w:t>Solvency – External Review</w:t>
            </w:r>
            <w:r>
              <w:rPr>
                <w:noProof/>
                <w:webHidden/>
              </w:rPr>
              <w:tab/>
            </w:r>
            <w:r>
              <w:rPr>
                <w:noProof/>
                <w:webHidden/>
              </w:rPr>
              <w:fldChar w:fldCharType="begin"/>
            </w:r>
            <w:r>
              <w:rPr>
                <w:noProof/>
                <w:webHidden/>
              </w:rPr>
              <w:instrText xml:space="preserve"> PAGEREF _Toc424259084 \h </w:instrText>
            </w:r>
            <w:r>
              <w:rPr>
                <w:noProof/>
                <w:webHidden/>
              </w:rPr>
            </w:r>
            <w:r>
              <w:rPr>
                <w:noProof/>
                <w:webHidden/>
              </w:rPr>
              <w:fldChar w:fldCharType="separate"/>
            </w:r>
            <w:r w:rsidR="006C5205">
              <w:rPr>
                <w:noProof/>
                <w:webHidden/>
              </w:rPr>
              <w:t>12</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085" w:history="1">
            <w:r w:rsidRPr="00460B77">
              <w:rPr>
                <w:rStyle w:val="Hyperlink"/>
                <w:noProof/>
              </w:rPr>
              <w:t>Solvency – Public Awareness</w:t>
            </w:r>
            <w:r>
              <w:rPr>
                <w:noProof/>
                <w:webHidden/>
              </w:rPr>
              <w:tab/>
            </w:r>
            <w:r>
              <w:rPr>
                <w:noProof/>
                <w:webHidden/>
              </w:rPr>
              <w:fldChar w:fldCharType="begin"/>
            </w:r>
            <w:r>
              <w:rPr>
                <w:noProof/>
                <w:webHidden/>
              </w:rPr>
              <w:instrText xml:space="preserve"> PAGEREF _Toc424259085 \h </w:instrText>
            </w:r>
            <w:r>
              <w:rPr>
                <w:noProof/>
                <w:webHidden/>
              </w:rPr>
            </w:r>
            <w:r>
              <w:rPr>
                <w:noProof/>
                <w:webHidden/>
              </w:rPr>
              <w:fldChar w:fldCharType="separate"/>
            </w:r>
            <w:r w:rsidR="006C5205">
              <w:rPr>
                <w:noProof/>
                <w:webHidden/>
              </w:rPr>
              <w:t>13</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086" w:history="1">
            <w:r w:rsidRPr="00460B77">
              <w:rPr>
                <w:rStyle w:val="Hyperlink"/>
                <w:noProof/>
              </w:rPr>
              <w:t>Solvency – Previous Rulings</w:t>
            </w:r>
            <w:r>
              <w:rPr>
                <w:noProof/>
                <w:webHidden/>
              </w:rPr>
              <w:tab/>
            </w:r>
            <w:r>
              <w:rPr>
                <w:noProof/>
                <w:webHidden/>
              </w:rPr>
              <w:fldChar w:fldCharType="begin"/>
            </w:r>
            <w:r>
              <w:rPr>
                <w:noProof/>
                <w:webHidden/>
              </w:rPr>
              <w:instrText xml:space="preserve"> PAGEREF _Toc424259086 \h </w:instrText>
            </w:r>
            <w:r>
              <w:rPr>
                <w:noProof/>
                <w:webHidden/>
              </w:rPr>
            </w:r>
            <w:r>
              <w:rPr>
                <w:noProof/>
                <w:webHidden/>
              </w:rPr>
              <w:fldChar w:fldCharType="separate"/>
            </w:r>
            <w:r w:rsidR="006C5205">
              <w:rPr>
                <w:noProof/>
                <w:webHidden/>
              </w:rPr>
              <w:t>14</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087" w:history="1">
            <w:r w:rsidRPr="00460B77">
              <w:rPr>
                <w:rStyle w:val="Hyperlink"/>
                <w:noProof/>
              </w:rPr>
              <w:t>Solvency – Previous Rulings</w:t>
            </w:r>
            <w:r>
              <w:rPr>
                <w:noProof/>
                <w:webHidden/>
              </w:rPr>
              <w:tab/>
            </w:r>
            <w:r>
              <w:rPr>
                <w:noProof/>
                <w:webHidden/>
              </w:rPr>
              <w:fldChar w:fldCharType="begin"/>
            </w:r>
            <w:r>
              <w:rPr>
                <w:noProof/>
                <w:webHidden/>
              </w:rPr>
              <w:instrText xml:space="preserve"> PAGEREF _Toc424259087 \h </w:instrText>
            </w:r>
            <w:r>
              <w:rPr>
                <w:noProof/>
                <w:webHidden/>
              </w:rPr>
            </w:r>
            <w:r>
              <w:rPr>
                <w:noProof/>
                <w:webHidden/>
              </w:rPr>
              <w:fldChar w:fldCharType="separate"/>
            </w:r>
            <w:r w:rsidR="006C5205">
              <w:rPr>
                <w:noProof/>
                <w:webHidden/>
              </w:rPr>
              <w:t>15</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088" w:history="1">
            <w:r w:rsidRPr="00460B77">
              <w:rPr>
                <w:rStyle w:val="Hyperlink"/>
                <w:noProof/>
              </w:rPr>
              <w:t>Solvency – Roadmap</w:t>
            </w:r>
            <w:r>
              <w:rPr>
                <w:noProof/>
                <w:webHidden/>
              </w:rPr>
              <w:tab/>
            </w:r>
            <w:r>
              <w:rPr>
                <w:noProof/>
                <w:webHidden/>
              </w:rPr>
              <w:fldChar w:fldCharType="begin"/>
            </w:r>
            <w:r>
              <w:rPr>
                <w:noProof/>
                <w:webHidden/>
              </w:rPr>
              <w:instrText xml:space="preserve"> PAGEREF _Toc424259088 \h </w:instrText>
            </w:r>
            <w:r>
              <w:rPr>
                <w:noProof/>
                <w:webHidden/>
              </w:rPr>
            </w:r>
            <w:r>
              <w:rPr>
                <w:noProof/>
                <w:webHidden/>
              </w:rPr>
              <w:fldChar w:fldCharType="separate"/>
            </w:r>
            <w:r w:rsidR="006C5205">
              <w:rPr>
                <w:noProof/>
                <w:webHidden/>
              </w:rPr>
              <w:t>16</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089" w:history="1">
            <w:r w:rsidRPr="00460B77">
              <w:rPr>
                <w:rStyle w:val="Hyperlink"/>
                <w:rFonts w:eastAsia="Times New Roman"/>
                <w:noProof/>
                <w:lang w:val="en"/>
              </w:rPr>
              <w:t>Solvency – XO 12333</w:t>
            </w:r>
            <w:r>
              <w:rPr>
                <w:noProof/>
                <w:webHidden/>
              </w:rPr>
              <w:tab/>
            </w:r>
            <w:r>
              <w:rPr>
                <w:noProof/>
                <w:webHidden/>
              </w:rPr>
              <w:fldChar w:fldCharType="begin"/>
            </w:r>
            <w:r>
              <w:rPr>
                <w:noProof/>
                <w:webHidden/>
              </w:rPr>
              <w:instrText xml:space="preserve"> PAGEREF _Toc424259089 \h </w:instrText>
            </w:r>
            <w:r>
              <w:rPr>
                <w:noProof/>
                <w:webHidden/>
              </w:rPr>
            </w:r>
            <w:r>
              <w:rPr>
                <w:noProof/>
                <w:webHidden/>
              </w:rPr>
              <w:fldChar w:fldCharType="separate"/>
            </w:r>
            <w:r w:rsidR="006C5205">
              <w:rPr>
                <w:noProof/>
                <w:webHidden/>
              </w:rPr>
              <w:t>18</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090" w:history="1">
            <w:r w:rsidRPr="00460B77">
              <w:rPr>
                <w:rStyle w:val="Hyperlink"/>
                <w:noProof/>
              </w:rPr>
              <w:t>Solvency – Drones</w:t>
            </w:r>
            <w:r>
              <w:rPr>
                <w:noProof/>
                <w:webHidden/>
              </w:rPr>
              <w:tab/>
            </w:r>
            <w:r>
              <w:rPr>
                <w:noProof/>
                <w:webHidden/>
              </w:rPr>
              <w:fldChar w:fldCharType="begin"/>
            </w:r>
            <w:r>
              <w:rPr>
                <w:noProof/>
                <w:webHidden/>
              </w:rPr>
              <w:instrText xml:space="preserve"> PAGEREF _Toc424259090 \h </w:instrText>
            </w:r>
            <w:r>
              <w:rPr>
                <w:noProof/>
                <w:webHidden/>
              </w:rPr>
            </w:r>
            <w:r>
              <w:rPr>
                <w:noProof/>
                <w:webHidden/>
              </w:rPr>
              <w:fldChar w:fldCharType="separate"/>
            </w:r>
            <w:r w:rsidR="006C5205">
              <w:rPr>
                <w:noProof/>
                <w:webHidden/>
              </w:rPr>
              <w:t>19</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091" w:history="1">
            <w:r w:rsidRPr="00460B77">
              <w:rPr>
                <w:rStyle w:val="Hyperlink"/>
                <w:rFonts w:eastAsia="Times New Roman"/>
                <w:noProof/>
              </w:rPr>
              <w:t>Solvency – Racial Profiling</w:t>
            </w:r>
            <w:r>
              <w:rPr>
                <w:noProof/>
                <w:webHidden/>
              </w:rPr>
              <w:tab/>
            </w:r>
            <w:r>
              <w:rPr>
                <w:noProof/>
                <w:webHidden/>
              </w:rPr>
              <w:fldChar w:fldCharType="begin"/>
            </w:r>
            <w:r>
              <w:rPr>
                <w:noProof/>
                <w:webHidden/>
              </w:rPr>
              <w:instrText xml:space="preserve"> PAGEREF _Toc424259091 \h </w:instrText>
            </w:r>
            <w:r>
              <w:rPr>
                <w:noProof/>
                <w:webHidden/>
              </w:rPr>
            </w:r>
            <w:r>
              <w:rPr>
                <w:noProof/>
                <w:webHidden/>
              </w:rPr>
              <w:fldChar w:fldCharType="separate"/>
            </w:r>
            <w:r w:rsidR="006C5205">
              <w:rPr>
                <w:noProof/>
                <w:webHidden/>
              </w:rPr>
              <w:t>20</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092" w:history="1">
            <w:r w:rsidRPr="00460B77">
              <w:rPr>
                <w:rStyle w:val="Hyperlink"/>
                <w:noProof/>
              </w:rPr>
              <w:t>Solvency – Commissions Expedite Policy Reform</w:t>
            </w:r>
            <w:r>
              <w:rPr>
                <w:noProof/>
                <w:webHidden/>
              </w:rPr>
              <w:tab/>
            </w:r>
            <w:r>
              <w:rPr>
                <w:noProof/>
                <w:webHidden/>
              </w:rPr>
              <w:fldChar w:fldCharType="begin"/>
            </w:r>
            <w:r>
              <w:rPr>
                <w:noProof/>
                <w:webHidden/>
              </w:rPr>
              <w:instrText xml:space="preserve"> PAGEREF _Toc424259092 \h </w:instrText>
            </w:r>
            <w:r>
              <w:rPr>
                <w:noProof/>
                <w:webHidden/>
              </w:rPr>
            </w:r>
            <w:r>
              <w:rPr>
                <w:noProof/>
                <w:webHidden/>
              </w:rPr>
              <w:fldChar w:fldCharType="separate"/>
            </w:r>
            <w:r w:rsidR="006C5205">
              <w:rPr>
                <w:noProof/>
                <w:webHidden/>
              </w:rPr>
              <w:t>21</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093" w:history="1">
            <w:r w:rsidRPr="00460B77">
              <w:rPr>
                <w:rStyle w:val="Hyperlink"/>
                <w:noProof/>
              </w:rPr>
              <w:t>A2: Lacks Authority</w:t>
            </w:r>
            <w:r>
              <w:rPr>
                <w:noProof/>
                <w:webHidden/>
              </w:rPr>
              <w:tab/>
            </w:r>
            <w:r>
              <w:rPr>
                <w:noProof/>
                <w:webHidden/>
              </w:rPr>
              <w:fldChar w:fldCharType="begin"/>
            </w:r>
            <w:r>
              <w:rPr>
                <w:noProof/>
                <w:webHidden/>
              </w:rPr>
              <w:instrText xml:space="preserve"> PAGEREF _Toc424259093 \h </w:instrText>
            </w:r>
            <w:r>
              <w:rPr>
                <w:noProof/>
                <w:webHidden/>
              </w:rPr>
            </w:r>
            <w:r>
              <w:rPr>
                <w:noProof/>
                <w:webHidden/>
              </w:rPr>
              <w:fldChar w:fldCharType="separate"/>
            </w:r>
            <w:r w:rsidR="006C5205">
              <w:rPr>
                <w:noProof/>
                <w:webHidden/>
              </w:rPr>
              <w:t>22</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094" w:history="1">
            <w:r w:rsidRPr="00460B77">
              <w:rPr>
                <w:rStyle w:val="Hyperlink"/>
                <w:noProof/>
              </w:rPr>
              <w:t>A2: Lacks Authority</w:t>
            </w:r>
            <w:r>
              <w:rPr>
                <w:noProof/>
                <w:webHidden/>
              </w:rPr>
              <w:tab/>
            </w:r>
            <w:r>
              <w:rPr>
                <w:noProof/>
                <w:webHidden/>
              </w:rPr>
              <w:fldChar w:fldCharType="begin"/>
            </w:r>
            <w:r>
              <w:rPr>
                <w:noProof/>
                <w:webHidden/>
              </w:rPr>
              <w:instrText xml:space="preserve"> PAGEREF _Toc424259094 \h </w:instrText>
            </w:r>
            <w:r>
              <w:rPr>
                <w:noProof/>
                <w:webHidden/>
              </w:rPr>
            </w:r>
            <w:r>
              <w:rPr>
                <w:noProof/>
                <w:webHidden/>
              </w:rPr>
              <w:fldChar w:fldCharType="separate"/>
            </w:r>
            <w:r w:rsidR="006C5205">
              <w:rPr>
                <w:noProof/>
                <w:webHidden/>
              </w:rPr>
              <w:t>23</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095" w:history="1">
            <w:r w:rsidRPr="00460B77">
              <w:rPr>
                <w:rStyle w:val="Hyperlink"/>
                <w:noProof/>
              </w:rPr>
              <w:t>A2: Recommendations not enacted</w:t>
            </w:r>
            <w:r>
              <w:rPr>
                <w:noProof/>
                <w:webHidden/>
              </w:rPr>
              <w:tab/>
            </w:r>
            <w:r>
              <w:rPr>
                <w:noProof/>
                <w:webHidden/>
              </w:rPr>
              <w:fldChar w:fldCharType="begin"/>
            </w:r>
            <w:r>
              <w:rPr>
                <w:noProof/>
                <w:webHidden/>
              </w:rPr>
              <w:instrText xml:space="preserve"> PAGEREF _Toc424259095 \h </w:instrText>
            </w:r>
            <w:r>
              <w:rPr>
                <w:noProof/>
                <w:webHidden/>
              </w:rPr>
            </w:r>
            <w:r>
              <w:rPr>
                <w:noProof/>
                <w:webHidden/>
              </w:rPr>
              <w:fldChar w:fldCharType="separate"/>
            </w:r>
            <w:r w:rsidR="006C5205">
              <w:rPr>
                <w:noProof/>
                <w:webHidden/>
              </w:rPr>
              <w:t>24</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096" w:history="1">
            <w:r w:rsidRPr="00460B77">
              <w:rPr>
                <w:rStyle w:val="Hyperlink"/>
                <w:noProof/>
              </w:rPr>
              <w:t>A2: Recommendations not enacted</w:t>
            </w:r>
            <w:r>
              <w:rPr>
                <w:noProof/>
                <w:webHidden/>
              </w:rPr>
              <w:tab/>
            </w:r>
            <w:r>
              <w:rPr>
                <w:noProof/>
                <w:webHidden/>
              </w:rPr>
              <w:fldChar w:fldCharType="begin"/>
            </w:r>
            <w:r>
              <w:rPr>
                <w:noProof/>
                <w:webHidden/>
              </w:rPr>
              <w:instrText xml:space="preserve"> PAGEREF _Toc424259096 \h </w:instrText>
            </w:r>
            <w:r>
              <w:rPr>
                <w:noProof/>
                <w:webHidden/>
              </w:rPr>
            </w:r>
            <w:r>
              <w:rPr>
                <w:noProof/>
                <w:webHidden/>
              </w:rPr>
              <w:fldChar w:fldCharType="separate"/>
            </w:r>
            <w:r w:rsidR="006C5205">
              <w:rPr>
                <w:noProof/>
                <w:webHidden/>
              </w:rPr>
              <w:t>26</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097" w:history="1">
            <w:r w:rsidRPr="00460B77">
              <w:rPr>
                <w:rStyle w:val="Hyperlink"/>
                <w:noProof/>
              </w:rPr>
              <w:t>A2: Recommendations Ignored</w:t>
            </w:r>
            <w:r>
              <w:rPr>
                <w:noProof/>
                <w:webHidden/>
              </w:rPr>
              <w:tab/>
            </w:r>
            <w:r>
              <w:rPr>
                <w:noProof/>
                <w:webHidden/>
              </w:rPr>
              <w:fldChar w:fldCharType="begin"/>
            </w:r>
            <w:r>
              <w:rPr>
                <w:noProof/>
                <w:webHidden/>
              </w:rPr>
              <w:instrText xml:space="preserve"> PAGEREF _Toc424259097 \h </w:instrText>
            </w:r>
            <w:r>
              <w:rPr>
                <w:noProof/>
                <w:webHidden/>
              </w:rPr>
            </w:r>
            <w:r>
              <w:rPr>
                <w:noProof/>
                <w:webHidden/>
              </w:rPr>
              <w:fldChar w:fldCharType="separate"/>
            </w:r>
            <w:r w:rsidR="006C5205">
              <w:rPr>
                <w:noProof/>
                <w:webHidden/>
              </w:rPr>
              <w:t>27</w:t>
            </w:r>
            <w:r>
              <w:rPr>
                <w:noProof/>
                <w:webHidden/>
              </w:rPr>
              <w:fldChar w:fldCharType="end"/>
            </w:r>
          </w:hyperlink>
        </w:p>
        <w:p w:rsidR="00F70DE6" w:rsidRDefault="00F70DE6">
          <w:pPr>
            <w:pStyle w:val="TOC2"/>
            <w:tabs>
              <w:tab w:val="right" w:leader="dot" w:pos="10790"/>
            </w:tabs>
            <w:rPr>
              <w:rFonts w:asciiTheme="minorHAnsi" w:eastAsiaTheme="minorEastAsia" w:hAnsiTheme="minorHAnsi" w:cstheme="minorBidi"/>
              <w:noProof/>
              <w:sz w:val="22"/>
            </w:rPr>
          </w:pPr>
          <w:hyperlink w:anchor="_Toc424259098" w:history="1">
            <w:r w:rsidRPr="00460B77">
              <w:rPr>
                <w:rStyle w:val="Hyperlink"/>
                <w:noProof/>
              </w:rPr>
              <w:t>Accountability NB</w:t>
            </w:r>
            <w:r>
              <w:rPr>
                <w:noProof/>
                <w:webHidden/>
              </w:rPr>
              <w:tab/>
            </w:r>
            <w:r>
              <w:rPr>
                <w:noProof/>
                <w:webHidden/>
              </w:rPr>
              <w:fldChar w:fldCharType="begin"/>
            </w:r>
            <w:r>
              <w:rPr>
                <w:noProof/>
                <w:webHidden/>
              </w:rPr>
              <w:instrText xml:space="preserve"> PAGEREF _Toc424259098 \h </w:instrText>
            </w:r>
            <w:r>
              <w:rPr>
                <w:noProof/>
                <w:webHidden/>
              </w:rPr>
            </w:r>
            <w:r>
              <w:rPr>
                <w:noProof/>
                <w:webHidden/>
              </w:rPr>
              <w:fldChar w:fldCharType="separate"/>
            </w:r>
            <w:r w:rsidR="006C5205">
              <w:rPr>
                <w:noProof/>
                <w:webHidden/>
              </w:rPr>
              <w:t>28</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099" w:history="1">
            <w:r w:rsidRPr="00460B77">
              <w:rPr>
                <w:rStyle w:val="Hyperlink"/>
                <w:noProof/>
              </w:rPr>
              <w:t>1NC Net Benefit: Civic Engagement</w:t>
            </w:r>
            <w:r>
              <w:rPr>
                <w:noProof/>
                <w:webHidden/>
              </w:rPr>
              <w:tab/>
            </w:r>
            <w:r>
              <w:rPr>
                <w:noProof/>
                <w:webHidden/>
              </w:rPr>
              <w:fldChar w:fldCharType="begin"/>
            </w:r>
            <w:r>
              <w:rPr>
                <w:noProof/>
                <w:webHidden/>
              </w:rPr>
              <w:instrText xml:space="preserve"> PAGEREF _Toc424259099 \h </w:instrText>
            </w:r>
            <w:r>
              <w:rPr>
                <w:noProof/>
                <w:webHidden/>
              </w:rPr>
            </w:r>
            <w:r>
              <w:rPr>
                <w:noProof/>
                <w:webHidden/>
              </w:rPr>
              <w:fldChar w:fldCharType="separate"/>
            </w:r>
            <w:r w:rsidR="006C5205">
              <w:rPr>
                <w:noProof/>
                <w:webHidden/>
              </w:rPr>
              <w:t>29</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00" w:history="1">
            <w:r w:rsidRPr="00460B77">
              <w:rPr>
                <w:rStyle w:val="Hyperlink"/>
                <w:noProof/>
              </w:rPr>
              <w:t>Impact: Poverty/Gender/Gov Accountabilty</w:t>
            </w:r>
            <w:r>
              <w:rPr>
                <w:noProof/>
                <w:webHidden/>
              </w:rPr>
              <w:tab/>
            </w:r>
            <w:r>
              <w:rPr>
                <w:noProof/>
                <w:webHidden/>
              </w:rPr>
              <w:fldChar w:fldCharType="begin"/>
            </w:r>
            <w:r>
              <w:rPr>
                <w:noProof/>
                <w:webHidden/>
              </w:rPr>
              <w:instrText xml:space="preserve"> PAGEREF _Toc424259100 \h </w:instrText>
            </w:r>
            <w:r>
              <w:rPr>
                <w:noProof/>
                <w:webHidden/>
              </w:rPr>
            </w:r>
            <w:r>
              <w:rPr>
                <w:noProof/>
                <w:webHidden/>
              </w:rPr>
              <w:fldChar w:fldCharType="separate"/>
            </w:r>
            <w:r w:rsidR="006C5205">
              <w:rPr>
                <w:noProof/>
                <w:webHidden/>
              </w:rPr>
              <w:t>31</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01" w:history="1">
            <w:r w:rsidRPr="00460B77">
              <w:rPr>
                <w:rStyle w:val="Hyperlink"/>
                <w:noProof/>
              </w:rPr>
              <w:t>A2: Transparency Insufficient</w:t>
            </w:r>
            <w:r>
              <w:rPr>
                <w:noProof/>
                <w:webHidden/>
              </w:rPr>
              <w:tab/>
            </w:r>
            <w:r>
              <w:rPr>
                <w:noProof/>
                <w:webHidden/>
              </w:rPr>
              <w:fldChar w:fldCharType="begin"/>
            </w:r>
            <w:r>
              <w:rPr>
                <w:noProof/>
                <w:webHidden/>
              </w:rPr>
              <w:instrText xml:space="preserve"> PAGEREF _Toc424259101 \h </w:instrText>
            </w:r>
            <w:r>
              <w:rPr>
                <w:noProof/>
                <w:webHidden/>
              </w:rPr>
            </w:r>
            <w:r>
              <w:rPr>
                <w:noProof/>
                <w:webHidden/>
              </w:rPr>
              <w:fldChar w:fldCharType="separate"/>
            </w:r>
            <w:r w:rsidR="006C5205">
              <w:rPr>
                <w:noProof/>
                <w:webHidden/>
              </w:rPr>
              <w:t>33</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02" w:history="1">
            <w:r w:rsidRPr="00460B77">
              <w:rPr>
                <w:rStyle w:val="Hyperlink"/>
                <w:noProof/>
              </w:rPr>
              <w:t>A2: Transparency Insufficient</w:t>
            </w:r>
            <w:r>
              <w:rPr>
                <w:noProof/>
                <w:webHidden/>
              </w:rPr>
              <w:tab/>
            </w:r>
            <w:r>
              <w:rPr>
                <w:noProof/>
                <w:webHidden/>
              </w:rPr>
              <w:fldChar w:fldCharType="begin"/>
            </w:r>
            <w:r>
              <w:rPr>
                <w:noProof/>
                <w:webHidden/>
              </w:rPr>
              <w:instrText xml:space="preserve"> PAGEREF _Toc424259102 \h </w:instrText>
            </w:r>
            <w:r>
              <w:rPr>
                <w:noProof/>
                <w:webHidden/>
              </w:rPr>
            </w:r>
            <w:r>
              <w:rPr>
                <w:noProof/>
                <w:webHidden/>
              </w:rPr>
              <w:fldChar w:fldCharType="separate"/>
            </w:r>
            <w:r w:rsidR="006C5205">
              <w:rPr>
                <w:noProof/>
                <w:webHidden/>
              </w:rPr>
              <w:t>35</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03" w:history="1">
            <w:r w:rsidRPr="00460B77">
              <w:rPr>
                <w:rStyle w:val="Hyperlink"/>
                <w:noProof/>
              </w:rPr>
              <w:t>A2: Transparency Insufficient</w:t>
            </w:r>
            <w:r>
              <w:rPr>
                <w:noProof/>
                <w:webHidden/>
              </w:rPr>
              <w:tab/>
            </w:r>
            <w:r>
              <w:rPr>
                <w:noProof/>
                <w:webHidden/>
              </w:rPr>
              <w:fldChar w:fldCharType="begin"/>
            </w:r>
            <w:r>
              <w:rPr>
                <w:noProof/>
                <w:webHidden/>
              </w:rPr>
              <w:instrText xml:space="preserve"> PAGEREF _Toc424259103 \h </w:instrText>
            </w:r>
            <w:r>
              <w:rPr>
                <w:noProof/>
                <w:webHidden/>
              </w:rPr>
            </w:r>
            <w:r>
              <w:rPr>
                <w:noProof/>
                <w:webHidden/>
              </w:rPr>
              <w:fldChar w:fldCharType="separate"/>
            </w:r>
            <w:r w:rsidR="006C5205">
              <w:rPr>
                <w:noProof/>
                <w:webHidden/>
              </w:rPr>
              <w:t>36</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04" w:history="1">
            <w:r w:rsidRPr="00460B77">
              <w:rPr>
                <w:rStyle w:val="Hyperlink"/>
                <w:rFonts w:eastAsia="Times New Roman"/>
                <w:noProof/>
                <w:lang w:val="en"/>
              </w:rPr>
              <w:t>A2: Government not responsive to civic engagement</w:t>
            </w:r>
            <w:r>
              <w:rPr>
                <w:noProof/>
                <w:webHidden/>
              </w:rPr>
              <w:tab/>
            </w:r>
            <w:r>
              <w:rPr>
                <w:noProof/>
                <w:webHidden/>
              </w:rPr>
              <w:fldChar w:fldCharType="begin"/>
            </w:r>
            <w:r>
              <w:rPr>
                <w:noProof/>
                <w:webHidden/>
              </w:rPr>
              <w:instrText xml:space="preserve"> PAGEREF _Toc424259104 \h </w:instrText>
            </w:r>
            <w:r>
              <w:rPr>
                <w:noProof/>
                <w:webHidden/>
              </w:rPr>
            </w:r>
            <w:r>
              <w:rPr>
                <w:noProof/>
                <w:webHidden/>
              </w:rPr>
              <w:fldChar w:fldCharType="separate"/>
            </w:r>
            <w:r w:rsidR="006C5205">
              <w:rPr>
                <w:noProof/>
                <w:webHidden/>
              </w:rPr>
              <w:t>37</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05" w:history="1">
            <w:r w:rsidRPr="00460B77">
              <w:rPr>
                <w:rStyle w:val="Hyperlink"/>
                <w:noProof/>
              </w:rPr>
              <w:t>A2: Perm solves NB</w:t>
            </w:r>
            <w:r>
              <w:rPr>
                <w:noProof/>
                <w:webHidden/>
              </w:rPr>
              <w:tab/>
            </w:r>
            <w:r>
              <w:rPr>
                <w:noProof/>
                <w:webHidden/>
              </w:rPr>
              <w:fldChar w:fldCharType="begin"/>
            </w:r>
            <w:r>
              <w:rPr>
                <w:noProof/>
                <w:webHidden/>
              </w:rPr>
              <w:instrText xml:space="preserve"> PAGEREF _Toc424259105 \h </w:instrText>
            </w:r>
            <w:r>
              <w:rPr>
                <w:noProof/>
                <w:webHidden/>
              </w:rPr>
            </w:r>
            <w:r>
              <w:rPr>
                <w:noProof/>
                <w:webHidden/>
              </w:rPr>
              <w:fldChar w:fldCharType="separate"/>
            </w:r>
            <w:r w:rsidR="006C5205">
              <w:rPr>
                <w:noProof/>
                <w:webHidden/>
              </w:rPr>
              <w:t>38</w:t>
            </w:r>
            <w:r>
              <w:rPr>
                <w:noProof/>
                <w:webHidden/>
              </w:rPr>
              <w:fldChar w:fldCharType="end"/>
            </w:r>
          </w:hyperlink>
        </w:p>
        <w:p w:rsidR="00F70DE6" w:rsidRDefault="00F70DE6">
          <w:pPr>
            <w:pStyle w:val="TOC2"/>
            <w:tabs>
              <w:tab w:val="right" w:leader="dot" w:pos="10790"/>
            </w:tabs>
            <w:rPr>
              <w:rFonts w:asciiTheme="minorHAnsi" w:eastAsiaTheme="minorEastAsia" w:hAnsiTheme="minorHAnsi" w:cstheme="minorBidi"/>
              <w:noProof/>
              <w:sz w:val="22"/>
            </w:rPr>
          </w:pPr>
          <w:hyperlink w:anchor="_Toc424259106" w:history="1">
            <w:r w:rsidRPr="00460B77">
              <w:rPr>
                <w:rStyle w:val="Hyperlink"/>
                <w:noProof/>
              </w:rPr>
              <w:t>Politics</w:t>
            </w:r>
            <w:r>
              <w:rPr>
                <w:noProof/>
                <w:webHidden/>
              </w:rPr>
              <w:tab/>
            </w:r>
            <w:r>
              <w:rPr>
                <w:noProof/>
                <w:webHidden/>
              </w:rPr>
              <w:fldChar w:fldCharType="begin"/>
            </w:r>
            <w:r>
              <w:rPr>
                <w:noProof/>
                <w:webHidden/>
              </w:rPr>
              <w:instrText xml:space="preserve"> PAGEREF _Toc424259106 \h </w:instrText>
            </w:r>
            <w:r>
              <w:rPr>
                <w:noProof/>
                <w:webHidden/>
              </w:rPr>
            </w:r>
            <w:r>
              <w:rPr>
                <w:noProof/>
                <w:webHidden/>
              </w:rPr>
              <w:fldChar w:fldCharType="separate"/>
            </w:r>
            <w:r w:rsidR="006C5205">
              <w:rPr>
                <w:noProof/>
                <w:webHidden/>
              </w:rPr>
              <w:t>39</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07" w:history="1">
            <w:r w:rsidRPr="00460B77">
              <w:rPr>
                <w:rStyle w:val="Hyperlink"/>
                <w:noProof/>
              </w:rPr>
              <w:t>CP Shields Politics</w:t>
            </w:r>
            <w:r>
              <w:rPr>
                <w:noProof/>
                <w:webHidden/>
              </w:rPr>
              <w:tab/>
            </w:r>
            <w:r>
              <w:rPr>
                <w:noProof/>
                <w:webHidden/>
              </w:rPr>
              <w:fldChar w:fldCharType="begin"/>
            </w:r>
            <w:r>
              <w:rPr>
                <w:noProof/>
                <w:webHidden/>
              </w:rPr>
              <w:instrText xml:space="preserve"> PAGEREF _Toc424259107 \h </w:instrText>
            </w:r>
            <w:r>
              <w:rPr>
                <w:noProof/>
                <w:webHidden/>
              </w:rPr>
            </w:r>
            <w:r>
              <w:rPr>
                <w:noProof/>
                <w:webHidden/>
              </w:rPr>
              <w:fldChar w:fldCharType="separate"/>
            </w:r>
            <w:r w:rsidR="006C5205">
              <w:rPr>
                <w:noProof/>
                <w:webHidden/>
              </w:rPr>
              <w:t>40</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08" w:history="1">
            <w:r w:rsidRPr="00460B77">
              <w:rPr>
                <w:rStyle w:val="Hyperlink"/>
                <w:noProof/>
              </w:rPr>
              <w:t>CP Shields Politics</w:t>
            </w:r>
            <w:r>
              <w:rPr>
                <w:noProof/>
                <w:webHidden/>
              </w:rPr>
              <w:tab/>
            </w:r>
            <w:r>
              <w:rPr>
                <w:noProof/>
                <w:webHidden/>
              </w:rPr>
              <w:fldChar w:fldCharType="begin"/>
            </w:r>
            <w:r>
              <w:rPr>
                <w:noProof/>
                <w:webHidden/>
              </w:rPr>
              <w:instrText xml:space="preserve"> PAGEREF _Toc424259108 \h </w:instrText>
            </w:r>
            <w:r>
              <w:rPr>
                <w:noProof/>
                <w:webHidden/>
              </w:rPr>
            </w:r>
            <w:r>
              <w:rPr>
                <w:noProof/>
                <w:webHidden/>
              </w:rPr>
              <w:fldChar w:fldCharType="separate"/>
            </w:r>
            <w:r w:rsidR="006C5205">
              <w:rPr>
                <w:noProof/>
                <w:webHidden/>
              </w:rPr>
              <w:t>41</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09" w:history="1">
            <w:r w:rsidRPr="00460B77">
              <w:rPr>
                <w:rStyle w:val="Hyperlink"/>
                <w:noProof/>
              </w:rPr>
              <w:t>CP Shields Politics</w:t>
            </w:r>
            <w:r>
              <w:rPr>
                <w:noProof/>
                <w:webHidden/>
              </w:rPr>
              <w:tab/>
            </w:r>
            <w:r>
              <w:rPr>
                <w:noProof/>
                <w:webHidden/>
              </w:rPr>
              <w:fldChar w:fldCharType="begin"/>
            </w:r>
            <w:r>
              <w:rPr>
                <w:noProof/>
                <w:webHidden/>
              </w:rPr>
              <w:instrText xml:space="preserve"> PAGEREF _Toc424259109 \h </w:instrText>
            </w:r>
            <w:r>
              <w:rPr>
                <w:noProof/>
                <w:webHidden/>
              </w:rPr>
            </w:r>
            <w:r>
              <w:rPr>
                <w:noProof/>
                <w:webHidden/>
              </w:rPr>
              <w:fldChar w:fldCharType="separate"/>
            </w:r>
            <w:r w:rsidR="006C5205">
              <w:rPr>
                <w:noProof/>
                <w:webHidden/>
              </w:rPr>
              <w:t>42</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10" w:history="1">
            <w:r w:rsidRPr="00460B77">
              <w:rPr>
                <w:rStyle w:val="Hyperlink"/>
                <w:noProof/>
              </w:rPr>
              <w:t>CP Bipartisan</w:t>
            </w:r>
            <w:r>
              <w:rPr>
                <w:noProof/>
                <w:webHidden/>
              </w:rPr>
              <w:tab/>
            </w:r>
            <w:r>
              <w:rPr>
                <w:noProof/>
                <w:webHidden/>
              </w:rPr>
              <w:fldChar w:fldCharType="begin"/>
            </w:r>
            <w:r>
              <w:rPr>
                <w:noProof/>
                <w:webHidden/>
              </w:rPr>
              <w:instrText xml:space="preserve"> PAGEREF _Toc424259110 \h </w:instrText>
            </w:r>
            <w:r>
              <w:rPr>
                <w:noProof/>
                <w:webHidden/>
              </w:rPr>
            </w:r>
            <w:r>
              <w:rPr>
                <w:noProof/>
                <w:webHidden/>
              </w:rPr>
              <w:fldChar w:fldCharType="separate"/>
            </w:r>
            <w:r w:rsidR="006C5205">
              <w:rPr>
                <w:noProof/>
                <w:webHidden/>
              </w:rPr>
              <w:t>43</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11" w:history="1">
            <w:r w:rsidRPr="00460B77">
              <w:rPr>
                <w:rStyle w:val="Hyperlink"/>
                <w:noProof/>
              </w:rPr>
              <w:t>CP Popular</w:t>
            </w:r>
            <w:r>
              <w:rPr>
                <w:noProof/>
                <w:webHidden/>
              </w:rPr>
              <w:tab/>
            </w:r>
            <w:r>
              <w:rPr>
                <w:noProof/>
                <w:webHidden/>
              </w:rPr>
              <w:fldChar w:fldCharType="begin"/>
            </w:r>
            <w:r>
              <w:rPr>
                <w:noProof/>
                <w:webHidden/>
              </w:rPr>
              <w:instrText xml:space="preserve"> PAGEREF _Toc424259111 \h </w:instrText>
            </w:r>
            <w:r>
              <w:rPr>
                <w:noProof/>
                <w:webHidden/>
              </w:rPr>
            </w:r>
            <w:r>
              <w:rPr>
                <w:noProof/>
                <w:webHidden/>
              </w:rPr>
              <w:fldChar w:fldCharType="separate"/>
            </w:r>
            <w:r w:rsidR="006C5205">
              <w:rPr>
                <w:noProof/>
                <w:webHidden/>
              </w:rPr>
              <w:t>44</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12" w:history="1">
            <w:r w:rsidRPr="00460B77">
              <w:rPr>
                <w:rStyle w:val="Hyperlink"/>
                <w:noProof/>
              </w:rPr>
              <w:t>CP Generates Political Capital</w:t>
            </w:r>
            <w:r>
              <w:rPr>
                <w:noProof/>
                <w:webHidden/>
              </w:rPr>
              <w:tab/>
            </w:r>
            <w:r>
              <w:rPr>
                <w:noProof/>
                <w:webHidden/>
              </w:rPr>
              <w:fldChar w:fldCharType="begin"/>
            </w:r>
            <w:r>
              <w:rPr>
                <w:noProof/>
                <w:webHidden/>
              </w:rPr>
              <w:instrText xml:space="preserve"> PAGEREF _Toc424259112 \h </w:instrText>
            </w:r>
            <w:r>
              <w:rPr>
                <w:noProof/>
                <w:webHidden/>
              </w:rPr>
            </w:r>
            <w:r>
              <w:rPr>
                <w:noProof/>
                <w:webHidden/>
              </w:rPr>
              <w:fldChar w:fldCharType="separate"/>
            </w:r>
            <w:r w:rsidR="006C5205">
              <w:rPr>
                <w:noProof/>
                <w:webHidden/>
              </w:rPr>
              <w:t>45</w:t>
            </w:r>
            <w:r>
              <w:rPr>
                <w:noProof/>
                <w:webHidden/>
              </w:rPr>
              <w:fldChar w:fldCharType="end"/>
            </w:r>
          </w:hyperlink>
        </w:p>
        <w:p w:rsidR="00F70DE6" w:rsidRDefault="00F70DE6">
          <w:pPr>
            <w:pStyle w:val="TOC2"/>
            <w:tabs>
              <w:tab w:val="right" w:leader="dot" w:pos="10790"/>
            </w:tabs>
            <w:rPr>
              <w:rFonts w:asciiTheme="minorHAnsi" w:eastAsiaTheme="minorEastAsia" w:hAnsiTheme="minorHAnsi" w:cstheme="minorBidi"/>
              <w:noProof/>
              <w:sz w:val="22"/>
            </w:rPr>
          </w:pPr>
          <w:hyperlink w:anchor="_Toc424259113" w:history="1">
            <w:r w:rsidRPr="00460B77">
              <w:rPr>
                <w:rStyle w:val="Hyperlink"/>
                <w:noProof/>
              </w:rPr>
              <w:t>Aff Answers</w:t>
            </w:r>
            <w:r>
              <w:rPr>
                <w:noProof/>
                <w:webHidden/>
              </w:rPr>
              <w:tab/>
            </w:r>
            <w:r>
              <w:rPr>
                <w:noProof/>
                <w:webHidden/>
              </w:rPr>
              <w:fldChar w:fldCharType="begin"/>
            </w:r>
            <w:r>
              <w:rPr>
                <w:noProof/>
                <w:webHidden/>
              </w:rPr>
              <w:instrText xml:space="preserve"> PAGEREF _Toc424259113 \h </w:instrText>
            </w:r>
            <w:r>
              <w:rPr>
                <w:noProof/>
                <w:webHidden/>
              </w:rPr>
            </w:r>
            <w:r>
              <w:rPr>
                <w:noProof/>
                <w:webHidden/>
              </w:rPr>
              <w:fldChar w:fldCharType="separate"/>
            </w:r>
            <w:r w:rsidR="006C5205">
              <w:rPr>
                <w:noProof/>
                <w:webHidden/>
              </w:rPr>
              <w:t>46</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14" w:history="1">
            <w:r w:rsidRPr="00460B77">
              <w:rPr>
                <w:rStyle w:val="Hyperlink"/>
                <w:noProof/>
              </w:rPr>
              <w:t>Turn – Kills Accountability</w:t>
            </w:r>
            <w:r>
              <w:rPr>
                <w:noProof/>
                <w:webHidden/>
              </w:rPr>
              <w:tab/>
            </w:r>
            <w:r>
              <w:rPr>
                <w:noProof/>
                <w:webHidden/>
              </w:rPr>
              <w:fldChar w:fldCharType="begin"/>
            </w:r>
            <w:r>
              <w:rPr>
                <w:noProof/>
                <w:webHidden/>
              </w:rPr>
              <w:instrText xml:space="preserve"> PAGEREF _Toc424259114 \h </w:instrText>
            </w:r>
            <w:r>
              <w:rPr>
                <w:noProof/>
                <w:webHidden/>
              </w:rPr>
            </w:r>
            <w:r>
              <w:rPr>
                <w:noProof/>
                <w:webHidden/>
              </w:rPr>
              <w:fldChar w:fldCharType="separate"/>
            </w:r>
            <w:r w:rsidR="006C5205">
              <w:rPr>
                <w:noProof/>
                <w:webHidden/>
              </w:rPr>
              <w:t>47</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15" w:history="1">
            <w:r w:rsidRPr="00460B77">
              <w:rPr>
                <w:rStyle w:val="Hyperlink"/>
                <w:noProof/>
              </w:rPr>
              <w:t>Turn – Kills Accountability</w:t>
            </w:r>
            <w:r>
              <w:rPr>
                <w:noProof/>
                <w:webHidden/>
              </w:rPr>
              <w:tab/>
            </w:r>
            <w:r>
              <w:rPr>
                <w:noProof/>
                <w:webHidden/>
              </w:rPr>
              <w:fldChar w:fldCharType="begin"/>
            </w:r>
            <w:r>
              <w:rPr>
                <w:noProof/>
                <w:webHidden/>
              </w:rPr>
              <w:instrText xml:space="preserve"> PAGEREF _Toc424259115 \h </w:instrText>
            </w:r>
            <w:r>
              <w:rPr>
                <w:noProof/>
                <w:webHidden/>
              </w:rPr>
            </w:r>
            <w:r>
              <w:rPr>
                <w:noProof/>
                <w:webHidden/>
              </w:rPr>
              <w:fldChar w:fldCharType="separate"/>
            </w:r>
            <w:r w:rsidR="006C5205">
              <w:rPr>
                <w:noProof/>
                <w:webHidden/>
              </w:rPr>
              <w:t>48</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16" w:history="1">
            <w:r w:rsidRPr="00460B77">
              <w:rPr>
                <w:rStyle w:val="Hyperlink"/>
                <w:noProof/>
              </w:rPr>
              <w:t>Turn – Kills Accountability</w:t>
            </w:r>
            <w:r>
              <w:rPr>
                <w:noProof/>
                <w:webHidden/>
              </w:rPr>
              <w:tab/>
            </w:r>
            <w:r>
              <w:rPr>
                <w:noProof/>
                <w:webHidden/>
              </w:rPr>
              <w:fldChar w:fldCharType="begin"/>
            </w:r>
            <w:r>
              <w:rPr>
                <w:noProof/>
                <w:webHidden/>
              </w:rPr>
              <w:instrText xml:space="preserve"> PAGEREF _Toc424259116 \h </w:instrText>
            </w:r>
            <w:r>
              <w:rPr>
                <w:noProof/>
                <w:webHidden/>
              </w:rPr>
            </w:r>
            <w:r>
              <w:rPr>
                <w:noProof/>
                <w:webHidden/>
              </w:rPr>
              <w:fldChar w:fldCharType="separate"/>
            </w:r>
            <w:r w:rsidR="006C5205">
              <w:rPr>
                <w:noProof/>
                <w:webHidden/>
              </w:rPr>
              <w:t>49</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17" w:history="1">
            <w:r w:rsidRPr="00460B77">
              <w:rPr>
                <w:rStyle w:val="Hyperlink"/>
                <w:noProof/>
              </w:rPr>
              <w:t>No solvency – Lacks Authority</w:t>
            </w:r>
            <w:r>
              <w:rPr>
                <w:noProof/>
                <w:webHidden/>
              </w:rPr>
              <w:tab/>
            </w:r>
            <w:r>
              <w:rPr>
                <w:noProof/>
                <w:webHidden/>
              </w:rPr>
              <w:fldChar w:fldCharType="begin"/>
            </w:r>
            <w:r>
              <w:rPr>
                <w:noProof/>
                <w:webHidden/>
              </w:rPr>
              <w:instrText xml:space="preserve"> PAGEREF _Toc424259117 \h </w:instrText>
            </w:r>
            <w:r>
              <w:rPr>
                <w:noProof/>
                <w:webHidden/>
              </w:rPr>
            </w:r>
            <w:r>
              <w:rPr>
                <w:noProof/>
                <w:webHidden/>
              </w:rPr>
              <w:fldChar w:fldCharType="separate"/>
            </w:r>
            <w:r w:rsidR="006C5205">
              <w:rPr>
                <w:noProof/>
                <w:webHidden/>
              </w:rPr>
              <w:t>50</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18" w:history="1">
            <w:r w:rsidRPr="00460B77">
              <w:rPr>
                <w:rStyle w:val="Hyperlink"/>
                <w:noProof/>
              </w:rPr>
              <w:t>No Solvency – Lacks Authority</w:t>
            </w:r>
            <w:r>
              <w:rPr>
                <w:noProof/>
                <w:webHidden/>
              </w:rPr>
              <w:tab/>
            </w:r>
            <w:r>
              <w:rPr>
                <w:noProof/>
                <w:webHidden/>
              </w:rPr>
              <w:fldChar w:fldCharType="begin"/>
            </w:r>
            <w:r>
              <w:rPr>
                <w:noProof/>
                <w:webHidden/>
              </w:rPr>
              <w:instrText xml:space="preserve"> PAGEREF _Toc424259118 \h </w:instrText>
            </w:r>
            <w:r>
              <w:rPr>
                <w:noProof/>
                <w:webHidden/>
              </w:rPr>
            </w:r>
            <w:r>
              <w:rPr>
                <w:noProof/>
                <w:webHidden/>
              </w:rPr>
              <w:fldChar w:fldCharType="separate"/>
            </w:r>
            <w:r w:rsidR="006C5205">
              <w:rPr>
                <w:noProof/>
                <w:webHidden/>
              </w:rPr>
              <w:t>51</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19" w:history="1">
            <w:r w:rsidRPr="00460B77">
              <w:rPr>
                <w:rStyle w:val="Hyperlink"/>
                <w:noProof/>
              </w:rPr>
              <w:t>No solvency – Lacks Authority</w:t>
            </w:r>
            <w:r>
              <w:rPr>
                <w:noProof/>
                <w:webHidden/>
              </w:rPr>
              <w:tab/>
            </w:r>
            <w:r>
              <w:rPr>
                <w:noProof/>
                <w:webHidden/>
              </w:rPr>
              <w:fldChar w:fldCharType="begin"/>
            </w:r>
            <w:r>
              <w:rPr>
                <w:noProof/>
                <w:webHidden/>
              </w:rPr>
              <w:instrText xml:space="preserve"> PAGEREF _Toc424259119 \h </w:instrText>
            </w:r>
            <w:r>
              <w:rPr>
                <w:noProof/>
                <w:webHidden/>
              </w:rPr>
            </w:r>
            <w:r>
              <w:rPr>
                <w:noProof/>
                <w:webHidden/>
              </w:rPr>
              <w:fldChar w:fldCharType="separate"/>
            </w:r>
            <w:r w:rsidR="006C5205">
              <w:rPr>
                <w:noProof/>
                <w:webHidden/>
              </w:rPr>
              <w:t>52</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20" w:history="1">
            <w:r w:rsidRPr="00460B77">
              <w:rPr>
                <w:rStyle w:val="Hyperlink"/>
                <w:noProof/>
              </w:rPr>
              <w:t>No Solvency – Recommendations Ignored</w:t>
            </w:r>
            <w:r>
              <w:rPr>
                <w:noProof/>
                <w:webHidden/>
              </w:rPr>
              <w:tab/>
            </w:r>
            <w:r>
              <w:rPr>
                <w:noProof/>
                <w:webHidden/>
              </w:rPr>
              <w:fldChar w:fldCharType="begin"/>
            </w:r>
            <w:r>
              <w:rPr>
                <w:noProof/>
                <w:webHidden/>
              </w:rPr>
              <w:instrText xml:space="preserve"> PAGEREF _Toc424259120 \h </w:instrText>
            </w:r>
            <w:r>
              <w:rPr>
                <w:noProof/>
                <w:webHidden/>
              </w:rPr>
            </w:r>
            <w:r>
              <w:rPr>
                <w:noProof/>
                <w:webHidden/>
              </w:rPr>
              <w:fldChar w:fldCharType="separate"/>
            </w:r>
            <w:r w:rsidR="006C5205">
              <w:rPr>
                <w:noProof/>
                <w:webHidden/>
              </w:rPr>
              <w:t>53</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21" w:history="1">
            <w:r w:rsidRPr="00460B77">
              <w:rPr>
                <w:rStyle w:val="Hyperlink"/>
                <w:noProof/>
              </w:rPr>
              <w:t>No Solvency – Laundry List</w:t>
            </w:r>
            <w:r>
              <w:rPr>
                <w:noProof/>
                <w:webHidden/>
              </w:rPr>
              <w:tab/>
            </w:r>
            <w:r>
              <w:rPr>
                <w:noProof/>
                <w:webHidden/>
              </w:rPr>
              <w:fldChar w:fldCharType="begin"/>
            </w:r>
            <w:r>
              <w:rPr>
                <w:noProof/>
                <w:webHidden/>
              </w:rPr>
              <w:instrText xml:space="preserve"> PAGEREF _Toc424259121 \h </w:instrText>
            </w:r>
            <w:r>
              <w:rPr>
                <w:noProof/>
                <w:webHidden/>
              </w:rPr>
            </w:r>
            <w:r>
              <w:rPr>
                <w:noProof/>
                <w:webHidden/>
              </w:rPr>
              <w:fldChar w:fldCharType="separate"/>
            </w:r>
            <w:r w:rsidR="006C5205">
              <w:rPr>
                <w:noProof/>
                <w:webHidden/>
              </w:rPr>
              <w:t>54</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22" w:history="1">
            <w:r w:rsidRPr="00460B77">
              <w:rPr>
                <w:rStyle w:val="Hyperlink"/>
                <w:noProof/>
              </w:rPr>
              <w:t>Perm – As Many Actors as Possible</w:t>
            </w:r>
            <w:r>
              <w:rPr>
                <w:noProof/>
                <w:webHidden/>
              </w:rPr>
              <w:tab/>
            </w:r>
            <w:r>
              <w:rPr>
                <w:noProof/>
                <w:webHidden/>
              </w:rPr>
              <w:fldChar w:fldCharType="begin"/>
            </w:r>
            <w:r>
              <w:rPr>
                <w:noProof/>
                <w:webHidden/>
              </w:rPr>
              <w:instrText xml:space="preserve"> PAGEREF _Toc424259122 \h </w:instrText>
            </w:r>
            <w:r>
              <w:rPr>
                <w:noProof/>
                <w:webHidden/>
              </w:rPr>
            </w:r>
            <w:r>
              <w:rPr>
                <w:noProof/>
                <w:webHidden/>
              </w:rPr>
              <w:fldChar w:fldCharType="separate"/>
            </w:r>
            <w:r w:rsidR="006C5205">
              <w:rPr>
                <w:noProof/>
                <w:webHidden/>
              </w:rPr>
              <w:t>56</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23" w:history="1">
            <w:r w:rsidRPr="00460B77">
              <w:rPr>
                <w:rStyle w:val="Hyperlink"/>
                <w:noProof/>
              </w:rPr>
              <w:t>Perm – CP then Plan</w:t>
            </w:r>
            <w:r>
              <w:rPr>
                <w:noProof/>
                <w:webHidden/>
              </w:rPr>
              <w:tab/>
            </w:r>
            <w:r>
              <w:rPr>
                <w:noProof/>
                <w:webHidden/>
              </w:rPr>
              <w:fldChar w:fldCharType="begin"/>
            </w:r>
            <w:r>
              <w:rPr>
                <w:noProof/>
                <w:webHidden/>
              </w:rPr>
              <w:instrText xml:space="preserve"> PAGEREF _Toc424259123 \h </w:instrText>
            </w:r>
            <w:r>
              <w:rPr>
                <w:noProof/>
                <w:webHidden/>
              </w:rPr>
            </w:r>
            <w:r>
              <w:rPr>
                <w:noProof/>
                <w:webHidden/>
              </w:rPr>
              <w:fldChar w:fldCharType="separate"/>
            </w:r>
            <w:r w:rsidR="006C5205">
              <w:rPr>
                <w:noProof/>
                <w:webHidden/>
              </w:rPr>
              <w:t>57</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24" w:history="1">
            <w:r w:rsidRPr="00460B77">
              <w:rPr>
                <w:rStyle w:val="Hyperlink"/>
                <w:noProof/>
              </w:rPr>
              <w:t>A2: Ptx NB – Transparency becomes polarized</w:t>
            </w:r>
            <w:r>
              <w:rPr>
                <w:noProof/>
                <w:webHidden/>
              </w:rPr>
              <w:tab/>
            </w:r>
            <w:r>
              <w:rPr>
                <w:noProof/>
                <w:webHidden/>
              </w:rPr>
              <w:fldChar w:fldCharType="begin"/>
            </w:r>
            <w:r>
              <w:rPr>
                <w:noProof/>
                <w:webHidden/>
              </w:rPr>
              <w:instrText xml:space="preserve"> PAGEREF _Toc424259124 \h </w:instrText>
            </w:r>
            <w:r>
              <w:rPr>
                <w:noProof/>
                <w:webHidden/>
              </w:rPr>
            </w:r>
            <w:r>
              <w:rPr>
                <w:noProof/>
                <w:webHidden/>
              </w:rPr>
              <w:fldChar w:fldCharType="separate"/>
            </w:r>
            <w:r w:rsidR="006C5205">
              <w:rPr>
                <w:noProof/>
                <w:webHidden/>
              </w:rPr>
              <w:t>58</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25" w:history="1">
            <w:r w:rsidRPr="00460B77">
              <w:rPr>
                <w:rStyle w:val="Hyperlink"/>
                <w:noProof/>
              </w:rPr>
              <w:t>A2: Ptx NB – Unpopular with Republicans</w:t>
            </w:r>
            <w:r>
              <w:rPr>
                <w:noProof/>
                <w:webHidden/>
              </w:rPr>
              <w:tab/>
            </w:r>
            <w:r>
              <w:rPr>
                <w:noProof/>
                <w:webHidden/>
              </w:rPr>
              <w:fldChar w:fldCharType="begin"/>
            </w:r>
            <w:r>
              <w:rPr>
                <w:noProof/>
                <w:webHidden/>
              </w:rPr>
              <w:instrText xml:space="preserve"> PAGEREF _Toc424259125 \h </w:instrText>
            </w:r>
            <w:r>
              <w:rPr>
                <w:noProof/>
                <w:webHidden/>
              </w:rPr>
            </w:r>
            <w:r>
              <w:rPr>
                <w:noProof/>
                <w:webHidden/>
              </w:rPr>
              <w:fldChar w:fldCharType="separate"/>
            </w:r>
            <w:r w:rsidR="006C5205">
              <w:rPr>
                <w:noProof/>
                <w:webHidden/>
              </w:rPr>
              <w:t>59</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26" w:history="1">
            <w:r w:rsidRPr="00460B77">
              <w:rPr>
                <w:rStyle w:val="Hyperlink"/>
                <w:noProof/>
              </w:rPr>
              <w:t>A2: Civic Engagement NB (For Policy Affs)</w:t>
            </w:r>
            <w:r>
              <w:rPr>
                <w:noProof/>
                <w:webHidden/>
              </w:rPr>
              <w:tab/>
            </w:r>
            <w:r>
              <w:rPr>
                <w:noProof/>
                <w:webHidden/>
              </w:rPr>
              <w:fldChar w:fldCharType="begin"/>
            </w:r>
            <w:r>
              <w:rPr>
                <w:noProof/>
                <w:webHidden/>
              </w:rPr>
              <w:instrText xml:space="preserve"> PAGEREF _Toc424259126 \h </w:instrText>
            </w:r>
            <w:r>
              <w:rPr>
                <w:noProof/>
                <w:webHidden/>
              </w:rPr>
            </w:r>
            <w:r>
              <w:rPr>
                <w:noProof/>
                <w:webHidden/>
              </w:rPr>
              <w:fldChar w:fldCharType="separate"/>
            </w:r>
            <w:r w:rsidR="006C5205">
              <w:rPr>
                <w:noProof/>
                <w:webHidden/>
              </w:rPr>
              <w:t>60</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27" w:history="1">
            <w:r w:rsidRPr="00460B77">
              <w:rPr>
                <w:rStyle w:val="Hyperlink"/>
                <w:noProof/>
              </w:rPr>
              <w:t>A2: Civic Engagement NB (For K Affs)</w:t>
            </w:r>
            <w:r>
              <w:rPr>
                <w:noProof/>
                <w:webHidden/>
              </w:rPr>
              <w:tab/>
            </w:r>
            <w:r>
              <w:rPr>
                <w:noProof/>
                <w:webHidden/>
              </w:rPr>
              <w:fldChar w:fldCharType="begin"/>
            </w:r>
            <w:r>
              <w:rPr>
                <w:noProof/>
                <w:webHidden/>
              </w:rPr>
              <w:instrText xml:space="preserve"> PAGEREF _Toc424259127 \h </w:instrText>
            </w:r>
            <w:r>
              <w:rPr>
                <w:noProof/>
                <w:webHidden/>
              </w:rPr>
            </w:r>
            <w:r>
              <w:rPr>
                <w:noProof/>
                <w:webHidden/>
              </w:rPr>
              <w:fldChar w:fldCharType="separate"/>
            </w:r>
            <w:r w:rsidR="006C5205">
              <w:rPr>
                <w:noProof/>
                <w:webHidden/>
              </w:rPr>
              <w:t>61</w:t>
            </w:r>
            <w:r>
              <w:rPr>
                <w:noProof/>
                <w:webHidden/>
              </w:rPr>
              <w:fldChar w:fldCharType="end"/>
            </w:r>
          </w:hyperlink>
        </w:p>
        <w:p w:rsidR="00F70DE6" w:rsidRDefault="00F70DE6">
          <w:pPr>
            <w:pStyle w:val="TOC1"/>
            <w:tabs>
              <w:tab w:val="right" w:leader="dot" w:pos="10790"/>
            </w:tabs>
            <w:rPr>
              <w:rFonts w:asciiTheme="minorHAnsi" w:eastAsiaTheme="minorEastAsia" w:hAnsiTheme="minorHAnsi" w:cstheme="minorBidi"/>
              <w:noProof/>
              <w:sz w:val="22"/>
            </w:rPr>
          </w:pPr>
          <w:hyperlink w:anchor="_Toc424259128" w:history="1">
            <w:r w:rsidRPr="00460B77">
              <w:rPr>
                <w:rStyle w:val="Hyperlink"/>
                <w:noProof/>
              </w:rPr>
              <w:t>Drones</w:t>
            </w:r>
            <w:r>
              <w:rPr>
                <w:noProof/>
                <w:webHidden/>
              </w:rPr>
              <w:tab/>
            </w:r>
            <w:r>
              <w:rPr>
                <w:noProof/>
                <w:webHidden/>
              </w:rPr>
              <w:fldChar w:fldCharType="begin"/>
            </w:r>
            <w:r>
              <w:rPr>
                <w:noProof/>
                <w:webHidden/>
              </w:rPr>
              <w:instrText xml:space="preserve"> PAGEREF _Toc424259128 \h </w:instrText>
            </w:r>
            <w:r>
              <w:rPr>
                <w:noProof/>
                <w:webHidden/>
              </w:rPr>
            </w:r>
            <w:r>
              <w:rPr>
                <w:noProof/>
                <w:webHidden/>
              </w:rPr>
              <w:fldChar w:fldCharType="separate"/>
            </w:r>
            <w:r w:rsidR="006C5205">
              <w:rPr>
                <w:noProof/>
                <w:webHidden/>
              </w:rPr>
              <w:t>63</w:t>
            </w:r>
            <w:r>
              <w:rPr>
                <w:noProof/>
                <w:webHidden/>
              </w:rPr>
              <w:fldChar w:fldCharType="end"/>
            </w:r>
          </w:hyperlink>
        </w:p>
        <w:p w:rsidR="00F70DE6" w:rsidRDefault="00F70DE6">
          <w:pPr>
            <w:pStyle w:val="TOC2"/>
            <w:tabs>
              <w:tab w:val="right" w:leader="dot" w:pos="10790"/>
            </w:tabs>
            <w:rPr>
              <w:rFonts w:asciiTheme="minorHAnsi" w:eastAsiaTheme="minorEastAsia" w:hAnsiTheme="minorHAnsi" w:cstheme="minorBidi"/>
              <w:noProof/>
              <w:sz w:val="22"/>
            </w:rPr>
          </w:pPr>
          <w:hyperlink w:anchor="_Toc424259129" w:history="1">
            <w:r w:rsidRPr="00460B77">
              <w:rPr>
                <w:rStyle w:val="Hyperlink"/>
                <w:noProof/>
              </w:rPr>
              <w:t>NEG</w:t>
            </w:r>
            <w:r>
              <w:rPr>
                <w:noProof/>
                <w:webHidden/>
              </w:rPr>
              <w:tab/>
            </w:r>
            <w:r>
              <w:rPr>
                <w:noProof/>
                <w:webHidden/>
              </w:rPr>
              <w:fldChar w:fldCharType="begin"/>
            </w:r>
            <w:r>
              <w:rPr>
                <w:noProof/>
                <w:webHidden/>
              </w:rPr>
              <w:instrText xml:space="preserve"> PAGEREF _Toc424259129 \h </w:instrText>
            </w:r>
            <w:r>
              <w:rPr>
                <w:noProof/>
                <w:webHidden/>
              </w:rPr>
            </w:r>
            <w:r>
              <w:rPr>
                <w:noProof/>
                <w:webHidden/>
              </w:rPr>
              <w:fldChar w:fldCharType="separate"/>
            </w:r>
            <w:r w:rsidR="006C5205">
              <w:rPr>
                <w:noProof/>
                <w:webHidden/>
              </w:rPr>
              <w:t>64</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30" w:history="1">
            <w:r w:rsidRPr="00460B77">
              <w:rPr>
                <w:rStyle w:val="Hyperlink"/>
                <w:noProof/>
              </w:rPr>
              <w:t>Warrants PIC 1NC Shell</w:t>
            </w:r>
            <w:r>
              <w:rPr>
                <w:noProof/>
                <w:webHidden/>
              </w:rPr>
              <w:tab/>
            </w:r>
            <w:r>
              <w:rPr>
                <w:noProof/>
                <w:webHidden/>
              </w:rPr>
              <w:fldChar w:fldCharType="begin"/>
            </w:r>
            <w:r>
              <w:rPr>
                <w:noProof/>
                <w:webHidden/>
              </w:rPr>
              <w:instrText xml:space="preserve"> PAGEREF _Toc424259130 \h </w:instrText>
            </w:r>
            <w:r>
              <w:rPr>
                <w:noProof/>
                <w:webHidden/>
              </w:rPr>
            </w:r>
            <w:r>
              <w:rPr>
                <w:noProof/>
                <w:webHidden/>
              </w:rPr>
              <w:fldChar w:fldCharType="separate"/>
            </w:r>
            <w:r w:rsidR="006C5205">
              <w:rPr>
                <w:noProof/>
                <w:webHidden/>
              </w:rPr>
              <w:t>65</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31" w:history="1">
            <w:r w:rsidRPr="00460B77">
              <w:rPr>
                <w:rStyle w:val="Hyperlink"/>
                <w:noProof/>
              </w:rPr>
              <w:t>2NC – No Warrants Key 2 Solve Intel DA</w:t>
            </w:r>
            <w:r>
              <w:rPr>
                <w:noProof/>
                <w:webHidden/>
              </w:rPr>
              <w:tab/>
            </w:r>
            <w:r>
              <w:rPr>
                <w:noProof/>
                <w:webHidden/>
              </w:rPr>
              <w:fldChar w:fldCharType="begin"/>
            </w:r>
            <w:r>
              <w:rPr>
                <w:noProof/>
                <w:webHidden/>
              </w:rPr>
              <w:instrText xml:space="preserve"> PAGEREF _Toc424259131 \h </w:instrText>
            </w:r>
            <w:r>
              <w:rPr>
                <w:noProof/>
                <w:webHidden/>
              </w:rPr>
            </w:r>
            <w:r>
              <w:rPr>
                <w:noProof/>
                <w:webHidden/>
              </w:rPr>
              <w:fldChar w:fldCharType="separate"/>
            </w:r>
            <w:r w:rsidR="006C5205">
              <w:rPr>
                <w:noProof/>
                <w:webHidden/>
              </w:rPr>
              <w:t>66</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32" w:history="1">
            <w:r w:rsidRPr="00460B77">
              <w:rPr>
                <w:rStyle w:val="Hyperlink"/>
                <w:noProof/>
              </w:rPr>
              <w:t>2NC – No Warrants Key 2 Solve Intel DA</w:t>
            </w:r>
            <w:r>
              <w:rPr>
                <w:noProof/>
                <w:webHidden/>
              </w:rPr>
              <w:tab/>
            </w:r>
            <w:r>
              <w:rPr>
                <w:noProof/>
                <w:webHidden/>
              </w:rPr>
              <w:fldChar w:fldCharType="begin"/>
            </w:r>
            <w:r>
              <w:rPr>
                <w:noProof/>
                <w:webHidden/>
              </w:rPr>
              <w:instrText xml:space="preserve"> PAGEREF _Toc424259132 \h </w:instrText>
            </w:r>
            <w:r>
              <w:rPr>
                <w:noProof/>
                <w:webHidden/>
              </w:rPr>
            </w:r>
            <w:r>
              <w:rPr>
                <w:noProof/>
                <w:webHidden/>
              </w:rPr>
              <w:fldChar w:fldCharType="separate"/>
            </w:r>
            <w:r w:rsidR="006C5205">
              <w:rPr>
                <w:noProof/>
                <w:webHidden/>
              </w:rPr>
              <w:t>67</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33" w:history="1">
            <w:r w:rsidRPr="00460B77">
              <w:rPr>
                <w:rStyle w:val="Hyperlink"/>
                <w:noProof/>
              </w:rPr>
              <w:t>2NC – Tech Key 2 Solve Intel DA</w:t>
            </w:r>
            <w:r>
              <w:rPr>
                <w:noProof/>
                <w:webHidden/>
              </w:rPr>
              <w:tab/>
            </w:r>
            <w:r>
              <w:rPr>
                <w:noProof/>
                <w:webHidden/>
              </w:rPr>
              <w:fldChar w:fldCharType="begin"/>
            </w:r>
            <w:r>
              <w:rPr>
                <w:noProof/>
                <w:webHidden/>
              </w:rPr>
              <w:instrText xml:space="preserve"> PAGEREF _Toc424259133 \h </w:instrText>
            </w:r>
            <w:r>
              <w:rPr>
                <w:noProof/>
                <w:webHidden/>
              </w:rPr>
            </w:r>
            <w:r>
              <w:rPr>
                <w:noProof/>
                <w:webHidden/>
              </w:rPr>
              <w:fldChar w:fldCharType="separate"/>
            </w:r>
            <w:r w:rsidR="006C5205">
              <w:rPr>
                <w:noProof/>
                <w:webHidden/>
              </w:rPr>
              <w:t>68</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34" w:history="1">
            <w:r w:rsidRPr="00460B77">
              <w:rPr>
                <w:rStyle w:val="Hyperlink"/>
                <w:noProof/>
              </w:rPr>
              <w:t>A2: Case is a DA</w:t>
            </w:r>
            <w:r>
              <w:rPr>
                <w:noProof/>
                <w:webHidden/>
              </w:rPr>
              <w:tab/>
            </w:r>
            <w:r>
              <w:rPr>
                <w:noProof/>
                <w:webHidden/>
              </w:rPr>
              <w:fldChar w:fldCharType="begin"/>
            </w:r>
            <w:r>
              <w:rPr>
                <w:noProof/>
                <w:webHidden/>
              </w:rPr>
              <w:instrText xml:space="preserve"> PAGEREF _Toc424259134 \h </w:instrText>
            </w:r>
            <w:r>
              <w:rPr>
                <w:noProof/>
                <w:webHidden/>
              </w:rPr>
            </w:r>
            <w:r>
              <w:rPr>
                <w:noProof/>
                <w:webHidden/>
              </w:rPr>
              <w:fldChar w:fldCharType="separate"/>
            </w:r>
            <w:r w:rsidR="006C5205">
              <w:rPr>
                <w:noProof/>
                <w:webHidden/>
              </w:rPr>
              <w:t>69</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35" w:history="1">
            <w:r w:rsidRPr="00460B77">
              <w:rPr>
                <w:rStyle w:val="Hyperlink"/>
                <w:noProof/>
              </w:rPr>
              <w:t>A2: Warrants key to Accountability</w:t>
            </w:r>
            <w:r>
              <w:rPr>
                <w:noProof/>
                <w:webHidden/>
              </w:rPr>
              <w:tab/>
            </w:r>
            <w:r>
              <w:rPr>
                <w:noProof/>
                <w:webHidden/>
              </w:rPr>
              <w:fldChar w:fldCharType="begin"/>
            </w:r>
            <w:r>
              <w:rPr>
                <w:noProof/>
                <w:webHidden/>
              </w:rPr>
              <w:instrText xml:space="preserve"> PAGEREF _Toc424259135 \h </w:instrText>
            </w:r>
            <w:r>
              <w:rPr>
                <w:noProof/>
                <w:webHidden/>
              </w:rPr>
            </w:r>
            <w:r>
              <w:rPr>
                <w:noProof/>
                <w:webHidden/>
              </w:rPr>
              <w:fldChar w:fldCharType="separate"/>
            </w:r>
            <w:r w:rsidR="006C5205">
              <w:rPr>
                <w:noProof/>
                <w:webHidden/>
              </w:rPr>
              <w:t>70</w:t>
            </w:r>
            <w:r>
              <w:rPr>
                <w:noProof/>
                <w:webHidden/>
              </w:rPr>
              <w:fldChar w:fldCharType="end"/>
            </w:r>
          </w:hyperlink>
        </w:p>
        <w:p w:rsidR="00F70DE6" w:rsidRDefault="00F70DE6">
          <w:pPr>
            <w:pStyle w:val="TOC2"/>
            <w:tabs>
              <w:tab w:val="right" w:leader="dot" w:pos="10790"/>
            </w:tabs>
            <w:rPr>
              <w:rFonts w:asciiTheme="minorHAnsi" w:eastAsiaTheme="minorEastAsia" w:hAnsiTheme="minorHAnsi" w:cstheme="minorBidi"/>
              <w:noProof/>
              <w:sz w:val="22"/>
            </w:rPr>
          </w:pPr>
          <w:hyperlink w:anchor="_Toc424259136" w:history="1">
            <w:r w:rsidRPr="00460B77">
              <w:rPr>
                <w:rStyle w:val="Hyperlink"/>
                <w:noProof/>
              </w:rPr>
              <w:t>AFF</w:t>
            </w:r>
            <w:r>
              <w:rPr>
                <w:noProof/>
                <w:webHidden/>
              </w:rPr>
              <w:tab/>
            </w:r>
            <w:r>
              <w:rPr>
                <w:noProof/>
                <w:webHidden/>
              </w:rPr>
              <w:fldChar w:fldCharType="begin"/>
            </w:r>
            <w:r>
              <w:rPr>
                <w:noProof/>
                <w:webHidden/>
              </w:rPr>
              <w:instrText xml:space="preserve"> PAGEREF _Toc424259136 \h </w:instrText>
            </w:r>
            <w:r>
              <w:rPr>
                <w:noProof/>
                <w:webHidden/>
              </w:rPr>
            </w:r>
            <w:r>
              <w:rPr>
                <w:noProof/>
                <w:webHidden/>
              </w:rPr>
              <w:fldChar w:fldCharType="separate"/>
            </w:r>
            <w:r w:rsidR="006C5205">
              <w:rPr>
                <w:noProof/>
                <w:webHidden/>
              </w:rPr>
              <w:t>71</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37" w:history="1">
            <w:r w:rsidRPr="00460B77">
              <w:rPr>
                <w:rStyle w:val="Hyperlink"/>
                <w:bCs/>
                <w:noProof/>
              </w:rPr>
              <w:t>Aff: Warrants key</w:t>
            </w:r>
            <w:r>
              <w:rPr>
                <w:noProof/>
                <w:webHidden/>
              </w:rPr>
              <w:tab/>
            </w:r>
            <w:r>
              <w:rPr>
                <w:noProof/>
                <w:webHidden/>
              </w:rPr>
              <w:fldChar w:fldCharType="begin"/>
            </w:r>
            <w:r>
              <w:rPr>
                <w:noProof/>
                <w:webHidden/>
              </w:rPr>
              <w:instrText xml:space="preserve"> PAGEREF _Toc424259137 \h </w:instrText>
            </w:r>
            <w:r>
              <w:rPr>
                <w:noProof/>
                <w:webHidden/>
              </w:rPr>
            </w:r>
            <w:r>
              <w:rPr>
                <w:noProof/>
                <w:webHidden/>
              </w:rPr>
              <w:fldChar w:fldCharType="separate"/>
            </w:r>
            <w:r w:rsidR="006C5205">
              <w:rPr>
                <w:noProof/>
                <w:webHidden/>
              </w:rPr>
              <w:t>72</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38" w:history="1">
            <w:r w:rsidRPr="00460B77">
              <w:rPr>
                <w:rStyle w:val="Hyperlink"/>
                <w:noProof/>
              </w:rPr>
              <w:t>Aff: Warrants key</w:t>
            </w:r>
            <w:r>
              <w:rPr>
                <w:noProof/>
                <w:webHidden/>
              </w:rPr>
              <w:tab/>
            </w:r>
            <w:r>
              <w:rPr>
                <w:noProof/>
                <w:webHidden/>
              </w:rPr>
              <w:fldChar w:fldCharType="begin"/>
            </w:r>
            <w:r>
              <w:rPr>
                <w:noProof/>
                <w:webHidden/>
              </w:rPr>
              <w:instrText xml:space="preserve"> PAGEREF _Toc424259138 \h </w:instrText>
            </w:r>
            <w:r>
              <w:rPr>
                <w:noProof/>
                <w:webHidden/>
              </w:rPr>
            </w:r>
            <w:r>
              <w:rPr>
                <w:noProof/>
                <w:webHidden/>
              </w:rPr>
              <w:fldChar w:fldCharType="separate"/>
            </w:r>
            <w:r w:rsidR="006C5205">
              <w:rPr>
                <w:noProof/>
                <w:webHidden/>
              </w:rPr>
              <w:t>73</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39" w:history="1">
            <w:r w:rsidRPr="00460B77">
              <w:rPr>
                <w:rStyle w:val="Hyperlink"/>
                <w:noProof/>
              </w:rPr>
              <w:t>Aff: Sense-enhanced technology bad</w:t>
            </w:r>
            <w:r>
              <w:rPr>
                <w:noProof/>
                <w:webHidden/>
              </w:rPr>
              <w:tab/>
            </w:r>
            <w:r>
              <w:rPr>
                <w:noProof/>
                <w:webHidden/>
              </w:rPr>
              <w:fldChar w:fldCharType="begin"/>
            </w:r>
            <w:r>
              <w:rPr>
                <w:noProof/>
                <w:webHidden/>
              </w:rPr>
              <w:instrText xml:space="preserve"> PAGEREF _Toc424259139 \h </w:instrText>
            </w:r>
            <w:r>
              <w:rPr>
                <w:noProof/>
                <w:webHidden/>
              </w:rPr>
            </w:r>
            <w:r>
              <w:rPr>
                <w:noProof/>
                <w:webHidden/>
              </w:rPr>
              <w:fldChar w:fldCharType="separate"/>
            </w:r>
            <w:r w:rsidR="006C5205">
              <w:rPr>
                <w:noProof/>
                <w:webHidden/>
              </w:rPr>
              <w:t>75</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40" w:history="1">
            <w:r w:rsidRPr="00460B77">
              <w:rPr>
                <w:rStyle w:val="Hyperlink"/>
                <w:noProof/>
              </w:rPr>
              <w:t>Aff: Sense-enhancing tech bad</w:t>
            </w:r>
            <w:r>
              <w:rPr>
                <w:noProof/>
                <w:webHidden/>
              </w:rPr>
              <w:tab/>
            </w:r>
            <w:r>
              <w:rPr>
                <w:noProof/>
                <w:webHidden/>
              </w:rPr>
              <w:fldChar w:fldCharType="begin"/>
            </w:r>
            <w:r>
              <w:rPr>
                <w:noProof/>
                <w:webHidden/>
              </w:rPr>
              <w:instrText xml:space="preserve"> PAGEREF _Toc424259140 \h </w:instrText>
            </w:r>
            <w:r>
              <w:rPr>
                <w:noProof/>
                <w:webHidden/>
              </w:rPr>
            </w:r>
            <w:r>
              <w:rPr>
                <w:noProof/>
                <w:webHidden/>
              </w:rPr>
              <w:fldChar w:fldCharType="separate"/>
            </w:r>
            <w:r w:rsidR="006C5205">
              <w:rPr>
                <w:noProof/>
                <w:webHidden/>
              </w:rPr>
              <w:t>77</w:t>
            </w:r>
            <w:r>
              <w:rPr>
                <w:noProof/>
                <w:webHidden/>
              </w:rPr>
              <w:fldChar w:fldCharType="end"/>
            </w:r>
          </w:hyperlink>
        </w:p>
        <w:p w:rsidR="00F70DE6" w:rsidRDefault="00F70DE6">
          <w:pPr>
            <w:pStyle w:val="TOC1"/>
            <w:tabs>
              <w:tab w:val="right" w:leader="dot" w:pos="10790"/>
            </w:tabs>
            <w:rPr>
              <w:rFonts w:asciiTheme="minorHAnsi" w:eastAsiaTheme="minorEastAsia" w:hAnsiTheme="minorHAnsi" w:cstheme="minorBidi"/>
              <w:noProof/>
              <w:sz w:val="22"/>
            </w:rPr>
          </w:pPr>
          <w:hyperlink w:anchor="_Toc424259141" w:history="1">
            <w:r w:rsidRPr="00460B77">
              <w:rPr>
                <w:rStyle w:val="Hyperlink"/>
                <w:noProof/>
              </w:rPr>
              <w:t>Behavior Pattern Recognition / TSA</w:t>
            </w:r>
            <w:r>
              <w:rPr>
                <w:noProof/>
                <w:webHidden/>
              </w:rPr>
              <w:tab/>
            </w:r>
            <w:r>
              <w:rPr>
                <w:noProof/>
                <w:webHidden/>
              </w:rPr>
              <w:fldChar w:fldCharType="begin"/>
            </w:r>
            <w:r>
              <w:rPr>
                <w:noProof/>
                <w:webHidden/>
              </w:rPr>
              <w:instrText xml:space="preserve"> PAGEREF _Toc424259141 \h </w:instrText>
            </w:r>
            <w:r>
              <w:rPr>
                <w:noProof/>
                <w:webHidden/>
              </w:rPr>
            </w:r>
            <w:r>
              <w:rPr>
                <w:noProof/>
                <w:webHidden/>
              </w:rPr>
              <w:fldChar w:fldCharType="separate"/>
            </w:r>
            <w:r w:rsidR="006C5205">
              <w:rPr>
                <w:noProof/>
                <w:webHidden/>
              </w:rPr>
              <w:t>78</w:t>
            </w:r>
            <w:r>
              <w:rPr>
                <w:noProof/>
                <w:webHidden/>
              </w:rPr>
              <w:fldChar w:fldCharType="end"/>
            </w:r>
          </w:hyperlink>
        </w:p>
        <w:p w:rsidR="00F70DE6" w:rsidRDefault="00F70DE6">
          <w:pPr>
            <w:pStyle w:val="TOC2"/>
            <w:tabs>
              <w:tab w:val="right" w:leader="dot" w:pos="10790"/>
            </w:tabs>
            <w:rPr>
              <w:rFonts w:asciiTheme="minorHAnsi" w:eastAsiaTheme="minorEastAsia" w:hAnsiTheme="minorHAnsi" w:cstheme="minorBidi"/>
              <w:noProof/>
              <w:sz w:val="22"/>
            </w:rPr>
          </w:pPr>
          <w:hyperlink w:anchor="_Toc424259142" w:history="1">
            <w:r w:rsidRPr="00460B77">
              <w:rPr>
                <w:rStyle w:val="Hyperlink"/>
                <w:noProof/>
              </w:rPr>
              <w:t>NEG</w:t>
            </w:r>
            <w:r>
              <w:rPr>
                <w:noProof/>
                <w:webHidden/>
              </w:rPr>
              <w:tab/>
            </w:r>
            <w:r>
              <w:rPr>
                <w:noProof/>
                <w:webHidden/>
              </w:rPr>
              <w:fldChar w:fldCharType="begin"/>
            </w:r>
            <w:r>
              <w:rPr>
                <w:noProof/>
                <w:webHidden/>
              </w:rPr>
              <w:instrText xml:space="preserve"> PAGEREF _Toc424259142 \h </w:instrText>
            </w:r>
            <w:r>
              <w:rPr>
                <w:noProof/>
                <w:webHidden/>
              </w:rPr>
            </w:r>
            <w:r>
              <w:rPr>
                <w:noProof/>
                <w:webHidden/>
              </w:rPr>
              <w:fldChar w:fldCharType="separate"/>
            </w:r>
            <w:r w:rsidR="006C5205">
              <w:rPr>
                <w:noProof/>
                <w:webHidden/>
              </w:rPr>
              <w:t>79</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43" w:history="1">
            <w:r w:rsidRPr="00460B77">
              <w:rPr>
                <w:rStyle w:val="Hyperlink"/>
                <w:noProof/>
              </w:rPr>
              <w:t>Reform BPR 1NC Shell</w:t>
            </w:r>
            <w:r>
              <w:rPr>
                <w:noProof/>
                <w:webHidden/>
              </w:rPr>
              <w:tab/>
            </w:r>
            <w:r>
              <w:rPr>
                <w:noProof/>
                <w:webHidden/>
              </w:rPr>
              <w:fldChar w:fldCharType="begin"/>
            </w:r>
            <w:r>
              <w:rPr>
                <w:noProof/>
                <w:webHidden/>
              </w:rPr>
              <w:instrText xml:space="preserve"> PAGEREF _Toc424259143 \h </w:instrText>
            </w:r>
            <w:r>
              <w:rPr>
                <w:noProof/>
                <w:webHidden/>
              </w:rPr>
            </w:r>
            <w:r>
              <w:rPr>
                <w:noProof/>
                <w:webHidden/>
              </w:rPr>
              <w:fldChar w:fldCharType="separate"/>
            </w:r>
            <w:r w:rsidR="006C5205">
              <w:rPr>
                <w:noProof/>
                <w:webHidden/>
              </w:rPr>
              <w:t>80</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44" w:history="1">
            <w:r w:rsidRPr="00460B77">
              <w:rPr>
                <w:rStyle w:val="Hyperlink"/>
                <w:noProof/>
              </w:rPr>
              <w:t>Solvency – Hiring Reforms</w:t>
            </w:r>
            <w:r>
              <w:rPr>
                <w:noProof/>
                <w:webHidden/>
              </w:rPr>
              <w:tab/>
            </w:r>
            <w:r>
              <w:rPr>
                <w:noProof/>
                <w:webHidden/>
              </w:rPr>
              <w:fldChar w:fldCharType="begin"/>
            </w:r>
            <w:r>
              <w:rPr>
                <w:noProof/>
                <w:webHidden/>
              </w:rPr>
              <w:instrText xml:space="preserve"> PAGEREF _Toc424259144 \h </w:instrText>
            </w:r>
            <w:r>
              <w:rPr>
                <w:noProof/>
                <w:webHidden/>
              </w:rPr>
            </w:r>
            <w:r>
              <w:rPr>
                <w:noProof/>
                <w:webHidden/>
              </w:rPr>
              <w:fldChar w:fldCharType="separate"/>
            </w:r>
            <w:r w:rsidR="006C5205">
              <w:rPr>
                <w:noProof/>
                <w:webHidden/>
              </w:rPr>
              <w:t>81</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45" w:history="1">
            <w:r w:rsidRPr="00460B77">
              <w:rPr>
                <w:rStyle w:val="Hyperlink"/>
                <w:noProof/>
              </w:rPr>
              <w:t>Solvency – Hiring Reforms</w:t>
            </w:r>
            <w:r>
              <w:rPr>
                <w:noProof/>
                <w:webHidden/>
              </w:rPr>
              <w:tab/>
            </w:r>
            <w:r>
              <w:rPr>
                <w:noProof/>
                <w:webHidden/>
              </w:rPr>
              <w:fldChar w:fldCharType="begin"/>
            </w:r>
            <w:r>
              <w:rPr>
                <w:noProof/>
                <w:webHidden/>
              </w:rPr>
              <w:instrText xml:space="preserve"> PAGEREF _Toc424259145 \h </w:instrText>
            </w:r>
            <w:r>
              <w:rPr>
                <w:noProof/>
                <w:webHidden/>
              </w:rPr>
            </w:r>
            <w:r>
              <w:rPr>
                <w:noProof/>
                <w:webHidden/>
              </w:rPr>
              <w:fldChar w:fldCharType="separate"/>
            </w:r>
            <w:r w:rsidR="006C5205">
              <w:rPr>
                <w:noProof/>
                <w:webHidden/>
              </w:rPr>
              <w:t>82</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46" w:history="1">
            <w:r w:rsidRPr="00460B77">
              <w:rPr>
                <w:rStyle w:val="Hyperlink"/>
                <w:noProof/>
              </w:rPr>
              <w:t>Solvency – Training</w:t>
            </w:r>
            <w:r>
              <w:rPr>
                <w:noProof/>
                <w:webHidden/>
              </w:rPr>
              <w:tab/>
            </w:r>
            <w:r>
              <w:rPr>
                <w:noProof/>
                <w:webHidden/>
              </w:rPr>
              <w:fldChar w:fldCharType="begin"/>
            </w:r>
            <w:r>
              <w:rPr>
                <w:noProof/>
                <w:webHidden/>
              </w:rPr>
              <w:instrText xml:space="preserve"> PAGEREF _Toc424259146 \h </w:instrText>
            </w:r>
            <w:r>
              <w:rPr>
                <w:noProof/>
                <w:webHidden/>
              </w:rPr>
            </w:r>
            <w:r>
              <w:rPr>
                <w:noProof/>
                <w:webHidden/>
              </w:rPr>
              <w:fldChar w:fldCharType="separate"/>
            </w:r>
            <w:r w:rsidR="006C5205">
              <w:rPr>
                <w:noProof/>
                <w:webHidden/>
              </w:rPr>
              <w:t>83</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47" w:history="1">
            <w:r w:rsidRPr="00460B77">
              <w:rPr>
                <w:rStyle w:val="Hyperlink"/>
                <w:noProof/>
              </w:rPr>
              <w:t>Solvency – Training</w:t>
            </w:r>
            <w:r>
              <w:rPr>
                <w:noProof/>
                <w:webHidden/>
              </w:rPr>
              <w:tab/>
            </w:r>
            <w:r>
              <w:rPr>
                <w:noProof/>
                <w:webHidden/>
              </w:rPr>
              <w:fldChar w:fldCharType="begin"/>
            </w:r>
            <w:r>
              <w:rPr>
                <w:noProof/>
                <w:webHidden/>
              </w:rPr>
              <w:instrText xml:space="preserve"> PAGEREF _Toc424259147 \h </w:instrText>
            </w:r>
            <w:r>
              <w:rPr>
                <w:noProof/>
                <w:webHidden/>
              </w:rPr>
            </w:r>
            <w:r>
              <w:rPr>
                <w:noProof/>
                <w:webHidden/>
              </w:rPr>
              <w:fldChar w:fldCharType="separate"/>
            </w:r>
            <w:r w:rsidR="006C5205">
              <w:rPr>
                <w:noProof/>
                <w:webHidden/>
              </w:rPr>
              <w:t>84</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48" w:history="1">
            <w:r w:rsidRPr="00460B77">
              <w:rPr>
                <w:rStyle w:val="Hyperlink"/>
                <w:noProof/>
              </w:rPr>
              <w:t>A2: Case is a DA</w:t>
            </w:r>
            <w:r>
              <w:rPr>
                <w:noProof/>
                <w:webHidden/>
              </w:rPr>
              <w:tab/>
            </w:r>
            <w:r>
              <w:rPr>
                <w:noProof/>
                <w:webHidden/>
              </w:rPr>
              <w:fldChar w:fldCharType="begin"/>
            </w:r>
            <w:r>
              <w:rPr>
                <w:noProof/>
                <w:webHidden/>
              </w:rPr>
              <w:instrText xml:space="preserve"> PAGEREF _Toc424259148 \h </w:instrText>
            </w:r>
            <w:r>
              <w:rPr>
                <w:noProof/>
                <w:webHidden/>
              </w:rPr>
            </w:r>
            <w:r>
              <w:rPr>
                <w:noProof/>
                <w:webHidden/>
              </w:rPr>
              <w:fldChar w:fldCharType="separate"/>
            </w:r>
            <w:r w:rsidR="006C5205">
              <w:rPr>
                <w:noProof/>
                <w:webHidden/>
              </w:rPr>
              <w:t>85</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49" w:history="1">
            <w:r w:rsidRPr="00460B77">
              <w:rPr>
                <w:rStyle w:val="Hyperlink"/>
                <w:noProof/>
              </w:rPr>
              <w:t>A2: BPR Inherently Flawed</w:t>
            </w:r>
            <w:r>
              <w:rPr>
                <w:noProof/>
                <w:webHidden/>
              </w:rPr>
              <w:tab/>
            </w:r>
            <w:r>
              <w:rPr>
                <w:noProof/>
                <w:webHidden/>
              </w:rPr>
              <w:fldChar w:fldCharType="begin"/>
            </w:r>
            <w:r>
              <w:rPr>
                <w:noProof/>
                <w:webHidden/>
              </w:rPr>
              <w:instrText xml:space="preserve"> PAGEREF _Toc424259149 \h </w:instrText>
            </w:r>
            <w:r>
              <w:rPr>
                <w:noProof/>
                <w:webHidden/>
              </w:rPr>
            </w:r>
            <w:r>
              <w:rPr>
                <w:noProof/>
                <w:webHidden/>
              </w:rPr>
              <w:fldChar w:fldCharType="separate"/>
            </w:r>
            <w:r w:rsidR="006C5205">
              <w:rPr>
                <w:noProof/>
                <w:webHidden/>
              </w:rPr>
              <w:t>86</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50" w:history="1">
            <w:r w:rsidRPr="00460B77">
              <w:rPr>
                <w:rStyle w:val="Hyperlink"/>
                <w:noProof/>
              </w:rPr>
              <w:t>A2: No Solve Crime/Terrorism NB</w:t>
            </w:r>
            <w:r>
              <w:rPr>
                <w:noProof/>
                <w:webHidden/>
              </w:rPr>
              <w:tab/>
            </w:r>
            <w:r>
              <w:rPr>
                <w:noProof/>
                <w:webHidden/>
              </w:rPr>
              <w:fldChar w:fldCharType="begin"/>
            </w:r>
            <w:r>
              <w:rPr>
                <w:noProof/>
                <w:webHidden/>
              </w:rPr>
              <w:instrText xml:space="preserve"> PAGEREF _Toc424259150 \h </w:instrText>
            </w:r>
            <w:r>
              <w:rPr>
                <w:noProof/>
                <w:webHidden/>
              </w:rPr>
            </w:r>
            <w:r>
              <w:rPr>
                <w:noProof/>
                <w:webHidden/>
              </w:rPr>
              <w:fldChar w:fldCharType="separate"/>
            </w:r>
            <w:r w:rsidR="006C5205">
              <w:rPr>
                <w:noProof/>
                <w:webHidden/>
              </w:rPr>
              <w:t>87</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51" w:history="1">
            <w:r w:rsidRPr="00460B77">
              <w:rPr>
                <w:rStyle w:val="Hyperlink"/>
                <w:noProof/>
              </w:rPr>
              <w:t>A2: No Solve Crime/Terrorism</w:t>
            </w:r>
            <w:r>
              <w:rPr>
                <w:noProof/>
                <w:webHidden/>
              </w:rPr>
              <w:tab/>
            </w:r>
            <w:r>
              <w:rPr>
                <w:noProof/>
                <w:webHidden/>
              </w:rPr>
              <w:fldChar w:fldCharType="begin"/>
            </w:r>
            <w:r>
              <w:rPr>
                <w:noProof/>
                <w:webHidden/>
              </w:rPr>
              <w:instrText xml:space="preserve"> PAGEREF _Toc424259151 \h </w:instrText>
            </w:r>
            <w:r>
              <w:rPr>
                <w:noProof/>
                <w:webHidden/>
              </w:rPr>
            </w:r>
            <w:r>
              <w:rPr>
                <w:noProof/>
                <w:webHidden/>
              </w:rPr>
              <w:fldChar w:fldCharType="separate"/>
            </w:r>
            <w:r w:rsidR="006C5205">
              <w:rPr>
                <w:noProof/>
                <w:webHidden/>
              </w:rPr>
              <w:t>89</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52" w:history="1">
            <w:r w:rsidRPr="00460B77">
              <w:rPr>
                <w:rStyle w:val="Hyperlink"/>
                <w:noProof/>
              </w:rPr>
              <w:t>A2: Statistics Prove BPR Useless</w:t>
            </w:r>
            <w:r>
              <w:rPr>
                <w:noProof/>
                <w:webHidden/>
              </w:rPr>
              <w:tab/>
            </w:r>
            <w:r>
              <w:rPr>
                <w:noProof/>
                <w:webHidden/>
              </w:rPr>
              <w:fldChar w:fldCharType="begin"/>
            </w:r>
            <w:r>
              <w:rPr>
                <w:noProof/>
                <w:webHidden/>
              </w:rPr>
              <w:instrText xml:space="preserve"> PAGEREF _Toc424259152 \h </w:instrText>
            </w:r>
            <w:r>
              <w:rPr>
                <w:noProof/>
                <w:webHidden/>
              </w:rPr>
            </w:r>
            <w:r>
              <w:rPr>
                <w:noProof/>
                <w:webHidden/>
              </w:rPr>
              <w:fldChar w:fldCharType="separate"/>
            </w:r>
            <w:r w:rsidR="006C5205">
              <w:rPr>
                <w:noProof/>
                <w:webHidden/>
              </w:rPr>
              <w:t>90</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53" w:history="1">
            <w:r w:rsidRPr="00460B77">
              <w:rPr>
                <w:rStyle w:val="Hyperlink"/>
                <w:noProof/>
              </w:rPr>
              <w:t>NB: Ptx</w:t>
            </w:r>
            <w:r>
              <w:rPr>
                <w:noProof/>
                <w:webHidden/>
              </w:rPr>
              <w:tab/>
            </w:r>
            <w:r>
              <w:rPr>
                <w:noProof/>
                <w:webHidden/>
              </w:rPr>
              <w:fldChar w:fldCharType="begin"/>
            </w:r>
            <w:r>
              <w:rPr>
                <w:noProof/>
                <w:webHidden/>
              </w:rPr>
              <w:instrText xml:space="preserve"> PAGEREF _Toc424259153 \h </w:instrText>
            </w:r>
            <w:r>
              <w:rPr>
                <w:noProof/>
                <w:webHidden/>
              </w:rPr>
            </w:r>
            <w:r>
              <w:rPr>
                <w:noProof/>
                <w:webHidden/>
              </w:rPr>
              <w:fldChar w:fldCharType="separate"/>
            </w:r>
            <w:r w:rsidR="006C5205">
              <w:rPr>
                <w:noProof/>
                <w:webHidden/>
              </w:rPr>
              <w:t>91</w:t>
            </w:r>
            <w:r>
              <w:rPr>
                <w:noProof/>
                <w:webHidden/>
              </w:rPr>
              <w:fldChar w:fldCharType="end"/>
            </w:r>
          </w:hyperlink>
        </w:p>
        <w:p w:rsidR="00F70DE6" w:rsidRDefault="00F70DE6">
          <w:pPr>
            <w:pStyle w:val="TOC2"/>
            <w:tabs>
              <w:tab w:val="right" w:leader="dot" w:pos="10790"/>
            </w:tabs>
            <w:rPr>
              <w:rFonts w:asciiTheme="minorHAnsi" w:eastAsiaTheme="minorEastAsia" w:hAnsiTheme="minorHAnsi" w:cstheme="minorBidi"/>
              <w:noProof/>
              <w:sz w:val="22"/>
            </w:rPr>
          </w:pPr>
          <w:hyperlink w:anchor="_Toc424259154" w:history="1">
            <w:r w:rsidRPr="00460B77">
              <w:rPr>
                <w:rStyle w:val="Hyperlink"/>
                <w:noProof/>
              </w:rPr>
              <w:t>AFF</w:t>
            </w:r>
            <w:r>
              <w:rPr>
                <w:noProof/>
                <w:webHidden/>
              </w:rPr>
              <w:tab/>
            </w:r>
            <w:r>
              <w:rPr>
                <w:noProof/>
                <w:webHidden/>
              </w:rPr>
              <w:fldChar w:fldCharType="begin"/>
            </w:r>
            <w:r>
              <w:rPr>
                <w:noProof/>
                <w:webHidden/>
              </w:rPr>
              <w:instrText xml:space="preserve"> PAGEREF _Toc424259154 \h </w:instrText>
            </w:r>
            <w:r>
              <w:rPr>
                <w:noProof/>
                <w:webHidden/>
              </w:rPr>
            </w:r>
            <w:r>
              <w:rPr>
                <w:noProof/>
                <w:webHidden/>
              </w:rPr>
              <w:fldChar w:fldCharType="separate"/>
            </w:r>
            <w:r w:rsidR="006C5205">
              <w:rPr>
                <w:noProof/>
                <w:webHidden/>
              </w:rPr>
              <w:t>92</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55" w:history="1">
            <w:r w:rsidRPr="00460B77">
              <w:rPr>
                <w:rStyle w:val="Hyperlink"/>
                <w:noProof/>
              </w:rPr>
              <w:t>Case is a DA</w:t>
            </w:r>
            <w:r>
              <w:rPr>
                <w:noProof/>
                <w:webHidden/>
              </w:rPr>
              <w:tab/>
            </w:r>
            <w:r>
              <w:rPr>
                <w:noProof/>
                <w:webHidden/>
              </w:rPr>
              <w:fldChar w:fldCharType="begin"/>
            </w:r>
            <w:r>
              <w:rPr>
                <w:noProof/>
                <w:webHidden/>
              </w:rPr>
              <w:instrText xml:space="preserve"> PAGEREF _Toc424259155 \h </w:instrText>
            </w:r>
            <w:r>
              <w:rPr>
                <w:noProof/>
                <w:webHidden/>
              </w:rPr>
            </w:r>
            <w:r>
              <w:rPr>
                <w:noProof/>
                <w:webHidden/>
              </w:rPr>
              <w:fldChar w:fldCharType="separate"/>
            </w:r>
            <w:r w:rsidR="006C5205">
              <w:rPr>
                <w:noProof/>
                <w:webHidden/>
              </w:rPr>
              <w:t>93</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56" w:history="1">
            <w:r w:rsidRPr="00460B77">
              <w:rPr>
                <w:rStyle w:val="Hyperlink"/>
                <w:noProof/>
              </w:rPr>
              <w:t>No Solve Crime/Terrorism NB</w:t>
            </w:r>
            <w:r>
              <w:rPr>
                <w:noProof/>
                <w:webHidden/>
              </w:rPr>
              <w:tab/>
            </w:r>
            <w:r>
              <w:rPr>
                <w:noProof/>
                <w:webHidden/>
              </w:rPr>
              <w:fldChar w:fldCharType="begin"/>
            </w:r>
            <w:r>
              <w:rPr>
                <w:noProof/>
                <w:webHidden/>
              </w:rPr>
              <w:instrText xml:space="preserve"> PAGEREF _Toc424259156 \h </w:instrText>
            </w:r>
            <w:r>
              <w:rPr>
                <w:noProof/>
                <w:webHidden/>
              </w:rPr>
            </w:r>
            <w:r>
              <w:rPr>
                <w:noProof/>
                <w:webHidden/>
              </w:rPr>
              <w:fldChar w:fldCharType="separate"/>
            </w:r>
            <w:r w:rsidR="006C5205">
              <w:rPr>
                <w:noProof/>
                <w:webHidden/>
              </w:rPr>
              <w:t>94</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57" w:history="1">
            <w:r w:rsidRPr="00460B77">
              <w:rPr>
                <w:rStyle w:val="Hyperlink"/>
                <w:noProof/>
              </w:rPr>
              <w:t>No Solve Crime/Terrorism NB</w:t>
            </w:r>
            <w:r>
              <w:rPr>
                <w:noProof/>
                <w:webHidden/>
              </w:rPr>
              <w:tab/>
            </w:r>
            <w:r>
              <w:rPr>
                <w:noProof/>
                <w:webHidden/>
              </w:rPr>
              <w:fldChar w:fldCharType="begin"/>
            </w:r>
            <w:r>
              <w:rPr>
                <w:noProof/>
                <w:webHidden/>
              </w:rPr>
              <w:instrText xml:space="preserve"> PAGEREF _Toc424259157 \h </w:instrText>
            </w:r>
            <w:r>
              <w:rPr>
                <w:noProof/>
                <w:webHidden/>
              </w:rPr>
            </w:r>
            <w:r>
              <w:rPr>
                <w:noProof/>
                <w:webHidden/>
              </w:rPr>
              <w:fldChar w:fldCharType="separate"/>
            </w:r>
            <w:r w:rsidR="006C5205">
              <w:rPr>
                <w:noProof/>
                <w:webHidden/>
              </w:rPr>
              <w:t>95</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58" w:history="1">
            <w:r w:rsidRPr="00460B77">
              <w:rPr>
                <w:rStyle w:val="Hyperlink"/>
                <w:noProof/>
              </w:rPr>
              <w:t>No NB – not popular</w:t>
            </w:r>
            <w:r>
              <w:rPr>
                <w:noProof/>
                <w:webHidden/>
              </w:rPr>
              <w:tab/>
            </w:r>
            <w:r>
              <w:rPr>
                <w:noProof/>
                <w:webHidden/>
              </w:rPr>
              <w:fldChar w:fldCharType="begin"/>
            </w:r>
            <w:r>
              <w:rPr>
                <w:noProof/>
                <w:webHidden/>
              </w:rPr>
              <w:instrText xml:space="preserve"> PAGEREF _Toc424259158 \h </w:instrText>
            </w:r>
            <w:r>
              <w:rPr>
                <w:noProof/>
                <w:webHidden/>
              </w:rPr>
            </w:r>
            <w:r>
              <w:rPr>
                <w:noProof/>
                <w:webHidden/>
              </w:rPr>
              <w:fldChar w:fldCharType="separate"/>
            </w:r>
            <w:r w:rsidR="006C5205">
              <w:rPr>
                <w:noProof/>
                <w:webHidden/>
              </w:rPr>
              <w:t>96</w:t>
            </w:r>
            <w:r>
              <w:rPr>
                <w:noProof/>
                <w:webHidden/>
              </w:rPr>
              <w:fldChar w:fldCharType="end"/>
            </w:r>
          </w:hyperlink>
        </w:p>
        <w:p w:rsidR="00F70DE6" w:rsidRDefault="00F70DE6">
          <w:pPr>
            <w:pStyle w:val="TOC1"/>
            <w:tabs>
              <w:tab w:val="right" w:leader="dot" w:pos="10790"/>
            </w:tabs>
            <w:rPr>
              <w:rFonts w:asciiTheme="minorHAnsi" w:eastAsiaTheme="minorEastAsia" w:hAnsiTheme="minorHAnsi" w:cstheme="minorBidi"/>
              <w:noProof/>
              <w:sz w:val="22"/>
            </w:rPr>
          </w:pPr>
          <w:hyperlink w:anchor="_Toc424259159" w:history="1">
            <w:r w:rsidRPr="00460B77">
              <w:rPr>
                <w:rStyle w:val="Hyperlink"/>
                <w:noProof/>
              </w:rPr>
              <w:t>Welfare</w:t>
            </w:r>
            <w:r>
              <w:rPr>
                <w:noProof/>
                <w:webHidden/>
              </w:rPr>
              <w:tab/>
            </w:r>
            <w:r>
              <w:rPr>
                <w:noProof/>
                <w:webHidden/>
              </w:rPr>
              <w:fldChar w:fldCharType="begin"/>
            </w:r>
            <w:r>
              <w:rPr>
                <w:noProof/>
                <w:webHidden/>
              </w:rPr>
              <w:instrText xml:space="preserve"> PAGEREF _Toc424259159 \h </w:instrText>
            </w:r>
            <w:r>
              <w:rPr>
                <w:noProof/>
                <w:webHidden/>
              </w:rPr>
            </w:r>
            <w:r>
              <w:rPr>
                <w:noProof/>
                <w:webHidden/>
              </w:rPr>
              <w:fldChar w:fldCharType="separate"/>
            </w:r>
            <w:r w:rsidR="006C5205">
              <w:rPr>
                <w:noProof/>
                <w:webHidden/>
              </w:rPr>
              <w:t>97</w:t>
            </w:r>
            <w:r>
              <w:rPr>
                <w:noProof/>
                <w:webHidden/>
              </w:rPr>
              <w:fldChar w:fldCharType="end"/>
            </w:r>
          </w:hyperlink>
        </w:p>
        <w:p w:rsidR="00F70DE6" w:rsidRDefault="00F70DE6">
          <w:pPr>
            <w:pStyle w:val="TOC2"/>
            <w:tabs>
              <w:tab w:val="right" w:leader="dot" w:pos="10790"/>
            </w:tabs>
            <w:rPr>
              <w:rFonts w:asciiTheme="minorHAnsi" w:eastAsiaTheme="minorEastAsia" w:hAnsiTheme="minorHAnsi" w:cstheme="minorBidi"/>
              <w:noProof/>
              <w:sz w:val="22"/>
            </w:rPr>
          </w:pPr>
          <w:hyperlink w:anchor="_Toc424259160" w:history="1">
            <w:r w:rsidRPr="00460B77">
              <w:rPr>
                <w:rStyle w:val="Hyperlink"/>
                <w:noProof/>
              </w:rPr>
              <w:t>States CP</w:t>
            </w:r>
            <w:r>
              <w:rPr>
                <w:noProof/>
                <w:webHidden/>
              </w:rPr>
              <w:tab/>
            </w:r>
            <w:r>
              <w:rPr>
                <w:noProof/>
                <w:webHidden/>
              </w:rPr>
              <w:fldChar w:fldCharType="begin"/>
            </w:r>
            <w:r>
              <w:rPr>
                <w:noProof/>
                <w:webHidden/>
              </w:rPr>
              <w:instrText xml:space="preserve"> PAGEREF _Toc424259160 \h </w:instrText>
            </w:r>
            <w:r>
              <w:rPr>
                <w:noProof/>
                <w:webHidden/>
              </w:rPr>
            </w:r>
            <w:r>
              <w:rPr>
                <w:noProof/>
                <w:webHidden/>
              </w:rPr>
              <w:fldChar w:fldCharType="separate"/>
            </w:r>
            <w:r w:rsidR="006C5205">
              <w:rPr>
                <w:noProof/>
                <w:webHidden/>
              </w:rPr>
              <w:t>98</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61" w:history="1">
            <w:r w:rsidRPr="00460B77">
              <w:rPr>
                <w:rStyle w:val="Hyperlink"/>
                <w:noProof/>
              </w:rPr>
              <w:t>1NC</w:t>
            </w:r>
            <w:r>
              <w:rPr>
                <w:noProof/>
                <w:webHidden/>
              </w:rPr>
              <w:tab/>
            </w:r>
            <w:r>
              <w:rPr>
                <w:noProof/>
                <w:webHidden/>
              </w:rPr>
              <w:fldChar w:fldCharType="begin"/>
            </w:r>
            <w:r>
              <w:rPr>
                <w:noProof/>
                <w:webHidden/>
              </w:rPr>
              <w:instrText xml:space="preserve"> PAGEREF _Toc424259161 \h </w:instrText>
            </w:r>
            <w:r>
              <w:rPr>
                <w:noProof/>
                <w:webHidden/>
              </w:rPr>
            </w:r>
            <w:r>
              <w:rPr>
                <w:noProof/>
                <w:webHidden/>
              </w:rPr>
              <w:fldChar w:fldCharType="separate"/>
            </w:r>
            <w:r w:rsidR="006C5205">
              <w:rPr>
                <w:noProof/>
                <w:webHidden/>
              </w:rPr>
              <w:t>99</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62" w:history="1">
            <w:r w:rsidRPr="00460B77">
              <w:rPr>
                <w:rStyle w:val="Hyperlink"/>
                <w:noProof/>
              </w:rPr>
              <w:t>Solvency</w:t>
            </w:r>
            <w:r>
              <w:rPr>
                <w:noProof/>
                <w:webHidden/>
              </w:rPr>
              <w:tab/>
            </w:r>
            <w:r>
              <w:rPr>
                <w:noProof/>
                <w:webHidden/>
              </w:rPr>
              <w:fldChar w:fldCharType="begin"/>
            </w:r>
            <w:r>
              <w:rPr>
                <w:noProof/>
                <w:webHidden/>
              </w:rPr>
              <w:instrText xml:space="preserve"> PAGEREF _Toc424259162 \h </w:instrText>
            </w:r>
            <w:r>
              <w:rPr>
                <w:noProof/>
                <w:webHidden/>
              </w:rPr>
            </w:r>
            <w:r>
              <w:rPr>
                <w:noProof/>
                <w:webHidden/>
              </w:rPr>
              <w:fldChar w:fldCharType="separate"/>
            </w:r>
            <w:r w:rsidR="006C5205">
              <w:rPr>
                <w:noProof/>
                <w:webHidden/>
              </w:rPr>
              <w:t>100</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63" w:history="1">
            <w:r w:rsidRPr="00460B77">
              <w:rPr>
                <w:rStyle w:val="Hyperlink"/>
                <w:noProof/>
              </w:rPr>
              <w:t>A2 States Cause Poverty</w:t>
            </w:r>
            <w:r>
              <w:rPr>
                <w:noProof/>
                <w:webHidden/>
              </w:rPr>
              <w:tab/>
            </w:r>
            <w:r>
              <w:rPr>
                <w:noProof/>
                <w:webHidden/>
              </w:rPr>
              <w:fldChar w:fldCharType="begin"/>
            </w:r>
            <w:r>
              <w:rPr>
                <w:noProof/>
                <w:webHidden/>
              </w:rPr>
              <w:instrText xml:space="preserve"> PAGEREF _Toc424259163 \h </w:instrText>
            </w:r>
            <w:r>
              <w:rPr>
                <w:noProof/>
                <w:webHidden/>
              </w:rPr>
            </w:r>
            <w:r>
              <w:rPr>
                <w:noProof/>
                <w:webHidden/>
              </w:rPr>
              <w:fldChar w:fldCharType="separate"/>
            </w:r>
            <w:r w:rsidR="006C5205">
              <w:rPr>
                <w:noProof/>
                <w:webHidden/>
              </w:rPr>
              <w:t>103</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64" w:history="1">
            <w:r w:rsidRPr="00460B77">
              <w:rPr>
                <w:rStyle w:val="Hyperlink"/>
                <w:noProof/>
              </w:rPr>
              <w:t>A2 Theory</w:t>
            </w:r>
            <w:r>
              <w:rPr>
                <w:noProof/>
                <w:webHidden/>
              </w:rPr>
              <w:tab/>
            </w:r>
            <w:r>
              <w:rPr>
                <w:noProof/>
                <w:webHidden/>
              </w:rPr>
              <w:fldChar w:fldCharType="begin"/>
            </w:r>
            <w:r>
              <w:rPr>
                <w:noProof/>
                <w:webHidden/>
              </w:rPr>
              <w:instrText xml:space="preserve"> PAGEREF _Toc424259164 \h </w:instrText>
            </w:r>
            <w:r>
              <w:rPr>
                <w:noProof/>
                <w:webHidden/>
              </w:rPr>
            </w:r>
            <w:r>
              <w:rPr>
                <w:noProof/>
                <w:webHidden/>
              </w:rPr>
              <w:fldChar w:fldCharType="separate"/>
            </w:r>
            <w:r w:rsidR="006C5205">
              <w:rPr>
                <w:noProof/>
                <w:webHidden/>
              </w:rPr>
              <w:t>104</w:t>
            </w:r>
            <w:r>
              <w:rPr>
                <w:noProof/>
                <w:webHidden/>
              </w:rPr>
              <w:fldChar w:fldCharType="end"/>
            </w:r>
          </w:hyperlink>
        </w:p>
        <w:p w:rsidR="00F70DE6" w:rsidRDefault="00F70DE6">
          <w:pPr>
            <w:pStyle w:val="TOC2"/>
            <w:tabs>
              <w:tab w:val="right" w:leader="dot" w:pos="10790"/>
            </w:tabs>
            <w:rPr>
              <w:rFonts w:asciiTheme="minorHAnsi" w:eastAsiaTheme="minorEastAsia" w:hAnsiTheme="minorHAnsi" w:cstheme="minorBidi"/>
              <w:noProof/>
              <w:sz w:val="22"/>
            </w:rPr>
          </w:pPr>
          <w:hyperlink w:anchor="_Toc424259165" w:history="1">
            <w:r w:rsidRPr="00460B77">
              <w:rPr>
                <w:rStyle w:val="Hyperlink"/>
                <w:noProof/>
              </w:rPr>
              <w:t>Federalism DA</w:t>
            </w:r>
            <w:r>
              <w:rPr>
                <w:noProof/>
                <w:webHidden/>
              </w:rPr>
              <w:tab/>
            </w:r>
            <w:r>
              <w:rPr>
                <w:noProof/>
                <w:webHidden/>
              </w:rPr>
              <w:fldChar w:fldCharType="begin"/>
            </w:r>
            <w:r>
              <w:rPr>
                <w:noProof/>
                <w:webHidden/>
              </w:rPr>
              <w:instrText xml:space="preserve"> PAGEREF _Toc424259165 \h </w:instrText>
            </w:r>
            <w:r>
              <w:rPr>
                <w:noProof/>
                <w:webHidden/>
              </w:rPr>
            </w:r>
            <w:r>
              <w:rPr>
                <w:noProof/>
                <w:webHidden/>
              </w:rPr>
              <w:fldChar w:fldCharType="separate"/>
            </w:r>
            <w:r w:rsidR="006C5205">
              <w:rPr>
                <w:noProof/>
                <w:webHidden/>
              </w:rPr>
              <w:t>105</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66" w:history="1">
            <w:r w:rsidRPr="00460B77">
              <w:rPr>
                <w:rStyle w:val="Hyperlink"/>
                <w:noProof/>
              </w:rPr>
              <w:t>1NC</w:t>
            </w:r>
            <w:r>
              <w:rPr>
                <w:noProof/>
                <w:webHidden/>
              </w:rPr>
              <w:tab/>
            </w:r>
            <w:r>
              <w:rPr>
                <w:noProof/>
                <w:webHidden/>
              </w:rPr>
              <w:fldChar w:fldCharType="begin"/>
            </w:r>
            <w:r>
              <w:rPr>
                <w:noProof/>
                <w:webHidden/>
              </w:rPr>
              <w:instrText xml:space="preserve"> PAGEREF _Toc424259166 \h </w:instrText>
            </w:r>
            <w:r>
              <w:rPr>
                <w:noProof/>
                <w:webHidden/>
              </w:rPr>
            </w:r>
            <w:r>
              <w:rPr>
                <w:noProof/>
                <w:webHidden/>
              </w:rPr>
              <w:fldChar w:fldCharType="separate"/>
            </w:r>
            <w:r w:rsidR="006C5205">
              <w:rPr>
                <w:noProof/>
                <w:webHidden/>
              </w:rPr>
              <w:t>106</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67" w:history="1">
            <w:r w:rsidRPr="00460B77">
              <w:rPr>
                <w:rStyle w:val="Hyperlink"/>
                <w:noProof/>
              </w:rPr>
              <w:t>Uniqueness</w:t>
            </w:r>
            <w:r>
              <w:rPr>
                <w:noProof/>
                <w:webHidden/>
              </w:rPr>
              <w:tab/>
            </w:r>
            <w:r>
              <w:rPr>
                <w:noProof/>
                <w:webHidden/>
              </w:rPr>
              <w:fldChar w:fldCharType="begin"/>
            </w:r>
            <w:r>
              <w:rPr>
                <w:noProof/>
                <w:webHidden/>
              </w:rPr>
              <w:instrText xml:space="preserve"> PAGEREF _Toc424259167 \h </w:instrText>
            </w:r>
            <w:r>
              <w:rPr>
                <w:noProof/>
                <w:webHidden/>
              </w:rPr>
            </w:r>
            <w:r>
              <w:rPr>
                <w:noProof/>
                <w:webHidden/>
              </w:rPr>
              <w:fldChar w:fldCharType="separate"/>
            </w:r>
            <w:r w:rsidR="006C5205">
              <w:rPr>
                <w:noProof/>
                <w:webHidden/>
              </w:rPr>
              <w:t>108</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68" w:history="1">
            <w:r w:rsidRPr="00460B77">
              <w:rPr>
                <w:rStyle w:val="Hyperlink"/>
                <w:noProof/>
              </w:rPr>
              <w:t>A2 Obamacare</w:t>
            </w:r>
            <w:r>
              <w:rPr>
                <w:noProof/>
                <w:webHidden/>
              </w:rPr>
              <w:tab/>
            </w:r>
            <w:r>
              <w:rPr>
                <w:noProof/>
                <w:webHidden/>
              </w:rPr>
              <w:fldChar w:fldCharType="begin"/>
            </w:r>
            <w:r>
              <w:rPr>
                <w:noProof/>
                <w:webHidden/>
              </w:rPr>
              <w:instrText xml:space="preserve"> PAGEREF _Toc424259168 \h </w:instrText>
            </w:r>
            <w:r>
              <w:rPr>
                <w:noProof/>
                <w:webHidden/>
              </w:rPr>
            </w:r>
            <w:r>
              <w:rPr>
                <w:noProof/>
                <w:webHidden/>
              </w:rPr>
              <w:fldChar w:fldCharType="separate"/>
            </w:r>
            <w:r w:rsidR="006C5205">
              <w:rPr>
                <w:noProof/>
                <w:webHidden/>
              </w:rPr>
              <w:t>111</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69" w:history="1">
            <w:r w:rsidRPr="00460B77">
              <w:rPr>
                <w:rStyle w:val="Hyperlink"/>
                <w:noProof/>
              </w:rPr>
              <w:t>Links</w:t>
            </w:r>
            <w:r>
              <w:rPr>
                <w:noProof/>
                <w:webHidden/>
              </w:rPr>
              <w:tab/>
            </w:r>
            <w:r>
              <w:rPr>
                <w:noProof/>
                <w:webHidden/>
              </w:rPr>
              <w:fldChar w:fldCharType="begin"/>
            </w:r>
            <w:r>
              <w:rPr>
                <w:noProof/>
                <w:webHidden/>
              </w:rPr>
              <w:instrText xml:space="preserve"> PAGEREF _Toc424259169 \h </w:instrText>
            </w:r>
            <w:r>
              <w:rPr>
                <w:noProof/>
                <w:webHidden/>
              </w:rPr>
            </w:r>
            <w:r>
              <w:rPr>
                <w:noProof/>
                <w:webHidden/>
              </w:rPr>
              <w:fldChar w:fldCharType="separate"/>
            </w:r>
            <w:r w:rsidR="006C5205">
              <w:rPr>
                <w:noProof/>
                <w:webHidden/>
              </w:rPr>
              <w:t>112</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70" w:history="1">
            <w:r w:rsidRPr="00460B77">
              <w:rPr>
                <w:rStyle w:val="Hyperlink"/>
                <w:noProof/>
              </w:rPr>
              <w:t>Modeled</w:t>
            </w:r>
            <w:bookmarkStart w:id="1" w:name="_GoBack"/>
            <w:bookmarkEnd w:id="1"/>
            <w:r>
              <w:rPr>
                <w:noProof/>
                <w:webHidden/>
              </w:rPr>
              <w:tab/>
            </w:r>
            <w:r>
              <w:rPr>
                <w:noProof/>
                <w:webHidden/>
              </w:rPr>
              <w:fldChar w:fldCharType="begin"/>
            </w:r>
            <w:r>
              <w:rPr>
                <w:noProof/>
                <w:webHidden/>
              </w:rPr>
              <w:instrText xml:space="preserve"> PAGEREF _Toc424259170 \h </w:instrText>
            </w:r>
            <w:r>
              <w:rPr>
                <w:noProof/>
                <w:webHidden/>
              </w:rPr>
            </w:r>
            <w:r>
              <w:rPr>
                <w:noProof/>
                <w:webHidden/>
              </w:rPr>
              <w:fldChar w:fldCharType="separate"/>
            </w:r>
            <w:r w:rsidR="006C5205">
              <w:rPr>
                <w:noProof/>
                <w:webHidden/>
              </w:rPr>
              <w:t>114</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71" w:history="1">
            <w:r w:rsidRPr="00460B77">
              <w:rPr>
                <w:rStyle w:val="Hyperlink"/>
                <w:noProof/>
              </w:rPr>
              <w:t>Solves War</w:t>
            </w:r>
            <w:r>
              <w:rPr>
                <w:noProof/>
                <w:webHidden/>
              </w:rPr>
              <w:tab/>
            </w:r>
            <w:r>
              <w:rPr>
                <w:noProof/>
                <w:webHidden/>
              </w:rPr>
              <w:fldChar w:fldCharType="begin"/>
            </w:r>
            <w:r>
              <w:rPr>
                <w:noProof/>
                <w:webHidden/>
              </w:rPr>
              <w:instrText xml:space="preserve"> PAGEREF _Toc424259171 \h </w:instrText>
            </w:r>
            <w:r>
              <w:rPr>
                <w:noProof/>
                <w:webHidden/>
              </w:rPr>
            </w:r>
            <w:r>
              <w:rPr>
                <w:noProof/>
                <w:webHidden/>
              </w:rPr>
              <w:fldChar w:fldCharType="separate"/>
            </w:r>
            <w:r w:rsidR="006C5205">
              <w:rPr>
                <w:noProof/>
                <w:webHidden/>
              </w:rPr>
              <w:t>115</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72" w:history="1">
            <w:r w:rsidRPr="00460B77">
              <w:rPr>
                <w:rStyle w:val="Hyperlink"/>
                <w:noProof/>
              </w:rPr>
              <w:t>Solves Democracy</w:t>
            </w:r>
            <w:r>
              <w:rPr>
                <w:noProof/>
                <w:webHidden/>
              </w:rPr>
              <w:tab/>
            </w:r>
            <w:r>
              <w:rPr>
                <w:noProof/>
                <w:webHidden/>
              </w:rPr>
              <w:fldChar w:fldCharType="begin"/>
            </w:r>
            <w:r>
              <w:rPr>
                <w:noProof/>
                <w:webHidden/>
              </w:rPr>
              <w:instrText xml:space="preserve"> PAGEREF _Toc424259172 \h </w:instrText>
            </w:r>
            <w:r>
              <w:rPr>
                <w:noProof/>
                <w:webHidden/>
              </w:rPr>
            </w:r>
            <w:r>
              <w:rPr>
                <w:noProof/>
                <w:webHidden/>
              </w:rPr>
              <w:fldChar w:fldCharType="separate"/>
            </w:r>
            <w:r w:rsidR="006C5205">
              <w:rPr>
                <w:noProof/>
                <w:webHidden/>
              </w:rPr>
              <w:t>116</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73" w:history="1">
            <w:r w:rsidRPr="00460B77">
              <w:rPr>
                <w:rStyle w:val="Hyperlink"/>
                <w:noProof/>
              </w:rPr>
              <w:t>Solves Terrorism</w:t>
            </w:r>
            <w:r>
              <w:rPr>
                <w:noProof/>
                <w:webHidden/>
              </w:rPr>
              <w:tab/>
            </w:r>
            <w:r>
              <w:rPr>
                <w:noProof/>
                <w:webHidden/>
              </w:rPr>
              <w:fldChar w:fldCharType="begin"/>
            </w:r>
            <w:r>
              <w:rPr>
                <w:noProof/>
                <w:webHidden/>
              </w:rPr>
              <w:instrText xml:space="preserve"> PAGEREF _Toc424259173 \h </w:instrText>
            </w:r>
            <w:r>
              <w:rPr>
                <w:noProof/>
                <w:webHidden/>
              </w:rPr>
            </w:r>
            <w:r>
              <w:rPr>
                <w:noProof/>
                <w:webHidden/>
              </w:rPr>
              <w:fldChar w:fldCharType="separate"/>
            </w:r>
            <w:r w:rsidR="006C5205">
              <w:rPr>
                <w:noProof/>
                <w:webHidden/>
              </w:rPr>
              <w:t>118</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74" w:history="1">
            <w:r w:rsidRPr="00460B77">
              <w:rPr>
                <w:rStyle w:val="Hyperlink"/>
                <w:noProof/>
              </w:rPr>
              <w:t>Solves Social Safety Net</w:t>
            </w:r>
            <w:r>
              <w:rPr>
                <w:noProof/>
                <w:webHidden/>
              </w:rPr>
              <w:tab/>
            </w:r>
            <w:r>
              <w:rPr>
                <w:noProof/>
                <w:webHidden/>
              </w:rPr>
              <w:fldChar w:fldCharType="begin"/>
            </w:r>
            <w:r>
              <w:rPr>
                <w:noProof/>
                <w:webHidden/>
              </w:rPr>
              <w:instrText xml:space="preserve"> PAGEREF _Toc424259174 \h </w:instrText>
            </w:r>
            <w:r>
              <w:rPr>
                <w:noProof/>
                <w:webHidden/>
              </w:rPr>
            </w:r>
            <w:r>
              <w:rPr>
                <w:noProof/>
                <w:webHidden/>
              </w:rPr>
              <w:fldChar w:fldCharType="separate"/>
            </w:r>
            <w:r w:rsidR="006C5205">
              <w:rPr>
                <w:noProof/>
                <w:webHidden/>
              </w:rPr>
              <w:t>119</w:t>
            </w:r>
            <w:r>
              <w:rPr>
                <w:noProof/>
                <w:webHidden/>
              </w:rPr>
              <w:fldChar w:fldCharType="end"/>
            </w:r>
          </w:hyperlink>
        </w:p>
        <w:p w:rsidR="00F70DE6" w:rsidRDefault="00F70DE6">
          <w:pPr>
            <w:pStyle w:val="TOC2"/>
            <w:tabs>
              <w:tab w:val="right" w:leader="dot" w:pos="10790"/>
            </w:tabs>
            <w:rPr>
              <w:rFonts w:asciiTheme="minorHAnsi" w:eastAsiaTheme="minorEastAsia" w:hAnsiTheme="minorHAnsi" w:cstheme="minorBidi"/>
              <w:noProof/>
              <w:sz w:val="22"/>
            </w:rPr>
          </w:pPr>
          <w:hyperlink w:anchor="_Toc424259175" w:history="1">
            <w:r w:rsidRPr="00460B77">
              <w:rPr>
                <w:rStyle w:val="Hyperlink"/>
                <w:noProof/>
              </w:rPr>
              <w:t>A2: States CP</w:t>
            </w:r>
            <w:r>
              <w:rPr>
                <w:noProof/>
                <w:webHidden/>
              </w:rPr>
              <w:tab/>
            </w:r>
            <w:r>
              <w:rPr>
                <w:noProof/>
                <w:webHidden/>
              </w:rPr>
              <w:fldChar w:fldCharType="begin"/>
            </w:r>
            <w:r>
              <w:rPr>
                <w:noProof/>
                <w:webHidden/>
              </w:rPr>
              <w:instrText xml:space="preserve"> PAGEREF _Toc424259175 \h </w:instrText>
            </w:r>
            <w:r>
              <w:rPr>
                <w:noProof/>
                <w:webHidden/>
              </w:rPr>
            </w:r>
            <w:r>
              <w:rPr>
                <w:noProof/>
                <w:webHidden/>
              </w:rPr>
              <w:fldChar w:fldCharType="separate"/>
            </w:r>
            <w:r w:rsidR="006C5205">
              <w:rPr>
                <w:noProof/>
                <w:webHidden/>
              </w:rPr>
              <w:t>124</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76" w:history="1">
            <w:r w:rsidRPr="00460B77">
              <w:rPr>
                <w:rStyle w:val="Hyperlink"/>
                <w:noProof/>
              </w:rPr>
              <w:t>2AC Answers to States CP</w:t>
            </w:r>
            <w:r>
              <w:rPr>
                <w:noProof/>
                <w:webHidden/>
              </w:rPr>
              <w:tab/>
            </w:r>
            <w:r>
              <w:rPr>
                <w:noProof/>
                <w:webHidden/>
              </w:rPr>
              <w:fldChar w:fldCharType="begin"/>
            </w:r>
            <w:r>
              <w:rPr>
                <w:noProof/>
                <w:webHidden/>
              </w:rPr>
              <w:instrText xml:space="preserve"> PAGEREF _Toc424259176 \h </w:instrText>
            </w:r>
            <w:r>
              <w:rPr>
                <w:noProof/>
                <w:webHidden/>
              </w:rPr>
            </w:r>
            <w:r>
              <w:rPr>
                <w:noProof/>
                <w:webHidden/>
              </w:rPr>
              <w:fldChar w:fldCharType="separate"/>
            </w:r>
            <w:r w:rsidR="006C5205">
              <w:rPr>
                <w:noProof/>
                <w:webHidden/>
              </w:rPr>
              <w:t>125</w:t>
            </w:r>
            <w:r>
              <w:rPr>
                <w:noProof/>
                <w:webHidden/>
              </w:rPr>
              <w:fldChar w:fldCharType="end"/>
            </w:r>
          </w:hyperlink>
        </w:p>
        <w:p w:rsidR="00F70DE6" w:rsidRDefault="00F70DE6">
          <w:pPr>
            <w:pStyle w:val="TOC2"/>
            <w:tabs>
              <w:tab w:val="right" w:leader="dot" w:pos="10790"/>
            </w:tabs>
            <w:rPr>
              <w:rFonts w:asciiTheme="minorHAnsi" w:eastAsiaTheme="minorEastAsia" w:hAnsiTheme="minorHAnsi" w:cstheme="minorBidi"/>
              <w:noProof/>
              <w:sz w:val="22"/>
            </w:rPr>
          </w:pPr>
          <w:hyperlink w:anchor="_Toc424259177" w:history="1">
            <w:r w:rsidRPr="00460B77">
              <w:rPr>
                <w:rStyle w:val="Hyperlink"/>
                <w:noProof/>
              </w:rPr>
              <w:t>A2: Federalism DA</w:t>
            </w:r>
            <w:r>
              <w:rPr>
                <w:noProof/>
                <w:webHidden/>
              </w:rPr>
              <w:tab/>
            </w:r>
            <w:r>
              <w:rPr>
                <w:noProof/>
                <w:webHidden/>
              </w:rPr>
              <w:fldChar w:fldCharType="begin"/>
            </w:r>
            <w:r>
              <w:rPr>
                <w:noProof/>
                <w:webHidden/>
              </w:rPr>
              <w:instrText xml:space="preserve"> PAGEREF _Toc424259177 \h </w:instrText>
            </w:r>
            <w:r>
              <w:rPr>
                <w:noProof/>
                <w:webHidden/>
              </w:rPr>
            </w:r>
            <w:r>
              <w:rPr>
                <w:noProof/>
                <w:webHidden/>
              </w:rPr>
              <w:fldChar w:fldCharType="separate"/>
            </w:r>
            <w:r w:rsidR="006C5205">
              <w:rPr>
                <w:noProof/>
                <w:webHidden/>
              </w:rPr>
              <w:t>128</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78" w:history="1">
            <w:r w:rsidRPr="00460B77">
              <w:rPr>
                <w:rStyle w:val="Hyperlink"/>
                <w:noProof/>
              </w:rPr>
              <w:t>A2 Link</w:t>
            </w:r>
            <w:r>
              <w:rPr>
                <w:noProof/>
                <w:webHidden/>
              </w:rPr>
              <w:tab/>
            </w:r>
            <w:r>
              <w:rPr>
                <w:noProof/>
                <w:webHidden/>
              </w:rPr>
              <w:fldChar w:fldCharType="begin"/>
            </w:r>
            <w:r>
              <w:rPr>
                <w:noProof/>
                <w:webHidden/>
              </w:rPr>
              <w:instrText xml:space="preserve"> PAGEREF _Toc424259178 \h </w:instrText>
            </w:r>
            <w:r>
              <w:rPr>
                <w:noProof/>
                <w:webHidden/>
              </w:rPr>
            </w:r>
            <w:r>
              <w:rPr>
                <w:noProof/>
                <w:webHidden/>
              </w:rPr>
              <w:fldChar w:fldCharType="separate"/>
            </w:r>
            <w:r w:rsidR="006C5205">
              <w:rPr>
                <w:noProof/>
                <w:webHidden/>
              </w:rPr>
              <w:t>129</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79" w:history="1">
            <w:r w:rsidRPr="00460B77">
              <w:rPr>
                <w:rStyle w:val="Hyperlink"/>
                <w:noProof/>
              </w:rPr>
              <w:t>Thumpers</w:t>
            </w:r>
            <w:r>
              <w:rPr>
                <w:noProof/>
                <w:webHidden/>
              </w:rPr>
              <w:tab/>
            </w:r>
            <w:r>
              <w:rPr>
                <w:noProof/>
                <w:webHidden/>
              </w:rPr>
              <w:fldChar w:fldCharType="begin"/>
            </w:r>
            <w:r>
              <w:rPr>
                <w:noProof/>
                <w:webHidden/>
              </w:rPr>
              <w:instrText xml:space="preserve"> PAGEREF _Toc424259179 \h </w:instrText>
            </w:r>
            <w:r>
              <w:rPr>
                <w:noProof/>
                <w:webHidden/>
              </w:rPr>
            </w:r>
            <w:r>
              <w:rPr>
                <w:noProof/>
                <w:webHidden/>
              </w:rPr>
              <w:fldChar w:fldCharType="separate"/>
            </w:r>
            <w:r w:rsidR="006C5205">
              <w:rPr>
                <w:noProof/>
                <w:webHidden/>
              </w:rPr>
              <w:t>130</w:t>
            </w:r>
            <w:r>
              <w:rPr>
                <w:noProof/>
                <w:webHidden/>
              </w:rPr>
              <w:fldChar w:fldCharType="end"/>
            </w:r>
          </w:hyperlink>
        </w:p>
        <w:p w:rsidR="00F70DE6" w:rsidRDefault="00F70DE6">
          <w:pPr>
            <w:pStyle w:val="TOC3"/>
            <w:tabs>
              <w:tab w:val="right" w:leader="dot" w:pos="10790"/>
            </w:tabs>
            <w:rPr>
              <w:rFonts w:asciiTheme="minorHAnsi" w:eastAsiaTheme="minorEastAsia" w:hAnsiTheme="minorHAnsi" w:cstheme="minorBidi"/>
              <w:noProof/>
              <w:sz w:val="22"/>
            </w:rPr>
          </w:pPr>
          <w:hyperlink w:anchor="_Toc424259180" w:history="1">
            <w:r w:rsidRPr="00460B77">
              <w:rPr>
                <w:rStyle w:val="Hyperlink"/>
                <w:noProof/>
              </w:rPr>
              <w:t>A2 Solves War</w:t>
            </w:r>
            <w:r>
              <w:rPr>
                <w:noProof/>
                <w:webHidden/>
              </w:rPr>
              <w:tab/>
            </w:r>
            <w:r>
              <w:rPr>
                <w:noProof/>
                <w:webHidden/>
              </w:rPr>
              <w:fldChar w:fldCharType="begin"/>
            </w:r>
            <w:r>
              <w:rPr>
                <w:noProof/>
                <w:webHidden/>
              </w:rPr>
              <w:instrText xml:space="preserve"> PAGEREF _Toc424259180 \h </w:instrText>
            </w:r>
            <w:r>
              <w:rPr>
                <w:noProof/>
                <w:webHidden/>
              </w:rPr>
            </w:r>
            <w:r>
              <w:rPr>
                <w:noProof/>
                <w:webHidden/>
              </w:rPr>
              <w:fldChar w:fldCharType="separate"/>
            </w:r>
            <w:r w:rsidR="006C5205">
              <w:rPr>
                <w:noProof/>
                <w:webHidden/>
              </w:rPr>
              <w:t>133</w:t>
            </w:r>
            <w:r>
              <w:rPr>
                <w:noProof/>
                <w:webHidden/>
              </w:rPr>
              <w:fldChar w:fldCharType="end"/>
            </w:r>
          </w:hyperlink>
        </w:p>
        <w:p w:rsidR="00851D12" w:rsidRPr="00215F59" w:rsidRDefault="00851D12" w:rsidP="00215F59">
          <w:r w:rsidRPr="00215F59">
            <w:rPr>
              <w:b/>
              <w:bCs/>
              <w:noProof/>
            </w:rPr>
            <w:fldChar w:fldCharType="end"/>
          </w:r>
        </w:p>
      </w:sdtContent>
    </w:sdt>
    <w:p w:rsidR="00614BC3" w:rsidRPr="00215F59" w:rsidRDefault="00614BC3" w:rsidP="00215F59"/>
    <w:p w:rsidR="00614BC3" w:rsidRDefault="00614BC3" w:rsidP="00215F59">
      <w:pPr>
        <w:pStyle w:val="Heading1"/>
        <w:spacing w:before="0"/>
        <w:rPr>
          <w:rFonts w:cs="Arial"/>
        </w:rPr>
      </w:pPr>
      <w:bookmarkStart w:id="2" w:name="_Toc424259077"/>
      <w:r w:rsidRPr="00215F59">
        <w:rPr>
          <w:rFonts w:cs="Arial"/>
        </w:rPr>
        <w:lastRenderedPageBreak/>
        <w:t>PCLOB CP</w:t>
      </w:r>
      <w:bookmarkEnd w:id="2"/>
    </w:p>
    <w:p w:rsidR="00614BC3" w:rsidRPr="00215F59" w:rsidRDefault="00614BC3" w:rsidP="00215F59"/>
    <w:p w:rsidR="00614BC3" w:rsidRPr="00215F59" w:rsidRDefault="00614BC3" w:rsidP="00215F59"/>
    <w:p w:rsidR="00ED3311" w:rsidRDefault="00ED3311" w:rsidP="00ED3311"/>
    <w:p w:rsidR="000A2CBD" w:rsidRPr="00215F59" w:rsidRDefault="000A2CBD" w:rsidP="000A2CBD">
      <w:pPr>
        <w:pStyle w:val="Heading3"/>
        <w:spacing w:before="0"/>
        <w:rPr>
          <w:rFonts w:cs="Arial"/>
        </w:rPr>
      </w:pPr>
      <w:bookmarkStart w:id="3" w:name="_Toc424259078"/>
      <w:r>
        <w:rPr>
          <w:rFonts w:cs="Arial"/>
        </w:rPr>
        <w:lastRenderedPageBreak/>
        <w:t>What’s PCLOB?</w:t>
      </w:r>
      <w:bookmarkEnd w:id="3"/>
    </w:p>
    <w:p w:rsidR="000A2CBD" w:rsidRPr="00215F59" w:rsidRDefault="000A2CBD" w:rsidP="000A2CBD"/>
    <w:p w:rsidR="000A2CBD" w:rsidRPr="00215F59" w:rsidRDefault="000A2CBD" w:rsidP="000A2CBD">
      <w:pPr>
        <w:rPr>
          <w:sz w:val="16"/>
          <w:szCs w:val="16"/>
        </w:rPr>
      </w:pPr>
      <w:r w:rsidRPr="00215F59">
        <w:rPr>
          <w:rStyle w:val="StyleStyleBold12pt"/>
        </w:rPr>
        <w:t xml:space="preserve">PCLOB, 2014 </w:t>
      </w:r>
      <w:r w:rsidRPr="00215F59">
        <w:rPr>
          <w:sz w:val="16"/>
          <w:szCs w:val="16"/>
        </w:rPr>
        <w:t xml:space="preserve">The PCLOB consists of David Medine (Chairman), Rachel Brand, Elisebeth Collins Cook, James Dempsey and Patricia Wald. It is a committee within the Executive Branch that was established shortly after the first unauthorized disclosure of classified documents from the NSA by Edward Snowden. The PCLOB’s purpose is to conduct reviews of surveillance practices and security measures to ensure that people’s civil liberties are, and continue to be, respected by government agencies and make recommendations wherever necessary. (Private Civil Liberties Oversight Committee “Report on the Telephone Records Program Conducted under Section 215 of the USA PATRIOT Act and on the Operations of the Foreign Intelligence Surveillance Court” Pg. 2-7 1/23/14 </w:t>
      </w:r>
      <w:hyperlink r:id="rId9" w:history="1">
        <w:r w:rsidRPr="00215F59">
          <w:rPr>
            <w:rStyle w:val="Hyperlink"/>
            <w:sz w:val="16"/>
            <w:szCs w:val="16"/>
          </w:rPr>
          <w:t>https://www.pclob.gov/library/215-Report_on_the_Telephone_Records_Program.pdf)//ER</w:t>
        </w:r>
      </w:hyperlink>
    </w:p>
    <w:p w:rsidR="000A2CBD" w:rsidRPr="00215F59" w:rsidRDefault="000A2CBD" w:rsidP="000A2CBD"/>
    <w:p w:rsidR="000A2CBD" w:rsidRDefault="000A2CBD" w:rsidP="000A2CBD">
      <w:r w:rsidRPr="000A2CBD">
        <w:t xml:space="preserve">The PCLOB is an independent bipartisan agency within the executive branch established by the Implementing Recommendations of the 9/11 Commission Act of 2007.6 The Board is comprised of four part-time members and a full-time chairman, all appointed by the President and confirmed by the Senate. </w:t>
      </w:r>
    </w:p>
    <w:p w:rsidR="000A2CBD" w:rsidRDefault="000A2CBD" w:rsidP="000A2CBD"/>
    <w:p w:rsidR="000A2CBD" w:rsidRDefault="000A2CBD" w:rsidP="000A2CBD">
      <w:r w:rsidRPr="000A2CBD">
        <w:t xml:space="preserve">The Board’s authorizing statute gives it two primary responsibilities: 1) To analyze and review actions the executive branch takes to protect the Nation from terrorism, ensuring that the need for such actions is balanced with the need to protect privacy and civil liberties; and 2) To ensure that liberty concerns are appropriately considered in the development and implementation of laws, regulations, and policies related to efforts to protect the Nation against terrorism.7 </w:t>
      </w:r>
      <w:r>
        <w:t>…</w:t>
      </w:r>
    </w:p>
    <w:p w:rsidR="000A2CBD" w:rsidRDefault="000A2CBD" w:rsidP="000A2CBD"/>
    <w:p w:rsidR="000A2CBD" w:rsidRDefault="000A2CBD" w:rsidP="000A2CBD">
      <w:r>
        <w:t>…</w:t>
      </w:r>
      <w:r w:rsidRPr="000A2CBD">
        <w:t xml:space="preserve">The Board today is in its third iteration. In July 2004, the National Commission on Terrorist Attacks on the United States (known as the 9/11 Commission) recommended that “there should be a board within the executive branch to oversee adherence to the guidelines we recommend and the commitment the government makes to defend our civil liberties.”8 In August 2004, President George W. Bush created the President’s Board on Safeguarding Americans’ Civil Liberties by executive order.9 The President’s Board ceased to meet upon the enactment of the Intelligence Reform and Terrorism Prevention Act of 2004, which created a Privacy and Civil Liberties Oversight Board within the Executive Office of the President.10 </w:t>
      </w:r>
    </w:p>
    <w:p w:rsidR="000A2CBD" w:rsidRDefault="000A2CBD" w:rsidP="000A2CBD"/>
    <w:p w:rsidR="000A2CBD" w:rsidRPr="000A2CBD" w:rsidRDefault="000A2CBD" w:rsidP="000A2CBD">
      <w:r w:rsidRPr="000A2CBD">
        <w:t xml:space="preserve">In 2007, the Implementing Recommendations of the 9/11 Commission Act reconstituted the Board in its current form as an independent agency within the executive branch.11 The Act requires that all five Board members be appointed by the President, by and with the advice and consent of the Senate, for staggered six-year terms. The Act further requires that the Board be bipartisan in composition. No more than three of the five members may be from the same political party, and before appointing members who are not from the President’s political party, the President must consult with the leadership of the opposing party. </w:t>
      </w:r>
    </w:p>
    <w:p w:rsidR="000A2CBD" w:rsidRDefault="000A2CBD" w:rsidP="000A2CBD">
      <w:pPr>
        <w:rPr>
          <w:sz w:val="16"/>
        </w:rPr>
      </w:pPr>
    </w:p>
    <w:p w:rsidR="000A2CBD" w:rsidRPr="00215F59" w:rsidRDefault="00AF1BF7" w:rsidP="00AF1BF7">
      <w:pPr>
        <w:pStyle w:val="Heading2"/>
      </w:pPr>
      <w:bookmarkStart w:id="4" w:name="_Toc424259079"/>
      <w:r>
        <w:lastRenderedPageBreak/>
        <w:t>PCLOB CP</w:t>
      </w:r>
      <w:bookmarkEnd w:id="4"/>
    </w:p>
    <w:p w:rsidR="00ED3311" w:rsidRDefault="00867568" w:rsidP="00ED3311">
      <w:pPr>
        <w:pStyle w:val="Heading3"/>
      </w:pPr>
      <w:bookmarkStart w:id="5" w:name="_Toc424259080"/>
      <w:r>
        <w:lastRenderedPageBreak/>
        <w:t xml:space="preserve">PCLOB CP </w:t>
      </w:r>
      <w:r w:rsidR="00ED3311">
        <w:t>1NC Shell</w:t>
      </w:r>
      <w:bookmarkEnd w:id="5"/>
      <w:r w:rsidR="00ED3311">
        <w:t xml:space="preserve"> </w:t>
      </w:r>
    </w:p>
    <w:p w:rsidR="00ED3311" w:rsidRDefault="00ED3311" w:rsidP="00ED3311"/>
    <w:p w:rsidR="00ED3311" w:rsidRDefault="00B933E4" w:rsidP="00B933E4">
      <w:pPr>
        <w:pStyle w:val="Heading4"/>
      </w:pPr>
      <w:r>
        <w:t>The United States federal government should propose &lt;the plan&gt; to the Privacy and Civil Liberties Oversight Board for review. The board should solicit feedback from all relevant stakeholders. The board should issue a report recommending that the United States federal government do the plan.</w:t>
      </w:r>
    </w:p>
    <w:p w:rsidR="00ED3311" w:rsidRDefault="00ED3311" w:rsidP="00ED3311"/>
    <w:p w:rsidR="00ED3311" w:rsidRDefault="00380305" w:rsidP="00AF1BF7">
      <w:pPr>
        <w:pStyle w:val="Heading4"/>
      </w:pPr>
      <w:r>
        <w:t>PCLOB investigations are key to effective surveillance policymaking –</w:t>
      </w:r>
      <w:r w:rsidR="000A2CBD">
        <w:t xml:space="preserve"> </w:t>
      </w:r>
      <w:r w:rsidR="00B933E4">
        <w:t xml:space="preserve">congressional backing, access to classified info, and public interest </w:t>
      </w:r>
      <w:r>
        <w:t>ensure its</w:t>
      </w:r>
      <w:r w:rsidR="00B933E4">
        <w:t xml:space="preserve"> recommendations shape policy.</w:t>
      </w:r>
    </w:p>
    <w:p w:rsidR="00B933E4" w:rsidRDefault="00B933E4" w:rsidP="00B933E4"/>
    <w:p w:rsidR="00B933E4" w:rsidRDefault="00B933E4" w:rsidP="00B933E4">
      <w:pPr>
        <w:rPr>
          <w:sz w:val="16"/>
        </w:rPr>
      </w:pPr>
      <w:r w:rsidRPr="009E42AC">
        <w:rPr>
          <w:rStyle w:val="StyleStyleBold12pt"/>
        </w:rPr>
        <w:t>Levy, 2013</w:t>
      </w:r>
      <w:r w:rsidRPr="009E42AC">
        <w:rPr>
          <w:sz w:val="16"/>
        </w:rPr>
        <w:t xml:space="preserve"> </w:t>
      </w:r>
    </w:p>
    <w:p w:rsidR="00B933E4" w:rsidRPr="00B933E4" w:rsidRDefault="00B933E4" w:rsidP="00B933E4">
      <w:r w:rsidRPr="00B933E4">
        <w:t xml:space="preserve">(Pema, International Business Times </w:t>
      </w:r>
      <w:r>
        <w:t>Writer</w:t>
      </w:r>
      <w:r w:rsidRPr="00B933E4">
        <w:t xml:space="preserve">, “NSA Spying Controversy: The New Agency That Could Change Government Surveillance” </w:t>
      </w:r>
      <w:r>
        <w:rPr>
          <w:i/>
        </w:rPr>
        <w:t>IB Times</w:t>
      </w:r>
      <w:r>
        <w:t xml:space="preserve">, July 11, </w:t>
      </w:r>
      <w:hyperlink r:id="rId10" w:history="1">
        <w:r w:rsidRPr="00B933E4">
          <w:rPr>
            <w:rStyle w:val="Hyperlink"/>
          </w:rPr>
          <w:t>http://www.ibtimes.com/nsa-spying-controversy-new-agency-could-change-government-surveillance-1342409</w:t>
        </w:r>
      </w:hyperlink>
      <w:r w:rsidRPr="00B933E4">
        <w:t>)</w:t>
      </w:r>
    </w:p>
    <w:p w:rsidR="00B933E4" w:rsidRPr="009E42AC" w:rsidRDefault="00B933E4" w:rsidP="00B933E4">
      <w:pPr>
        <w:rPr>
          <w:sz w:val="16"/>
        </w:rPr>
      </w:pPr>
    </w:p>
    <w:p w:rsidR="00B933E4" w:rsidRPr="009E42AC" w:rsidRDefault="00B933E4" w:rsidP="00B933E4">
      <w:pPr>
        <w:rPr>
          <w:rStyle w:val="Emphasis"/>
        </w:rPr>
      </w:pPr>
      <w:r w:rsidRPr="00B933E4">
        <w:rPr>
          <w:sz w:val="16"/>
        </w:rPr>
        <w:t xml:space="preserve">You’ve probably never heard of it, but </w:t>
      </w:r>
      <w:r w:rsidRPr="00B933E4">
        <w:rPr>
          <w:rStyle w:val="StyleUnderline"/>
        </w:rPr>
        <w:t>there is a new agency in Washington that is working to make sure the government’s anti-terrorism efforts do not ride roughshod over Americans’ civil liberties</w:t>
      </w:r>
      <w:r w:rsidRPr="00B933E4">
        <w:rPr>
          <w:sz w:val="16"/>
        </w:rPr>
        <w:t xml:space="preserve">. These days, </w:t>
      </w:r>
      <w:r w:rsidRPr="00B933E4">
        <w:rPr>
          <w:rStyle w:val="StyleUnderline"/>
        </w:rPr>
        <w:t>when a sharply divided Congress struggles to get nearly anything accomplished, there is little evidence that such an agency, armed only with the mandate to offer advice, can influence lawmakers.</w:t>
      </w:r>
      <w:r w:rsidRPr="00B933E4">
        <w:rPr>
          <w:sz w:val="16"/>
        </w:rPr>
        <w:t xml:space="preserve"> </w:t>
      </w:r>
      <w:r w:rsidRPr="00B933E4">
        <w:rPr>
          <w:rStyle w:val="StyleUnderline"/>
        </w:rPr>
        <w:t>But the Privacy and Civil Liberties Oversight Board may have a better chance at reforming the national security apparatus than many assume</w:t>
      </w:r>
      <w:r w:rsidRPr="00B933E4">
        <w:rPr>
          <w:sz w:val="16"/>
        </w:rPr>
        <w:t xml:space="preserve">. In fact, </w:t>
      </w:r>
      <w:r w:rsidRPr="00B933E4">
        <w:rPr>
          <w:rStyle w:val="StyleUnderline"/>
        </w:rPr>
        <w:t>the board is in a unique position to shape the legislative debate over the government’s spying abilities -- and has powerful allies to make sure Congress takes up its recommendations. Referred to as the PCLOB</w:t>
      </w:r>
      <w:r w:rsidRPr="00B933E4">
        <w:rPr>
          <w:sz w:val="16"/>
        </w:rPr>
        <w:t xml:space="preserve"> (sounds like 'pee-klawb'), </w:t>
      </w:r>
      <w:r w:rsidRPr="00B933E4">
        <w:rPr>
          <w:rStyle w:val="StyleUnderline"/>
        </w:rPr>
        <w:t>the new agency has the job of advising the president, federal agencies and Congress</w:t>
      </w:r>
      <w:r w:rsidRPr="00B933E4">
        <w:rPr>
          <w:sz w:val="16"/>
        </w:rPr>
        <w:t xml:space="preserve"> on how to balance the government’s national security efforts with civil liberties concerns. </w:t>
      </w:r>
      <w:r w:rsidRPr="00B933E4">
        <w:rPr>
          <w:rStyle w:val="StyleUnderline"/>
        </w:rPr>
        <w:t>Board members have top-secret clearances</w:t>
      </w:r>
      <w:r w:rsidRPr="00B933E4">
        <w:rPr>
          <w:sz w:val="16"/>
        </w:rPr>
        <w:t xml:space="preserve">, and agency heads are expected to turn over any documents the board requests. </w:t>
      </w:r>
      <w:r w:rsidRPr="00B933E4">
        <w:rPr>
          <w:rStyle w:val="StyleUnderline"/>
        </w:rPr>
        <w:t>If the board needs information from the private sector, the attorney general can issue a subpoena on its behalf.</w:t>
      </w:r>
      <w:r w:rsidRPr="00B933E4">
        <w:rPr>
          <w:sz w:val="16"/>
        </w:rPr>
        <w:t xml:space="preserve"> Created in 2004 at the recommendation of the 9/11 Commission, the PCLOB did not get off to an auspicious start. It was originally located within the Executive Office of the President, and its first report to Congress was edited by the Bush White House, prompting one Democratic member to resign. In response, in 2007 the new Democratic Congress made the board an independent agency within the executive branch. Then-President George W. Bush clashed with Senate Democrats over board nominees, and ultimately none were confirmed. President Barack Obama dragged his feet in choosing nominees and when they finally did come, Republicans refused to approve them. Four part-time members were finally approved in the last nine months. The board’s chairman, David Medine, was not formally installed on until May 29, 2013. One week later, </w:t>
      </w:r>
      <w:r w:rsidRPr="00B933E4">
        <w:rPr>
          <w:rStyle w:val="StyleUnderline"/>
        </w:rPr>
        <w:t>the Guardian newspaper published its first scoop, based on leaked National Security Agency documents, showing the government collected and stored metadata on the phone calls of millions of Americans</w:t>
      </w:r>
      <w:r w:rsidRPr="00B933E4">
        <w:rPr>
          <w:sz w:val="16"/>
        </w:rPr>
        <w:t xml:space="preserve">. Over the next few days, the documents leaked by Edward Snowden revealed that the government went further, collecting and storing metadata on the phone calls of virtually all Americans. The government was also scooping up an untold amount of Americans’ electronic communications as part of its foreign surveillance operations. </w:t>
      </w:r>
      <w:r w:rsidRPr="00B933E4">
        <w:rPr>
          <w:rStyle w:val="StyleUnderline"/>
        </w:rPr>
        <w:t>These revelations thrust the board into the middle of the most important debate over privacy and civil liberties in years</w:t>
      </w:r>
      <w:r w:rsidRPr="00B933E4">
        <w:rPr>
          <w:sz w:val="16"/>
        </w:rPr>
        <w:t xml:space="preserve">. </w:t>
      </w:r>
      <w:r w:rsidRPr="00B933E4">
        <w:rPr>
          <w:rStyle w:val="StyleUnderline"/>
        </w:rPr>
        <w:t>Sen. Tom Udall, D-N.M., sent a letter to the board asking it to “make it an urgent priority to investigate the programs” and provide an unclassified report on their legality and whether they take the “necessary precautions to protect the privacy and civil liberties of American citizens under the Constitution.” Twelve additional senators, including two Republicans, signed Udall’s letter.</w:t>
      </w:r>
      <w:r w:rsidRPr="00B933E4">
        <w:rPr>
          <w:sz w:val="16"/>
        </w:rPr>
        <w:t xml:space="preserve"> On June 21, the board met with Obama. All this before its office space was even ready or emails set up. The full board’s first public appearance came Tuesday at a workshop in Washington, D.C., where the five members -- three Democrats and two Republicans -- queried three separate panels of experts on how the surveillance programs might be brought more in line with civil liberties concerns. </w:t>
      </w:r>
      <w:r w:rsidRPr="00B933E4">
        <w:rPr>
          <w:rStyle w:val="StyleUnderline"/>
        </w:rPr>
        <w:t>Civil liberties advocates appear cautiously optimistic about the new board, whose opinion could help determine whether Congress decides to take on the massive surveillance programs.</w:t>
      </w:r>
      <w:r w:rsidRPr="00B933E4">
        <w:rPr>
          <w:sz w:val="16"/>
        </w:rPr>
        <w:t xml:space="preserve"> Advocates are also aware of the board’s ability to actually move their cause backward and entrench these programs. “If it blesses these programs, they are likely to continue,” privacy rights advocate Greg Nojeim, who participated in one of Tuesday’s panels, said in an interview Wednesday. Whether the board deems the phone metadata collection is unlawful or not will be “one of the most significant tests of PCLOB,” said Nojeim, a lawyer at the Center for Democracy and Technology. But whatever its recommendations ultimately are, </w:t>
      </w:r>
      <w:r w:rsidRPr="00B933E4">
        <w:rPr>
          <w:rStyle w:val="StyleUnderline"/>
        </w:rPr>
        <w:t xml:space="preserve">the PCLOB is armed by circumstance with the power to shape the laws governing the surveillance </w:t>
      </w:r>
      <w:r w:rsidRPr="00B933E4">
        <w:rPr>
          <w:rStyle w:val="StyleUnderline"/>
        </w:rPr>
        <w:lastRenderedPageBreak/>
        <w:t>state</w:t>
      </w:r>
      <w:r w:rsidRPr="00B933E4">
        <w:rPr>
          <w:sz w:val="16"/>
        </w:rPr>
        <w:t xml:space="preserve">, particularly Section 215 of the USA Patriot Act, also known as the “business records” provision, under which the government claims the authority to collect Americans’ call data. During Tuesday’s workshop, panelist Michael Davidson, former legal counsel to the Senate Intelligence Committee, hinted at the board’s potential for influence. “Can I suggest a focus for the board, and that is the Congress will turn to the many important questions that have been discussed through the day when it has to,” Davidson said. “And it will have to when, initially, when the sunset for business records [provision] is reached in the middle of 2015.” In other words, the government’s authority to carry out the phone metadata collection will expire on June 1, 2015, absent congressional action – a situation the board can use to shape the debate and even push its recommendations. On June 1, 2017, the portion of the Foreign Intelligence Surveillance Act under which the NSA conducts electronic foreign intelligence sweeps that also snag domestic communications will expire without reauthorization, as well. Privacy advocates don’t want the board or Congress to wait years to address the surveillance programs they believe are illegal. But at the end of the day, the sunset dates guarantee that a debate over these programs will take place -- and when it does, the PCLOB can have its reports and recommendations ready to shape that conversation. Moreover, because the issues in are so complex from a legal, practical and technological point of view, lawmakers who want to put forward serious reforms may not have the ability to craft adequate proposals before the sunset deadline. </w:t>
      </w:r>
      <w:r w:rsidRPr="00B933E4">
        <w:rPr>
          <w:rStyle w:val="StyleUnderline"/>
        </w:rPr>
        <w:t>The board can help in that practical function to make sure that lawmakers have reforms ready to be implemented when the debate begins</w:t>
      </w:r>
      <w:r w:rsidRPr="00B933E4">
        <w:rPr>
          <w:sz w:val="16"/>
        </w:rPr>
        <w:t>. Nojeim also sees this as an “advantage” unique to the PCLOB. “</w:t>
      </w:r>
      <w:r w:rsidRPr="00B933E4">
        <w:rPr>
          <w:rStyle w:val="StyleUnderline"/>
        </w:rPr>
        <w:t>The board has a guaranteed congressional audience that other boards don’t have because it’s making recommendations on statutes that will expire unless acted on,”</w:t>
      </w:r>
      <w:r w:rsidRPr="00B933E4">
        <w:rPr>
          <w:sz w:val="16"/>
        </w:rPr>
        <w:t xml:space="preserve"> he said Wednesday. </w:t>
      </w:r>
      <w:r w:rsidRPr="00B933E4">
        <w:rPr>
          <w:rStyle w:val="StyleUnderline"/>
        </w:rPr>
        <w:t>Despite the leverage the PCLOB has in 2015 and 2017, the civil liberties community believes it has a popular mandate to move reforms -- at least more basic changes like releasing more classified materials -- while the public is engaged on the issue</w:t>
      </w:r>
      <w:r w:rsidRPr="00B933E4">
        <w:rPr>
          <w:sz w:val="16"/>
        </w:rPr>
        <w:t>. The NSA leaks are “a game-changer,” said Michelle Richardson, a legislative counsel at the American Civil Liberties Union, noting that members of Congress on both sides of the aisle have indicated that the NSA’s programs need to be reined in. “</w:t>
      </w:r>
      <w:r w:rsidRPr="00B933E4">
        <w:rPr>
          <w:rStyle w:val="StyleUnderline"/>
        </w:rPr>
        <w:t>This certainly seems like our best opportunity yet</w:t>
      </w:r>
      <w:r w:rsidRPr="00B933E4">
        <w:rPr>
          <w:sz w:val="16"/>
        </w:rPr>
        <w:t xml:space="preserve">.” Whether or not Congress takes up a range of proposals put forward in the last month to reform the intelligence system, </w:t>
      </w:r>
      <w:r w:rsidRPr="00B933E4">
        <w:rPr>
          <w:rStyle w:val="StyleUnderline"/>
        </w:rPr>
        <w:t>the board has allies in Congress who will have the power to make sure its recommendations are debated,</w:t>
      </w:r>
      <w:r w:rsidRPr="00B933E4">
        <w:rPr>
          <w:sz w:val="16"/>
        </w:rPr>
        <w:t xml:space="preserve"> even if it takes until 2015 for that to happen. “</w:t>
      </w:r>
      <w:r w:rsidRPr="00B933E4">
        <w:rPr>
          <w:rStyle w:val="StyleUnderline"/>
        </w:rPr>
        <w:t>There are senators and representatives</w:t>
      </w:r>
      <w:r w:rsidRPr="00B933E4">
        <w:rPr>
          <w:sz w:val="16"/>
        </w:rPr>
        <w:t xml:space="preserve">, including [Vermont Democratic Sen. Patrick] Leahy, who chairs the Senate Judiciary Committee, </w:t>
      </w:r>
      <w:r w:rsidRPr="00B933E4">
        <w:rPr>
          <w:rStyle w:val="StyleUnderline"/>
        </w:rPr>
        <w:t>who struggled and pushed and cajoled until the PCLOB members were nominated and approved</w:t>
      </w:r>
      <w:r w:rsidRPr="00B933E4">
        <w:rPr>
          <w:sz w:val="16"/>
        </w:rPr>
        <w:t>,” Nojeim said Wednesday. “</w:t>
      </w:r>
      <w:r w:rsidRPr="00B933E4">
        <w:rPr>
          <w:rStyle w:val="StyleUnderline"/>
        </w:rPr>
        <w:t>They are not going to ignore the recommendations of the board they fought for.”</w:t>
      </w:r>
      <w:r>
        <w:rPr>
          <w:rStyle w:val="Emphasis"/>
        </w:rPr>
        <w:t xml:space="preserve"> </w:t>
      </w:r>
    </w:p>
    <w:p w:rsidR="00B933E4" w:rsidRPr="00B933E4" w:rsidRDefault="00B933E4" w:rsidP="00B933E4"/>
    <w:p w:rsidR="00614BC3" w:rsidRPr="00215F59" w:rsidRDefault="00614BC3" w:rsidP="00215F59"/>
    <w:p w:rsidR="00E64AD8" w:rsidRDefault="00E64AD8" w:rsidP="00215F59"/>
    <w:p w:rsidR="00E64AD8" w:rsidRDefault="00E64AD8" w:rsidP="00215F59"/>
    <w:p w:rsidR="0086639A" w:rsidRDefault="0086639A" w:rsidP="0086639A">
      <w:pPr>
        <w:pStyle w:val="Heading3"/>
        <w:spacing w:before="0"/>
        <w:rPr>
          <w:rFonts w:cs="Arial"/>
        </w:rPr>
      </w:pPr>
      <w:bookmarkStart w:id="6" w:name="_Toc424259081"/>
      <w:r w:rsidRPr="00215F59">
        <w:rPr>
          <w:rFonts w:cs="Arial"/>
        </w:rPr>
        <w:lastRenderedPageBreak/>
        <w:t>Solvency</w:t>
      </w:r>
      <w:r>
        <w:rPr>
          <w:rFonts w:cs="Arial"/>
        </w:rPr>
        <w:t xml:space="preserve"> </w:t>
      </w:r>
      <w:r w:rsidR="00380305">
        <w:rPr>
          <w:rFonts w:cs="Arial"/>
        </w:rPr>
        <w:t xml:space="preserve">– General </w:t>
      </w:r>
      <w:r w:rsidR="000A2CBD">
        <w:rPr>
          <w:rFonts w:cs="Arial"/>
        </w:rPr>
        <w:t>Extension</w:t>
      </w:r>
      <w:bookmarkEnd w:id="6"/>
    </w:p>
    <w:p w:rsidR="001456D7" w:rsidRPr="001456D7" w:rsidRDefault="001456D7" w:rsidP="001456D7"/>
    <w:p w:rsidR="0086639A" w:rsidRPr="00215F59" w:rsidRDefault="0086639A" w:rsidP="00AF1BF7">
      <w:pPr>
        <w:pStyle w:val="Heading4"/>
      </w:pPr>
      <w:r w:rsidRPr="00215F59">
        <w:t xml:space="preserve">PCLOB </w:t>
      </w:r>
      <w:r w:rsidR="000A2CBD">
        <w:t xml:space="preserve">oversight key – exposes security establishment abuses and provides policy guidance. </w:t>
      </w:r>
    </w:p>
    <w:p w:rsidR="0086639A" w:rsidRPr="00215F59" w:rsidRDefault="0086639A" w:rsidP="0086639A"/>
    <w:p w:rsidR="0086639A" w:rsidRPr="00215F59" w:rsidRDefault="0086639A" w:rsidP="0086639A">
      <w:pPr>
        <w:rPr>
          <w:rStyle w:val="StyleStyleBold12pt"/>
        </w:rPr>
      </w:pPr>
      <w:r>
        <w:rPr>
          <w:rStyle w:val="StyleStyleBold12pt"/>
        </w:rPr>
        <w:t>Ball</w:t>
      </w:r>
      <w:r w:rsidRPr="00215F59">
        <w:rPr>
          <w:rStyle w:val="StyleStyleBold12pt"/>
        </w:rPr>
        <w:t>, 2012</w:t>
      </w:r>
    </w:p>
    <w:p w:rsidR="0086639A" w:rsidRPr="00215F59" w:rsidRDefault="0086639A" w:rsidP="0086639A">
      <w:pPr>
        <w:rPr>
          <w:sz w:val="16"/>
        </w:rPr>
      </w:pPr>
      <w:r w:rsidRPr="00215F59">
        <w:t>(</w:t>
      </w:r>
      <w:r>
        <w:t>Michael</w:t>
      </w:r>
      <w:r w:rsidRPr="00215F59">
        <w:t xml:space="preserve">, </w:t>
      </w:r>
      <w:r>
        <w:t>Director of ACLU’s DC Legislative Office</w:t>
      </w:r>
      <w:r w:rsidRPr="00215F59">
        <w:t>, “Letter to PCLOB”, 26 October, https://www.pclob.gov/library/20121031-Submission-ACLU.pdf)</w:t>
      </w:r>
    </w:p>
    <w:p w:rsidR="0086639A" w:rsidRPr="00215F59" w:rsidRDefault="0086639A" w:rsidP="0086639A">
      <w:pPr>
        <w:rPr>
          <w:sz w:val="16"/>
        </w:rPr>
      </w:pPr>
    </w:p>
    <w:p w:rsidR="0086639A" w:rsidRPr="00215F59" w:rsidRDefault="0086639A" w:rsidP="0086639A">
      <w:pPr>
        <w:rPr>
          <w:sz w:val="16"/>
        </w:rPr>
      </w:pPr>
    </w:p>
    <w:p w:rsidR="0086639A" w:rsidRPr="0086639A" w:rsidRDefault="0086639A" w:rsidP="0086639A">
      <w:pPr>
        <w:tabs>
          <w:tab w:val="left" w:pos="8280"/>
        </w:tabs>
        <w:rPr>
          <w:sz w:val="14"/>
        </w:rPr>
      </w:pPr>
      <w:r w:rsidRPr="00215F59">
        <w:rPr>
          <w:rStyle w:val="StyleUnderline"/>
        </w:rPr>
        <w:t xml:space="preserve">Oversight of these new authorities is limited </w:t>
      </w:r>
      <w:r w:rsidRPr="0086639A">
        <w:rPr>
          <w:sz w:val="14"/>
        </w:rPr>
        <w:t xml:space="preserve">largely to internal controls. Important oversight bodies such as Congress and the President’s Intelligence Oversight Board aren’t required to be notified, even of “significant” failures to comply with the guidelines.7 </w:t>
      </w:r>
      <w:r w:rsidRPr="00215F59">
        <w:rPr>
          <w:rStyle w:val="Emphasis"/>
        </w:rPr>
        <w:t>Additional oversight by the PCLOB is essential to protecting Americans’ privacy from this invasive new collection authority.</w:t>
      </w:r>
      <w:r w:rsidRPr="0086639A">
        <w:rPr>
          <w:sz w:val="14"/>
        </w:rPr>
        <w:t xml:space="preserve"> Other programs need additional oversight as well and include: o New or expanding Intelligence Community activities focused on domestic collection of US person information, including new cyber-security programs, the proposed expansion of the DNI Information Sharing Environment to include suspicious activity reporting not related to terrorism, and the increasing number of US persons being placed on watch lists, particularly while travelling abroad, preventing return flights to the United States; o Surveillance and obstruction of activity protected under the First Amendment, including intelligence community and law enforcement surveillance/tracking of protest groups and the FBI’s use of aggressive and coordinated raids of activists’ homes, and abusing the use of Grand Jury subpoenas to jail activists; o Racial profiling in law enforcement and intelligence activities, such as the FBI’s racial and ethnic mapping program and the Transportation Security Agency’s behavioral detection programs; o </w:t>
      </w:r>
      <w:r w:rsidRPr="00215F59">
        <w:rPr>
          <w:rStyle w:val="StyleUnderline"/>
        </w:rPr>
        <w:t>The use of new surveillance technologies by federal law enforcement and national security agencies, such as mobile phone data and other location-tracking technologies, unmanned surveillance drones, and databases maintained by commercial data aggregators.</w:t>
      </w:r>
      <w:r w:rsidRPr="0086639A">
        <w:rPr>
          <w:sz w:val="14"/>
        </w:rPr>
        <w:t xml:space="preserve"> This list should is by no means comprehensive. The pool of programs put in place in the years since 2001 is broad, deep, and alarming. </w:t>
      </w:r>
      <w:r w:rsidRPr="00215F59">
        <w:rPr>
          <w:rStyle w:val="StyleUnderline"/>
        </w:rPr>
        <w:t>The nation’s security establishment has greatly expanded in scope and power in recent years, and the oversight structures created to oversee these vast agencies are small and inadequate</w:t>
      </w:r>
      <w:r w:rsidRPr="0086639A">
        <w:rPr>
          <w:sz w:val="14"/>
        </w:rPr>
        <w:t xml:space="preserve">. Aside from Japan and South Korea, </w:t>
      </w:r>
      <w:r w:rsidRPr="00215F59">
        <w:rPr>
          <w:rStyle w:val="StyleUnderline"/>
        </w:rPr>
        <w:t>the United States is the only advanced industrial nation that has no privacy and data protection commissioner to enforce its privacy laws</w:t>
      </w:r>
      <w:r w:rsidRPr="0086639A">
        <w:rPr>
          <w:sz w:val="14"/>
        </w:rPr>
        <w:t xml:space="preserve">. We hope that </w:t>
      </w:r>
      <w:r w:rsidRPr="00380305">
        <w:rPr>
          <w:rStyle w:val="StyleUnderline"/>
        </w:rPr>
        <w:t>the PCLOB will</w:t>
      </w:r>
      <w:r w:rsidRPr="0086639A">
        <w:rPr>
          <w:sz w:val="14"/>
        </w:rPr>
        <w:t xml:space="preserve"> embark on its mission quickly and </w:t>
      </w:r>
      <w:r w:rsidRPr="00380305">
        <w:rPr>
          <w:rStyle w:val="StyleUnderline"/>
        </w:rPr>
        <w:t>begin filling this oversight vacuum</w:t>
      </w:r>
      <w:r w:rsidRPr="0086639A">
        <w:rPr>
          <w:sz w:val="14"/>
        </w:rPr>
        <w:t xml:space="preserve"> with vigor and energy. We also hope that</w:t>
      </w:r>
      <w:r w:rsidRPr="00215F59">
        <w:rPr>
          <w:rStyle w:val="StyleUnderline"/>
        </w:rPr>
        <w:t xml:space="preserve"> the PCLOB will engage in the full spectrum of privacy oversight activities</w:t>
      </w:r>
      <w:r w:rsidRPr="0086639A">
        <w:rPr>
          <w:sz w:val="14"/>
        </w:rPr>
        <w:t>—</w:t>
      </w:r>
      <w:r w:rsidRPr="00215F59">
        <w:rPr>
          <w:rStyle w:val="StyleUnderline"/>
        </w:rPr>
        <w:t>not only investigating and reviewing government actions to ensure the adequate consideration of privacy and civil liberties interests, but also engaging in pro-active policy leadership, providing broad public guidance on how privacy and other civil liberties interests should be protected as our security agencies make use of new technologies</w:t>
      </w:r>
      <w:r w:rsidRPr="0086639A">
        <w:rPr>
          <w:sz w:val="14"/>
        </w:rPr>
        <w:t xml:space="preserve">. </w:t>
      </w:r>
    </w:p>
    <w:p w:rsidR="0086639A" w:rsidRPr="00215F59" w:rsidRDefault="0086639A" w:rsidP="0086639A">
      <w:pPr>
        <w:rPr>
          <w:sz w:val="16"/>
        </w:rPr>
      </w:pPr>
    </w:p>
    <w:p w:rsidR="0086639A" w:rsidRPr="00215F59" w:rsidRDefault="0086639A" w:rsidP="0086639A">
      <w:pPr>
        <w:rPr>
          <w:sz w:val="16"/>
        </w:rPr>
      </w:pPr>
    </w:p>
    <w:p w:rsidR="00380305" w:rsidRDefault="00380305" w:rsidP="00380305">
      <w:pPr>
        <w:pStyle w:val="Heading3"/>
      </w:pPr>
      <w:bookmarkStart w:id="7" w:name="_Toc424259082"/>
      <w:r>
        <w:lastRenderedPageBreak/>
        <w:t>Solvency – Awareness</w:t>
      </w:r>
      <w:bookmarkEnd w:id="7"/>
      <w:r>
        <w:t xml:space="preserve"> </w:t>
      </w:r>
    </w:p>
    <w:p w:rsidR="00380305" w:rsidRPr="00A54B15" w:rsidRDefault="00380305" w:rsidP="00380305"/>
    <w:p w:rsidR="00380305" w:rsidRDefault="00380305" w:rsidP="00AF1BF7">
      <w:pPr>
        <w:pStyle w:val="Heading4"/>
      </w:pPr>
      <w:r>
        <w:t>Commissions are more efficient than Congress and solve groupthink</w:t>
      </w:r>
    </w:p>
    <w:p w:rsidR="00380305" w:rsidRPr="00A54B15" w:rsidRDefault="00380305" w:rsidP="00380305"/>
    <w:p w:rsidR="00380305" w:rsidRDefault="00380305" w:rsidP="00380305">
      <w:pPr>
        <w:rPr>
          <w:sz w:val="16"/>
        </w:rPr>
      </w:pPr>
      <w:r>
        <w:rPr>
          <w:rStyle w:val="StyleStyleBold12pt"/>
        </w:rPr>
        <w:t>Schwalbe, 2013</w:t>
      </w:r>
    </w:p>
    <w:p w:rsidR="00380305" w:rsidRPr="00A54B15" w:rsidRDefault="00380305" w:rsidP="00380305">
      <w:r w:rsidRPr="00A54B15">
        <w:t xml:space="preserve">(Steve, Auburn University, “Independent Commissions: Their History, Utilization and Effectiveness,” March 22, Weather Coalition, </w:t>
      </w:r>
      <w:hyperlink r:id="rId11" w:history="1">
        <w:r w:rsidRPr="00A54B15">
          <w:rPr>
            <w:rStyle w:val="Hyperlink"/>
          </w:rPr>
          <w:t>http://weathercoalition.org/sites/default/files/documents/2013/independent_commissions.pdf</w:t>
        </w:r>
      </w:hyperlink>
      <w:r w:rsidRPr="00A54B15">
        <w:t>)</w:t>
      </w:r>
    </w:p>
    <w:p w:rsidR="00380305" w:rsidRPr="00572DF8" w:rsidRDefault="00380305" w:rsidP="00380305">
      <w:pPr>
        <w:rPr>
          <w:sz w:val="16"/>
        </w:rPr>
      </w:pPr>
    </w:p>
    <w:p w:rsidR="00380305" w:rsidRPr="00572DF8" w:rsidRDefault="00380305" w:rsidP="00380305">
      <w:pPr>
        <w:rPr>
          <w:sz w:val="16"/>
        </w:rPr>
      </w:pPr>
      <w:r w:rsidRPr="00572DF8">
        <w:rPr>
          <w:sz w:val="16"/>
        </w:rPr>
        <w:t xml:space="preserve">There are numerous other reasons for establishing independent commissions. </w:t>
      </w:r>
      <w:r w:rsidRPr="00572DF8">
        <w:rPr>
          <w:rStyle w:val="StyleUnderline"/>
        </w:rPr>
        <w:t>They are created as a symbolic response to a crisis or to satisfy the electorate at home.</w:t>
      </w:r>
      <w:r w:rsidRPr="00572DF8">
        <w:rPr>
          <w:sz w:val="16"/>
        </w:rPr>
        <w:t xml:space="preserve"> </w:t>
      </w:r>
      <w:r w:rsidRPr="00572DF8">
        <w:rPr>
          <w:rStyle w:val="StyleUnderline"/>
        </w:rPr>
        <w:t>They have served as trial balloons to test the political waters, or to make political gains with the voters. They can be created to gain public or political consensus.</w:t>
      </w:r>
      <w:r w:rsidRPr="00572DF8">
        <w:rPr>
          <w:sz w:val="16"/>
        </w:rPr>
        <w:t xml:space="preserve"> Often, when Congress has exhausted all its other options, a commission serves as an option of last resort.23 </w:t>
      </w:r>
      <w:r w:rsidRPr="00572DF8">
        <w:rPr>
          <w:rStyle w:val="StyleUnderline"/>
        </w:rPr>
        <w:t>Commissions are a relatively impartial way to help resolve problems between the executive and legislative branches of government, especially during periods of congressional gridlock.</w:t>
      </w:r>
      <w:r w:rsidRPr="00572DF8">
        <w:rPr>
          <w:sz w:val="16"/>
        </w:rPr>
        <w:t xml:space="preserve"> Wolanin also noted that commissions are “particularly useful for problems and in circumstances marked by federal executive branch incapacity.” </w:t>
      </w:r>
      <w:r w:rsidRPr="00572DF8">
        <w:rPr>
          <w:rStyle w:val="StyleUnderline"/>
        </w:rPr>
        <w:t>Federal bureaucracies</w:t>
      </w:r>
      <w:r w:rsidRPr="00572DF8">
        <w:rPr>
          <w:sz w:val="16"/>
        </w:rPr>
        <w:t xml:space="preserve"> suffer from many of the same shortcomings attributed to Congress when considering commissions. They </w:t>
      </w:r>
      <w:r w:rsidRPr="00572DF8">
        <w:rPr>
          <w:rStyle w:val="StyleUnderline"/>
        </w:rPr>
        <w:t>often lack the expertise, information, and time to conduct the research and make recommendations to resolve internal problems. They can be afflicted by groupthink, not being able to think outside the box, or by not being able to see the big picture. Commissions offer a non-partisan, neutral option to address bureaucratic policy problems.</w:t>
      </w:r>
      <w:r w:rsidRPr="00572DF8">
        <w:rPr>
          <w:sz w:val="16"/>
        </w:rPr>
        <w:t xml:space="preserve">24 Defense Secretary Donald Rumsfeld has decided to implement the recommendations of the congressionally-chartered Commission on Space, which he chaired prior to being appointed Secretary of Defense!25 One of the more important functions of independent commissions is educating and persuading. </w:t>
      </w:r>
      <w:r w:rsidRPr="00572DF8">
        <w:rPr>
          <w:rStyle w:val="StyleUnderline"/>
        </w:rPr>
        <w:t>Due to the high visibility of most appointed commissioners, a policy issue will automatically tend to gain public attention.</w:t>
      </w:r>
      <w:r w:rsidRPr="00572DF8">
        <w:rPr>
          <w:sz w:val="16"/>
        </w:rPr>
        <w:t xml:space="preserve"> According to Wolanin, the prestige and visibility of commissions give them the capability to focus attention on a problem, and to see that thinking about it permeates more rapidly. A recent example of a high-visibility commission chair appointment was Henry Kissinger, selected to chair the commission to look into the perceived intelligence failure regarding the September 11, 2001 terrorist attack on the U.S. .26 Wolanin cited four educational impacts of commissions: 1) educating the general public; 2) educating government officials; 3) serving as intellectual milestones; and, 4) educating the commission members themselves. Regarding education of the general public, he stated that, “</w:t>
      </w:r>
      <w:r w:rsidRPr="00572DF8">
        <w:rPr>
          <w:rStyle w:val="StyleUnderline"/>
        </w:rPr>
        <w:t>Commissions have helped to place broad new issues on the national agenda, to elevate them to a level of legitimate and pressing matters about which government should take affirmative action.</w:t>
      </w:r>
      <w:r w:rsidRPr="00572DF8">
        <w:rPr>
          <w:sz w:val="16"/>
        </w:rPr>
        <w:t>” Regarding educating government officials, he noted that, “The educational impact of commissions within government…make it safer for congressmen and federal executives to openly discuss or advocate a proposal that has been sanctioned by such an ‘august group’.” Commission reports have often been so influential that they serve as milestones in affected fields. Such reports have become source material for analysts, commentators, and even students, particularly when commission reports are widely published and disseminated. Finally, by serving on a commission, members also learn much about the issue, and about the process of analyzing a problem and coming up with viable recommendations. Commissioners also learn from one another.27</w:t>
      </w:r>
    </w:p>
    <w:p w:rsidR="00380305" w:rsidRDefault="00380305" w:rsidP="00380305"/>
    <w:p w:rsidR="00E64D80" w:rsidRDefault="00E64D80" w:rsidP="00E64D80">
      <w:pPr>
        <w:pStyle w:val="Heading3"/>
      </w:pPr>
      <w:bookmarkStart w:id="8" w:name="_Toc424259083"/>
      <w:r>
        <w:lastRenderedPageBreak/>
        <w:t>Solvency –</w:t>
      </w:r>
      <w:r w:rsidR="00EF4FDF">
        <w:t xml:space="preserve"> Awareness</w:t>
      </w:r>
      <w:bookmarkEnd w:id="8"/>
    </w:p>
    <w:p w:rsidR="00E64D80" w:rsidRPr="00342D9C" w:rsidRDefault="00E64D80" w:rsidP="00E64D80"/>
    <w:p w:rsidR="00E64D80" w:rsidRDefault="00EF4FDF" w:rsidP="00AF1BF7">
      <w:pPr>
        <w:pStyle w:val="Heading4"/>
      </w:pPr>
      <w:r>
        <w:t xml:space="preserve">PCLOB actions build systems of accountability – squo disclosures are insufficient </w:t>
      </w:r>
    </w:p>
    <w:p w:rsidR="00E64D80" w:rsidRPr="00E64D80" w:rsidRDefault="00E64D80" w:rsidP="00E64D80"/>
    <w:p w:rsidR="00E64D80" w:rsidRPr="00215F59" w:rsidRDefault="00E64D80" w:rsidP="00E64D80">
      <w:pPr>
        <w:rPr>
          <w:rStyle w:val="StyleStyleBold12pt"/>
        </w:rPr>
      </w:pPr>
      <w:r w:rsidRPr="00215F59">
        <w:rPr>
          <w:rStyle w:val="StyleStyleBold12pt"/>
        </w:rPr>
        <w:t>Setty, 2015</w:t>
      </w:r>
    </w:p>
    <w:p w:rsidR="00E64D80" w:rsidRPr="00215F59" w:rsidRDefault="00E64D80" w:rsidP="00E64D80">
      <w:r w:rsidRPr="00215F59">
        <w:t>(Sudha, Professor of Law at Western New England University, “SEARCH FOR MEANINGFUL</w:t>
      </w:r>
    </w:p>
    <w:p w:rsidR="00E64D80" w:rsidRDefault="00E64D80" w:rsidP="00E64D80">
      <w:r w:rsidRPr="00215F59">
        <w:t xml:space="preserve">ACCOUNTABILITY,” </w:t>
      </w:r>
      <w:r w:rsidRPr="00215F59">
        <w:rPr>
          <w:i/>
        </w:rPr>
        <w:t>Stanford Journal of International Law</w:t>
      </w:r>
      <w:r w:rsidRPr="00215F59">
        <w:t xml:space="preserve">, 51:1, Online: </w:t>
      </w:r>
      <w:hyperlink r:id="rId12" w:history="1">
        <w:r w:rsidRPr="00681FAC">
          <w:rPr>
            <w:rStyle w:val="Hyperlink"/>
          </w:rPr>
          <w:t>http://digitalcommons.law.wne.edu/cgi/viewcontent.cgi?article=1305&amp;context=facschol</w:t>
        </w:r>
      </w:hyperlink>
      <w:r w:rsidRPr="00215F59">
        <w:t xml:space="preserve">) </w:t>
      </w:r>
    </w:p>
    <w:p w:rsidR="00E64D80" w:rsidRPr="00215F59" w:rsidRDefault="00E64D80" w:rsidP="00E64D80"/>
    <w:p w:rsidR="00E64D80" w:rsidRPr="00342D9C" w:rsidRDefault="00E64D80" w:rsidP="00E64D80">
      <w:pPr>
        <w:rPr>
          <w:rStyle w:val="StyleUnderline"/>
        </w:rPr>
      </w:pPr>
      <w:r w:rsidRPr="00215F59">
        <w:rPr>
          <w:rStyle w:val="StyleUnderline"/>
        </w:rPr>
        <w:t>More troubling to proponents of the efficacy of existing legislative and executive accountability mechanisms are the disclosures made by Snowden</w:t>
      </w:r>
      <w:r w:rsidRPr="00215F59">
        <w:rPr>
          <w:sz w:val="16"/>
        </w:rPr>
        <w:t>. These mechanisms were revealed to be either theoretical or passive until significant leaks forced a public discourse that demanded a more active accountability regime. In fact, the federal government exploited the lack of transparency and effective accountability mechanisms until the stim of the Snowden disclosures to secure dismissals like that in Clapper I and to circumvent efforts of criminal defendants to discover whether they had been actually surveilled</w:t>
      </w:r>
      <w:r w:rsidRPr="00215F59">
        <w:rPr>
          <w:rStyle w:val="StyleUnderline"/>
        </w:rPr>
        <w:t xml:space="preserve">. </w:t>
      </w:r>
      <w:r w:rsidRPr="00215F59">
        <w:rPr>
          <w:sz w:val="16"/>
        </w:rPr>
        <w:t xml:space="preserve">106 </w:t>
      </w:r>
      <w:r w:rsidRPr="00215F59">
        <w:rPr>
          <w:rStyle w:val="StyleUnderline"/>
        </w:rPr>
        <w:t xml:space="preserve">Reliance on sporadic leaks to trigger genuine accountability is structurally problematic. </w:t>
      </w:r>
      <w:r w:rsidRPr="00215F59">
        <w:rPr>
          <w:sz w:val="16"/>
        </w:rPr>
        <w:t xml:space="preserve">107 </w:t>
      </w:r>
      <w:r w:rsidRPr="00215F59">
        <w:rPr>
          <w:rStyle w:val="StyleUnderline"/>
        </w:rPr>
        <w:t>Our reliance on leaks thus far should force us to reconsider the extreme secrecy under which intelligence-gathering programs, like the NSA Metadata Program, are administered, and to consider means by which institutional actors can exert meaningful and regular oversight and control over these programs</w:t>
      </w:r>
      <w:r w:rsidRPr="00215F59">
        <w:rPr>
          <w:sz w:val="16"/>
        </w:rPr>
        <w:t xml:space="preserve">. </w:t>
      </w:r>
      <w:r w:rsidRPr="00215F59">
        <w:rPr>
          <w:rStyle w:val="StyleUnderline"/>
        </w:rPr>
        <w:t>Such change would force politicians to take ownership over secret counterterrorism programs, weighing their expediency against possible constitutional defects or the judgment of public opinion</w:t>
      </w:r>
      <w:r w:rsidRPr="00215F59">
        <w:rPr>
          <w:sz w:val="16"/>
        </w:rPr>
        <w:t xml:space="preserve">. </w:t>
      </w:r>
      <w:r w:rsidRPr="00342D9C">
        <w:rPr>
          <w:rStyle w:val="StyleUnderline"/>
        </w:rPr>
        <w:t>An atmosphere in which accountability mechanisms are not merely ersatz pending an illegal leak could provide space for genuine public discourse and at least the possibility of greater protection of civil liberties.</w:t>
      </w:r>
    </w:p>
    <w:p w:rsidR="00E64D80" w:rsidRPr="00215F59" w:rsidRDefault="00E64D80" w:rsidP="00E64D80"/>
    <w:p w:rsidR="00E64D80" w:rsidRPr="00215F59" w:rsidRDefault="00E64D80" w:rsidP="00E64D80"/>
    <w:p w:rsidR="0086639A" w:rsidRPr="00215F59" w:rsidRDefault="0086639A" w:rsidP="0086639A">
      <w:pPr>
        <w:pStyle w:val="Heading3"/>
        <w:spacing w:before="0"/>
        <w:rPr>
          <w:rFonts w:cs="Arial"/>
        </w:rPr>
      </w:pPr>
      <w:bookmarkStart w:id="9" w:name="_Toc424259084"/>
      <w:r w:rsidRPr="00215F59">
        <w:rPr>
          <w:rFonts w:cs="Arial"/>
        </w:rPr>
        <w:lastRenderedPageBreak/>
        <w:t xml:space="preserve">Solvency – </w:t>
      </w:r>
      <w:r>
        <w:rPr>
          <w:rFonts w:cs="Arial"/>
        </w:rPr>
        <w:t>External Review</w:t>
      </w:r>
      <w:bookmarkEnd w:id="9"/>
      <w:r w:rsidRPr="00215F59">
        <w:rPr>
          <w:rFonts w:cs="Arial"/>
        </w:rPr>
        <w:t xml:space="preserve">  </w:t>
      </w:r>
    </w:p>
    <w:p w:rsidR="0086639A" w:rsidRPr="00215F59" w:rsidRDefault="0086639A" w:rsidP="0086639A"/>
    <w:p w:rsidR="0086639A" w:rsidRPr="00215F59" w:rsidRDefault="0086639A" w:rsidP="00AF1BF7">
      <w:pPr>
        <w:pStyle w:val="Heading4"/>
      </w:pPr>
      <w:r w:rsidRPr="00215F59">
        <w:t xml:space="preserve">PCLOB key – external review </w:t>
      </w:r>
    </w:p>
    <w:p w:rsidR="0086639A" w:rsidRPr="00215F59" w:rsidRDefault="0086639A" w:rsidP="0086639A"/>
    <w:p w:rsidR="0086639A" w:rsidRPr="00215F59" w:rsidRDefault="0086639A" w:rsidP="0086639A">
      <w:pPr>
        <w:rPr>
          <w:rStyle w:val="StyleStyleBold12pt"/>
        </w:rPr>
      </w:pPr>
      <w:r w:rsidRPr="00215F59">
        <w:rPr>
          <w:rStyle w:val="StyleStyleBold12pt"/>
        </w:rPr>
        <w:t xml:space="preserve">Fidler, 2015 </w:t>
      </w:r>
    </w:p>
    <w:p w:rsidR="0086639A" w:rsidRPr="00215F59" w:rsidRDefault="0086639A" w:rsidP="0086639A">
      <w:r w:rsidRPr="00215F59">
        <w:t>(David P. Fidler - J.D. at Harvard Law School 1991 and Professor of Law (specifically international law and its relation to cyberspace) at Indiana University, Apr-24-2015, The Snowden Reader, Indiana University Press)</w:t>
      </w:r>
    </w:p>
    <w:p w:rsidR="0086639A" w:rsidRPr="00215F59" w:rsidRDefault="0086639A" w:rsidP="0086639A"/>
    <w:p w:rsidR="0086639A" w:rsidRPr="00215F59" w:rsidRDefault="0086639A" w:rsidP="0086639A">
      <w:pPr>
        <w:rPr>
          <w:sz w:val="16"/>
        </w:rPr>
      </w:pPr>
      <w:r w:rsidRPr="00215F59">
        <w:rPr>
          <w:rStyle w:val="StyleUnderline"/>
        </w:rPr>
        <w:t>The PCLOB has started to function in the wake of the Snowden leaks, producing reports on the</w:t>
      </w:r>
      <w:r w:rsidRPr="00215F59">
        <w:rPr>
          <w:sz w:val="16"/>
        </w:rPr>
        <w:t xml:space="preserve"> telephone </w:t>
      </w:r>
      <w:r w:rsidRPr="00215F59">
        <w:rPr>
          <w:rStyle w:val="StyleUnderline"/>
        </w:rPr>
        <w:t>metadata program</w:t>
      </w:r>
      <w:r w:rsidRPr="00215F59">
        <w:rPr>
          <w:sz w:val="16"/>
        </w:rPr>
        <w:t xml:space="preserve"> under Section 215 of the USA PATRIOT Act and surveillance of foreign targets conducted under Section 702 of FISA. </w:t>
      </w:r>
      <w:r w:rsidRPr="00215F59">
        <w:rPr>
          <w:rStyle w:val="StyleUnderline"/>
        </w:rPr>
        <w:t>These are important – and long overdue – steps that demonstrate the importance of the PCLOB. Subjecting surveillance and intelligence programs to external, independent review inserts more discipline, transparency, critical analysis, and alternative approaches, and shared responsibility into this area of policy and law. The PCLOB must build on this promising start,</w:t>
      </w:r>
      <w:r w:rsidRPr="00215F59">
        <w:rPr>
          <w:sz w:val="16"/>
        </w:rPr>
        <w:t xml:space="preserve"> and the president must take seriously its recommendations.</w:t>
      </w:r>
    </w:p>
    <w:p w:rsidR="0086639A" w:rsidRPr="00215F59" w:rsidRDefault="0086639A" w:rsidP="0086639A">
      <w:pPr>
        <w:rPr>
          <w:rStyle w:val="StyleUnderline"/>
        </w:rPr>
      </w:pPr>
    </w:p>
    <w:p w:rsidR="0068363E" w:rsidRPr="00215F59" w:rsidRDefault="0068363E" w:rsidP="0068363E">
      <w:pPr>
        <w:pStyle w:val="Heading3"/>
        <w:spacing w:before="0"/>
        <w:rPr>
          <w:rFonts w:cs="Arial"/>
        </w:rPr>
      </w:pPr>
      <w:bookmarkStart w:id="10" w:name="_Toc424259085"/>
      <w:r w:rsidRPr="00215F59">
        <w:rPr>
          <w:rFonts w:cs="Arial"/>
        </w:rPr>
        <w:lastRenderedPageBreak/>
        <w:t>Solvency –</w:t>
      </w:r>
      <w:r w:rsidR="000A2CBD">
        <w:rPr>
          <w:rFonts w:cs="Arial"/>
        </w:rPr>
        <w:t xml:space="preserve"> </w:t>
      </w:r>
      <w:r>
        <w:rPr>
          <w:rFonts w:cs="Arial"/>
        </w:rPr>
        <w:t>Public Awareness</w:t>
      </w:r>
      <w:bookmarkEnd w:id="10"/>
    </w:p>
    <w:p w:rsidR="0068363E" w:rsidRPr="00215F59" w:rsidRDefault="0068363E" w:rsidP="0068363E"/>
    <w:p w:rsidR="0068363E" w:rsidRPr="00215F59" w:rsidRDefault="0068363E" w:rsidP="00AF1BF7">
      <w:pPr>
        <w:pStyle w:val="Heading4"/>
      </w:pPr>
      <w:r w:rsidRPr="00215F59">
        <w:t xml:space="preserve">The PCLOB is ideal for regulating surveillance practices – access to classified documents &amp; government officials + it holds public hearings to expand public knowledge </w:t>
      </w:r>
    </w:p>
    <w:p w:rsidR="0068363E" w:rsidRPr="00215F59" w:rsidRDefault="0068363E" w:rsidP="0068363E"/>
    <w:p w:rsidR="0068363E" w:rsidRPr="00215F59" w:rsidRDefault="0068363E" w:rsidP="0068363E">
      <w:pPr>
        <w:rPr>
          <w:sz w:val="16"/>
          <w:szCs w:val="16"/>
        </w:rPr>
      </w:pPr>
      <w:r w:rsidRPr="00215F59">
        <w:rPr>
          <w:rStyle w:val="StyleStyleBold12pt"/>
        </w:rPr>
        <w:t xml:space="preserve">PCLOB, 2014 </w:t>
      </w:r>
      <w:r w:rsidRPr="00215F59">
        <w:rPr>
          <w:sz w:val="16"/>
          <w:szCs w:val="16"/>
        </w:rPr>
        <w:t xml:space="preserve">The PCLOB consists of David Medine (Chairman), Rachel Brand, Elisebeth Collins Cook, James Dempsey and Patricia Wald. It is a committee within the Executive Branch that was established shortly after the first unauthorized disclosure of classified documents from the NSA by Edward Snowden. The PCLOB’s purpose is to conduct reviews of surveillance practices and security measures to ensure that people’s civil liberties are, and continue to be, respected by government agencies and make recommendations wherever necessary. (Private Civil Liberties Oversight Committee “Report on the Telephone Records Program Conducted under Section 215 of the USA PATRIOT Act and on the Operations of the Foreign Intelligence Surveillance Court” Pg. 2-7 1/23/14 </w:t>
      </w:r>
      <w:hyperlink r:id="rId13" w:history="1">
        <w:r w:rsidRPr="00215F59">
          <w:rPr>
            <w:rStyle w:val="Hyperlink"/>
            <w:sz w:val="16"/>
            <w:szCs w:val="16"/>
          </w:rPr>
          <w:t>https://www.pclob.gov/library/215-Report_on_the_Telephone_Records_Program.pdf)//ER</w:t>
        </w:r>
      </w:hyperlink>
    </w:p>
    <w:p w:rsidR="0068363E" w:rsidRPr="00215F59" w:rsidRDefault="0068363E" w:rsidP="0068363E">
      <w:pPr>
        <w:rPr>
          <w:sz w:val="16"/>
        </w:rPr>
      </w:pPr>
    </w:p>
    <w:p w:rsidR="0068363E" w:rsidRPr="00215F59" w:rsidRDefault="0068363E" w:rsidP="0068363E">
      <w:r w:rsidRPr="00215F59">
        <w:rPr>
          <w:rStyle w:val="Emphasis"/>
        </w:rPr>
        <w:t>The Board has</w:t>
      </w:r>
      <w:r w:rsidRPr="00215F59">
        <w:rPr>
          <w:rStyle w:val="StyleUnderline"/>
        </w:rPr>
        <w:t xml:space="preserve"> been provided </w:t>
      </w:r>
      <w:r w:rsidRPr="00215F59">
        <w:rPr>
          <w:rStyle w:val="Emphasis"/>
        </w:rPr>
        <w:t>access to classified opinions</w:t>
      </w:r>
      <w:r w:rsidRPr="00215F59">
        <w:rPr>
          <w:rStyle w:val="StyleUnderline"/>
        </w:rPr>
        <w:t xml:space="preserve"> by the FISC, various inspector general reports</w:t>
      </w:r>
      <w:r w:rsidRPr="00215F59">
        <w:rPr>
          <w:rStyle w:val="Emphasis"/>
        </w:rPr>
        <w:t>, and</w:t>
      </w:r>
      <w:r w:rsidRPr="00215F59">
        <w:rPr>
          <w:rStyle w:val="StyleUnderline"/>
        </w:rPr>
        <w:t xml:space="preserve"> additional classified </w:t>
      </w:r>
      <w:r w:rsidRPr="00215F59">
        <w:rPr>
          <w:rStyle w:val="Emphasis"/>
        </w:rPr>
        <w:t>documents</w:t>
      </w:r>
      <w:r w:rsidRPr="00215F59">
        <w:rPr>
          <w:rStyle w:val="StyleUnderline"/>
        </w:rPr>
        <w:t xml:space="preserve"> relating to the operation and effectiveness of the programs.</w:t>
      </w:r>
      <w:r w:rsidRPr="00215F59">
        <w:rPr>
          <w:sz w:val="16"/>
        </w:rPr>
        <w:t xml:space="preserve"> At </w:t>
      </w:r>
      <w:r w:rsidRPr="00215F59">
        <w:rPr>
          <w:rStyle w:val="Emphasis"/>
        </w:rPr>
        <w:t>every step of the way, the</w:t>
      </w:r>
      <w:r w:rsidRPr="00215F59">
        <w:rPr>
          <w:rStyle w:val="StyleUnderline"/>
        </w:rPr>
        <w:t xml:space="preserve"> </w:t>
      </w:r>
      <w:r w:rsidRPr="00215F59">
        <w:rPr>
          <w:rStyle w:val="Emphasis"/>
        </w:rPr>
        <w:t>Board has received the full cooperation of the intelligence agencies.</w:t>
      </w:r>
      <w:r w:rsidRPr="00215F59">
        <w:rPr>
          <w:rStyle w:val="StyleUnderline"/>
        </w:rPr>
        <w:t xml:space="preserve"> Board staff have </w:t>
      </w:r>
      <w:r w:rsidRPr="00215F59">
        <w:rPr>
          <w:rStyle w:val="Emphasis"/>
        </w:rPr>
        <w:t xml:space="preserve">conducted a detailed analysis of applicable statutory authorities, the First and Fourth Amendments to the Constitution, and privacy and civil liberties policy issues. </w:t>
      </w:r>
      <w:r w:rsidRPr="00215F59">
        <w:rPr>
          <w:rStyle w:val="StyleUnderline"/>
        </w:rPr>
        <w:t xml:space="preserve">As part of its study, and </w:t>
      </w:r>
      <w:r w:rsidRPr="00215F59">
        <w:rPr>
          <w:rStyle w:val="Emphasis"/>
        </w:rPr>
        <w:t>consistent with our statutory mandate to operate publicly where possible</w:t>
      </w:r>
      <w:r w:rsidRPr="00215F59">
        <w:rPr>
          <w:rStyle w:val="StyleUnderline"/>
        </w:rPr>
        <w:t>, the Board held two public forums.</w:t>
      </w:r>
      <w:r w:rsidRPr="00215F59">
        <w:rPr>
          <w:sz w:val="16"/>
        </w:rPr>
        <w:t xml:space="preserve"> The first was a day-long public workshop held in Washington, D.C., on July 9, 2013, comprised of three panels addressing different aspects of the Section 215 and 702 programs.15 The </w:t>
      </w:r>
      <w:r w:rsidRPr="00215F59">
        <w:rPr>
          <w:rStyle w:val="Emphasis"/>
        </w:rPr>
        <w:t>panelists provided input on the legal, constitutional, technology, and policy issues implicated by the two programs</w:t>
      </w:r>
      <w:r w:rsidRPr="00215F59">
        <w:rPr>
          <w:rStyle w:val="StyleUnderline"/>
        </w:rPr>
        <w:t>. The first panel addressed the legality of the programs, and included comments from a former FISC judge regarding the operation of that court.</w:t>
      </w:r>
      <w:r w:rsidRPr="00215F59">
        <w:rPr>
          <w:sz w:val="16"/>
        </w:rPr>
        <w:t xml:space="preserve"> </w:t>
      </w:r>
      <w:r w:rsidRPr="00215F59">
        <w:rPr>
          <w:rStyle w:val="StyleUnderline"/>
        </w:rPr>
        <w:t>Because technological issues are central to the operations of both programs, the second panel was comprised of technology experts</w:t>
      </w:r>
      <w:r w:rsidRPr="00215F59">
        <w:rPr>
          <w:sz w:val="16"/>
        </w:rPr>
        <w:t xml:space="preserve">. </w:t>
      </w:r>
      <w:r w:rsidRPr="00215F59">
        <w:rPr>
          <w:rStyle w:val="StyleUnderline"/>
        </w:rPr>
        <w:t>The third panel included academics and members of the advocacy community; panelists were invited to provide views on the policy implications of the NSA programs and what changes, if any, would be appropriate</w:t>
      </w:r>
      <w:r w:rsidRPr="00215F59">
        <w:rPr>
          <w:sz w:val="16"/>
        </w:rPr>
        <w:t>. As the Board’s study of the NSA surveillance programs moved forward, the Board began to consider possible recommendations for program changes. At the same time</w:t>
      </w:r>
      <w:r w:rsidRPr="00215F59">
        <w:rPr>
          <w:rStyle w:val="StyleUnderline"/>
        </w:rPr>
        <w:t>, the Board wanted to try to identify any unanticipated consequences of reforms it was considering</w:t>
      </w:r>
      <w:r w:rsidRPr="00215F59">
        <w:rPr>
          <w:sz w:val="16"/>
        </w:rPr>
        <w:t xml:space="preserve">. Accordingly, on November 4, 2013, the Board held a public hearing in Washington, D.C. 16 The hearing began with a panel of current government officials who addressed the value of the programs and the potential impact of proposed changes. The second panel, designed to explore the operation of the FISA court, consisted of another former FISC judge, along with a former government official and a private attorney who both had appeared before the FISC. Finally, the Board heard from a diverse panel of experts on potential Section 215 and 702 reforms. The Board provided its draft description of the operations of the FISA court (but not our recommendations) to court’s staff to ensure that this description accurately portrayed the court’s operations. The Board also provided draft portions of its analysis regarding the effectiveness of the Section 215 program (but not our conclusions and recommendations) to the U.S. Intelligence Community to ensure that our factual statements were correct and complete. </w:t>
      </w:r>
      <w:r w:rsidRPr="00215F59">
        <w:rPr>
          <w:rStyle w:val="StyleUnderline"/>
        </w:rPr>
        <w:t>While the Board’s Report was subject to classification review, none of the changes resulting from that process affected our analysis or recommendations. There was no outside review of the substance of the Board’s analysis and recommendations.</w:t>
      </w:r>
      <w:r w:rsidRPr="00215F59">
        <w:rPr>
          <w:sz w:val="16"/>
        </w:rPr>
        <w:t xml:space="preserve"> During the time the PCLOB has been conducting this study, members of Congress have introduced a variety of legislative proposals to address the Section 215 and 702 programs, the government has engaged in several internal reviews of the programs, and several lawsuits have been filed challenging the programs’ legitimacy.</w:t>
      </w:r>
      <w:r w:rsidRPr="00215F59">
        <w:t xml:space="preserve"> </w:t>
      </w:r>
    </w:p>
    <w:p w:rsidR="00614BC3" w:rsidRPr="00215F59" w:rsidRDefault="0086639A" w:rsidP="00215F59">
      <w:pPr>
        <w:pStyle w:val="Heading3"/>
        <w:spacing w:before="0"/>
        <w:rPr>
          <w:rFonts w:cs="Arial"/>
        </w:rPr>
      </w:pPr>
      <w:bookmarkStart w:id="11" w:name="_Toc424259086"/>
      <w:r>
        <w:rPr>
          <w:rFonts w:cs="Arial"/>
        </w:rPr>
        <w:lastRenderedPageBreak/>
        <w:t>Solvency – Previous Rulings</w:t>
      </w:r>
      <w:bookmarkEnd w:id="11"/>
      <w:r>
        <w:rPr>
          <w:rFonts w:cs="Arial"/>
        </w:rPr>
        <w:t xml:space="preserve"> </w:t>
      </w:r>
    </w:p>
    <w:p w:rsidR="00614BC3" w:rsidRPr="00215F59" w:rsidRDefault="00614BC3" w:rsidP="00AF1BF7">
      <w:pPr>
        <w:pStyle w:val="Heading4"/>
      </w:pPr>
    </w:p>
    <w:p w:rsidR="00614BC3" w:rsidRPr="00215F59" w:rsidRDefault="0086639A" w:rsidP="00AF1BF7">
      <w:pPr>
        <w:pStyle w:val="Heading4"/>
      </w:pPr>
      <w:r>
        <w:t>PCLOB provides valuable insight into surveillance programs - previous research into Section 702 of FISA.</w:t>
      </w:r>
    </w:p>
    <w:p w:rsidR="00614BC3" w:rsidRPr="00215F59" w:rsidRDefault="00614BC3" w:rsidP="00215F59"/>
    <w:p w:rsidR="00614BC3" w:rsidRPr="00215F59" w:rsidRDefault="00614BC3" w:rsidP="00215F59">
      <w:pPr>
        <w:rPr>
          <w:rStyle w:val="StyleStyleBold12pt"/>
        </w:rPr>
      </w:pPr>
      <w:r w:rsidRPr="00215F59">
        <w:rPr>
          <w:rStyle w:val="StyleStyleBold12pt"/>
        </w:rPr>
        <w:t>Kwon, 2014</w:t>
      </w:r>
    </w:p>
    <w:p w:rsidR="00614BC3" w:rsidRPr="00215F59" w:rsidRDefault="00614BC3" w:rsidP="00215F59">
      <w:r w:rsidRPr="00215F59">
        <w:t>(Max, JD Candidate at Harvard Law, “The PCLOB’s Recommendations for a More Reasonable Surveillance Program,” July, http://jolt.law.harvard.edu/digest/privacy/the-pclobs-recommendations-for-a-more-reasonable-surveillance-program)</w:t>
      </w:r>
    </w:p>
    <w:p w:rsidR="00614BC3" w:rsidRPr="00215F59" w:rsidRDefault="00614BC3" w:rsidP="00215F59"/>
    <w:p w:rsidR="00614BC3" w:rsidRPr="00215F59" w:rsidRDefault="00614BC3" w:rsidP="00215F59"/>
    <w:p w:rsidR="00614BC3" w:rsidRPr="00215F59" w:rsidRDefault="00614BC3" w:rsidP="00215F59">
      <w:pPr>
        <w:rPr>
          <w:sz w:val="16"/>
        </w:rPr>
      </w:pPr>
      <w:r w:rsidRPr="00215F59">
        <w:rPr>
          <w:sz w:val="16"/>
        </w:rPr>
        <w:t>On July 2, 2014, the Privacy and Civil Liberties Oversight Board (“</w:t>
      </w:r>
      <w:r w:rsidRPr="00215F59">
        <w:rPr>
          <w:rStyle w:val="StyleUnderline"/>
        </w:rPr>
        <w:t>PCLOB”) issued a report analyzing the legal and policy implications of Section 702 of the Foreign Intelligence Surveillance Act of 1978 (“FISA”)</w:t>
      </w:r>
      <w:r w:rsidRPr="00215F59">
        <w:rPr>
          <w:sz w:val="16"/>
        </w:rPr>
        <w:t xml:space="preserve">. Section 702 was introduced by Congress through the FISA Amendments Act of 2008 and allows the Attorney General and the Director of National Intelligence to “jointly authorize surveillance targeting persons who are not U.S. persons, and who are reasonably believed to be located outside the United State, with the compelled assistance of electronic communication service providers, in order to acquire foreign intelligence information.” Report at 6. The </w:t>
      </w:r>
      <w:r w:rsidRPr="00215F59">
        <w:rPr>
          <w:rStyle w:val="StyleUnderline"/>
        </w:rPr>
        <w:t>PCLOB concluded that “the core Section 702 program is clearly authorized by Congress, reasonable under the Fourth Amendment, and an extremely valuable and effective intelligence tool,</w:t>
      </w:r>
      <w:r w:rsidRPr="00215F59">
        <w:rPr>
          <w:sz w:val="16"/>
        </w:rPr>
        <w:t xml:space="preserve">” Id. at 15, </w:t>
      </w:r>
      <w:r w:rsidRPr="00215F59">
        <w:rPr>
          <w:rStyle w:val="StyleUnderline"/>
        </w:rPr>
        <w:t>but noted that “</w:t>
      </w:r>
      <w:r w:rsidRPr="00215F59">
        <w:rPr>
          <w:rStyle w:val="Emphasis"/>
        </w:rPr>
        <w:t xml:space="preserve">the applicable rules potentially allow a great deal of private information about U.S. persons to be acquired by the government.” </w:t>
      </w:r>
      <w:r w:rsidRPr="00215F59">
        <w:rPr>
          <w:sz w:val="16"/>
        </w:rPr>
        <w:t xml:space="preserve">Id. at 11. In order to “ensure that the program remains tied to its constitutionally legitimate core,” </w:t>
      </w:r>
      <w:r w:rsidRPr="00215F59">
        <w:rPr>
          <w:rStyle w:val="StyleUnderline"/>
        </w:rPr>
        <w:t xml:space="preserve">the PCLOB outlined a set of ten policy proposals </w:t>
      </w:r>
      <w:r w:rsidRPr="00215F59">
        <w:rPr>
          <w:rStyle w:val="Emphasis"/>
        </w:rPr>
        <w:t>aimed at increasing accountability</w:t>
      </w:r>
      <w:r w:rsidRPr="00215F59">
        <w:rPr>
          <w:rStyle w:val="StyleUnderline"/>
        </w:rPr>
        <w:t>, transparency, and efficacy of the surveillance program</w:t>
      </w:r>
      <w:r w:rsidRPr="00215F59">
        <w:rPr>
          <w:sz w:val="16"/>
        </w:rPr>
        <w:t xml:space="preserve">. Id. at 9. Pursuant to Section 702, the Attorney General and Director of National Intelligence can make annual certifications that identify categories of information to be collected without specifying the particular non-U.S. persons who will be targeted. Id. </w:t>
      </w:r>
      <w:r w:rsidRPr="00215F59">
        <w:rPr>
          <w:rStyle w:val="StyleUnderline"/>
        </w:rPr>
        <w:t xml:space="preserve">Although Section 702 requires the government to develop targeting and “minimization” procedures in order minimize “incidental” or “inadvertent” surveillance of U.S. persons, the PCLOB stated that “certain features of the [Section 702] program </w:t>
      </w:r>
      <w:r w:rsidRPr="00215F59">
        <w:rPr>
          <w:rStyle w:val="Emphasis"/>
        </w:rPr>
        <w:t>implicate privacy concerns</w:t>
      </w:r>
      <w:r w:rsidRPr="00215F59">
        <w:rPr>
          <w:rStyle w:val="StyleUnderline"/>
        </w:rPr>
        <w:t xml:space="preserve">” regarding the scope and usage of U.S. person communications that are collected. </w:t>
      </w:r>
      <w:r w:rsidRPr="00215F59">
        <w:rPr>
          <w:sz w:val="16"/>
        </w:rPr>
        <w:t xml:space="preserve">Id. at 6–10. </w:t>
      </w:r>
      <w:r w:rsidRPr="00215F59">
        <w:rPr>
          <w:rStyle w:val="StyleUnderline"/>
        </w:rPr>
        <w:t>Many of the privacy concerns</w:t>
      </w:r>
      <w:r w:rsidRPr="00215F59">
        <w:rPr>
          <w:sz w:val="16"/>
        </w:rPr>
        <w:t xml:space="preserve"> regarding Section 702 surveillance </w:t>
      </w:r>
      <w:r w:rsidRPr="00215F59">
        <w:rPr>
          <w:rStyle w:val="StyleUnderline"/>
        </w:rPr>
        <w:t>stem from</w:t>
      </w:r>
      <w:r w:rsidRPr="00215F59">
        <w:rPr>
          <w:sz w:val="16"/>
        </w:rPr>
        <w:t xml:space="preserve"> the two methods that the government can use to acquire information, namely, </w:t>
      </w:r>
      <w:r w:rsidRPr="00215F59">
        <w:rPr>
          <w:rStyle w:val="StyleUnderline"/>
        </w:rPr>
        <w:t>“PRISM” collection and “upstream” collection</w:t>
      </w:r>
      <w:r w:rsidRPr="00215F59">
        <w:rPr>
          <w:sz w:val="16"/>
        </w:rPr>
        <w:t xml:space="preserve">. </w:t>
      </w:r>
      <w:r w:rsidRPr="00215F59">
        <w:rPr>
          <w:rStyle w:val="StyleUnderline"/>
        </w:rPr>
        <w:t>In PRISM</w:t>
      </w:r>
      <w:r w:rsidRPr="00215F59">
        <w:rPr>
          <w:sz w:val="16"/>
        </w:rPr>
        <w:t xml:space="preserve"> collection, </w:t>
      </w:r>
      <w:r w:rsidRPr="00215F59">
        <w:rPr>
          <w:rStyle w:val="StyleUnderline"/>
        </w:rPr>
        <w:t>the government sends a particular “selector,” such as an email address or telephone number associated with targeted persons, to a United States-based electronic communications service provider</w:t>
      </w:r>
      <w:r w:rsidRPr="00215F59">
        <w:rPr>
          <w:sz w:val="16"/>
        </w:rPr>
        <w:t xml:space="preserve">. Id. at 7. </w:t>
      </w:r>
      <w:r w:rsidRPr="00215F59">
        <w:rPr>
          <w:rStyle w:val="StyleUnderline"/>
        </w:rPr>
        <w:t>The provider is then “compelled to give the communications sent to or from that selector to the government</w:t>
      </w:r>
      <w:r w:rsidRPr="00215F59">
        <w:rPr>
          <w:sz w:val="16"/>
        </w:rPr>
        <w:t>.” Id. The National Security Agency (“NSA”) receives all of this data and select portions of the data are passed on to the Central Intelligence Agency (“CIA”) and the Federal Bureau of Investigation (“FBI”). Id</w:t>
      </w:r>
      <w:r w:rsidRPr="00215F59">
        <w:rPr>
          <w:rStyle w:val="StyleUnderline"/>
        </w:rPr>
        <w:t>. In upstream collection, the government compels the assistance of telecommunications providers</w:t>
      </w:r>
      <w:r w:rsidRPr="00215F59">
        <w:rPr>
          <w:sz w:val="16"/>
        </w:rPr>
        <w:t>. Id</w:t>
      </w:r>
      <w:r w:rsidRPr="00215F59">
        <w:rPr>
          <w:rStyle w:val="StyleUnderline"/>
        </w:rPr>
        <w:t>. The information collected</w:t>
      </w:r>
      <w:r w:rsidRPr="00215F59">
        <w:rPr>
          <w:sz w:val="16"/>
        </w:rPr>
        <w:t xml:space="preserve"> includes both Internet communications and telephone calls and </w:t>
      </w:r>
      <w:r w:rsidRPr="00215F59">
        <w:rPr>
          <w:rStyle w:val="StyleUnderline"/>
        </w:rPr>
        <w:t>is received only by the NSA</w:t>
      </w:r>
      <w:r w:rsidRPr="00215F59">
        <w:rPr>
          <w:sz w:val="16"/>
        </w:rPr>
        <w:t xml:space="preserve">. Id. Notably, </w:t>
      </w:r>
      <w:r w:rsidRPr="00215F59">
        <w:rPr>
          <w:rStyle w:val="StyleUnderline"/>
        </w:rPr>
        <w:t>upstream collection also includes the acquisition of (1) “about” communications, information about the targeted person even if the targeted person is not a participant of the communication, and (2) “multiple communications transactions” (“MCTs”), an Internet transaction that is composed multiple parts or communications.</w:t>
      </w:r>
      <w:r w:rsidRPr="00215F59">
        <w:rPr>
          <w:sz w:val="16"/>
        </w:rPr>
        <w:t> Id. The NSA is allowed to obtain the entire MCT so long as a single part is “to, from, or ‘about’ a tasked selector, and if one end of the transaction is foreign.” Id.</w:t>
      </w:r>
    </w:p>
    <w:p w:rsidR="00614BC3" w:rsidRPr="00215F59" w:rsidRDefault="00614BC3" w:rsidP="00215F59"/>
    <w:p w:rsidR="00614BC3" w:rsidRPr="00215F59" w:rsidRDefault="00614BC3" w:rsidP="00215F59"/>
    <w:p w:rsidR="00614BC3" w:rsidRPr="00215F59" w:rsidRDefault="00614BC3" w:rsidP="00215F59">
      <w:pPr>
        <w:rPr>
          <w:rFonts w:eastAsia="Times New Roman"/>
          <w:sz w:val="20"/>
          <w:szCs w:val="20"/>
        </w:rPr>
      </w:pPr>
    </w:p>
    <w:p w:rsidR="00327797" w:rsidRPr="00215F59" w:rsidRDefault="0086639A" w:rsidP="00215F59">
      <w:pPr>
        <w:pStyle w:val="Heading3"/>
        <w:spacing w:before="0"/>
        <w:rPr>
          <w:rFonts w:cs="Arial"/>
        </w:rPr>
      </w:pPr>
      <w:bookmarkStart w:id="12" w:name="_Toc424259087"/>
      <w:r>
        <w:rPr>
          <w:rFonts w:cs="Arial"/>
        </w:rPr>
        <w:lastRenderedPageBreak/>
        <w:t>Solvency – Previous Rulings</w:t>
      </w:r>
      <w:bookmarkEnd w:id="12"/>
    </w:p>
    <w:p w:rsidR="00327797" w:rsidRPr="00215F59" w:rsidRDefault="00327797" w:rsidP="00215F59"/>
    <w:p w:rsidR="00327797" w:rsidRPr="00215F59" w:rsidRDefault="00327797" w:rsidP="00AF1BF7">
      <w:pPr>
        <w:pStyle w:val="Heading4"/>
        <w:rPr>
          <w:rStyle w:val="StyleStyleBold12pt"/>
          <w:rFonts w:cs="Arial"/>
          <w:b/>
        </w:rPr>
      </w:pPr>
      <w:r w:rsidRPr="00215F59">
        <w:rPr>
          <w:rStyle w:val="StyleStyleBold12pt"/>
          <w:rFonts w:cs="Arial"/>
          <w:b/>
        </w:rPr>
        <w:t xml:space="preserve">PCLOB solves accountability – previous rulings highlight ability to raise public awareness. </w:t>
      </w:r>
    </w:p>
    <w:p w:rsidR="00327797" w:rsidRPr="00215F59" w:rsidRDefault="00327797" w:rsidP="00215F59"/>
    <w:p w:rsidR="00327797" w:rsidRPr="00215F59" w:rsidRDefault="00327797" w:rsidP="00215F59">
      <w:pPr>
        <w:rPr>
          <w:color w:val="000000"/>
          <w:sz w:val="21"/>
          <w:szCs w:val="21"/>
          <w:shd w:val="clear" w:color="auto" w:fill="FFFFFF"/>
        </w:rPr>
      </w:pPr>
      <w:r w:rsidRPr="00215F59">
        <w:rPr>
          <w:rStyle w:val="StyleStyleBold12pt"/>
        </w:rPr>
        <w:t>Kayyali, 2015</w:t>
      </w:r>
    </w:p>
    <w:p w:rsidR="00327797" w:rsidRPr="00215F59" w:rsidRDefault="00327797" w:rsidP="00215F59">
      <w:pPr>
        <w:rPr>
          <w:color w:val="000000"/>
          <w:sz w:val="21"/>
          <w:szCs w:val="21"/>
          <w:shd w:val="clear" w:color="auto" w:fill="FFFFFF"/>
        </w:rPr>
      </w:pPr>
      <w:r w:rsidRPr="00215F59">
        <w:rPr>
          <w:color w:val="000000"/>
          <w:sz w:val="21"/>
          <w:szCs w:val="21"/>
          <w:shd w:val="clear" w:color="auto" w:fill="FFFFFF"/>
        </w:rPr>
        <w:t xml:space="preserve">(Adia, JD from UC Hastings &amp; member of EFF’s (Electronic Frontier Foundation) activism team focused on addressing the racial profiling of the Arab, Muslim, Middle Eastern, and South Asian community, "Privacy and Civil Liberties Oversight Board to NSA: Why is Bulk Collection of Telephone Records Still Happening?," </w:t>
      </w:r>
      <w:r w:rsidRPr="00215F59">
        <w:rPr>
          <w:i/>
          <w:color w:val="000000"/>
          <w:sz w:val="21"/>
          <w:szCs w:val="21"/>
          <w:shd w:val="clear" w:color="auto" w:fill="FFFFFF"/>
        </w:rPr>
        <w:t>Electronic Frontier Foundation</w:t>
      </w:r>
      <w:r w:rsidRPr="00215F59">
        <w:rPr>
          <w:color w:val="000000"/>
          <w:sz w:val="21"/>
          <w:szCs w:val="21"/>
          <w:shd w:val="clear" w:color="auto" w:fill="FFFFFF"/>
        </w:rPr>
        <w:t xml:space="preserve">, 2/4, </w:t>
      </w:r>
      <w:hyperlink r:id="rId14" w:history="1">
        <w:r w:rsidRPr="00215F59">
          <w:rPr>
            <w:rStyle w:val="Hyperlink"/>
            <w:sz w:val="21"/>
            <w:szCs w:val="21"/>
            <w:shd w:val="clear" w:color="auto" w:fill="FFFFFF"/>
          </w:rPr>
          <w:t>https://www.eff.org/deeplinks/2015/02/privacy-and-civil-liberties-oversight-board-nsa-why-bulk-collection-telephone</w:t>
        </w:r>
      </w:hyperlink>
      <w:r w:rsidRPr="00215F59">
        <w:rPr>
          <w:color w:val="000000"/>
          <w:sz w:val="21"/>
          <w:szCs w:val="21"/>
          <w:shd w:val="clear" w:color="auto" w:fill="FFFFFF"/>
        </w:rPr>
        <w:t>)</w:t>
      </w:r>
    </w:p>
    <w:p w:rsidR="00327797" w:rsidRPr="00215F59" w:rsidRDefault="00327797" w:rsidP="00215F59">
      <w:pPr>
        <w:rPr>
          <w:color w:val="000000"/>
          <w:sz w:val="21"/>
          <w:szCs w:val="21"/>
          <w:shd w:val="clear" w:color="auto" w:fill="FFFFFF"/>
        </w:rPr>
      </w:pPr>
    </w:p>
    <w:p w:rsidR="00327797" w:rsidRDefault="00327797" w:rsidP="00215F59">
      <w:pPr>
        <w:rPr>
          <w:sz w:val="16"/>
        </w:rPr>
      </w:pPr>
      <w:r w:rsidRPr="00215F59">
        <w:rPr>
          <w:rStyle w:val="StyleUnderline"/>
        </w:rPr>
        <w:t>(PCLOB) exists to ensure that national security does not trump privacy and civil liberties, and it has been especially busy since the publication of the first Snowden leak.</w:t>
      </w:r>
      <w:r w:rsidRPr="00215F59">
        <w:rPr>
          <w:color w:val="000000"/>
          <w:sz w:val="16"/>
          <w:szCs w:val="21"/>
          <w:shd w:val="clear" w:color="auto" w:fill="FFFFFF"/>
        </w:rPr>
        <w:t xml:space="preserve"> </w:t>
      </w:r>
      <w:r w:rsidRPr="00215F59">
        <w:rPr>
          <w:rStyle w:val="StyleUnderline"/>
        </w:rPr>
        <w:t>Congress and the President asked the Board to review the use of Section 215 of the PATRIOT Act and Section 702 of the FISA Amendments Act, as well as the operations of the Foreign Intelligence Surveillance Court.</w:t>
      </w:r>
      <w:r w:rsidRPr="00215F59">
        <w:rPr>
          <w:color w:val="000000"/>
          <w:sz w:val="16"/>
          <w:szCs w:val="21"/>
          <w:shd w:val="clear" w:color="auto" w:fill="FFFFFF"/>
        </w:rPr>
        <w:t xml:space="preserve"> In 2014, PCLOB published two reports addressing these issues. And last week, </w:t>
      </w:r>
      <w:r w:rsidRPr="00215F59">
        <w:rPr>
          <w:rStyle w:val="StyleUnderline"/>
        </w:rPr>
        <w:t>the Board published a “Recommendations Assessment Report [pdf</w:t>
      </w:r>
      <w:r w:rsidRPr="00215F59">
        <w:rPr>
          <w:color w:val="000000"/>
          <w:sz w:val="16"/>
          <w:szCs w:val="21"/>
          <w:shd w:val="clear" w:color="auto" w:fill="FFFFFF"/>
        </w:rPr>
        <w:t xml:space="preserve">].” Section 215 Recommendations The most striking piece of the report is also the first: </w:t>
      </w:r>
      <w:r w:rsidRPr="00215F59">
        <w:rPr>
          <w:rStyle w:val="StyleUnderline"/>
        </w:rPr>
        <w:t>Recommendation 1: End the NSA’s Bulk Telephone Records Program</w:t>
      </w:r>
      <w:r w:rsidRPr="00215F59">
        <w:rPr>
          <w:color w:val="000000"/>
          <w:sz w:val="16"/>
          <w:szCs w:val="21"/>
          <w:shd w:val="clear" w:color="auto" w:fill="FFFFFF"/>
        </w:rPr>
        <w:t xml:space="preserve"> Status: </w:t>
      </w:r>
      <w:r w:rsidRPr="00215F59">
        <w:rPr>
          <w:rFonts w:ascii="MS Gothic" w:eastAsia="MS Gothic" w:hAnsi="MS Gothic" w:cs="MS Gothic" w:hint="eastAsia"/>
          <w:color w:val="000000"/>
          <w:sz w:val="16"/>
          <w:szCs w:val="21"/>
          <w:shd w:val="clear" w:color="auto" w:fill="FFFFFF"/>
        </w:rPr>
        <w:t> </w:t>
      </w:r>
      <w:r w:rsidRPr="00215F59">
        <w:rPr>
          <w:color w:val="000000"/>
          <w:sz w:val="16"/>
          <w:szCs w:val="21"/>
          <w:shd w:val="clear" w:color="auto" w:fill="FFFFFF"/>
        </w:rPr>
        <w:t xml:space="preserve">Not implemented (implementing legislation proposed) </w:t>
      </w:r>
      <w:r w:rsidRPr="00215F59">
        <w:rPr>
          <w:sz w:val="16"/>
        </w:rPr>
        <w:t xml:space="preserve">The NSA uses Section 215 of the Patriot Act to justify its bulk telephone records collection program. But as we have noted repeatedly, </w:t>
      </w:r>
      <w:r w:rsidRPr="00215F59">
        <w:rPr>
          <w:rStyle w:val="StyleUnderline"/>
        </w:rPr>
        <w:t>there’s no evidence that the Section 215 program is necessary for stopping terrorism—something PCLOB, the President’s Review Group, and even the administration itself have all admitted</w:t>
      </w:r>
      <w:r w:rsidRPr="00215F59">
        <w:rPr>
          <w:sz w:val="16"/>
        </w:rPr>
        <w:t xml:space="preserve">. On the other hand, there’s plenty of evidence of how the program invades innocent peoples’ privacy. And </w:t>
      </w:r>
      <w:r w:rsidRPr="00215F59">
        <w:rPr>
          <w:rStyle w:val="StyleUnderline"/>
        </w:rPr>
        <w:t>PCLOB’s recommendation is very simple</w:t>
      </w:r>
      <w:r w:rsidRPr="00215F59">
        <w:rPr>
          <w:sz w:val="16"/>
        </w:rPr>
        <w:t xml:space="preserve"> here: </w:t>
      </w:r>
      <w:r w:rsidRPr="00215F59">
        <w:rPr>
          <w:rStyle w:val="StyleUnderline"/>
        </w:rPr>
        <w:t>the program should end</w:t>
      </w:r>
      <w:r w:rsidRPr="00215F59">
        <w:rPr>
          <w:sz w:val="16"/>
        </w:rPr>
        <w:t xml:space="preserve">. Of course, Section 215 expires on June 1, and Congress will have to vote on whether to reauthorize it. It’s important to note that </w:t>
      </w:r>
      <w:r w:rsidRPr="00215F59">
        <w:rPr>
          <w:rStyle w:val="StyleUnderline"/>
        </w:rPr>
        <w:t>“the Board did not recommend that ending the program be contingent on the passage of legislation that would replicate the program’s capabilities</w:t>
      </w:r>
      <w:r w:rsidRPr="00215F59">
        <w:rPr>
          <w:sz w:val="16"/>
        </w:rPr>
        <w:t xml:space="preserve">.” We agree. Congress cannot simply reauthorize Section 215 and ignore the serious civil liberties concerns it creates. </w:t>
      </w:r>
      <w:r w:rsidRPr="00215F59">
        <w:rPr>
          <w:rStyle w:val="StyleUnderline"/>
        </w:rPr>
        <w:t>PCLOB highlighted another important recommendation: the administration should ensure that the public understands how it is interpreting statutes</w:t>
      </w:r>
      <w:r w:rsidRPr="00215F59">
        <w:rPr>
          <w:sz w:val="16"/>
        </w:rPr>
        <w:t xml:space="preserve">, especially “if the text of the statute itself is not sufficient to inform the public of the scope of asserted government authority,” both “intended uses of broadly worded authorities at the time of enactment” and “novel interpretations of laws already on the books.” This recommendation has been partially implemented. But considering the concern about how intelligence reform legislation such as USA FREEDOM could have been interpreted, this recommendation should be at the forefront as discussions about NSA reform legislation continue. </w:t>
      </w:r>
    </w:p>
    <w:p w:rsidR="0086639A" w:rsidRPr="00215F59" w:rsidRDefault="0086639A" w:rsidP="00215F59">
      <w:pPr>
        <w:rPr>
          <w:sz w:val="16"/>
        </w:rPr>
      </w:pPr>
    </w:p>
    <w:p w:rsidR="00AF36D0" w:rsidRPr="00215F59" w:rsidRDefault="00AF36D0" w:rsidP="00215F59">
      <w:pPr>
        <w:pStyle w:val="Heading3"/>
        <w:spacing w:before="0"/>
        <w:rPr>
          <w:rFonts w:cs="Arial"/>
        </w:rPr>
      </w:pPr>
      <w:bookmarkStart w:id="13" w:name="_Toc424259088"/>
      <w:r w:rsidRPr="00215F59">
        <w:rPr>
          <w:rFonts w:cs="Arial"/>
        </w:rPr>
        <w:lastRenderedPageBreak/>
        <w:t>Solvency – Roadmap</w:t>
      </w:r>
      <w:bookmarkEnd w:id="13"/>
      <w:r w:rsidRPr="00215F59">
        <w:rPr>
          <w:rFonts w:cs="Arial"/>
        </w:rPr>
        <w:t xml:space="preserve"> </w:t>
      </w:r>
    </w:p>
    <w:p w:rsidR="00AF36D0" w:rsidRPr="00215F59" w:rsidRDefault="00AF36D0" w:rsidP="00215F59"/>
    <w:p w:rsidR="00AF36D0" w:rsidRPr="00215F59" w:rsidRDefault="00AF36D0" w:rsidP="00AF1BF7">
      <w:pPr>
        <w:pStyle w:val="Heading4"/>
      </w:pPr>
      <w:r w:rsidRPr="00215F59">
        <w:t xml:space="preserve">PCLOB’s recommendations are relevant – assessments form key roadmap for reforms </w:t>
      </w:r>
    </w:p>
    <w:p w:rsidR="00AF36D0" w:rsidRPr="00215F59" w:rsidRDefault="00AF36D0" w:rsidP="00215F59"/>
    <w:p w:rsidR="00AF36D0" w:rsidRPr="00215F59" w:rsidRDefault="00AF36D0" w:rsidP="00215F59">
      <w:r w:rsidRPr="00215F59">
        <w:rPr>
          <w:rStyle w:val="StyleStyleBold12pt"/>
        </w:rPr>
        <w:t>Bomboy ‘14</w:t>
      </w:r>
      <w:r w:rsidRPr="00215F59">
        <w:t xml:space="preserve"> (Scott Bomboy - writer for the National Constitution Center, 1-24-2014, "PCLOB report latest blow to NSA surveillance policies," Constitution Daily, </w:t>
      </w:r>
      <w:hyperlink r:id="rId15" w:history="1">
        <w:r w:rsidRPr="00215F59">
          <w:rPr>
            <w:rStyle w:val="Hyperlink"/>
          </w:rPr>
          <w:t>http://blog.constitutioncenter.org/2014/01/pclob-report-latest-blow-to-nsa-surveillance-policies/</w:t>
        </w:r>
      </w:hyperlink>
      <w:r w:rsidRPr="00215F59">
        <w:t>)</w:t>
      </w:r>
    </w:p>
    <w:p w:rsidR="00AF36D0" w:rsidRPr="00215F59" w:rsidRDefault="00AF36D0" w:rsidP="00215F59"/>
    <w:p w:rsidR="00AF36D0" w:rsidRPr="00215F59" w:rsidRDefault="00AF36D0" w:rsidP="00215F59">
      <w:pPr>
        <w:rPr>
          <w:rStyle w:val="StyleUnderline"/>
          <w:u w:val="none"/>
        </w:rPr>
      </w:pPr>
      <w:r w:rsidRPr="00215F59">
        <w:rPr>
          <w:sz w:val="16"/>
        </w:rPr>
        <w:t>On Thursday, the Privacy and Civil Liberties Oversight Board released its long-awaited report on the NSA’s phone-records program. That’s the program in which the NSA collects—and stores for five years—a record of virtually every telephone call made every single day in the country</w:t>
      </w:r>
      <w:r w:rsidRPr="00215F59">
        <w:rPr>
          <w:rStyle w:val="StyleUnderline"/>
        </w:rPr>
        <w:t xml:space="preserve">. The </w:t>
      </w:r>
      <w:r w:rsidRPr="0086639A">
        <w:rPr>
          <w:rStyle w:val="StyleUnderline"/>
        </w:rPr>
        <w:t>report is damning, and</w:t>
      </w:r>
      <w:r w:rsidRPr="00215F59">
        <w:rPr>
          <w:sz w:val="16"/>
        </w:rPr>
        <w:t xml:space="preserve"> </w:t>
      </w:r>
      <w:r w:rsidRPr="00215F59">
        <w:rPr>
          <w:rStyle w:val="StyleUnderline"/>
        </w:rPr>
        <w:t>much attention will rightly focus on its central conclusion: that the program is illegal and should be ended. The report is comprehensive, though, and its principal conclusion is buttressed by a series of other critical findings and recommendations.</w:t>
      </w:r>
      <w:r w:rsidRPr="00215F59">
        <w:rPr>
          <w:sz w:val="16"/>
        </w:rPr>
        <w:t xml:space="preserve"> Here are the three other points from the report that will shape the debate about the NSA and privacy over the coming months: 1. Bulk collection of phone records is unnecessary and has not made the country safer. Since the revelation of the NSA’s phone-records program on June 5, 2013, the government’s principal talking point has been that the program is essential to keeping the country safe. The PCLOB examined that claim in depth—reviewing “a wealth of classified materials,” requesting “follow-up information” from the intelligence agencies, and receiving “a series of classified briefings.” The board paid special attention to the “specific cases cited by the government as instances in which telephone records obtained under [the program] were useful.” </w:t>
      </w:r>
      <w:r w:rsidRPr="00215F59">
        <w:rPr>
          <w:rStyle w:val="StyleUnderline"/>
        </w:rPr>
        <w:t>The PCLOB’s conclusion: Bulk collection has not made the country safer. The board did not “identif[y] a single instance involving a threat to the United States in which the telephone records program made a concrete difference in the outcome of a counterterrorism investigation.”</w:t>
      </w:r>
      <w:r w:rsidRPr="00215F59">
        <w:rPr>
          <w:sz w:val="16"/>
        </w:rPr>
        <w:t xml:space="preserve"> And even when the phone-records program offered additional information, “in nearly all cases the benefits provided have been minimal” and could “have been obtained through traditional, targeted collection of phone records.” Here’s the bottom line in the PCLOB’s words: FT-ACLU1 2. </w:t>
      </w:r>
      <w:r w:rsidRPr="00215F59">
        <w:rPr>
          <w:rStyle w:val="StyleUnderline"/>
        </w:rPr>
        <w:t>Bulk collection of our metadata poses a serious threat to civil liberties. The PCLOB joined the growing consensus that telephone records—particularly when collected in bulk—are extraordinarily sensitive. In fact, it noted, “the aggregation of numerous calling records over an extended period of time can paint a clear picture of an individual’s personal relationships and patterns of behavior. This picture can be at least as revealing of those relationships and habits as the contents of individual conversations—if not more so.</w:t>
      </w:r>
      <w:r w:rsidRPr="00215F59">
        <w:rPr>
          <w:sz w:val="16"/>
        </w:rPr>
        <w:t xml:space="preserve">” Having recognized the sensitivity of our phone records, the PCLOB went on to analyze the impact on civil liberties of allowing the government to collect that information in bulk. As we at the ACLU have argued for years, bulk collection threatens to reshape the relationship between the citizens of this country and their government. The PCLOB agreed. It noted that “[a]llowing [the government] to gather vast quantities of information about the conduct of individuals as a routine matter where those individuals are not suspected of any crimes affects the balance of power between the state and its people.” But the PCLOB didn’t just stop there. </w:t>
      </w:r>
      <w:r w:rsidRPr="00215F59">
        <w:rPr>
          <w:rStyle w:val="Emphasis"/>
        </w:rPr>
        <w:t>It cataloged some of the other harms of bulk collection, such as mission creep and the possibility of abuse</w:t>
      </w:r>
      <w:r w:rsidRPr="00215F59">
        <w:rPr>
          <w:sz w:val="16"/>
        </w:rPr>
        <w:t>. In a crucial passage, the board stated, “Prudence cautions against assuming that abuse of surveillance powers is a problem that will never reoccur, and any decision to invest the government with a broad surveillance power must duly take into account the abuse that this power could enable, whether or not such abuse is evident today.” Here’s the bottom line in the PCLOB’s words: FT-ACLU2 3. Forcing companies to store sensitive data about their customers is not the answer. If the government ultimately embraces the push to end the NSA’s phone-records program, the question will remain whether it repackages the program in private hands. Toward that end, some officials have called for new laws forcing the telephone companies to retain their customers’ sensitive phone records for years. Others have called for some third party to hold onto all of the records, instead of the NSA. As President Obama recognized in his speech last week, both of those solutions raise serious privacy concerns of their own. The PCLOB agreed. It, too, recognized the privacy implications of compelling companies to keep information against their will or of creating a centralized database of the nation’s call records. The board is exactly right on this point</w:t>
      </w:r>
      <w:r w:rsidRPr="00215F59">
        <w:rPr>
          <w:rStyle w:val="StyleUnderline"/>
        </w:rPr>
        <w:t>. Companies should remain free to offer services to their customers that provide greater privacy protections. And if cybersecurity truly is as serious a threat as the government claims, we are all made less secure by centralizing all of our most sensitive information. After all, it isn’t just the NSA that wants access to all of our data, but foreign governments and criminal hackers</w:t>
      </w:r>
      <w:r w:rsidRPr="00215F59">
        <w:rPr>
          <w:sz w:val="16"/>
        </w:rPr>
        <w:t xml:space="preserve">. Here’s how the PCLOB explained it: FT-ACLU3 In the days to come, the </w:t>
      </w:r>
      <w:r w:rsidRPr="00215F59">
        <w:rPr>
          <w:rStyle w:val="StyleUnderline"/>
        </w:rPr>
        <w:t>PCLOB’s key recommendation that the phone-records program be ended will be the primary focus</w:t>
      </w:r>
      <w:r w:rsidRPr="00215F59">
        <w:rPr>
          <w:sz w:val="16"/>
        </w:rPr>
        <w:t xml:space="preserve">. </w:t>
      </w:r>
      <w:r w:rsidRPr="00215F59">
        <w:rPr>
          <w:rStyle w:val="StyleUnderline"/>
        </w:rPr>
        <w:t>But as the debate moves forward, the critical question will be how to protect our privacy in an era of big data. The board’s incisive findings provide a necessary roadmap</w:t>
      </w:r>
      <w:r w:rsidRPr="00215F59">
        <w:rPr>
          <w:rStyle w:val="StyleUnderline"/>
          <w:u w:val="none"/>
        </w:rPr>
        <w:t>.</w:t>
      </w:r>
    </w:p>
    <w:p w:rsidR="00AF36D0" w:rsidRPr="00215F59" w:rsidRDefault="00AF36D0" w:rsidP="00215F59">
      <w:pPr>
        <w:rPr>
          <w:rStyle w:val="StyleUnderline"/>
          <w:u w:val="none"/>
        </w:rPr>
      </w:pPr>
    </w:p>
    <w:p w:rsidR="00AF36D0" w:rsidRPr="00215F59" w:rsidRDefault="00AF36D0" w:rsidP="00215F59">
      <w:pPr>
        <w:rPr>
          <w:rStyle w:val="StyleUnderline"/>
          <w:u w:val="none"/>
        </w:rPr>
      </w:pPr>
    </w:p>
    <w:p w:rsidR="00AF36D0" w:rsidRPr="00215F59" w:rsidRDefault="00AF36D0" w:rsidP="00215F59">
      <w:pPr>
        <w:rPr>
          <w:rStyle w:val="StyleUnderline"/>
          <w:u w:val="none"/>
        </w:rPr>
      </w:pPr>
    </w:p>
    <w:p w:rsidR="00AF36D0" w:rsidRPr="00215F59" w:rsidRDefault="00AF36D0" w:rsidP="00215F59">
      <w:pPr>
        <w:rPr>
          <w:rStyle w:val="StyleUnderline"/>
          <w:u w:val="none"/>
        </w:rPr>
      </w:pPr>
    </w:p>
    <w:p w:rsidR="00215F59" w:rsidRPr="00215F59" w:rsidRDefault="00215F59" w:rsidP="00215F59">
      <w:pPr>
        <w:pStyle w:val="Heading3"/>
        <w:spacing w:before="0"/>
        <w:rPr>
          <w:rFonts w:eastAsia="Times New Roman" w:cs="Arial"/>
          <w:lang w:val="en"/>
        </w:rPr>
      </w:pPr>
      <w:bookmarkStart w:id="14" w:name="_Toc424259089"/>
      <w:r w:rsidRPr="00215F59">
        <w:rPr>
          <w:rFonts w:eastAsia="Times New Roman" w:cs="Arial"/>
          <w:lang w:val="en"/>
        </w:rPr>
        <w:lastRenderedPageBreak/>
        <w:t>Solvency – XO 12333</w:t>
      </w:r>
      <w:bookmarkEnd w:id="14"/>
    </w:p>
    <w:p w:rsidR="00215F59" w:rsidRPr="00215F59" w:rsidRDefault="00215F59" w:rsidP="00215F59">
      <w:pPr>
        <w:rPr>
          <w:lang w:val="en"/>
        </w:rPr>
      </w:pPr>
    </w:p>
    <w:p w:rsidR="00215F59" w:rsidRDefault="00215F59" w:rsidP="00AF1BF7">
      <w:pPr>
        <w:pStyle w:val="Heading4"/>
      </w:pPr>
      <w:r w:rsidRPr="00215F59">
        <w:t xml:space="preserve">PCLOB </w:t>
      </w:r>
      <w:r w:rsidR="000A2CBD">
        <w:t>has great potential to approach</w:t>
      </w:r>
      <w:r w:rsidRPr="00215F59">
        <w:t xml:space="preserve"> Executive Order 12333</w:t>
      </w:r>
    </w:p>
    <w:p w:rsidR="005B7A08" w:rsidRPr="005B7A08" w:rsidRDefault="005B7A08" w:rsidP="005B7A08"/>
    <w:p w:rsidR="005B7A08" w:rsidRDefault="005B7A08" w:rsidP="00215F59">
      <w:pPr>
        <w:rPr>
          <w:rStyle w:val="StyleStyleBold12pt"/>
        </w:rPr>
      </w:pPr>
      <w:r>
        <w:rPr>
          <w:rStyle w:val="StyleStyleBold12pt"/>
        </w:rPr>
        <w:t>Greene, 2015</w:t>
      </w:r>
    </w:p>
    <w:p w:rsidR="00215F59" w:rsidRDefault="00215F59" w:rsidP="00215F59">
      <w:r w:rsidRPr="00215F59">
        <w:t xml:space="preserve">(Robyn, </w:t>
      </w:r>
      <w:r w:rsidRPr="00215F59">
        <w:rPr>
          <w:i/>
        </w:rPr>
        <w:t xml:space="preserve">Comments to the Privacy and Civil Liberties Oversight Board Concerning Activities Under Executive Order 12333, </w:t>
      </w:r>
      <w:r w:rsidRPr="00215F59">
        <w:t>Open Technology Institute</w:t>
      </w:r>
      <w:r w:rsidRPr="00215F59">
        <w:rPr>
          <w:i/>
        </w:rPr>
        <w:t>)</w:t>
      </w:r>
      <w:r w:rsidRPr="00215F59">
        <w:t xml:space="preserve"> </w:t>
      </w:r>
      <w:r w:rsidRPr="00215F59">
        <w:tab/>
      </w:r>
    </w:p>
    <w:p w:rsidR="005B7A08" w:rsidRPr="00215F59" w:rsidRDefault="005B7A08" w:rsidP="00215F59"/>
    <w:p w:rsidR="00215F59" w:rsidRPr="00215F59" w:rsidRDefault="00215F59" w:rsidP="00215F59">
      <w:pPr>
        <w:rPr>
          <w:sz w:val="16"/>
          <w:szCs w:val="26"/>
        </w:rPr>
      </w:pPr>
      <w:r w:rsidRPr="0068363E">
        <w:rPr>
          <w:rStyle w:val="StyleUnderline"/>
        </w:rPr>
        <w:t>The first issue we urge PCLOB to review is the NSA’s bulk and targeted collection activities under EO 12333. Bulk collection poses a serious threat to privacy, as it inherently results in the large-­</w:t>
      </w:r>
      <w:r w:rsidRPr="0068363E">
        <w:rPr>
          <w:rStyle w:val="StyleUnderline"/>
          <w:rFonts w:ascii="Cambria Math" w:hAnsi="Cambria Math" w:cs="Cambria Math"/>
        </w:rPr>
        <w:t>‐</w:t>
      </w:r>
      <w:r w:rsidRPr="0068363E">
        <w:rPr>
          <w:rStyle w:val="StyleUnderline"/>
        </w:rPr>
        <w:t>scale collection of the communications of millions of innocent Americans and people around the world. The procedures governing the NSA’s acquisition, retention, search, dissemination, and use of those communications are not public. PCLOB should review the scale of incidental collection of U.S. person communications that results from bulk collection under EO 12333</w:t>
      </w:r>
      <w:r w:rsidRPr="00215F59">
        <w:rPr>
          <w:sz w:val="16"/>
          <w:szCs w:val="26"/>
        </w:rPr>
        <w:t>. It should also review and make recommendations to enhance the privacy protections provided by the minimization procedures that are applied to those collections. Additionally</w:t>
      </w:r>
      <w:r w:rsidRPr="0068363E">
        <w:rPr>
          <w:rStyle w:val="StyleUnderline"/>
        </w:rPr>
        <w:t>, it should review and publicly disclose the number of instances in which those communications have been searched for U.S. person information, and how many times that information has been used in any government proceeding,</w:t>
      </w:r>
      <w:r w:rsidRPr="00215F59">
        <w:rPr>
          <w:sz w:val="16"/>
          <w:szCs w:val="26"/>
        </w:rPr>
        <w:t xml:space="preserve"> such as criminal investigations, including instances where parallel construction was employed to obscure the source of the information; judicial proceedings; and other civil, immigration, and regulatory proceedings</w:t>
      </w:r>
      <w:r w:rsidRPr="00215F59">
        <w:rPr>
          <w:rStyle w:val="StyleUnderline"/>
          <w:sz w:val="26"/>
          <w:szCs w:val="26"/>
        </w:rPr>
        <w:t xml:space="preserve">. </w:t>
      </w:r>
      <w:r w:rsidRPr="0068363E">
        <w:rPr>
          <w:rStyle w:val="StyleUnderline"/>
        </w:rPr>
        <w:t xml:space="preserve">PCLOB should make similar inquiries into the NSA’s targeted collection practices under EO 12333. Specifically, it should assess the adequacy of and make recommendations for additional safeguards of privacy protections conferred on U.S. person communications by targeting and minimization procedures, and policies governing their retention, use, and dissemination. </w:t>
      </w:r>
    </w:p>
    <w:p w:rsidR="00215F59" w:rsidRPr="00215F59" w:rsidRDefault="00215F59" w:rsidP="00215F59">
      <w:pPr>
        <w:rPr>
          <w:sz w:val="16"/>
          <w:szCs w:val="26"/>
        </w:rPr>
      </w:pPr>
    </w:p>
    <w:p w:rsidR="00215F59" w:rsidRPr="00215F59" w:rsidRDefault="00215F59" w:rsidP="00215F59">
      <w:pPr>
        <w:pStyle w:val="Heading3"/>
        <w:spacing w:before="0"/>
        <w:rPr>
          <w:rFonts w:cs="Arial"/>
        </w:rPr>
      </w:pPr>
      <w:bookmarkStart w:id="15" w:name="_Toc424259090"/>
      <w:r w:rsidRPr="00215F59">
        <w:rPr>
          <w:rFonts w:cs="Arial"/>
        </w:rPr>
        <w:lastRenderedPageBreak/>
        <w:t>Solvency – Drones</w:t>
      </w:r>
      <w:bookmarkEnd w:id="15"/>
      <w:r w:rsidRPr="00215F59">
        <w:rPr>
          <w:rFonts w:cs="Arial"/>
        </w:rPr>
        <w:t xml:space="preserve"> </w:t>
      </w:r>
    </w:p>
    <w:p w:rsidR="00215F59" w:rsidRPr="00215F59" w:rsidRDefault="00215F59" w:rsidP="00215F59">
      <w:pPr>
        <w:rPr>
          <w:sz w:val="16"/>
          <w:szCs w:val="26"/>
        </w:rPr>
      </w:pPr>
    </w:p>
    <w:p w:rsidR="00215F59" w:rsidRPr="00215F59" w:rsidRDefault="00215F59" w:rsidP="00AF1BF7">
      <w:pPr>
        <w:pStyle w:val="Heading4"/>
        <w:rPr>
          <w:lang w:val="en"/>
        </w:rPr>
      </w:pPr>
      <w:r w:rsidRPr="00215F59">
        <w:rPr>
          <w:lang w:val="en"/>
        </w:rPr>
        <w:t xml:space="preserve">PCLOB </w:t>
      </w:r>
      <w:r w:rsidR="000A2CBD">
        <w:rPr>
          <w:lang w:val="en"/>
        </w:rPr>
        <w:t xml:space="preserve">well equipped to engage drone surveillance. </w:t>
      </w:r>
    </w:p>
    <w:p w:rsidR="00215F59" w:rsidRPr="00215F59" w:rsidRDefault="00215F59" w:rsidP="00215F59">
      <w:pPr>
        <w:rPr>
          <w:lang w:val="en"/>
        </w:rPr>
      </w:pPr>
    </w:p>
    <w:p w:rsidR="00215F59" w:rsidRPr="00215F59" w:rsidRDefault="00215F59" w:rsidP="00215F59">
      <w:pPr>
        <w:rPr>
          <w:rStyle w:val="StyleStyleBold12pt"/>
        </w:rPr>
      </w:pPr>
      <w:r w:rsidRPr="00215F59">
        <w:rPr>
          <w:rStyle w:val="StyleStyleBold12pt"/>
        </w:rPr>
        <w:t xml:space="preserve">Medine </w:t>
      </w:r>
      <w:r w:rsidR="0068363E">
        <w:rPr>
          <w:rStyle w:val="StyleStyleBold12pt"/>
        </w:rPr>
        <w:t>&amp;</w:t>
      </w:r>
      <w:r w:rsidRPr="00215F59">
        <w:rPr>
          <w:rStyle w:val="StyleStyleBold12pt"/>
        </w:rPr>
        <w:t xml:space="preserve"> Sweren-Becker, 2015</w:t>
      </w:r>
    </w:p>
    <w:p w:rsidR="00215F59" w:rsidRPr="00215F59" w:rsidRDefault="00215F59" w:rsidP="00215F59">
      <w:r w:rsidRPr="00215F59">
        <w:t>(David, Attorney Fellow for the Security and Exchange Commission &amp; Eliza JD candidate at Harvard Law School and the Kennedy School of Government, 4/23/15, “The United States Needs a Drone Board”, Defense One,http://www.defenseone.com/ideas/2015/04/oversight-targeted-killing-americans-overseas-new-model/110926)</w:t>
      </w:r>
    </w:p>
    <w:p w:rsidR="00215F59" w:rsidRPr="00215F59" w:rsidRDefault="00215F59" w:rsidP="00215F59">
      <w:pPr>
        <w:rPr>
          <w:b/>
          <w:bCs/>
        </w:rPr>
      </w:pPr>
    </w:p>
    <w:p w:rsidR="00215F59" w:rsidRPr="00215F59" w:rsidRDefault="00215F59" w:rsidP="00215F59">
      <w:pPr>
        <w:rPr>
          <w:rFonts w:eastAsia="Times New Roman"/>
          <w:sz w:val="16"/>
          <w:szCs w:val="24"/>
        </w:rPr>
      </w:pPr>
      <w:r w:rsidRPr="00215F59">
        <w:rPr>
          <w:rFonts w:eastAsia="Times New Roman"/>
          <w:sz w:val="16"/>
          <w:szCs w:val="24"/>
        </w:rPr>
        <w:t xml:space="preserve">In considering whether to create a new entity or have an existing one </w:t>
      </w:r>
      <w:r w:rsidRPr="00215F59">
        <w:rPr>
          <w:rStyle w:val="StyleUnderline"/>
        </w:rPr>
        <w:t>to carry out the duties of the Drone Board, we recommend that the Privacy and Civil Liberties Oversight Board (PCLOB) serve that role.</w:t>
      </w:r>
      <w:r w:rsidRPr="00215F59">
        <w:rPr>
          <w:rFonts w:eastAsia="Times New Roman"/>
          <w:sz w:val="16"/>
          <w:szCs w:val="24"/>
        </w:rPr>
        <w:t xml:space="preserve"> The PCLOB is an independent agency established by the Implementing Recommendations of the 9/11 Commission Act of 2007. The bipartisan, five-member Board members serving staggered six-year terms, are appointed by the President and confirmed by the Senate. </w:t>
      </w:r>
      <w:r w:rsidRPr="00215F59">
        <w:rPr>
          <w:rStyle w:val="StyleUnderline"/>
        </w:rPr>
        <w:t>The PCLOB has several advantages over alternative executive branch entities to serve as the body that reviews the targeting of U.S. citizens. First, the PCLOB is already up and running.</w:t>
      </w:r>
      <w:r w:rsidRPr="00215F59">
        <w:rPr>
          <w:rFonts w:eastAsia="Times New Roman"/>
          <w:sz w:val="16"/>
          <w:szCs w:val="24"/>
        </w:rPr>
        <w:t xml:space="preserve"> Neither Congress nor the President would have to create a new body. Second, </w:t>
      </w:r>
      <w:r w:rsidRPr="00215F59">
        <w:rPr>
          <w:rStyle w:val="StyleUnderline"/>
        </w:rPr>
        <w:t>the targeted killing of U.S. citizens who are affiliated with al Qaeda, ISIL, or other terrorist organizations falls precisely within the PCLOB’s counterterrorism mandate. Third, the PCLOB is uniquely positioned as an independent Executive Branch agency, not bound by the President’s policy direction, and has demonstrated its willingness to offer neutral and candid recommendations. Fourth, Board members and PCLOB staff already have Top Secret security clearances; the PCLOB regularly handles highly classified information and can review the relevant intelligence without additional bureaucratic hurdles.</w:t>
      </w:r>
      <w:r w:rsidRPr="00215F59">
        <w:rPr>
          <w:rFonts w:eastAsia="Times New Roman"/>
          <w:sz w:val="16"/>
          <w:szCs w:val="24"/>
        </w:rPr>
        <w:t xml:space="preserve"> However, one reform would be necessary: in order to effectively address targeted killing cases, all five PCLOB members, not just the chairman, would need to serve in a full-time capacity.     </w:t>
      </w:r>
    </w:p>
    <w:p w:rsidR="00215F59" w:rsidRDefault="00215F59" w:rsidP="00215F59">
      <w:pPr>
        <w:rPr>
          <w:rFonts w:eastAsia="Times New Roman"/>
          <w:sz w:val="16"/>
          <w:szCs w:val="24"/>
        </w:rPr>
      </w:pPr>
    </w:p>
    <w:p w:rsidR="004D5A23" w:rsidRDefault="004D5A23" w:rsidP="004D5A23">
      <w:pPr>
        <w:pStyle w:val="Heading3"/>
        <w:rPr>
          <w:rFonts w:eastAsia="Times New Roman"/>
        </w:rPr>
      </w:pPr>
      <w:bookmarkStart w:id="16" w:name="_Toc424259091"/>
      <w:r>
        <w:rPr>
          <w:rFonts w:eastAsia="Times New Roman"/>
        </w:rPr>
        <w:lastRenderedPageBreak/>
        <w:t>Solvency – Racial Profiling</w:t>
      </w:r>
      <w:bookmarkEnd w:id="16"/>
    </w:p>
    <w:p w:rsidR="004D5A23" w:rsidRPr="004D5A23" w:rsidRDefault="004D5A23" w:rsidP="004D5A23"/>
    <w:p w:rsidR="004D5A23" w:rsidRDefault="004D5A23" w:rsidP="00AF1BF7">
      <w:pPr>
        <w:pStyle w:val="Heading4"/>
      </w:pPr>
      <w:r>
        <w:t xml:space="preserve">Although the TSA may participate in bad practices now, PCLOB reforms can solve </w:t>
      </w:r>
    </w:p>
    <w:p w:rsidR="004D5A23" w:rsidRPr="004D5A23" w:rsidRDefault="004D5A23" w:rsidP="004D5A23"/>
    <w:p w:rsidR="004D5A23" w:rsidRDefault="004D5A23" w:rsidP="004D5A23">
      <w:r w:rsidRPr="00B3510D">
        <w:rPr>
          <w:rStyle w:val="StyleStyleBold12pt"/>
        </w:rPr>
        <w:t>Livingston 14</w:t>
      </w:r>
      <w:r>
        <w:t xml:space="preserve"> (Lynne Livingston interviewing Robert McCaw the Government Affairs Department Manager for the Council on American-Islamic Relations, the nation's largest Muslim civil liberties and 15 advocacy organization.)</w:t>
      </w:r>
    </w:p>
    <w:p w:rsidR="004D5A23" w:rsidRDefault="004D5A23" w:rsidP="004D5A23">
      <w:r>
        <w:t xml:space="preserve">(7/23/14, PRIVACY AND CIVIL LIBERTIES OVERSIGHT BOARD Public Meeting </w:t>
      </w:r>
      <w:hyperlink r:id="rId16" w:history="1">
        <w:r w:rsidRPr="00EA2EEE">
          <w:rPr>
            <w:rStyle w:val="Hyperlink"/>
          </w:rPr>
          <w:t>https://www.pclob.gov/library/20140723-Transcript.pdf</w:t>
        </w:r>
      </w:hyperlink>
      <w:r>
        <w:t>)</w:t>
      </w:r>
    </w:p>
    <w:p w:rsidR="004D5A23" w:rsidRPr="00B3510D" w:rsidRDefault="004D5A23" w:rsidP="004D5A23"/>
    <w:p w:rsidR="004D5A23" w:rsidRPr="00B3510D" w:rsidRDefault="004D5A23" w:rsidP="004D5A23">
      <w:pPr>
        <w:rPr>
          <w:rStyle w:val="StyleUnderline"/>
        </w:rPr>
      </w:pPr>
      <w:r w:rsidRPr="00B3510D">
        <w:rPr>
          <w:rStyle w:val="StyleUnderline"/>
        </w:rPr>
        <w:t>Concern</w:t>
      </w:r>
      <w:r>
        <w:rPr>
          <w:rStyle w:val="StyleUnderline"/>
        </w:rPr>
        <w:t>ing profiling guidelines, CAIR</w:t>
      </w:r>
      <w:r w:rsidRPr="00B3510D">
        <w:rPr>
          <w:rStyle w:val="StyleUnderline"/>
        </w:rPr>
        <w:t xml:space="preserve"> recommends that </w:t>
      </w:r>
      <w:r>
        <w:rPr>
          <w:rStyle w:val="StyleUnderline"/>
        </w:rPr>
        <w:t>PCLOB review guidelines on the</w:t>
      </w:r>
      <w:r w:rsidRPr="00B3510D">
        <w:rPr>
          <w:rStyle w:val="StyleUnderline"/>
        </w:rPr>
        <w:t xml:space="preserve"> use of race in federal law enforcement and by 6 federal law enfo</w:t>
      </w:r>
      <w:r>
        <w:rPr>
          <w:rStyle w:val="StyleUnderline"/>
        </w:rPr>
        <w:t xml:space="preserve">rcement and national security </w:t>
      </w:r>
      <w:r w:rsidRPr="00B3510D">
        <w:rPr>
          <w:rStyle w:val="StyleUnderline"/>
        </w:rPr>
        <w:t>agencies</w:t>
      </w:r>
      <w:r w:rsidRPr="00327E28">
        <w:rPr>
          <w:sz w:val="14"/>
        </w:rPr>
        <w:t xml:space="preserve">. </w:t>
      </w:r>
      <w:r w:rsidRPr="00B3510D">
        <w:rPr>
          <w:rStyle w:val="StyleUnderline"/>
        </w:rPr>
        <w:t xml:space="preserve">DOJ and DHS </w:t>
      </w:r>
      <w:r>
        <w:rPr>
          <w:rStyle w:val="StyleUnderline"/>
        </w:rPr>
        <w:t xml:space="preserve">guidelines are supposed to </w:t>
      </w:r>
      <w:r w:rsidRPr="00B3510D">
        <w:rPr>
          <w:rStyle w:val="StyleUnderline"/>
        </w:rPr>
        <w:t>prohib</w:t>
      </w:r>
      <w:r>
        <w:rPr>
          <w:rStyle w:val="StyleUnderline"/>
        </w:rPr>
        <w:t>it profiling but they've been</w:t>
      </w:r>
      <w:r w:rsidRPr="00B3510D">
        <w:rPr>
          <w:rStyle w:val="StyleUnderline"/>
        </w:rPr>
        <w:t xml:space="preserve"> inappropriate</w:t>
      </w:r>
      <w:r>
        <w:rPr>
          <w:rStyle w:val="StyleUnderline"/>
        </w:rPr>
        <w:t xml:space="preserve">ly used to target Muslims in </w:t>
      </w:r>
      <w:r w:rsidRPr="00B3510D">
        <w:rPr>
          <w:rStyle w:val="StyleUnderline"/>
        </w:rPr>
        <w:t>counterterrorism i</w:t>
      </w:r>
      <w:r>
        <w:rPr>
          <w:rStyle w:val="StyleUnderline"/>
        </w:rPr>
        <w:t>nvestigations and Latinos for</w:t>
      </w:r>
      <w:r w:rsidRPr="00B3510D">
        <w:rPr>
          <w:rStyle w:val="StyleUnderline"/>
        </w:rPr>
        <w:t xml:space="preserve"> immigration investigations</w:t>
      </w:r>
      <w:r w:rsidRPr="00327E28">
        <w:rPr>
          <w:sz w:val="14"/>
        </w:rPr>
        <w:t>. CAIR believes that the DOJ and DHS should revise existing guidelines banning the use of racial profiling to include nationality and religion as protected</w:t>
      </w:r>
      <w:r w:rsidRPr="00B3510D">
        <w:rPr>
          <w:rStyle w:val="StyleUnderline"/>
        </w:rPr>
        <w:t xml:space="preserve"> characteristics, as well as</w:t>
      </w:r>
      <w:r>
        <w:rPr>
          <w:rStyle w:val="StyleUnderline"/>
        </w:rPr>
        <w:t xml:space="preserve"> </w:t>
      </w:r>
      <w:r w:rsidRPr="00B3510D">
        <w:rPr>
          <w:rStyle w:val="StyleUnderline"/>
        </w:rPr>
        <w:t>eliminate any loo</w:t>
      </w:r>
      <w:r>
        <w:rPr>
          <w:rStyle w:val="StyleUnderline"/>
        </w:rPr>
        <w:t xml:space="preserve">pholes that permit profiling at </w:t>
      </w:r>
      <w:r w:rsidRPr="00B3510D">
        <w:rPr>
          <w:rStyle w:val="StyleUnderline"/>
        </w:rPr>
        <w:t>U.S. borders or for reasons of national security</w:t>
      </w:r>
      <w:r w:rsidRPr="00327E28">
        <w:rPr>
          <w:sz w:val="14"/>
        </w:rPr>
        <w:t xml:space="preserve">. </w:t>
      </w:r>
      <w:r w:rsidRPr="00327E28">
        <w:rPr>
          <w:rStyle w:val="StyleUnderline"/>
        </w:rPr>
        <w:t>Such a Board review should also target the Attorney General guidelines for domestic FBI operations, the AGG and FBI's domestic investigations and operation guideline, DIOG, which permit the FBI to engage in racial and ethnic profiling in certain contexts to initiate investigations and to use intrusive investigative techniques, absent of any suspicion or wrongdoing. A Board review should also be completed on how these guidelines in DIOG impact law enforcement practices in Muslim communities and others, and could help the Attorney General to better understand the harmful effects of these policies</w:t>
      </w:r>
      <w:r w:rsidRPr="00327E28">
        <w:rPr>
          <w:sz w:val="14"/>
        </w:rPr>
        <w:t xml:space="preserve">. </w:t>
      </w:r>
      <w:r w:rsidRPr="00B3510D">
        <w:rPr>
          <w:rStyle w:val="StyleUnderline"/>
        </w:rPr>
        <w:t>Concern</w:t>
      </w:r>
      <w:r>
        <w:rPr>
          <w:rStyle w:val="StyleUnderline"/>
        </w:rPr>
        <w:t>ing the FBI and NSA spying on</w:t>
      </w:r>
      <w:r w:rsidRPr="00B3510D">
        <w:rPr>
          <w:rStyle w:val="StyleUnderline"/>
        </w:rPr>
        <w:t xml:space="preserve"> Muslim leaders, </w:t>
      </w:r>
      <w:r>
        <w:rPr>
          <w:rStyle w:val="StyleUnderline"/>
        </w:rPr>
        <w:t>this past month CAIR joined a</w:t>
      </w:r>
      <w:r w:rsidRPr="00B3510D">
        <w:rPr>
          <w:rStyle w:val="StyleUnderline"/>
        </w:rPr>
        <w:t xml:space="preserve"> broad coalition o</w:t>
      </w:r>
      <w:r>
        <w:rPr>
          <w:rStyle w:val="StyleUnderline"/>
        </w:rPr>
        <w:t>f 45 organizations led by the</w:t>
      </w:r>
      <w:r w:rsidRPr="00B3510D">
        <w:rPr>
          <w:rStyle w:val="StyleUnderline"/>
        </w:rPr>
        <w:t xml:space="preserve"> ACLU in insisting t</w:t>
      </w:r>
      <w:r>
        <w:rPr>
          <w:rStyle w:val="StyleUnderline"/>
        </w:rPr>
        <w:t>hat President Obama provide a</w:t>
      </w:r>
      <w:r w:rsidRPr="00B3510D">
        <w:rPr>
          <w:rStyle w:val="StyleUnderline"/>
        </w:rPr>
        <w:t xml:space="preserve"> full public account</w:t>
      </w:r>
      <w:r>
        <w:rPr>
          <w:rStyle w:val="StyleUnderline"/>
        </w:rPr>
        <w:t>ing of surveillance practices</w:t>
      </w:r>
      <w:r w:rsidRPr="00B3510D">
        <w:rPr>
          <w:rStyle w:val="StyleUnderline"/>
        </w:rPr>
        <w:t xml:space="preserve"> of American Muslim leaders.</w:t>
      </w:r>
      <w:r w:rsidRPr="00327E28">
        <w:rPr>
          <w:sz w:val="14"/>
        </w:rPr>
        <w:t xml:space="preserve"> According to new revelations by Glenn Greenwald and Murtaza Hussain, CAIR's own National Executive Director was among those U.S.  Muslim leaders reported to be targeted by the FBI and NSA surveillance under FISA. Also among those leaders spied on was Faisal Gill, an American citizen, U.S. Navy veteran, and former Bush Administration DHS official. Of particular concern, Mr. Gill's nationality was marked unknown on a leaked FISA recapped document.</w:t>
      </w:r>
      <w:r w:rsidRPr="00B3510D">
        <w:rPr>
          <w:rStyle w:val="StyleUnderline"/>
        </w:rPr>
        <w:t xml:space="preserve"> </w:t>
      </w:r>
      <w:r w:rsidRPr="00327E28">
        <w:rPr>
          <w:sz w:val="14"/>
        </w:rPr>
        <w:t xml:space="preserve">Addressing FBI and NSA targeting of American Muslim leaders, CAIR stated it was an outrageous continuation of civil rights era surveillance of minority community leadership by government elements who see threats in all patriotic dissent. CAIR strongly recommends that </w:t>
      </w:r>
      <w:r w:rsidRPr="00B3510D">
        <w:rPr>
          <w:rStyle w:val="StyleUnderline"/>
        </w:rPr>
        <w:t>PCLOB reviews these allegations to ensure that the government surveillance works within the bounds of law and Constitution.</w:t>
      </w:r>
    </w:p>
    <w:p w:rsidR="00215F59" w:rsidRPr="00215F59" w:rsidRDefault="00215F59" w:rsidP="00215F59">
      <w:pPr>
        <w:rPr>
          <w:rFonts w:eastAsia="Times New Roman"/>
          <w:sz w:val="16"/>
          <w:szCs w:val="24"/>
        </w:rPr>
      </w:pPr>
    </w:p>
    <w:p w:rsidR="005F2D77" w:rsidRDefault="00962AAE" w:rsidP="005F2D77">
      <w:pPr>
        <w:pStyle w:val="Heading3"/>
      </w:pPr>
      <w:bookmarkStart w:id="17" w:name="_Toc424259092"/>
      <w:r>
        <w:lastRenderedPageBreak/>
        <w:t>Solvency – Commissions Expedite Policy Reform</w:t>
      </w:r>
      <w:bookmarkEnd w:id="17"/>
    </w:p>
    <w:p w:rsidR="0068363E" w:rsidRPr="0068363E" w:rsidRDefault="0068363E" w:rsidP="0068363E"/>
    <w:p w:rsidR="005F2D77" w:rsidRDefault="005F2D77" w:rsidP="00AF1BF7">
      <w:pPr>
        <w:pStyle w:val="Heading4"/>
      </w:pPr>
      <w:r>
        <w:t>Commissions solve political and issue complexity</w:t>
      </w:r>
    </w:p>
    <w:p w:rsidR="0068363E" w:rsidRPr="0068363E" w:rsidRDefault="0068363E" w:rsidP="0068363E"/>
    <w:p w:rsidR="005F2D77" w:rsidRDefault="005F2D77" w:rsidP="005F2D77">
      <w:pPr>
        <w:rPr>
          <w:sz w:val="16"/>
        </w:rPr>
      </w:pPr>
      <w:r w:rsidRPr="00F85E34">
        <w:rPr>
          <w:rStyle w:val="StyleStyleBold12pt"/>
        </w:rPr>
        <w:t>Glassman and Straus, 2015</w:t>
      </w:r>
      <w:r w:rsidRPr="00F85E34">
        <w:rPr>
          <w:sz w:val="16"/>
        </w:rPr>
        <w:t xml:space="preserve"> Mathew E. Glassman and Jacob R. Straus are analysts on Congress. (Mathew E. Glassman and Jacob R. Straus, “Congressional Commissions: Overview, Structure, and Legislative Considerations”</w:t>
      </w:r>
      <w:r>
        <w:rPr>
          <w:sz w:val="16"/>
        </w:rPr>
        <w:t>, Pg.7</w:t>
      </w:r>
      <w:r w:rsidRPr="00F85E34">
        <w:rPr>
          <w:sz w:val="16"/>
        </w:rPr>
        <w:t xml:space="preserve">, 1/27/15, Congressional Research Service, </w:t>
      </w:r>
      <w:hyperlink r:id="rId17" w:history="1">
        <w:r w:rsidR="0068363E" w:rsidRPr="00681FAC">
          <w:rPr>
            <w:rStyle w:val="Hyperlink"/>
            <w:sz w:val="16"/>
          </w:rPr>
          <w:t>https://www.fas.org/sgp/crs/misc/R40076.pdf)//ER</w:t>
        </w:r>
      </w:hyperlink>
    </w:p>
    <w:p w:rsidR="0068363E" w:rsidRPr="00B520D2" w:rsidRDefault="0068363E" w:rsidP="005F2D77"/>
    <w:p w:rsidR="005F2D77" w:rsidRDefault="005F2D77" w:rsidP="005F2D77">
      <w:pPr>
        <w:rPr>
          <w:sz w:val="14"/>
        </w:rPr>
      </w:pPr>
      <w:r w:rsidRPr="00BD2B0E">
        <w:rPr>
          <w:rStyle w:val="StyleUnderline"/>
        </w:rPr>
        <w:t xml:space="preserve">Complex policy issues </w:t>
      </w:r>
      <w:r w:rsidRPr="00D52306">
        <w:rPr>
          <w:sz w:val="14"/>
        </w:rPr>
        <w:t>may</w:t>
      </w:r>
      <w:r w:rsidRPr="00BD2B0E">
        <w:rPr>
          <w:rStyle w:val="StyleUnderline"/>
        </w:rPr>
        <w:t xml:space="preserve"> cause time management challenges for Congress. Legislators often keep busy schedules and may not have time to deal with intricate or technical policy problems, particularly if the issues require consistent attention over a period of time.</w:t>
      </w:r>
      <w:r w:rsidRPr="00D52306">
        <w:rPr>
          <w:sz w:val="14"/>
        </w:rPr>
        <w:t>24 A commission can devote itself to a particular issue full-time, and can focus on an individual problem without distraction.</w:t>
      </w:r>
      <w:r w:rsidRPr="00B7765F">
        <w:rPr>
          <w:rStyle w:val="StyleUnderline"/>
        </w:rPr>
        <w:t xml:space="preserve"> Complex policy issues </w:t>
      </w:r>
      <w:r w:rsidRPr="00D52306">
        <w:rPr>
          <w:sz w:val="14"/>
        </w:rPr>
        <w:t xml:space="preserve">may also </w:t>
      </w:r>
      <w:r w:rsidRPr="00B7765F">
        <w:rPr>
          <w:rStyle w:val="StyleUnderline"/>
        </w:rPr>
        <w:t>create institutional problems because they do not fall neatly within the jurisdiction of any particular committee in Congress.</w:t>
      </w:r>
      <w:r w:rsidRPr="00D52306">
        <w:rPr>
          <w:sz w:val="14"/>
        </w:rPr>
        <w:t xml:space="preserve">26 By virtue of their ad hoc status, </w:t>
      </w:r>
      <w:r w:rsidRPr="00DC1EEB">
        <w:rPr>
          <w:rStyle w:val="StyleUnderline"/>
        </w:rPr>
        <w:t>commissions</w:t>
      </w:r>
      <w:r w:rsidRPr="00D52306">
        <w:rPr>
          <w:sz w:val="14"/>
        </w:rPr>
        <w:t xml:space="preserve"> may </w:t>
      </w:r>
      <w:r w:rsidRPr="00DC1EEB">
        <w:rPr>
          <w:rStyle w:val="StyleUnderline"/>
        </w:rPr>
        <w:t>circumvent such issues</w:t>
      </w:r>
      <w:r w:rsidRPr="00D52306">
        <w:rPr>
          <w:sz w:val="14"/>
        </w:rPr>
        <w:t xml:space="preserve">. Similarly, </w:t>
      </w:r>
      <w:r w:rsidRPr="00DC1EEB">
        <w:rPr>
          <w:rStyle w:val="StyleUnderline"/>
        </w:rPr>
        <w:t>a commission may allow particular legislation or policy solutions to bypass the traditional development process in Congress,</w:t>
      </w:r>
      <w:r w:rsidRPr="00D52306">
        <w:rPr>
          <w:sz w:val="14"/>
        </w:rPr>
        <w:t xml:space="preserve"> potentially </w:t>
      </w:r>
      <w:r w:rsidRPr="00DC1EEB">
        <w:rPr>
          <w:rStyle w:val="StyleUnderline"/>
        </w:rPr>
        <w:t xml:space="preserve">removing </w:t>
      </w:r>
      <w:r w:rsidRPr="00D52306">
        <w:rPr>
          <w:sz w:val="14"/>
        </w:rPr>
        <w:t>some of the</w:t>
      </w:r>
      <w:r w:rsidRPr="00DC1EEB">
        <w:rPr>
          <w:rStyle w:val="StyleUnderline"/>
        </w:rPr>
        <w:t xml:space="preserve"> impediments inherent in a decentralized legislature</w:t>
      </w:r>
      <w:r w:rsidRPr="00D52306">
        <w:rPr>
          <w:sz w:val="14"/>
        </w:rPr>
        <w:t>.27</w:t>
      </w:r>
    </w:p>
    <w:p w:rsidR="005F2D77" w:rsidRDefault="005F2D77" w:rsidP="005F2D77">
      <w:pPr>
        <w:rPr>
          <w:sz w:val="14"/>
        </w:rPr>
      </w:pPr>
    </w:p>
    <w:p w:rsidR="00ED3311" w:rsidRDefault="00ED3311" w:rsidP="00ED3311">
      <w:pPr>
        <w:pStyle w:val="Heading3"/>
        <w:tabs>
          <w:tab w:val="left" w:pos="7290"/>
        </w:tabs>
      </w:pPr>
      <w:bookmarkStart w:id="18" w:name="_Toc424259093"/>
      <w:r>
        <w:lastRenderedPageBreak/>
        <w:t>A2: Lacks Authority</w:t>
      </w:r>
      <w:bookmarkEnd w:id="18"/>
      <w:r>
        <w:t xml:space="preserve"> </w:t>
      </w:r>
    </w:p>
    <w:p w:rsidR="00ED3311" w:rsidRDefault="00ED3311" w:rsidP="00ED3311">
      <w:pPr>
        <w:tabs>
          <w:tab w:val="left" w:pos="7290"/>
        </w:tabs>
      </w:pPr>
    </w:p>
    <w:p w:rsidR="00ED3311" w:rsidRDefault="008279B1" w:rsidP="00AF1BF7">
      <w:pPr>
        <w:pStyle w:val="Heading4"/>
      </w:pPr>
      <w:r>
        <w:t xml:space="preserve">Existing mandate is sufficient the solve accountability </w:t>
      </w:r>
    </w:p>
    <w:p w:rsidR="008279B1" w:rsidRPr="008279B1" w:rsidRDefault="008279B1" w:rsidP="008279B1"/>
    <w:p w:rsidR="00ED3311" w:rsidRPr="00ED3311" w:rsidRDefault="00ED3311" w:rsidP="00ED3311">
      <w:pPr>
        <w:tabs>
          <w:tab w:val="left" w:pos="7290"/>
        </w:tabs>
        <w:rPr>
          <w:rStyle w:val="StyleStyleBold12pt"/>
        </w:rPr>
      </w:pPr>
      <w:r w:rsidRPr="00ED3311">
        <w:rPr>
          <w:rStyle w:val="StyleStyleBold12pt"/>
        </w:rPr>
        <w:t>Grande, 2013</w:t>
      </w:r>
    </w:p>
    <w:p w:rsidR="00ED3311" w:rsidRDefault="00ED3311" w:rsidP="00ED3311">
      <w:pPr>
        <w:tabs>
          <w:tab w:val="left" w:pos="7290"/>
        </w:tabs>
      </w:pPr>
      <w:r>
        <w:t xml:space="preserve">(Allison, senior reporter at Portfolio Media – citing multiple privacy experts, “Restored Privacy Board Lends Crucial Eye To Data Practices,” </w:t>
      </w:r>
      <w:r>
        <w:rPr>
          <w:i/>
        </w:rPr>
        <w:t>Law 360</w:t>
      </w:r>
      <w:r>
        <w:t xml:space="preserve">, May 9, Online: </w:t>
      </w:r>
      <w:r w:rsidRPr="00ED3311">
        <w:t>http://www.constitutionproject.org/wp-content/uploads/2013/05/5.9.2013_Law360_SBF_PCLOBChair.pdf</w:t>
      </w:r>
      <w:r>
        <w:t>)</w:t>
      </w:r>
    </w:p>
    <w:p w:rsidR="00ED3311" w:rsidRDefault="00ED3311" w:rsidP="00ED3311">
      <w:pPr>
        <w:tabs>
          <w:tab w:val="left" w:pos="7290"/>
        </w:tabs>
      </w:pPr>
    </w:p>
    <w:p w:rsidR="00ED3311" w:rsidRPr="00E64AD8" w:rsidRDefault="00ED3311" w:rsidP="00ED3311">
      <w:pPr>
        <w:tabs>
          <w:tab w:val="left" w:pos="7290"/>
        </w:tabs>
        <w:rPr>
          <w:rStyle w:val="StyleUnderline"/>
        </w:rPr>
      </w:pPr>
      <w:r w:rsidRPr="00E64AD8">
        <w:rPr>
          <w:rStyle w:val="StyleUnderline"/>
        </w:rPr>
        <w:t>The executive order President Barack Obama signed in February specifically directs DHS to consult</w:t>
      </w:r>
      <w:r>
        <w:rPr>
          <w:rStyle w:val="StyleUnderline"/>
        </w:rPr>
        <w:t xml:space="preserve"> </w:t>
      </w:r>
      <w:r w:rsidRPr="00E64AD8">
        <w:rPr>
          <w:rStyle w:val="StyleUnderline"/>
        </w:rPr>
        <w:t>with PCLOB in producing an assessment of the privacy and civil liberties risks of the government's</w:t>
      </w:r>
      <w:r>
        <w:rPr>
          <w:rStyle w:val="StyleUnderline"/>
        </w:rPr>
        <w:t xml:space="preserve"> </w:t>
      </w:r>
      <w:r w:rsidRPr="00E64AD8">
        <w:rPr>
          <w:rStyle w:val="StyleUnderline"/>
        </w:rPr>
        <w:t xml:space="preserve">sharing of threat data with the private sector, and legislation </w:t>
      </w:r>
      <w:r w:rsidRPr="00ED3311">
        <w:rPr>
          <w:sz w:val="14"/>
        </w:rPr>
        <w:t xml:space="preserve">being mulled in the U.S. Senate and House of Representatives </w:t>
      </w:r>
      <w:r w:rsidRPr="00E64AD8">
        <w:rPr>
          <w:rStyle w:val="StyleUnderline"/>
        </w:rPr>
        <w:t>envisions similar oversight roles for the board</w:t>
      </w:r>
      <w:r w:rsidRPr="00ED3311">
        <w:rPr>
          <w:sz w:val="14"/>
        </w:rPr>
        <w:t>, according to Franklin. “</w:t>
      </w:r>
      <w:r w:rsidRPr="00E64AD8">
        <w:rPr>
          <w:rStyle w:val="StyleUnderline"/>
        </w:rPr>
        <w:t>It's even more important for the board to have this oversight role if we do get legislation, [which]</w:t>
      </w:r>
      <w:r>
        <w:rPr>
          <w:rStyle w:val="StyleUnderline"/>
        </w:rPr>
        <w:t xml:space="preserve"> </w:t>
      </w:r>
      <w:r w:rsidRPr="00E64AD8">
        <w:rPr>
          <w:rStyle w:val="StyleUnderline"/>
        </w:rPr>
        <w:t>presents an even greater risk to individual liberties because it is likely to exempt the sharing of</w:t>
      </w:r>
      <w:r>
        <w:rPr>
          <w:rStyle w:val="StyleUnderline"/>
        </w:rPr>
        <w:t xml:space="preserve"> </w:t>
      </w:r>
      <w:r w:rsidRPr="00E64AD8">
        <w:rPr>
          <w:rStyle w:val="StyleUnderline"/>
        </w:rPr>
        <w:t>information from the requirements of existing privacy laws in a way that an executive order can't do</w:t>
      </w:r>
      <w:r w:rsidRPr="00ED3311">
        <w:rPr>
          <w:sz w:val="14"/>
        </w:rPr>
        <w:t>,” she said. While</w:t>
      </w:r>
      <w:r w:rsidRPr="00E64AD8">
        <w:rPr>
          <w:rStyle w:val="StyleUnderline"/>
        </w:rPr>
        <w:t xml:space="preserve"> Congress strengthened the board in 2007 by making it independent of the White House and</w:t>
      </w:r>
      <w:r>
        <w:rPr>
          <w:rStyle w:val="StyleUnderline"/>
        </w:rPr>
        <w:t xml:space="preserve"> </w:t>
      </w:r>
      <w:r w:rsidRPr="00E64AD8">
        <w:rPr>
          <w:rStyle w:val="StyleUnderline"/>
        </w:rPr>
        <w:t xml:space="preserve">giving it subpoena powers, </w:t>
      </w:r>
      <w:r w:rsidRPr="00ED3311">
        <w:rPr>
          <w:sz w:val="14"/>
        </w:rPr>
        <w:t xml:space="preserve">experts noted that issues still remain regarding the authority of the fivemember board, which also includes U.S. Chamber of Commerce attorney Rachel Brand, former D.C. Circuit Chief Judge Patricia Wald, WilmerHale counsel Elisebeth Collins Cook and the Center for Democracy &amp; Technology vice president for public policy James Dempsey. </w:t>
      </w:r>
      <w:r w:rsidRPr="00E64AD8">
        <w:rPr>
          <w:rStyle w:val="StyleUnderline"/>
        </w:rPr>
        <w:t>“There are legal constraints on what they can do since they are not an executing body,”</w:t>
      </w:r>
      <w:r w:rsidRPr="00ED3311">
        <w:rPr>
          <w:sz w:val="14"/>
        </w:rPr>
        <w:t xml:space="preserve"> Fisher said. “What they can do is make assessments and insist on accountability, but they can't do it all themselves.” But</w:t>
      </w:r>
      <w:r w:rsidRPr="00E64AD8">
        <w:rPr>
          <w:rStyle w:val="StyleUnderline"/>
        </w:rPr>
        <w:t xml:space="preserve"> despite limitations, experts remain optimistic that the new oversight board will be both influential</w:t>
      </w:r>
      <w:r>
        <w:rPr>
          <w:rStyle w:val="StyleUnderline"/>
        </w:rPr>
        <w:t xml:space="preserve"> </w:t>
      </w:r>
      <w:r w:rsidRPr="00E64AD8">
        <w:rPr>
          <w:rStyle w:val="StyleUnderline"/>
        </w:rPr>
        <w:t>and effective in guarding against privacy and civil liberties abuses committed in the name of</w:t>
      </w:r>
      <w:r>
        <w:rPr>
          <w:rStyle w:val="StyleUnderline"/>
        </w:rPr>
        <w:t xml:space="preserve"> </w:t>
      </w:r>
      <w:r w:rsidRPr="00E64AD8">
        <w:rPr>
          <w:rStyle w:val="StyleUnderline"/>
        </w:rPr>
        <w:t>counterterrorism.</w:t>
      </w:r>
      <w:r>
        <w:rPr>
          <w:rStyle w:val="StyleUnderline"/>
        </w:rPr>
        <w:t xml:space="preserve"> </w:t>
      </w:r>
      <w:r w:rsidRPr="00E64AD8">
        <w:rPr>
          <w:rStyle w:val="StyleUnderline"/>
        </w:rPr>
        <w:t>“Having an oversight board may give more structure and discipline to some of the national security</w:t>
      </w:r>
      <w:r>
        <w:rPr>
          <w:rStyle w:val="StyleUnderline"/>
        </w:rPr>
        <w:t xml:space="preserve"> </w:t>
      </w:r>
      <w:r w:rsidRPr="00E64AD8">
        <w:rPr>
          <w:rStyle w:val="StyleUnderline"/>
        </w:rPr>
        <w:t>requests for information, and that's a good thing,</w:t>
      </w:r>
      <w:r w:rsidRPr="00ED3311">
        <w:rPr>
          <w:sz w:val="14"/>
        </w:rPr>
        <w:t xml:space="preserve">” Callahan said. </w:t>
      </w:r>
      <w:r w:rsidRPr="00E64AD8">
        <w:rPr>
          <w:rStyle w:val="StyleUnderline"/>
        </w:rPr>
        <w:t>“It will push everyone to take a fresh</w:t>
      </w:r>
      <w:r>
        <w:rPr>
          <w:rStyle w:val="StyleUnderline"/>
        </w:rPr>
        <w:t xml:space="preserve"> </w:t>
      </w:r>
      <w:r w:rsidRPr="00E64AD8">
        <w:rPr>
          <w:rStyle w:val="StyleUnderline"/>
        </w:rPr>
        <w:t>look at what the intelligence community is doing and help to ensure that it is doing the right thing.”</w:t>
      </w:r>
    </w:p>
    <w:p w:rsidR="00ED3311" w:rsidRPr="00215F59" w:rsidRDefault="00ED3311" w:rsidP="00ED3311">
      <w:pPr>
        <w:tabs>
          <w:tab w:val="left" w:pos="7290"/>
        </w:tabs>
      </w:pPr>
    </w:p>
    <w:p w:rsidR="005F2D77" w:rsidRDefault="00ED3311" w:rsidP="005F2D77">
      <w:pPr>
        <w:pStyle w:val="Heading3"/>
      </w:pPr>
      <w:bookmarkStart w:id="19" w:name="_Toc424259094"/>
      <w:r>
        <w:lastRenderedPageBreak/>
        <w:t>A2: Lacks Authority</w:t>
      </w:r>
      <w:bookmarkEnd w:id="19"/>
    </w:p>
    <w:p w:rsidR="0068363E" w:rsidRPr="0068363E" w:rsidRDefault="0068363E" w:rsidP="0068363E"/>
    <w:p w:rsidR="005F2D77" w:rsidRDefault="005F2D77" w:rsidP="00AF1BF7">
      <w:pPr>
        <w:pStyle w:val="Heading4"/>
      </w:pPr>
      <w:r w:rsidRPr="00AA2280">
        <w:t>Comm</w:t>
      </w:r>
      <w:r w:rsidR="000A2CBD">
        <w:t xml:space="preserve">issions have the power to solve </w:t>
      </w:r>
      <w:r w:rsidRPr="00AA2280">
        <w:t>- can be authorized to access relevant tools and information and are required to hold public meetings</w:t>
      </w:r>
    </w:p>
    <w:p w:rsidR="00ED3311" w:rsidRPr="00ED3311" w:rsidRDefault="00ED3311" w:rsidP="00ED3311"/>
    <w:p w:rsidR="005F2D77" w:rsidRDefault="005F2D77" w:rsidP="005F2D77">
      <w:pPr>
        <w:rPr>
          <w:sz w:val="16"/>
        </w:rPr>
      </w:pPr>
      <w:r w:rsidRPr="00F85E34">
        <w:rPr>
          <w:rStyle w:val="StyleStyleBold12pt"/>
        </w:rPr>
        <w:t>Glassman and Straus, 2015</w:t>
      </w:r>
      <w:r w:rsidRPr="00F85E34">
        <w:rPr>
          <w:sz w:val="16"/>
        </w:rPr>
        <w:t xml:space="preserve"> Mathew E. Glassman and Jacob R. Straus are analysts on Congress. (Mathew E. Glassman and Jacob R. Straus, “Congressional Commissions: Overview, Structure, and Legislative Considerations”</w:t>
      </w:r>
      <w:r>
        <w:rPr>
          <w:sz w:val="16"/>
        </w:rPr>
        <w:t>, Pg. 17</w:t>
      </w:r>
      <w:r w:rsidRPr="00F85E34">
        <w:rPr>
          <w:sz w:val="16"/>
        </w:rPr>
        <w:t xml:space="preserve">, 1/27/15, Congressional Research Service, </w:t>
      </w:r>
      <w:hyperlink r:id="rId18" w:history="1">
        <w:r w:rsidR="0068363E" w:rsidRPr="00681FAC">
          <w:rPr>
            <w:rStyle w:val="Hyperlink"/>
            <w:sz w:val="16"/>
          </w:rPr>
          <w:t>https://www.fas.org/sgp/crs/misc/R40076.pdf)//ER</w:t>
        </w:r>
      </w:hyperlink>
    </w:p>
    <w:p w:rsidR="0068363E" w:rsidRPr="009F1CCF" w:rsidRDefault="0068363E" w:rsidP="005F2D77"/>
    <w:p w:rsidR="005F2D77" w:rsidRPr="00693BF5" w:rsidRDefault="005F2D77" w:rsidP="005F2D77">
      <w:pPr>
        <w:rPr>
          <w:sz w:val="16"/>
        </w:rPr>
      </w:pPr>
      <w:r w:rsidRPr="009851CD">
        <w:rPr>
          <w:rStyle w:val="StyleUnderline"/>
        </w:rPr>
        <w:t xml:space="preserve">Most </w:t>
      </w:r>
      <w:r w:rsidRPr="00FE5A1C">
        <w:rPr>
          <w:rStyle w:val="Emphasis"/>
        </w:rPr>
        <w:t>congressional commissions are directed to hold public meetings</w:t>
      </w:r>
      <w:r w:rsidRPr="009851CD">
        <w:rPr>
          <w:rStyle w:val="StyleUnderline"/>
        </w:rPr>
        <w:t xml:space="preserve"> to discuss commission matters</w:t>
      </w:r>
      <w:r w:rsidRPr="00693BF5">
        <w:rPr>
          <w:sz w:val="16"/>
        </w:rPr>
        <w:t xml:space="preserve">, usually at the call of the chair or the majority of the commission. In addition, </w:t>
      </w:r>
      <w:r w:rsidRPr="009851CD">
        <w:rPr>
          <w:rStyle w:val="StyleUnderline"/>
        </w:rPr>
        <w:t xml:space="preserve">most of these </w:t>
      </w:r>
      <w:r w:rsidRPr="001E7161">
        <w:rPr>
          <w:rStyle w:val="Emphasis"/>
        </w:rPr>
        <w:t>congressional commissions are statutorily empowered to hold fact-finding hearings and take testimony from witnesses.  Commissions are occasionally empowered to subpoena witnesses</w:t>
      </w:r>
      <w:r w:rsidRPr="00693BF5">
        <w:rPr>
          <w:sz w:val="16"/>
        </w:rPr>
        <w:t xml:space="preserve">. For example, the proposed Hurricane Katrina Disaster Inquiry Commission60 is authorized to issue subpoenas by agreement of the chair and vice chair, or by the affirmative vote of eight commission members.61 Additional statutory language provides for the enforcement of the subpoenas in federal court. Some commissions are empowered to secure information from federal agencies. For example, the proposed Hurricane Katrina Disaster Inquiry Commission would be authorized to secure directly from any executive department, bureau, agency, board, commission, office, independent establishment, or instrumentality of the government, information, suggestions, estimates, and statistics ... [e]ach department, bureau, agency, board, commission, office, independent establishment, or instrumentality shall, to the extent authorized by law, furnish such information ... upon request made by the chairman.62In addition, Congress occasionally directs specific executive branch agencies to assist a commission in the completion of its work. </w:t>
      </w:r>
      <w:r w:rsidRPr="001E7161">
        <w:rPr>
          <w:rStyle w:val="Emphasis"/>
        </w:rPr>
        <w:t>Commissions may</w:t>
      </w:r>
      <w:r w:rsidRPr="009851CD">
        <w:rPr>
          <w:rStyle w:val="StyleUnderline"/>
        </w:rPr>
        <w:t xml:space="preserve"> also </w:t>
      </w:r>
      <w:r w:rsidRPr="001E7161">
        <w:rPr>
          <w:rStyle w:val="Emphasis"/>
        </w:rPr>
        <w:t>be given the following powers: the authority to contract with public agencies and private firms</w:t>
      </w:r>
      <w:r w:rsidRPr="009851CD">
        <w:rPr>
          <w:rStyle w:val="StyleUnderline"/>
        </w:rPr>
        <w:t xml:space="preserve">, the authority to </w:t>
      </w:r>
      <w:r w:rsidRPr="001E7161">
        <w:rPr>
          <w:rStyle w:val="Emphasis"/>
        </w:rPr>
        <w:t>use the mail</w:t>
      </w:r>
      <w:r w:rsidRPr="009851CD">
        <w:rPr>
          <w:rStyle w:val="StyleUnderline"/>
        </w:rPr>
        <w:t xml:space="preserve">s </w:t>
      </w:r>
      <w:r w:rsidRPr="001E7161">
        <w:rPr>
          <w:rStyle w:val="Emphasis"/>
        </w:rPr>
        <w:t>in the same manner as departments and agencies</w:t>
      </w:r>
      <w:r w:rsidRPr="009851CD">
        <w:rPr>
          <w:rStyle w:val="StyleUnderline"/>
        </w:rPr>
        <w:t xml:space="preserve"> of the United States, and the authority </w:t>
      </w:r>
      <w:r w:rsidRPr="001E7161">
        <w:rPr>
          <w:rStyle w:val="Emphasis"/>
        </w:rPr>
        <w:t>to accept gifts and donations</w:t>
      </w:r>
      <w:r w:rsidRPr="009851CD">
        <w:rPr>
          <w:rStyle w:val="StyleUnderline"/>
        </w:rPr>
        <w:t>.</w:t>
      </w:r>
      <w:r w:rsidRPr="00693BF5">
        <w:rPr>
          <w:sz w:val="16"/>
        </w:rPr>
        <w:t xml:space="preserve"> </w:t>
      </w:r>
    </w:p>
    <w:p w:rsidR="001C3488" w:rsidRDefault="001C3488" w:rsidP="001C3488">
      <w:pPr>
        <w:pStyle w:val="Heading3"/>
      </w:pPr>
      <w:bookmarkStart w:id="20" w:name="_Toc424259095"/>
      <w:r>
        <w:lastRenderedPageBreak/>
        <w:t xml:space="preserve">A2: </w:t>
      </w:r>
      <w:r w:rsidR="00B933E4">
        <w:t>Recommendations not enacted</w:t>
      </w:r>
      <w:bookmarkEnd w:id="20"/>
    </w:p>
    <w:p w:rsidR="00B933E4" w:rsidRDefault="00B933E4" w:rsidP="00B933E4"/>
    <w:p w:rsidR="00B933E4" w:rsidRDefault="00B933E4" w:rsidP="00B933E4">
      <w:pPr>
        <w:pStyle w:val="Heading4"/>
      </w:pPr>
      <w:r>
        <w:t>PCLOB will</w:t>
      </w:r>
      <w:r>
        <w:t xml:space="preserve"> be effective at causing the </w:t>
      </w:r>
      <w:r>
        <w:t>USFG</w:t>
      </w:r>
      <w:r>
        <w:t xml:space="preserve"> to curtail surveillance – unique knowledge over policies, </w:t>
      </w:r>
      <w:r>
        <w:t xml:space="preserve">top secret clearance, and congressional backing. </w:t>
      </w:r>
    </w:p>
    <w:p w:rsidR="00B933E4" w:rsidRDefault="00B933E4" w:rsidP="00B933E4"/>
    <w:p w:rsidR="00B933E4" w:rsidRPr="00ED3311" w:rsidRDefault="00B933E4" w:rsidP="00B933E4">
      <w:pPr>
        <w:rPr>
          <w:rStyle w:val="StyleStyleBold12pt"/>
        </w:rPr>
      </w:pPr>
      <w:r w:rsidRPr="00ED3311">
        <w:rPr>
          <w:rStyle w:val="StyleStyleBold12pt"/>
        </w:rPr>
        <w:t>Grande, 2013</w:t>
      </w:r>
    </w:p>
    <w:p w:rsidR="00B933E4" w:rsidRDefault="00B933E4" w:rsidP="00B933E4">
      <w:r>
        <w:t xml:space="preserve">(Allison, senior reporter at Portfolio Media – citing multiple privacy experts, “Restored Privacy Board Lends Crucial Eye To Data Practices,” </w:t>
      </w:r>
      <w:r>
        <w:rPr>
          <w:i/>
        </w:rPr>
        <w:t>Law 360</w:t>
      </w:r>
      <w:r>
        <w:t xml:space="preserve">, May 9, Online: </w:t>
      </w:r>
      <w:r w:rsidRPr="00ED3311">
        <w:t>http://www.constitutionproject.org/wp-content/uploads/2013/05/5.9.2013_Law360_SBF_PCLOBChair.pdf</w:t>
      </w:r>
      <w:r>
        <w:t>)</w:t>
      </w:r>
    </w:p>
    <w:p w:rsidR="00B933E4" w:rsidRDefault="00B933E4" w:rsidP="00B933E4"/>
    <w:p w:rsidR="00B933E4" w:rsidRPr="00E64AD8" w:rsidRDefault="00B933E4" w:rsidP="00B933E4">
      <w:pPr>
        <w:rPr>
          <w:sz w:val="16"/>
        </w:rPr>
      </w:pPr>
      <w:r w:rsidRPr="00E64AD8">
        <w:rPr>
          <w:rStyle w:val="StyleUnderline"/>
        </w:rPr>
        <w:t>In finally confirming a long-dormant privacy</w:t>
      </w:r>
      <w:r>
        <w:rPr>
          <w:rStyle w:val="StyleUnderline"/>
        </w:rPr>
        <w:t xml:space="preserve"> </w:t>
      </w:r>
      <w:r w:rsidRPr="00E64AD8">
        <w:rPr>
          <w:rStyle w:val="StyleUnderline"/>
        </w:rPr>
        <w:t xml:space="preserve">board's chair </w:t>
      </w:r>
      <w:r w:rsidRPr="00E64AD8">
        <w:rPr>
          <w:sz w:val="16"/>
        </w:rPr>
        <w:t xml:space="preserve">Tuesday, </w:t>
      </w:r>
      <w:r w:rsidRPr="00E64AD8">
        <w:rPr>
          <w:rStyle w:val="StyleUnderline"/>
        </w:rPr>
        <w:t xml:space="preserve">the U.S. Senate restored to full strength an oversight mechanism that </w:t>
      </w:r>
      <w:r w:rsidRPr="00E64AD8">
        <w:rPr>
          <w:sz w:val="16"/>
        </w:rPr>
        <w:t xml:space="preserve">industry watchers say </w:t>
      </w:r>
      <w:r w:rsidRPr="00E64AD8">
        <w:rPr>
          <w:rStyle w:val="StyleUnderline"/>
        </w:rPr>
        <w:t>will change the way both the public and private sectors gather and share information,</w:t>
      </w:r>
      <w:r>
        <w:rPr>
          <w:rStyle w:val="StyleUnderline"/>
        </w:rPr>
        <w:t xml:space="preserve"> </w:t>
      </w:r>
      <w:r w:rsidRPr="00E64AD8">
        <w:rPr>
          <w:rStyle w:val="StyleUnderline"/>
        </w:rPr>
        <w:t>despite the board's lack of resources and binding authority</w:t>
      </w:r>
      <w:r w:rsidRPr="00E64AD8">
        <w:rPr>
          <w:sz w:val="16"/>
        </w:rPr>
        <w:t xml:space="preserve">. Following a nearly two-year delay, the Senate in a 53-45 vote divided along party lines confirmed former WilmerHale partner David Medine to head </w:t>
      </w:r>
      <w:r w:rsidRPr="00E64AD8">
        <w:rPr>
          <w:rStyle w:val="StyleUnderline"/>
        </w:rPr>
        <w:t>the Privacy and Civil Liberties Oversight Board,</w:t>
      </w:r>
      <w:r w:rsidRPr="00E64AD8">
        <w:rPr>
          <w:sz w:val="16"/>
        </w:rPr>
        <w:t xml:space="preserve"> which was last staffed in 2008 and </w:t>
      </w:r>
      <w:r w:rsidRPr="00E64AD8">
        <w:rPr>
          <w:rStyle w:val="StyleUnderline"/>
        </w:rPr>
        <w:t>is tasked with providing a check on the government's use and</w:t>
      </w:r>
      <w:r>
        <w:rPr>
          <w:rStyle w:val="StyleUnderline"/>
        </w:rPr>
        <w:t xml:space="preserve"> </w:t>
      </w:r>
      <w:r w:rsidRPr="00E64AD8">
        <w:rPr>
          <w:rStyle w:val="StyleUnderline"/>
        </w:rPr>
        <w:t>sharing of data for national security purposes.</w:t>
      </w:r>
      <w:r>
        <w:rPr>
          <w:rStyle w:val="StyleUnderline"/>
        </w:rPr>
        <w:t xml:space="preserve"> </w:t>
      </w:r>
      <w:r w:rsidRPr="00E64AD8">
        <w:rPr>
          <w:sz w:val="16"/>
        </w:rPr>
        <w:t xml:space="preserve">While the Senate had confirmed the four other part-time members in August, Republicans had blocked the critical appointment of Medine — the only full-time member who has the power to appoint and fix compensation for staff that will enable the board to carry out its functions — because of concerns about his views on national security statues like the Patriot Act. But with Tuesday's confirmation, </w:t>
      </w:r>
      <w:r w:rsidRPr="00E64AD8">
        <w:rPr>
          <w:rStyle w:val="StyleUnderline"/>
        </w:rPr>
        <w:t>the board can begin to use its subpoena powers to obtain elusive</w:t>
      </w:r>
      <w:r>
        <w:rPr>
          <w:rStyle w:val="StyleUnderline"/>
        </w:rPr>
        <w:t xml:space="preserve"> </w:t>
      </w:r>
      <w:r w:rsidRPr="00E64AD8">
        <w:rPr>
          <w:rStyle w:val="StyleUnderline"/>
        </w:rPr>
        <w:t>information about how the government is using its statutory authority to investigate national security</w:t>
      </w:r>
      <w:r>
        <w:rPr>
          <w:rStyle w:val="StyleUnderline"/>
        </w:rPr>
        <w:t xml:space="preserve"> </w:t>
      </w:r>
      <w:r w:rsidRPr="00E64AD8">
        <w:rPr>
          <w:rStyle w:val="StyleUnderline"/>
        </w:rPr>
        <w:t>threats since the 9/11 terrorist attacks.</w:t>
      </w:r>
      <w:r>
        <w:rPr>
          <w:rStyle w:val="StyleUnderline"/>
        </w:rPr>
        <w:t xml:space="preserve"> </w:t>
      </w:r>
      <w:r w:rsidRPr="00E64AD8">
        <w:rPr>
          <w:rStyle w:val="StyleUnderline"/>
        </w:rPr>
        <w:t>“The PCLOB can now get to full work investigating the rampant secret law of the Obama</w:t>
      </w:r>
      <w:r>
        <w:rPr>
          <w:rStyle w:val="StyleUnderline"/>
        </w:rPr>
        <w:t xml:space="preserve"> </w:t>
      </w:r>
      <w:r w:rsidRPr="00E64AD8">
        <w:rPr>
          <w:rStyle w:val="StyleUnderline"/>
        </w:rPr>
        <w:t>administration, the government's use of national security letters and many of the other core privacy</w:t>
      </w:r>
      <w:r>
        <w:rPr>
          <w:rStyle w:val="StyleUnderline"/>
        </w:rPr>
        <w:t xml:space="preserve"> </w:t>
      </w:r>
      <w:r w:rsidRPr="00E64AD8">
        <w:rPr>
          <w:rStyle w:val="StyleUnderline"/>
        </w:rPr>
        <w:t>problems that continue to fester behind closed doors that the administration has been reluctant to open</w:t>
      </w:r>
      <w:r>
        <w:rPr>
          <w:rStyle w:val="StyleUnderline"/>
        </w:rPr>
        <w:t xml:space="preserve"> </w:t>
      </w:r>
      <w:r w:rsidRPr="00E64AD8">
        <w:rPr>
          <w:rStyle w:val="StyleUnderline"/>
        </w:rPr>
        <w:t>up,</w:t>
      </w:r>
      <w:r w:rsidRPr="00E64AD8">
        <w:rPr>
          <w:sz w:val="16"/>
        </w:rPr>
        <w:t>” Electronic Frontier Foundation policy analyst and legislative assistant Mark M. Jaycox told Law360 on Thursday. At a March meeting, the four active members identified three areas of initial interest: 2008 amendments to the Foreign Intelligence Surveillance Act that allow the government to intercept international communications without individual warrants; authority recently given to the National Counterterrorism Center to request and hold large volumes of data on individuals for up to five years; and an order issued in February that charges the board with assessing the government's information-sharing practices for cybersecurity purposes. “</w:t>
      </w:r>
      <w:r w:rsidRPr="00E64AD8">
        <w:rPr>
          <w:rStyle w:val="StyleUnderline"/>
        </w:rPr>
        <w:t>The very existence of many of these national security programs is classified or little is known, so</w:t>
      </w:r>
      <w:r>
        <w:rPr>
          <w:rStyle w:val="StyleUnderline"/>
        </w:rPr>
        <w:t xml:space="preserve"> </w:t>
      </w:r>
      <w:r w:rsidRPr="00E64AD8">
        <w:rPr>
          <w:rStyle w:val="StyleUnderline"/>
        </w:rPr>
        <w:t>having members of an independent board have the security clearance to look at the privacy and civil</w:t>
      </w:r>
      <w:r>
        <w:rPr>
          <w:rStyle w:val="StyleUnderline"/>
        </w:rPr>
        <w:t xml:space="preserve"> </w:t>
      </w:r>
      <w:r w:rsidRPr="00E64AD8">
        <w:rPr>
          <w:rStyle w:val="StyleUnderline"/>
        </w:rPr>
        <w:t>liberties issues raised by them and make sure that appropriate safeguards are incorporated is critical</w:t>
      </w:r>
      <w:r w:rsidRPr="00E64AD8">
        <w:rPr>
          <w:sz w:val="16"/>
        </w:rPr>
        <w:t xml:space="preserve">,” the Constitution Project's senior counsel Sharon Bradford Franklin, who attended the board's March meeting, said. </w:t>
      </w:r>
      <w:r w:rsidRPr="00E64AD8">
        <w:rPr>
          <w:rStyle w:val="StyleUnderline"/>
        </w:rPr>
        <w:t>The board's oversight activities are likely to have a significant impact not just on the way that the</w:t>
      </w:r>
      <w:r>
        <w:rPr>
          <w:rStyle w:val="StyleUnderline"/>
        </w:rPr>
        <w:t xml:space="preserve"> </w:t>
      </w:r>
      <w:r w:rsidRPr="00E64AD8">
        <w:rPr>
          <w:rStyle w:val="StyleUnderline"/>
        </w:rPr>
        <w:t>government uses the troves of data it collects to protect the country from terrorism, but also on how the</w:t>
      </w:r>
      <w:r>
        <w:rPr>
          <w:rStyle w:val="StyleUnderline"/>
        </w:rPr>
        <w:t xml:space="preserve"> </w:t>
      </w:r>
      <w:r w:rsidRPr="00E64AD8">
        <w:rPr>
          <w:rStyle w:val="StyleUnderline"/>
        </w:rPr>
        <w:t>private sector handles information that is routinely subject to government access requests.</w:t>
      </w:r>
      <w:r>
        <w:rPr>
          <w:rStyle w:val="StyleUnderline"/>
        </w:rPr>
        <w:t xml:space="preserve"> </w:t>
      </w:r>
      <w:r w:rsidRPr="00E64AD8">
        <w:rPr>
          <w:sz w:val="16"/>
        </w:rPr>
        <w:t>“While [the board] was created to have oversight over the federal government's activities, it's likely that some of the information-access questions it deals with will touch the private sector, such as the debate over what the appropriate standard is for accessing emails from third parties, and it's likely that the body could help guide some of the policy decisions of the administration in this area,” Jenner &amp; Block LLP privacy and information governance practice group chair and former U.S. Department of Homeland Security Chief Privacy Officer Mary Ellen Callahan said. While privacy professionals who work primarily in the commercial arena may be inclined to pay little attention to PCLOB because of its focus on government surveillance, this approach may be a mistake, according to Daniel Weitzner, director of the Decentralized Information Group at MIT's Computer Science and Artificial Intelligence Laboratory and former White House deputy chief technology officer for Internet policy. “</w:t>
      </w:r>
      <w:r w:rsidRPr="00E64AD8">
        <w:rPr>
          <w:rStyle w:val="StyleUnderline"/>
        </w:rPr>
        <w:t>The new PCLOB is in a unique position to examine the internal and classified activities of NCTC and</w:t>
      </w:r>
      <w:r>
        <w:rPr>
          <w:rStyle w:val="StyleUnderline"/>
        </w:rPr>
        <w:t xml:space="preserve"> </w:t>
      </w:r>
      <w:r w:rsidRPr="00E64AD8">
        <w:rPr>
          <w:rStyle w:val="StyleUnderline"/>
        </w:rPr>
        <w:t>other intelligence agencies to make sure that they are complying with relevant rules,”</w:t>
      </w:r>
      <w:r w:rsidRPr="00E64AD8">
        <w:rPr>
          <w:sz w:val="16"/>
        </w:rPr>
        <w:t xml:space="preserve"> Weitzner said in a post on the International Association of Privacy Professionals' blog. “And </w:t>
      </w:r>
      <w:r w:rsidRPr="00E64AD8">
        <w:rPr>
          <w:rStyle w:val="StyleUnderline"/>
        </w:rPr>
        <w:t>more likely than not, the</w:t>
      </w:r>
      <w:r>
        <w:rPr>
          <w:rStyle w:val="StyleUnderline"/>
        </w:rPr>
        <w:t xml:space="preserve"> </w:t>
      </w:r>
      <w:r w:rsidRPr="00E64AD8">
        <w:rPr>
          <w:rStyle w:val="StyleUnderline"/>
        </w:rPr>
        <w:t>PCLOB may discover that existing laws are not quite up to the challenge posed by powerful new data</w:t>
      </w:r>
      <w:r>
        <w:rPr>
          <w:rStyle w:val="StyleUnderline"/>
        </w:rPr>
        <w:t xml:space="preserve"> </w:t>
      </w:r>
      <w:r w:rsidRPr="00E64AD8">
        <w:rPr>
          <w:rStyle w:val="StyleUnderline"/>
        </w:rPr>
        <w:t>analytic tools.”</w:t>
      </w:r>
      <w:r>
        <w:rPr>
          <w:rStyle w:val="StyleUnderline"/>
        </w:rPr>
        <w:t xml:space="preserve"> </w:t>
      </w:r>
      <w:r w:rsidRPr="00E64AD8">
        <w:rPr>
          <w:rStyle w:val="StyleUnderline"/>
        </w:rPr>
        <w:t>A change in the law would not only have an impact on federal agencies, but also on companies that are</w:t>
      </w:r>
      <w:r>
        <w:rPr>
          <w:rStyle w:val="StyleUnderline"/>
        </w:rPr>
        <w:t xml:space="preserve"> </w:t>
      </w:r>
      <w:r w:rsidRPr="00E64AD8">
        <w:rPr>
          <w:rStyle w:val="StyleUnderline"/>
        </w:rPr>
        <w:t>using similar “big data” practices to discover and link sensitive information about individuals</w:t>
      </w:r>
      <w:r w:rsidRPr="00E64AD8">
        <w:rPr>
          <w:sz w:val="16"/>
        </w:rPr>
        <w:t xml:space="preserve">, Weitzner said. </w:t>
      </w:r>
      <w:r w:rsidRPr="00E64AD8">
        <w:rPr>
          <w:rStyle w:val="StyleUnderline"/>
        </w:rPr>
        <w:t xml:space="preserve">“As the PCLOB comes face-to-face with some of the </w:t>
      </w:r>
      <w:r w:rsidRPr="00E64AD8">
        <w:rPr>
          <w:rStyle w:val="StyleUnderline"/>
        </w:rPr>
        <w:lastRenderedPageBreak/>
        <w:t>more challenging questions of how to monitor</w:t>
      </w:r>
      <w:r>
        <w:rPr>
          <w:rStyle w:val="StyleUnderline"/>
        </w:rPr>
        <w:t xml:space="preserve"> </w:t>
      </w:r>
      <w:r w:rsidRPr="00E64AD8">
        <w:rPr>
          <w:rStyle w:val="StyleUnderline"/>
        </w:rPr>
        <w:t>privacy practices in new Big Data environments, the entire privacy community ought to be paying</w:t>
      </w:r>
      <w:r>
        <w:rPr>
          <w:rStyle w:val="StyleUnderline"/>
        </w:rPr>
        <w:t xml:space="preserve"> </w:t>
      </w:r>
      <w:r w:rsidRPr="00E64AD8">
        <w:rPr>
          <w:rStyle w:val="StyleUnderline"/>
        </w:rPr>
        <w:t>attention,”</w:t>
      </w:r>
      <w:r w:rsidRPr="00E64AD8">
        <w:rPr>
          <w:sz w:val="16"/>
        </w:rPr>
        <w:t xml:space="preserve"> he said.</w:t>
      </w:r>
    </w:p>
    <w:p w:rsidR="00B933E4" w:rsidRPr="00B933E4" w:rsidRDefault="00B933E4" w:rsidP="00B933E4"/>
    <w:p w:rsidR="00B933E4" w:rsidRDefault="00B933E4" w:rsidP="00B933E4">
      <w:pPr>
        <w:pStyle w:val="Heading3"/>
      </w:pPr>
      <w:bookmarkStart w:id="21" w:name="_Toc424259096"/>
      <w:r>
        <w:lastRenderedPageBreak/>
        <w:t>A2: Recommendations not enacted</w:t>
      </w:r>
      <w:bookmarkEnd w:id="21"/>
    </w:p>
    <w:p w:rsidR="001C3488" w:rsidRPr="0068363E" w:rsidRDefault="001C3488" w:rsidP="001C3488"/>
    <w:p w:rsidR="001C3488" w:rsidRDefault="001C3488" w:rsidP="00AF1BF7">
      <w:pPr>
        <w:pStyle w:val="Heading4"/>
      </w:pPr>
      <w:r w:rsidRPr="00AA2280">
        <w:t xml:space="preserve">Commissions </w:t>
      </w:r>
      <w:r>
        <w:t xml:space="preserve">generate public interest – results in policy change. </w:t>
      </w:r>
    </w:p>
    <w:p w:rsidR="001C3488" w:rsidRPr="00ED3311" w:rsidRDefault="001C3488" w:rsidP="001C3488"/>
    <w:p w:rsidR="001C3488" w:rsidRDefault="001C3488" w:rsidP="001C3488">
      <w:pPr>
        <w:rPr>
          <w:sz w:val="16"/>
        </w:rPr>
      </w:pPr>
      <w:r w:rsidRPr="00F85E34">
        <w:rPr>
          <w:rStyle w:val="StyleStyleBold12pt"/>
        </w:rPr>
        <w:t>Glassman and Straus, 2015</w:t>
      </w:r>
      <w:r w:rsidRPr="00F85E34">
        <w:rPr>
          <w:sz w:val="16"/>
        </w:rPr>
        <w:t xml:space="preserve"> Mathew E. Glassman and Jacob R. Straus are analysts on Congress. (Mathew E. Glassman and Jacob R. Straus, “Congressional Commissions: Overview, Structure, and Legislative Considerations”,</w:t>
      </w:r>
      <w:r>
        <w:rPr>
          <w:sz w:val="16"/>
        </w:rPr>
        <w:t xml:space="preserve"> Pg.8-9,</w:t>
      </w:r>
      <w:r w:rsidRPr="00F85E34">
        <w:rPr>
          <w:sz w:val="16"/>
        </w:rPr>
        <w:t xml:space="preserve"> 1/27/15, Congressional Research Service, </w:t>
      </w:r>
      <w:hyperlink r:id="rId19" w:history="1">
        <w:r w:rsidRPr="00681FAC">
          <w:rPr>
            <w:rStyle w:val="Hyperlink"/>
            <w:sz w:val="16"/>
          </w:rPr>
          <w:t>https://www.fas.org/sgp/crs/misc/R40076.pdf)//ER</w:t>
        </w:r>
      </w:hyperlink>
    </w:p>
    <w:p w:rsidR="001C3488" w:rsidRPr="00FC4DA2" w:rsidRDefault="001C3488" w:rsidP="001C3488">
      <w:pPr>
        <w:rPr>
          <w:rStyle w:val="Heading4Char"/>
          <w:rFonts w:eastAsiaTheme="minorHAnsi" w:cstheme="minorBidi"/>
          <w:b w:val="0"/>
          <w:iCs w:val="0"/>
          <w:sz w:val="22"/>
        </w:rPr>
      </w:pPr>
    </w:p>
    <w:p w:rsidR="001C3488" w:rsidRDefault="001C3488" w:rsidP="001C3488">
      <w:pPr>
        <w:rPr>
          <w:sz w:val="16"/>
        </w:rPr>
      </w:pPr>
      <w:r w:rsidRPr="00745BBE">
        <w:rPr>
          <w:sz w:val="16"/>
        </w:rPr>
        <w:t xml:space="preserve"> </w:t>
      </w:r>
      <w:r w:rsidRPr="00003C23">
        <w:rPr>
          <w:rStyle w:val="StyleUnderline"/>
        </w:rPr>
        <w:t xml:space="preserve">By establishing a commission, Congress can often provide </w:t>
      </w:r>
      <w:r w:rsidRPr="00D92182">
        <w:rPr>
          <w:rStyle w:val="Emphasis"/>
        </w:rPr>
        <w:t>a highly visible forum for important issues</w:t>
      </w:r>
      <w:r w:rsidRPr="00003C23">
        <w:rPr>
          <w:rStyle w:val="StyleUnderline"/>
        </w:rPr>
        <w:t xml:space="preserve"> that might otherwise receive scant attention from the public</w:t>
      </w:r>
      <w:r w:rsidRPr="00745BBE">
        <w:rPr>
          <w:sz w:val="16"/>
        </w:rPr>
        <w:t xml:space="preserve">.38 </w:t>
      </w:r>
      <w:r w:rsidRPr="00003C23">
        <w:rPr>
          <w:rStyle w:val="StyleUnderline"/>
        </w:rPr>
        <w:t>Commissions often are</w:t>
      </w:r>
      <w:r w:rsidRPr="00EF6778">
        <w:rPr>
          <w:rStyle w:val="StyleUnderline"/>
        </w:rPr>
        <w:t xml:space="preserve"> </w:t>
      </w:r>
      <w:r w:rsidRPr="00003C23">
        <w:rPr>
          <w:rStyle w:val="StyleUnderline"/>
        </w:rPr>
        <w:t xml:space="preserve">composed of </w:t>
      </w:r>
      <w:r w:rsidRPr="00003C23">
        <w:rPr>
          <w:rStyle w:val="Emphasis"/>
        </w:rPr>
        <w:t>notable public figures, allow</w:t>
      </w:r>
      <w:r w:rsidRPr="006F3EEC">
        <w:rPr>
          <w:rStyle w:val="Emphasis"/>
        </w:rPr>
        <w:t xml:space="preserve">ing personal </w:t>
      </w:r>
      <w:r w:rsidRPr="00003C23">
        <w:rPr>
          <w:rStyle w:val="Emphasis"/>
        </w:rPr>
        <w:t>prestige to be transferred to policy solutions</w:t>
      </w:r>
      <w:r w:rsidRPr="00003C23">
        <w:rPr>
          <w:rStyle w:val="StyleUnderline"/>
        </w:rPr>
        <w:t>.</w:t>
      </w:r>
      <w:r w:rsidRPr="00745BBE">
        <w:rPr>
          <w:sz w:val="16"/>
        </w:rPr>
        <w:t xml:space="preserve">39 </w:t>
      </w:r>
      <w:r w:rsidRPr="006F3EEC">
        <w:rPr>
          <w:rStyle w:val="StyleUnderline"/>
        </w:rPr>
        <w:t>M</w:t>
      </w:r>
      <w:r w:rsidRPr="00444A28">
        <w:rPr>
          <w:rStyle w:val="StyleUnderline"/>
        </w:rPr>
        <w:t xml:space="preserve">eetings and press releases from a commission may receive significantly more attention in the media than corresponding information coming directly from members of congressional committees. </w:t>
      </w:r>
      <w:r w:rsidRPr="00745BBE">
        <w:rPr>
          <w:sz w:val="16"/>
        </w:rPr>
        <w:t xml:space="preserve">Upon completion of a commission’s work product, public attention may be temporarily focused on a topic that otherwise would receive scant attention, </w:t>
      </w:r>
      <w:r w:rsidRPr="00444A28">
        <w:rPr>
          <w:rStyle w:val="StyleUnderline"/>
        </w:rPr>
        <w:t>thus increasing the probability of congressional action within the policy area.</w:t>
      </w:r>
      <w:r w:rsidRPr="00745BBE">
        <w:rPr>
          <w:sz w:val="16"/>
        </w:rPr>
        <w:t>40</w:t>
      </w:r>
    </w:p>
    <w:p w:rsidR="001C3488" w:rsidRDefault="001C3488" w:rsidP="001C3488">
      <w:pPr>
        <w:rPr>
          <w:sz w:val="16"/>
        </w:rPr>
      </w:pPr>
    </w:p>
    <w:p w:rsidR="001C3488" w:rsidRPr="00215F59" w:rsidRDefault="001C3488" w:rsidP="001C3488">
      <w:pPr>
        <w:pStyle w:val="Heading3"/>
        <w:spacing w:before="0"/>
        <w:rPr>
          <w:rFonts w:cs="Arial"/>
        </w:rPr>
      </w:pPr>
      <w:bookmarkStart w:id="22" w:name="_Toc424259097"/>
      <w:r>
        <w:rPr>
          <w:rFonts w:cs="Arial"/>
        </w:rPr>
        <w:lastRenderedPageBreak/>
        <w:t>A2: Recommendations Ignored</w:t>
      </w:r>
      <w:bookmarkEnd w:id="22"/>
    </w:p>
    <w:p w:rsidR="001C3488" w:rsidRPr="00215F59" w:rsidRDefault="001C3488" w:rsidP="001C3488"/>
    <w:p w:rsidR="001C3488" w:rsidRPr="00215F59" w:rsidRDefault="001C3488" w:rsidP="00AF1BF7">
      <w:pPr>
        <w:pStyle w:val="Heading4"/>
      </w:pPr>
      <w:r>
        <w:t xml:space="preserve">PCLOB recommendations have historically been adopted so far. </w:t>
      </w:r>
    </w:p>
    <w:p w:rsidR="001C3488" w:rsidRPr="00215F59" w:rsidRDefault="001C3488" w:rsidP="001C3488"/>
    <w:p w:rsidR="001C3488" w:rsidRDefault="001C3488" w:rsidP="001C3488">
      <w:pPr>
        <w:rPr>
          <w:rStyle w:val="StyleStyleBold12pt"/>
        </w:rPr>
      </w:pPr>
      <w:r>
        <w:rPr>
          <w:rStyle w:val="StyleStyleBold12pt"/>
        </w:rPr>
        <w:t>Franklin, 20</w:t>
      </w:r>
      <w:r w:rsidRPr="00215F59">
        <w:rPr>
          <w:rStyle w:val="StyleStyleBold12pt"/>
        </w:rPr>
        <w:t xml:space="preserve">15 </w:t>
      </w:r>
    </w:p>
    <w:p w:rsidR="001C3488" w:rsidRPr="005B7A08" w:rsidRDefault="001C3488" w:rsidP="001C3488">
      <w:r w:rsidRPr="005B7A08">
        <w:t xml:space="preserve">(Sharon Bradford, Executive Director of Privacy and Civil Liberties Oversight Board, 1/29/15, Fact Sheet: PCLOB Recommendations and Their Implementation, </w:t>
      </w:r>
      <w:hyperlink r:id="rId20" w:history="1">
        <w:r w:rsidRPr="005B7A08">
          <w:rPr>
            <w:rStyle w:val="Hyperlink"/>
          </w:rPr>
          <w:t>https://www.pclob.gov/newsroom/20150129.html</w:t>
        </w:r>
      </w:hyperlink>
      <w:r w:rsidRPr="005B7A08">
        <w:t>)</w:t>
      </w:r>
    </w:p>
    <w:p w:rsidR="001C3488" w:rsidRPr="00215F59" w:rsidRDefault="001C3488" w:rsidP="001C3488"/>
    <w:p w:rsidR="001C3488" w:rsidRPr="00215F59" w:rsidRDefault="001C3488" w:rsidP="001C3488">
      <w:pPr>
        <w:rPr>
          <w:rStyle w:val="StyleUnderline"/>
        </w:rPr>
      </w:pPr>
      <w:r w:rsidRPr="00215F59">
        <w:rPr>
          <w:sz w:val="16"/>
        </w:rPr>
        <w:t xml:space="preserve">In January and July of 2014, the Privacy and Civil Liberties Board issued detailed reports on two government intelligence surveillance programs. The first report addressed the NSA’s bulk collection of telephone calling records under Section 215 of the USA PATRIOT Act, as well as the operations of the Foreign Intelligence Surveillance Court and transparency regarding surveillance. The second report addressed surveillance under Section 702 of the Foreign Intelligence Surveillance Act, which authorizes collection by the NSA, CIA, and FBI of the contents of communications of non-U.S. persons reasonably believed to be located outside the United States. Between the two reports, the Board made twenty-two recommendations to the President, Congress, and the Foreign Intelligence Surveillance Court to enhance the protection of privacy and civil liberties. The Board has now assessed how fully its recommendations have been adopted to date, and its conclusions are as follows: </w:t>
      </w:r>
      <w:r w:rsidRPr="00215F59">
        <w:rPr>
          <w:rStyle w:val="StyleUnderline"/>
        </w:rPr>
        <w:t>• Overall, the Administration has been responsive to the Board’s input. The Administration has accepted virtually all recommendations in the Board’s Section 702 report and has made substantial progress toward implementing many of them, while also accepting most of the recommendations in the Board’s Section 215 report.</w:t>
      </w:r>
      <w:r w:rsidRPr="00215F59">
        <w:rPr>
          <w:sz w:val="16"/>
        </w:rPr>
        <w:t xml:space="preserve"> • Most recommendations directed at the Administration are still in the process of being implemented, however, or have only been accepted in principle, without substantial progress yet made toward their implementation. We note that only six months have elapsed since the release of the Section 702 report, so there has been less time for implementation. • However, the Administration has not halted the NSA’s Section 215 telephone records program, which it could do at any time without congressional involvement, but instead has continued the program, with modifications. At the same time, the Administration has supported legislation, which has not yet been enacted, to create a new system for government access to telephone records under Section 215. • Congress has not yet enacted legislation that would, consistent with the Board’s recommendation, reform the operations of the Foreign Intelligence Surveillance Court. </w:t>
      </w:r>
      <w:r w:rsidRPr="00215F59">
        <w:rPr>
          <w:rStyle w:val="StyleUnderline"/>
        </w:rPr>
        <w:t>• The Administration has made substantial progress in implementing some of the Board’s recommendations regarding transparency. • The Board has established a productive relationship with elements of the Intelligence Community and looks forward to working constructively with them on the implementation of its recommendations.</w:t>
      </w:r>
    </w:p>
    <w:p w:rsidR="001C3488" w:rsidRPr="00215F59" w:rsidRDefault="001C3488" w:rsidP="001C3488">
      <w:pPr>
        <w:rPr>
          <w:rFonts w:eastAsia="Times New Roman"/>
          <w:sz w:val="16"/>
          <w:szCs w:val="26"/>
          <w:lang w:val="en"/>
        </w:rPr>
      </w:pPr>
    </w:p>
    <w:p w:rsidR="001456D7" w:rsidRDefault="001456D7" w:rsidP="001456D7">
      <w:pPr>
        <w:pStyle w:val="Heading2"/>
      </w:pPr>
      <w:bookmarkStart w:id="23" w:name="_Toc424259098"/>
      <w:r>
        <w:lastRenderedPageBreak/>
        <w:t>Accountability NB</w:t>
      </w:r>
      <w:bookmarkEnd w:id="23"/>
    </w:p>
    <w:p w:rsidR="001456D7" w:rsidRPr="000A3B07" w:rsidRDefault="001456D7" w:rsidP="001456D7"/>
    <w:p w:rsidR="001456D7" w:rsidRDefault="003B3634" w:rsidP="001456D7">
      <w:pPr>
        <w:pStyle w:val="Heading3"/>
      </w:pPr>
      <w:bookmarkStart w:id="24" w:name="_Toc424259099"/>
      <w:r>
        <w:lastRenderedPageBreak/>
        <w:t>1NC Net Benefit: Civic Engagement</w:t>
      </w:r>
      <w:bookmarkEnd w:id="24"/>
    </w:p>
    <w:p w:rsidR="001456D7" w:rsidRPr="00647F11" w:rsidRDefault="001456D7" w:rsidP="001456D7"/>
    <w:p w:rsidR="001456D7" w:rsidRDefault="003B3634" w:rsidP="00AF1BF7">
      <w:pPr>
        <w:pStyle w:val="Heading4"/>
        <w:rPr>
          <w:rStyle w:val="StyleStyleBold12pt"/>
        </w:rPr>
      </w:pPr>
      <w:r>
        <w:t xml:space="preserve">Government transparency is key to civic engagement – well informed citizens are better equipped to participate in democratic deliberation about policy.   </w:t>
      </w:r>
    </w:p>
    <w:p w:rsidR="001456D7" w:rsidRPr="00647F11" w:rsidRDefault="001456D7" w:rsidP="001456D7"/>
    <w:p w:rsidR="001456D7" w:rsidRPr="00647F11" w:rsidRDefault="001456D7" w:rsidP="001456D7">
      <w:pPr>
        <w:rPr>
          <w:rStyle w:val="StyleStyleBold12pt"/>
        </w:rPr>
      </w:pPr>
      <w:r w:rsidRPr="00647F11">
        <w:rPr>
          <w:rStyle w:val="StyleStyleBold12pt"/>
        </w:rPr>
        <w:t xml:space="preserve">Schneier, 2013 </w:t>
      </w:r>
    </w:p>
    <w:p w:rsidR="001456D7" w:rsidRDefault="001456D7" w:rsidP="001456D7">
      <w:r>
        <w:t xml:space="preserve">(Bruce, Fellow at the Berkman Center for Internet &amp; Society at Harvard Law School, “NSA Secrets Kill Our Trust,” July 31, </w:t>
      </w:r>
      <w:hyperlink r:id="rId21" w:history="1">
        <w:r w:rsidRPr="00FD77E7">
          <w:rPr>
            <w:rStyle w:val="Hyperlink"/>
          </w:rPr>
          <w:t>https://www.schneier.com/essays/archives/2013/07/nsa_secrets_kill_our.html</w:t>
        </w:r>
      </w:hyperlink>
      <w:r>
        <w:t>)</w:t>
      </w:r>
    </w:p>
    <w:p w:rsidR="001456D7" w:rsidRDefault="001456D7" w:rsidP="001456D7"/>
    <w:p w:rsidR="001456D7" w:rsidRPr="001D54D0" w:rsidRDefault="001456D7" w:rsidP="001456D7">
      <w:pPr>
        <w:rPr>
          <w:rStyle w:val="StyleUnderline"/>
        </w:rPr>
      </w:pPr>
      <w:r w:rsidRPr="00647F11">
        <w:rPr>
          <w:sz w:val="16"/>
        </w:rPr>
        <w:t xml:space="preserve">Both </w:t>
      </w:r>
      <w:r w:rsidRPr="00E73F02">
        <w:rPr>
          <w:rStyle w:val="StyleUnderline"/>
        </w:rPr>
        <w:t>government agencies</w:t>
      </w:r>
      <w:r w:rsidRPr="00647F11">
        <w:rPr>
          <w:sz w:val="16"/>
        </w:rPr>
        <w:t xml:space="preserve"> and corporations </w:t>
      </w:r>
      <w:r w:rsidRPr="00E73F02">
        <w:rPr>
          <w:rStyle w:val="StyleUnderline"/>
        </w:rPr>
        <w:t>have cloaked themselves in so much secrecy that it's impossible to verify anything they say</w:t>
      </w:r>
      <w:r w:rsidRPr="00647F11">
        <w:rPr>
          <w:sz w:val="16"/>
        </w:rPr>
        <w:t xml:space="preserve">; revelation after revelation demonstrates that </w:t>
      </w:r>
      <w:r w:rsidRPr="00647F11">
        <w:rPr>
          <w:rStyle w:val="StyleStyleBold12pt"/>
          <w:sz w:val="16"/>
        </w:rPr>
        <w:t>they've been lying to us regularly and tell the truth only when there's no alternative.</w:t>
      </w:r>
      <w:r w:rsidRPr="00647F11">
        <w:rPr>
          <w:sz w:val="16"/>
        </w:rPr>
        <w:t xml:space="preserve"> There's much more to come. Right now, the press has published only a tiny percentage of the documents Snowden took with him. And Snowden's files are only a tiny percentage of the number of secrets our government is keeping, awaiting the next whistle-blower. Ronald Reagan once said "trust but verify." That works only if we can verify. </w:t>
      </w:r>
      <w:r w:rsidRPr="003376DA">
        <w:rPr>
          <w:rStyle w:val="StyleUnderline"/>
        </w:rPr>
        <w:t>In a world where everyone lies to us all the time, we have no choice but to trust blindly</w:t>
      </w:r>
      <w:r w:rsidRPr="00647F11">
        <w:rPr>
          <w:sz w:val="16"/>
        </w:rPr>
        <w:t xml:space="preserve">, and we have no reason to believe that anyone is worthy of blind trust. It's no wonder that most people are ignoring the story; it's just too much cognitive dissonance to try to cope with it. </w:t>
      </w:r>
      <w:r w:rsidRPr="00E93707">
        <w:rPr>
          <w:rStyle w:val="StyleUnderline"/>
        </w:rPr>
        <w:t>This sort of thing can destroy our country. Trust is essential in our society. And if we can't trust</w:t>
      </w:r>
      <w:r w:rsidRPr="00647F11">
        <w:rPr>
          <w:sz w:val="16"/>
        </w:rPr>
        <w:t xml:space="preserve"> either </w:t>
      </w:r>
      <w:r w:rsidRPr="00647F11">
        <w:rPr>
          <w:rStyle w:val="StyleStyleBold12pt"/>
          <w:sz w:val="16"/>
        </w:rPr>
        <w:t>our government</w:t>
      </w:r>
      <w:r w:rsidRPr="00647F11">
        <w:rPr>
          <w:sz w:val="16"/>
        </w:rPr>
        <w:t xml:space="preserve"> or the corporations </w:t>
      </w:r>
      <w:r w:rsidRPr="00E93707">
        <w:rPr>
          <w:rStyle w:val="StyleUnderline"/>
        </w:rPr>
        <w:t>that have intimate access into so much of our lives, society suffers. Study after study demonstrates the value of living in a high-trust society and the costs of living in a low-trust one.</w:t>
      </w:r>
      <w:r w:rsidRPr="00647F11">
        <w:rPr>
          <w:sz w:val="16"/>
        </w:rPr>
        <w:t xml:space="preserve"> Rebuilding trust is not easy, as anyone who has betrayed or been betrayed by a friend or lover knows, but </w:t>
      </w:r>
      <w:r w:rsidRPr="00E93707">
        <w:rPr>
          <w:rStyle w:val="StyleUnderline"/>
        </w:rPr>
        <w:t>the path involves transparency, oversight and accountability. Transparency first involves coming clean.</w:t>
      </w:r>
      <w:r w:rsidRPr="00647F11">
        <w:rPr>
          <w:sz w:val="16"/>
        </w:rPr>
        <w:t xml:space="preserve"> Not a little bit at a time, </w:t>
      </w:r>
      <w:r w:rsidRPr="00E93707">
        <w:rPr>
          <w:rStyle w:val="StyleUnderline"/>
        </w:rPr>
        <w:t>not only when you have to, but complete disclosure about everything.</w:t>
      </w:r>
      <w:r w:rsidRPr="00647F11">
        <w:rPr>
          <w:sz w:val="16"/>
        </w:rPr>
        <w:t xml:space="preserve"> Then </w:t>
      </w:r>
      <w:r w:rsidRPr="00E93707">
        <w:rPr>
          <w:rStyle w:val="StyleUnderline"/>
        </w:rPr>
        <w:t>it involves continuing disclosure. No more secret rulings by secret courts about secret laws. No more secret programs whose costs and benefits remain hidden. Oversight involves meaningful constraints on the NSA</w:t>
      </w:r>
      <w:r w:rsidRPr="00647F11">
        <w:rPr>
          <w:sz w:val="16"/>
        </w:rPr>
        <w:t xml:space="preserve">, the FBI and others. </w:t>
      </w:r>
      <w:r w:rsidRPr="003B3634">
        <w:rPr>
          <w:rStyle w:val="StyleUnderline"/>
        </w:rPr>
        <w:t>This will be a combination of things</w:t>
      </w:r>
      <w:r w:rsidRPr="00647F11">
        <w:rPr>
          <w:sz w:val="16"/>
        </w:rPr>
        <w:t xml:space="preserve">: a court system that acts as </w:t>
      </w:r>
      <w:r w:rsidRPr="003B3634">
        <w:rPr>
          <w:rStyle w:val="StyleUnderline"/>
        </w:rPr>
        <w:t>a third-party advocate for the rule of law rather than a rubber-stamp organization, a legislature that understands what these organizations are doing and regularly debates requests for increased power, and vibrant public-sector watchdog groups that analyze and debate the government's actions</w:t>
      </w:r>
      <w:r w:rsidRPr="00647F11">
        <w:rPr>
          <w:sz w:val="16"/>
        </w:rPr>
        <w:t xml:space="preserve">. </w:t>
      </w:r>
      <w:r w:rsidRPr="001D54D0">
        <w:rPr>
          <w:rStyle w:val="StyleUnderline"/>
        </w:rPr>
        <w:t>Accountability means that those who break the law</w:t>
      </w:r>
      <w:r w:rsidRPr="00647F11">
        <w:rPr>
          <w:sz w:val="16"/>
        </w:rPr>
        <w:t xml:space="preserve">, lie to Congress or deceive the American people </w:t>
      </w:r>
      <w:r w:rsidRPr="001D54D0">
        <w:rPr>
          <w:rStyle w:val="StyleUnderline"/>
        </w:rPr>
        <w:t>are held accountable. The NSA has gone rogue, and</w:t>
      </w:r>
      <w:r w:rsidRPr="00647F11">
        <w:rPr>
          <w:sz w:val="16"/>
        </w:rPr>
        <w:t xml:space="preserve"> while it's probably not possible to prosecute people for what they did under the enormous veil of secrecy it currently enjoys, we </w:t>
      </w:r>
      <w:r w:rsidRPr="001D54D0">
        <w:rPr>
          <w:rStyle w:val="StyleUnderline"/>
        </w:rPr>
        <w:t>need to make it clear that this behavior will not be tolerated in the future.</w:t>
      </w:r>
      <w:r w:rsidRPr="00647F11">
        <w:rPr>
          <w:sz w:val="16"/>
        </w:rPr>
        <w:t xml:space="preserve"> Accountability also means voting, which means </w:t>
      </w:r>
      <w:r w:rsidRPr="001D54D0">
        <w:rPr>
          <w:rStyle w:val="StyleUnderline"/>
        </w:rPr>
        <w:t>voters need to know what our leaders are doing in our name. This is the only way we can restore trust.</w:t>
      </w:r>
      <w:r w:rsidRPr="00647F11">
        <w:rPr>
          <w:sz w:val="16"/>
        </w:rPr>
        <w:t xml:space="preserve"> A market economy doesn't work unless consumers can make intelligent buying decisions based on accurate product information. That's why we have agencies like the FDA, truth-in-packaging laws and prohibitions against false advertising. In the same way, </w:t>
      </w:r>
      <w:r w:rsidRPr="001D54D0">
        <w:rPr>
          <w:rStyle w:val="StyleUnderline"/>
        </w:rPr>
        <w:t>democracy can't work unless voters know what the government is doing in their name. That's why we have open-government laws. Secret courts making secret rulings on secret laws</w:t>
      </w:r>
      <w:r w:rsidRPr="00647F11">
        <w:rPr>
          <w:sz w:val="16"/>
        </w:rPr>
        <w:t xml:space="preserve">, and companies flagrantly lying to consumers about the insecurity of their products and services, </w:t>
      </w:r>
      <w:r w:rsidRPr="001D54D0">
        <w:rPr>
          <w:rStyle w:val="StyleUnderline"/>
        </w:rPr>
        <w:t>undermine the very foundations of our society.</w:t>
      </w:r>
    </w:p>
    <w:p w:rsidR="001456D7" w:rsidRDefault="001456D7" w:rsidP="001456D7"/>
    <w:p w:rsidR="003B3634" w:rsidRDefault="003B3634" w:rsidP="001456D7"/>
    <w:p w:rsidR="004252A9" w:rsidRDefault="003B3634" w:rsidP="00AF1BF7">
      <w:pPr>
        <w:pStyle w:val="Heading4"/>
      </w:pPr>
      <w:r>
        <w:t xml:space="preserve">The impact is extinction – consolidation of political decisionmaking in elite hands </w:t>
      </w:r>
      <w:r w:rsidR="00A10D6A">
        <w:t>increases the risk of</w:t>
      </w:r>
      <w:r>
        <w:t xml:space="preserve"> every </w:t>
      </w:r>
      <w:r w:rsidR="00A10D6A">
        <w:t>existential</w:t>
      </w:r>
      <w:r>
        <w:t xml:space="preserve"> </w:t>
      </w:r>
      <w:r w:rsidR="00A10D6A">
        <w:t>threat</w:t>
      </w:r>
      <w:r>
        <w:t xml:space="preserve"> we face today. </w:t>
      </w:r>
    </w:p>
    <w:p w:rsidR="003B3634" w:rsidRPr="003B3634" w:rsidRDefault="003B3634" w:rsidP="003B3634"/>
    <w:p w:rsidR="004252A9" w:rsidRPr="004252A9" w:rsidRDefault="004252A9" w:rsidP="004252A9">
      <w:pPr>
        <w:rPr>
          <w:rStyle w:val="StyleStyleBold12pt"/>
        </w:rPr>
      </w:pPr>
      <w:r w:rsidRPr="004252A9">
        <w:rPr>
          <w:rStyle w:val="StyleStyleBold12pt"/>
        </w:rPr>
        <w:t xml:space="preserve">Boggs, </w:t>
      </w:r>
      <w:r>
        <w:rPr>
          <w:rStyle w:val="StyleStyleBold12pt"/>
        </w:rPr>
        <w:t>19</w:t>
      </w:r>
      <w:r w:rsidRPr="004252A9">
        <w:rPr>
          <w:rStyle w:val="StyleStyleBold12pt"/>
        </w:rPr>
        <w:t xml:space="preserve">97  </w:t>
      </w:r>
    </w:p>
    <w:p w:rsidR="004252A9" w:rsidRDefault="004252A9" w:rsidP="004252A9">
      <w:r>
        <w:t xml:space="preserve">(Carl, “The Great Retreat: Decline of the Public Sphere in Late Twentieth-Century America” </w:t>
      </w:r>
      <w:r w:rsidRPr="004252A9">
        <w:rPr>
          <w:i/>
        </w:rPr>
        <w:t>Theory and Society</w:t>
      </w:r>
      <w:r>
        <w:t>, Vol. 26, No. 6 (Dec., 1997), pp. 741-780)</w:t>
      </w:r>
    </w:p>
    <w:p w:rsidR="004252A9" w:rsidRDefault="004252A9" w:rsidP="004252A9"/>
    <w:p w:rsidR="004252A9" w:rsidRPr="0019485A" w:rsidRDefault="004252A9" w:rsidP="004252A9">
      <w:pPr>
        <w:rPr>
          <w:sz w:val="14"/>
        </w:rPr>
      </w:pPr>
      <w:r w:rsidRPr="0019485A">
        <w:rPr>
          <w:rStyle w:val="StyleUnderline"/>
        </w:rPr>
        <w:t>The decline of the public sphere in late twentieth-century America poses a series of great dilemmas and challenges</w:t>
      </w:r>
      <w:r w:rsidRPr="0019485A">
        <w:rPr>
          <w:sz w:val="14"/>
        </w:rPr>
        <w:t xml:space="preserve">. Many ideological currents scrutinized here - localism, metaphysics, spontaneism, postmodernism, Deep Ecology - intersect with and reinforce each other. While these currents have deep origins in popular movements of the 1960s and 1970s, they remain very much alive in the 1990s. Despite their </w:t>
      </w:r>
      <w:r w:rsidRPr="0019485A">
        <w:rPr>
          <w:sz w:val="14"/>
        </w:rPr>
        <w:lastRenderedPageBreak/>
        <w:t>different outlooks and trajectories, they all share one thing in common: a depoliticized expression of struggles to combat and overcome alienation. The false sense of empowerment that comes with such mesmerizing impulses is accompanied by</w:t>
      </w:r>
      <w:r w:rsidRPr="0019485A">
        <w:rPr>
          <w:rStyle w:val="StyleUnderline"/>
        </w:rPr>
        <w:t xml:space="preserve"> a loss of public engagement, an erosion of citizenship and a depleted capacity of individuals in large groups to work for social change.</w:t>
      </w:r>
      <w:r w:rsidRPr="0019485A">
        <w:rPr>
          <w:sz w:val="14"/>
        </w:rPr>
        <w:t xml:space="preserve"> </w:t>
      </w:r>
      <w:r w:rsidRPr="0019485A">
        <w:rPr>
          <w:rStyle w:val="StyleUnderline"/>
        </w:rPr>
        <w:t>As this ideological quagmire worsens, urgent problems that are destroying the fabric of American society will go unsolved - perhaps even unrecognized - only to fester more ominously into the future.</w:t>
      </w:r>
      <w:r w:rsidRPr="0019485A">
        <w:rPr>
          <w:sz w:val="14"/>
        </w:rPr>
        <w:t xml:space="preserve"> And </w:t>
      </w:r>
      <w:r w:rsidRPr="0019485A">
        <w:rPr>
          <w:rStyle w:val="StyleUnderline"/>
        </w:rPr>
        <w:t>such problems (ecological crisis, poverty, urban decay, spread of infectious diseases, technological displacement of workers) cannot be understood outside the larger</w:t>
      </w:r>
      <w:r w:rsidRPr="0019485A">
        <w:rPr>
          <w:sz w:val="14"/>
        </w:rPr>
        <w:t xml:space="preserve"> social and global </w:t>
      </w:r>
      <w:r w:rsidRPr="0019485A">
        <w:rPr>
          <w:rStyle w:val="StyleUnderline"/>
        </w:rPr>
        <w:t>context</w:t>
      </w:r>
      <w:r w:rsidRPr="0019485A">
        <w:rPr>
          <w:sz w:val="14"/>
        </w:rPr>
        <w:t xml:space="preserve"> of internationalized markets, finance, and communications. Paradoxically, </w:t>
      </w:r>
      <w:r w:rsidRPr="0019485A">
        <w:rPr>
          <w:rStyle w:val="StyleUnderline"/>
        </w:rPr>
        <w:t>the widespread retreat from politics</w:t>
      </w:r>
      <w:r w:rsidRPr="0019485A">
        <w:rPr>
          <w:sz w:val="14"/>
        </w:rPr>
        <w:t xml:space="preserve">, often inspired by localist sentiment, </w:t>
      </w:r>
      <w:r w:rsidRPr="0019485A">
        <w:rPr>
          <w:rStyle w:val="StyleUnderline"/>
        </w:rPr>
        <w:t>comes at a time when agendas that ignore or sidestep these global realities will, more than ever, be reduced to impotence</w:t>
      </w:r>
      <w:r w:rsidRPr="0019485A">
        <w:rPr>
          <w:sz w:val="14"/>
        </w:rPr>
        <w:t xml:space="preserve">. In his commentary on the state of citizenship today, Wolin refers to the increasing sublimation and dilution of politics, as larger numbers of people turn away from public concerns toward private ones. By diluting the life of common involvements, we negate the very idea of politics as a source of public ideals and visions.74 In the meantime, </w:t>
      </w:r>
      <w:r w:rsidRPr="0019485A">
        <w:rPr>
          <w:rStyle w:val="StyleUnderline"/>
        </w:rPr>
        <w:t>the fate of the world hangs in the balance.</w:t>
      </w:r>
      <w:r w:rsidRPr="0019485A">
        <w:rPr>
          <w:sz w:val="14"/>
        </w:rPr>
        <w:t xml:space="preserve"> The unyielding truth is that, </w:t>
      </w:r>
      <w:r w:rsidRPr="0019485A">
        <w:rPr>
          <w:rStyle w:val="StyleUnderline"/>
        </w:rPr>
        <w:t>even as the ethos of anti-politics becomes more compelling and even fashionable in the United States, it is the vagaries of political power that will continue to decide the fate of human societies.</w:t>
      </w:r>
      <w:r w:rsidRPr="0019485A">
        <w:rPr>
          <w:sz w:val="14"/>
        </w:rPr>
        <w:t xml:space="preserve"> This last point demands further elaboration. </w:t>
      </w:r>
      <w:r w:rsidRPr="0019485A">
        <w:rPr>
          <w:rStyle w:val="StyleUnderline"/>
        </w:rPr>
        <w:t>The shrinkage of politics hardly means that corporate colonization will be less of a reality, that social hierarchies will somehow disappear, or that gigantic state and military structures will lose their hold over people's lives</w:t>
      </w:r>
      <w:r w:rsidRPr="0019485A">
        <w:rPr>
          <w:sz w:val="14"/>
        </w:rPr>
        <w:t xml:space="preserve">. Far from it: </w:t>
      </w:r>
      <w:r w:rsidRPr="0019485A">
        <w:rPr>
          <w:rStyle w:val="StyleUnderline"/>
        </w:rPr>
        <w:t>the space abdicated by a broad citizenry, well-informed and ready to participate at many levels, can in fact be filled by authoritarian and reactionary elites</w:t>
      </w:r>
      <w:r w:rsidRPr="0019485A">
        <w:rPr>
          <w:sz w:val="14"/>
        </w:rPr>
        <w:t xml:space="preserve"> - an already familiar dynamic in many lesserdeveloped countries. The fragmentation and chaos of a Hobbesian world, not very far removed from the rampant individualism, </w:t>
      </w:r>
      <w:r w:rsidRPr="0019485A">
        <w:rPr>
          <w:rStyle w:val="StyleUnderline"/>
        </w:rPr>
        <w:t>social Darwinism, and civic violence that have been so much a part of the American landscape, could be the prelude to a powerful Leviathan designed to impose order</w:t>
      </w:r>
      <w:r w:rsidRPr="0019485A">
        <w:rPr>
          <w:sz w:val="14"/>
        </w:rPr>
        <w:t xml:space="preserve"> in the face of disunity and atomized retreat. In this way </w:t>
      </w:r>
      <w:r w:rsidRPr="0019485A">
        <w:rPr>
          <w:rStyle w:val="StyleUnderline"/>
        </w:rPr>
        <w:t>the eclipse of politics might set the stage for a reassertion of politics in more virulent guise - or it might help further rationalize the existing power structure. In either case, the state would likely become</w:t>
      </w:r>
      <w:r w:rsidRPr="0019485A">
        <w:rPr>
          <w:sz w:val="14"/>
        </w:rPr>
        <w:t xml:space="preserve"> what Hobbes anticipated: </w:t>
      </w:r>
      <w:r w:rsidRPr="0019485A">
        <w:rPr>
          <w:rStyle w:val="StyleUnderline"/>
        </w:rPr>
        <w:t>the embodiment of those universal, collective interests that had vanished from civil society.</w:t>
      </w:r>
      <w:r w:rsidRPr="0019485A">
        <w:rPr>
          <w:sz w:val="14"/>
        </w:rPr>
        <w:t xml:space="preserve">75 </w:t>
      </w:r>
      <w:r w:rsidRPr="0019485A">
        <w:rPr>
          <w:rStyle w:val="StyleUnderline"/>
        </w:rPr>
        <w:t xml:space="preserve">The historic goal of recovering politics </w:t>
      </w:r>
      <w:r w:rsidRPr="0019485A">
        <w:rPr>
          <w:sz w:val="14"/>
        </w:rPr>
        <w:t xml:space="preserve">in the Aristotelian sense, therefore, </w:t>
      </w:r>
      <w:r w:rsidRPr="0019485A">
        <w:rPr>
          <w:rStyle w:val="StyleUnderline"/>
        </w:rPr>
        <w:t>suggests nothing less than a revitalized citizenry prepared to occupy that immense expanse of public space. Extension of democratic control into every area of social life requires insurgency against the charade of normal politics</w:t>
      </w:r>
      <w:r w:rsidRPr="0019485A">
        <w:rPr>
          <w:sz w:val="14"/>
        </w:rPr>
        <w:t xml:space="preserve">, since the persistence of normal politics is just another manifestation of anti-politics. </w:t>
      </w:r>
      <w:r w:rsidRPr="0019485A">
        <w:rPr>
          <w:rStyle w:val="StyleUnderline"/>
        </w:rPr>
        <w:t>If authentic citizenship is to be forged, then information</w:t>
      </w:r>
      <w:r w:rsidRPr="0019485A">
        <w:rPr>
          <w:sz w:val="14"/>
        </w:rPr>
        <w:t xml:space="preserve">, skills, and attitudes </w:t>
      </w:r>
      <w:r w:rsidRPr="0019485A">
        <w:rPr>
          <w:rStyle w:val="StyleUnderline"/>
        </w:rPr>
        <w:t>vital to political efficacy need to flourish and be widely distributed throughout the population, without this, "consciousness transformation" is impossible,</w:t>
      </w:r>
      <w:r w:rsidRPr="0019485A">
        <w:rPr>
          <w:sz w:val="14"/>
        </w:rPr>
        <w:t xml:space="preserve"> or at least politically meaningless. A debilitating problem with the culture of anti-politics, however, is that it precisely devalues those very types of information, skills, and attitudes. At the same time, any process of repoliticization will have to be carried out in a context where the whole field of political activity has been fundamentally altered. One of the major effects of corporate colonization is what Ulrich Beck refers to as the "systemic transformation of the political" - the considerable loss of power in the centralized political system itself, severely reducing its capacity to plan, regulate, and intervene in effective ways. As Beck observes: "The concepts, foundations, and instruments of politics (and non-politics) are becoming unclear, open and in need of a historically new determination."76 Where the Hobbesian "solution" to fragmentation or extreme localism does not or cannot work owing to historical and cultural traditions, the push toward decentralization may be irreversible. Many of the conventional functions of government will be more difficult to perform according to a model where strong leaders exercise more or less unchallenged authority. Hence </w:t>
      </w:r>
      <w:r w:rsidRPr="0019485A">
        <w:rPr>
          <w:rStyle w:val="StyleUnderline"/>
        </w:rPr>
        <w:t>a truly revitalized politics will have to be more open</w:t>
      </w:r>
      <w:r w:rsidRPr="0019485A">
        <w:rPr>
          <w:sz w:val="14"/>
        </w:rPr>
        <w:t xml:space="preserve"> and collective, more decentralized, and more infused with civic virtues as the conditions favoring a single center of politics erode.</w:t>
      </w:r>
    </w:p>
    <w:p w:rsidR="004252A9" w:rsidRPr="004252A9" w:rsidRDefault="004252A9" w:rsidP="004252A9"/>
    <w:p w:rsidR="001456D7" w:rsidRPr="00215F59" w:rsidRDefault="003B3634" w:rsidP="001456D7">
      <w:pPr>
        <w:pStyle w:val="Heading3"/>
        <w:spacing w:before="0"/>
        <w:rPr>
          <w:rFonts w:cs="Arial"/>
        </w:rPr>
      </w:pPr>
      <w:bookmarkStart w:id="25" w:name="_Toc424259100"/>
      <w:r>
        <w:rPr>
          <w:rFonts w:cs="Arial"/>
        </w:rPr>
        <w:lastRenderedPageBreak/>
        <w:t>Impact: Poverty/Gender/Gov Accountabilty</w:t>
      </w:r>
      <w:bookmarkEnd w:id="25"/>
    </w:p>
    <w:p w:rsidR="001456D7" w:rsidRPr="00215F59" w:rsidRDefault="001456D7" w:rsidP="001456D7"/>
    <w:p w:rsidR="003B3634" w:rsidRDefault="003B3634" w:rsidP="00AF1BF7">
      <w:pPr>
        <w:pStyle w:val="Heading4"/>
      </w:pPr>
      <w:r>
        <w:t>Civic engagement</w:t>
      </w:r>
      <w:r w:rsidR="001456D7" w:rsidRPr="00215F59">
        <w:t xml:space="preserve"> </w:t>
      </w:r>
      <w:r>
        <w:t xml:space="preserve">key to reduce poverty, secure gender equality, and push back against government overstep. </w:t>
      </w:r>
    </w:p>
    <w:p w:rsidR="001456D7" w:rsidRPr="00215F59" w:rsidRDefault="001456D7" w:rsidP="001456D7"/>
    <w:p w:rsidR="001456D7" w:rsidRPr="00215F59" w:rsidRDefault="001456D7" w:rsidP="001456D7">
      <w:pPr>
        <w:rPr>
          <w:rStyle w:val="StyleStyleBold12pt"/>
        </w:rPr>
      </w:pPr>
      <w:r w:rsidRPr="00215F59">
        <w:rPr>
          <w:rStyle w:val="StyleStyleBold12pt"/>
        </w:rPr>
        <w:t>Sharma, 2008</w:t>
      </w:r>
    </w:p>
    <w:p w:rsidR="001456D7" w:rsidRPr="00215F59" w:rsidRDefault="001456D7" w:rsidP="001456D7">
      <w:r w:rsidRPr="00215F59">
        <w:t>(Bhavana, “Voice, Accountability, and Civic Engagement: A Conceptual Overview”, August 2008, http://www.undp.org/content/dam/undp/documents/partners/civil_society/publications/2008_UNDP_Voice-Accountability-and-Civic-Engagement_EN.pdf)</w:t>
      </w:r>
    </w:p>
    <w:p w:rsidR="001456D7" w:rsidRPr="00215F59" w:rsidRDefault="001456D7" w:rsidP="001456D7">
      <w:pPr>
        <w:rPr>
          <w:rStyle w:val="StyleUnderline"/>
        </w:rPr>
      </w:pPr>
    </w:p>
    <w:p w:rsidR="001456D7" w:rsidRPr="00215F59" w:rsidRDefault="001456D7" w:rsidP="001456D7">
      <w:pPr>
        <w:rPr>
          <w:sz w:val="16"/>
        </w:rPr>
      </w:pPr>
      <w:r w:rsidRPr="00215F59">
        <w:rPr>
          <w:rStyle w:val="StyleUnderline"/>
        </w:rPr>
        <w:t>Civic engagement can be understood as the process whereby citizens or their representatives are able to engage and influence public processes, in order to achieve civic objectives and goals.</w:t>
      </w:r>
      <w:r w:rsidRPr="00215F59">
        <w:rPr>
          <w:sz w:val="16"/>
        </w:rPr>
        <w:t xml:space="preserve"> </w:t>
      </w:r>
      <w:r w:rsidRPr="00215F59">
        <w:rPr>
          <w:rStyle w:val="StyleUnderline"/>
        </w:rPr>
        <w:t>Civic engagement contains a strong element of participation where stakeholders are active in decision making processes</w:t>
      </w:r>
      <w:r w:rsidRPr="00215F59">
        <w:rPr>
          <w:sz w:val="16"/>
        </w:rPr>
        <w:t xml:space="preserve"> (Malik, and Waglé, 2002) The UNDP Human Development Report 1993 describes civic engagement as “a process, not an event, that closely involves people in the economic social, cultural and political processes that affect their lives.” </w:t>
      </w:r>
      <w:r w:rsidRPr="00215F59">
        <w:rPr>
          <w:rStyle w:val="StyleUnderline"/>
        </w:rPr>
        <w:t>However, civic engagement can be</w:t>
      </w:r>
      <w:r w:rsidRPr="00215F59">
        <w:rPr>
          <w:rStyle w:val="StyleUnderline"/>
          <w:sz w:val="16"/>
        </w:rPr>
        <w:t xml:space="preserve"> </w:t>
      </w:r>
      <w:r w:rsidRPr="00215F59">
        <w:rPr>
          <w:rStyle w:val="StyleUnderline"/>
        </w:rPr>
        <w:t>distinguished from participation as it is specifically associated with efforts to establish</w:t>
      </w:r>
      <w:r w:rsidRPr="00215F59">
        <w:rPr>
          <w:rStyle w:val="StyleUnderline"/>
          <w:sz w:val="16"/>
        </w:rPr>
        <w:t xml:space="preserve"> </w:t>
      </w:r>
      <w:r w:rsidRPr="00215F59">
        <w:rPr>
          <w:rStyle w:val="StyleUnderline"/>
        </w:rPr>
        <w:t xml:space="preserve">channels of voice, </w:t>
      </w:r>
      <w:r w:rsidRPr="00215F59">
        <w:rPr>
          <w:rStyle w:val="Emphasis"/>
        </w:rPr>
        <w:t>representation and accountability at the state level</w:t>
      </w:r>
      <w:r w:rsidRPr="00215F59">
        <w:rPr>
          <w:sz w:val="16"/>
        </w:rPr>
        <w:t xml:space="preserve">. Thus, </w:t>
      </w:r>
      <w:r w:rsidRPr="00215F59">
        <w:rPr>
          <w:rStyle w:val="StyleUnderline"/>
        </w:rPr>
        <w:t>civic engagement is often seen as a tool for deepening democratic governance</w:t>
      </w:r>
      <w:r w:rsidRPr="00215F59">
        <w:rPr>
          <w:sz w:val="16"/>
        </w:rPr>
        <w:t xml:space="preserve">, through the channels of voice and accountability. </w:t>
      </w:r>
      <w:r w:rsidRPr="00215F59">
        <w:rPr>
          <w:rStyle w:val="StyleUnderline"/>
        </w:rPr>
        <w:t xml:space="preserve">Citizens </w:t>
      </w:r>
      <w:r w:rsidRPr="00215F59">
        <w:rPr>
          <w:sz w:val="16"/>
        </w:rPr>
        <w:t xml:space="preserve">become active participants insome state decision-making processes (and thereby exercising their right to a voice) as well as </w:t>
      </w:r>
      <w:r w:rsidRPr="00215F59">
        <w:rPr>
          <w:rStyle w:val="StyleUnderline"/>
        </w:rPr>
        <w:t>deepen</w:t>
      </w:r>
      <w:r w:rsidRPr="00215F59">
        <w:rPr>
          <w:sz w:val="16"/>
        </w:rPr>
        <w:t xml:space="preserve">ing </w:t>
      </w:r>
      <w:r w:rsidRPr="00215F59">
        <w:rPr>
          <w:rStyle w:val="StyleUnderline"/>
        </w:rPr>
        <w:t>accountability via a watchdog role by demanding a more transparent</w:t>
      </w:r>
      <w:r w:rsidRPr="00215F59">
        <w:rPr>
          <w:rStyle w:val="StyleUnderline"/>
          <w:sz w:val="16"/>
        </w:rPr>
        <w:t xml:space="preserve"> </w:t>
      </w:r>
      <w:r w:rsidRPr="00215F59">
        <w:rPr>
          <w:rStyle w:val="StyleUnderline"/>
        </w:rPr>
        <w:t>and responsive state, and the appropriate justifications for decisions and actions taken</w:t>
      </w:r>
      <w:r w:rsidRPr="00215F59">
        <w:rPr>
          <w:sz w:val="16"/>
        </w:rPr>
        <w:t xml:space="preserve">. As Korton puts it, “If sovereignty resides ultimately in the citizenry, their engagement is about the right to define the public good, to determine the policies by which they will seek that good, and to reform or replace those institutions that no longer serve.” (Korton (1988) quoted in Malik and Waglé, 2002). Thus placing </w:t>
      </w:r>
      <w:r w:rsidRPr="00215F59">
        <w:rPr>
          <w:rStyle w:val="StyleUnderline"/>
        </w:rPr>
        <w:t>civic engagement in the context</w:t>
      </w:r>
      <w:r w:rsidRPr="00215F59">
        <w:rPr>
          <w:rStyle w:val="StyleUnderline"/>
          <w:b w:val="0"/>
          <w:sz w:val="16"/>
        </w:rPr>
        <w:t xml:space="preserve"> </w:t>
      </w:r>
      <w:r w:rsidRPr="00215F59">
        <w:rPr>
          <w:rStyle w:val="StyleUnderline"/>
        </w:rPr>
        <w:t>of governance highlights its role in deepening state-society relations through the channels of voice and accountability. By deepening democratic governance, civic engagement is seen as instrumental</w:t>
      </w:r>
      <w:r w:rsidRPr="00215F59">
        <w:rPr>
          <w:sz w:val="16"/>
        </w:rPr>
        <w:t xml:space="preserve"> inachieving a range of other development goals, such as the MDGs (see box below) andpoverty reduction. </w:t>
      </w:r>
      <w:r w:rsidRPr="00215F59">
        <w:rPr>
          <w:rStyle w:val="StyleUnderline"/>
        </w:rPr>
        <w:t>Civic engagement</w:t>
      </w:r>
      <w:r w:rsidRPr="00215F59">
        <w:rPr>
          <w:sz w:val="16"/>
        </w:rPr>
        <w:t xml:space="preserve">, through increased voice and with a focus on accountability, </w:t>
      </w:r>
      <w:r w:rsidRPr="00215F59">
        <w:rPr>
          <w:rStyle w:val="StyleUnderline"/>
        </w:rPr>
        <w:t>has the potential to contribute to poverty reduction through more-pro-poor policy design, improved service delivery, and empowerment of groups previously denied a voice</w:t>
      </w:r>
      <w:r w:rsidRPr="00215F59">
        <w:rPr>
          <w:sz w:val="16"/>
        </w:rPr>
        <w:t>. Some</w:t>
      </w:r>
      <w:r w:rsidRPr="00215F59">
        <w:rPr>
          <w:b/>
          <w:u w:val="single"/>
        </w:rPr>
        <w:t xml:space="preserve"> </w:t>
      </w:r>
      <w:r w:rsidRPr="00215F59">
        <w:rPr>
          <w:rStyle w:val="StyleUnderline"/>
        </w:rPr>
        <w:t>accountability mechanisms have specifically been developed for use by poor populations</w:t>
      </w:r>
      <w:r w:rsidRPr="00215F59">
        <w:rPr>
          <w:b/>
          <w:u w:val="single"/>
        </w:rPr>
        <w:t xml:space="preserve"> </w:t>
      </w:r>
      <w:r w:rsidRPr="00215F59">
        <w:rPr>
          <w:sz w:val="16"/>
        </w:rPr>
        <w:t>and many focus on issues of priority importance to poor people (</w:t>
      </w:r>
      <w:r w:rsidRPr="00215F59">
        <w:rPr>
          <w:rStyle w:val="StyleUnderline"/>
        </w:rPr>
        <w:t>such as public health, education, water and sanitation services</w:t>
      </w:r>
      <w:r w:rsidRPr="00215F59">
        <w:rPr>
          <w:sz w:val="16"/>
        </w:rPr>
        <w:t>). However, constant effort is required to ensure that civic engagement effectively serve the priority needs of poor people, include</w:t>
      </w:r>
      <w:r w:rsidRPr="00215F59">
        <w:rPr>
          <w:b/>
          <w:u w:val="single"/>
        </w:rPr>
        <w:t xml:space="preserve"> </w:t>
      </w:r>
      <w:r w:rsidRPr="00215F59">
        <w:rPr>
          <w:sz w:val="16"/>
          <w:szCs w:val="16"/>
        </w:rPr>
        <w:t>mechanisms to overcome potential barriers to their effective participation and leadership</w:t>
      </w:r>
      <w:r w:rsidRPr="00215F59">
        <w:rPr>
          <w:b/>
          <w:u w:val="single"/>
        </w:rPr>
        <w:t xml:space="preserve"> </w:t>
      </w:r>
      <w:r w:rsidRPr="00215F59">
        <w:rPr>
          <w:sz w:val="16"/>
        </w:rPr>
        <w:t xml:space="preserve">in decision-making processes. </w:t>
      </w:r>
      <w:r w:rsidRPr="00215F59">
        <w:rPr>
          <w:rStyle w:val="StyleUnderline"/>
        </w:rPr>
        <w:t>Civic engagement and accountability can also have important gender implications</w:t>
      </w:r>
      <w:r w:rsidRPr="00215F59">
        <w:rPr>
          <w:sz w:val="16"/>
        </w:rPr>
        <w:t xml:space="preserve">.Women are systematically underrepresented in most civil society organisations, stateinstitutions and the government reducing their capacity to promote their own interests. </w:t>
      </w:r>
      <w:r w:rsidRPr="00215F59">
        <w:rPr>
          <w:rStyle w:val="StyleUnderline"/>
        </w:rPr>
        <w:t>Civic engagement that is focused on promoting the voices of the most marginalized groups in society should be bottom-up, inclusive and demand driven should enhance the ability of women to make their voices heard</w:t>
      </w:r>
      <w:r w:rsidRPr="00215F59">
        <w:rPr>
          <w:sz w:val="16"/>
        </w:rPr>
        <w:t xml:space="preserve">. </w:t>
      </w:r>
      <w:r w:rsidRPr="00215F59">
        <w:rPr>
          <w:rStyle w:val="StyleUnderline"/>
        </w:rPr>
        <w:t>A number of accountability tools focus on</w:t>
      </w:r>
      <w:r w:rsidRPr="00215F59">
        <w:rPr>
          <w:rStyle w:val="StyleUnderline"/>
          <w:sz w:val="16"/>
        </w:rPr>
        <w:t xml:space="preserve"> </w:t>
      </w:r>
      <w:r w:rsidRPr="00215F59">
        <w:rPr>
          <w:rStyle w:val="StyleUnderline"/>
        </w:rPr>
        <w:t>greater engagement of women, such as gender budgeting and gender disaggregated participatory monitoring and evaluation, have been specifically designed to address gender issues.</w:t>
      </w:r>
      <w:r w:rsidRPr="00215F59">
        <w:rPr>
          <w:sz w:val="16"/>
        </w:rPr>
        <w:t xml:space="preserve"> Particularly in those public sectors of greatest importance to poor people,of which women constitute a significant part. </w:t>
      </w:r>
      <w:r w:rsidRPr="00215F59">
        <w:rPr>
          <w:rStyle w:val="StyleUnderline"/>
        </w:rPr>
        <w:t>Voice and accountability mechanisms also focus the attention of civic engagement on public sector reforms</w:t>
      </w:r>
      <w:r w:rsidRPr="00215F59">
        <w:rPr>
          <w:sz w:val="16"/>
        </w:rPr>
        <w:t xml:space="preserve">, by addressing the demand-side aspects of public service delivery,monitoring and accountability. </w:t>
      </w:r>
      <w:r w:rsidRPr="00215F59">
        <w:rPr>
          <w:rStyle w:val="StyleUnderline"/>
        </w:rPr>
        <w:t>Such mechanisms have proved particularly useful in the</w:t>
      </w:r>
      <w:r w:rsidRPr="00215F59">
        <w:rPr>
          <w:rStyle w:val="StyleUnderline"/>
          <w:sz w:val="16"/>
        </w:rPr>
        <w:t xml:space="preserve"> </w:t>
      </w:r>
      <w:r w:rsidRPr="00215F59">
        <w:rPr>
          <w:rStyle w:val="StyleUnderline"/>
        </w:rPr>
        <w:t>context of decentralisation, helping to strengthen links between citizens and local-level</w:t>
      </w:r>
      <w:r w:rsidRPr="00215F59">
        <w:rPr>
          <w:rStyle w:val="StyleUnderline"/>
          <w:sz w:val="16"/>
        </w:rPr>
        <w:t xml:space="preserve"> </w:t>
      </w:r>
      <w:r w:rsidRPr="00215F59">
        <w:rPr>
          <w:rStyle w:val="StyleUnderline"/>
        </w:rPr>
        <w:t>governments and assisting local authorities and service-providers to become more</w:t>
      </w:r>
      <w:r w:rsidRPr="00215F59">
        <w:rPr>
          <w:rStyle w:val="StyleUnderline"/>
          <w:sz w:val="16"/>
        </w:rPr>
        <w:t xml:space="preserve"> </w:t>
      </w:r>
      <w:r w:rsidRPr="00215F59">
        <w:rPr>
          <w:rStyle w:val="StyleUnderline"/>
        </w:rPr>
        <w:t xml:space="preserve">responsive and effective. </w:t>
      </w:r>
      <w:r w:rsidRPr="00215F59">
        <w:rPr>
          <w:sz w:val="16"/>
        </w:rPr>
        <w:t xml:space="preserve">And finally, by monitoring government performance, </w:t>
      </w:r>
      <w:r w:rsidRPr="00215F59">
        <w:rPr>
          <w:rStyle w:val="StyleUnderline"/>
        </w:rPr>
        <w:t>demanding and enhancing transparency and exposing government failures and misdeeds, civic engagement can be a valuable tool in fighting corruption.</w:t>
      </w:r>
      <w:r w:rsidRPr="00215F59">
        <w:rPr>
          <w:sz w:val="16"/>
        </w:rPr>
        <w:t xml:space="preserve"> Indeed it has been argued by some that the only true safeguard against public sector corruption is the active and on-going societal </w:t>
      </w:r>
      <w:r w:rsidRPr="00215F59">
        <w:rPr>
          <w:sz w:val="16"/>
          <w:szCs w:val="16"/>
        </w:rPr>
        <w:t>monitoring of government actions and the evolution of more open and participatory anticorruption institutions. The two boxes below provide examples of the operationalisation</w:t>
      </w:r>
      <w:r w:rsidRPr="00215F59">
        <w:rPr>
          <w:sz w:val="16"/>
        </w:rPr>
        <w:t xml:space="preserve"> </w:t>
      </w:r>
      <w:r w:rsidRPr="00215F59">
        <w:rPr>
          <w:sz w:val="16"/>
          <w:szCs w:val="16"/>
        </w:rPr>
        <w:t>of voice and accountability</w:t>
      </w:r>
      <w:r w:rsidRPr="00215F59">
        <w:rPr>
          <w:sz w:val="16"/>
        </w:rPr>
        <w:t>.</w:t>
      </w:r>
    </w:p>
    <w:p w:rsidR="001456D7" w:rsidRPr="00215F59" w:rsidRDefault="001456D7" w:rsidP="001456D7"/>
    <w:p w:rsidR="001456D7" w:rsidRPr="00215F59" w:rsidRDefault="001456D7" w:rsidP="001456D7"/>
    <w:p w:rsidR="00EE5981" w:rsidRPr="00215F59" w:rsidRDefault="00EE5981" w:rsidP="00EE5981">
      <w:pPr>
        <w:pStyle w:val="Heading3"/>
        <w:spacing w:before="0"/>
        <w:rPr>
          <w:rFonts w:cs="Arial"/>
        </w:rPr>
      </w:pPr>
      <w:bookmarkStart w:id="26" w:name="_Toc424259101"/>
      <w:r>
        <w:rPr>
          <w:rFonts w:cs="Arial"/>
        </w:rPr>
        <w:lastRenderedPageBreak/>
        <w:t>A2: Transparency Insufficient</w:t>
      </w:r>
      <w:bookmarkEnd w:id="26"/>
    </w:p>
    <w:p w:rsidR="00EE5981" w:rsidRPr="00215F59" w:rsidRDefault="00EE5981" w:rsidP="00EE5981"/>
    <w:p w:rsidR="00EE5981" w:rsidRPr="00215F59" w:rsidRDefault="00EE5981" w:rsidP="00AF1BF7">
      <w:pPr>
        <w:pStyle w:val="Heading4"/>
      </w:pPr>
      <w:r>
        <w:t xml:space="preserve">Transparency activates accountability – it’s not just a passive release of information, but a tool that advocates can use to control public dialogue on policy. </w:t>
      </w:r>
    </w:p>
    <w:p w:rsidR="00EE5981" w:rsidRPr="00215F59" w:rsidRDefault="00EE5981" w:rsidP="00EE5981"/>
    <w:p w:rsidR="00EE5981" w:rsidRPr="00215F59" w:rsidRDefault="00EE5981" w:rsidP="00EE5981">
      <w:pPr>
        <w:rPr>
          <w:rStyle w:val="StyleStyleBold12pt"/>
        </w:rPr>
      </w:pPr>
      <w:r w:rsidRPr="00215F59">
        <w:rPr>
          <w:rStyle w:val="StyleStyleBold12pt"/>
        </w:rPr>
        <w:t xml:space="preserve">Gurría, 2015 </w:t>
      </w:r>
    </w:p>
    <w:p w:rsidR="00EE5981" w:rsidRPr="00215F59" w:rsidRDefault="00EE5981" w:rsidP="00EE5981">
      <w:r w:rsidRPr="00215F59">
        <w:t xml:space="preserve">(Angel, OECD Secretary-General, “Openness and Transparency - Pillars for Democracy, Trust and Progress”, June/24, OECD, </w:t>
      </w:r>
      <w:hyperlink r:id="rId22" w:history="1">
        <w:r w:rsidRPr="00215F59">
          <w:rPr>
            <w:rStyle w:val="Hyperlink"/>
          </w:rPr>
          <w:t>http://www.oecd.org/fr/etatsunis/opennessandtransparency-pillarsfordemocracytrustandprogress.htm</w:t>
        </w:r>
      </w:hyperlink>
      <w:r w:rsidRPr="00215F59">
        <w:t>)</w:t>
      </w:r>
    </w:p>
    <w:p w:rsidR="00EE5981" w:rsidRPr="00215F59" w:rsidRDefault="00EE5981" w:rsidP="00EE5981">
      <w:pPr>
        <w:rPr>
          <w:sz w:val="16"/>
        </w:rPr>
      </w:pPr>
    </w:p>
    <w:p w:rsidR="00EE5981" w:rsidRPr="00A10D6A" w:rsidRDefault="00EE5981" w:rsidP="00EE5981">
      <w:pPr>
        <w:rPr>
          <w:sz w:val="16"/>
        </w:rPr>
      </w:pPr>
      <w:r w:rsidRPr="00215F59">
        <w:rPr>
          <w:rStyle w:val="StyleUnderline"/>
        </w:rPr>
        <w:t>Openness and transparency are key ingredients to build accountability and trust, which are necessary for the functioning of democracies</w:t>
      </w:r>
      <w:r w:rsidRPr="00215F59">
        <w:rPr>
          <w:sz w:val="16"/>
        </w:rPr>
        <w:t xml:space="preserve"> and market economies. Openness is one of the key values that guide the OECD vision for a stronger, cleaner, fairer world. This is why the OECD welcomes the launch of the Open Government Partnership today and the efforts led by Presidents Obama and Rousseff to promote government transparency, fight corruption, empower citizens and maximise the potential of new technologies to strengthen accountability and foster participation in public affairs. For 50 years, </w:t>
      </w:r>
      <w:r w:rsidRPr="00215F59">
        <w:rPr>
          <w:rStyle w:val="StyleUnderline"/>
        </w:rPr>
        <w:t xml:space="preserve">Openness has been a cornerstone </w:t>
      </w:r>
      <w:r w:rsidRPr="00215F59">
        <w:rPr>
          <w:sz w:val="16"/>
        </w:rPr>
        <w:t>of our mission</w:t>
      </w:r>
      <w:r w:rsidRPr="00215F59">
        <w:rPr>
          <w:rStyle w:val="StyleUnderline"/>
        </w:rPr>
        <w:t xml:space="preserve"> to develop the best public policies in order to improve people’s lives by promoting open markets and inclusive wealth</w:t>
      </w:r>
      <w:r w:rsidRPr="00215F59">
        <w:rPr>
          <w:sz w:val="16"/>
        </w:rPr>
        <w:t xml:space="preserve">. In fulfilling this mission we focused on “better policies for better lives” based on empirical evidence for such policies. </w:t>
      </w:r>
      <w:r w:rsidRPr="00215F59">
        <w:rPr>
          <w:rStyle w:val="StyleUnderline"/>
        </w:rPr>
        <w:t>Evidence is a product of correct and precise information</w:t>
      </w:r>
      <w:r w:rsidRPr="00215F59">
        <w:rPr>
          <w:sz w:val="16"/>
        </w:rPr>
        <w:t xml:space="preserve">. </w:t>
      </w:r>
      <w:r w:rsidRPr="00215F59">
        <w:rPr>
          <w:rStyle w:val="StyleUnderline"/>
        </w:rPr>
        <w:t>Our guiding working method is to share evidence-based knowledge</w:t>
      </w:r>
      <w:r w:rsidRPr="00215F59">
        <w:rPr>
          <w:sz w:val="16"/>
        </w:rPr>
        <w:t xml:space="preserve">, information and policy advice with governmental and non-governmental stakeholders, as well as with the public to prepare the ground for informed public policy decisions. Specific examples of knowledge sharing include, among others, the Global Forum for Transparency and Exchange of Information for Tax Matters, the OECD Anti-Bribery Convention, but also our country reviews as an example of peer learning. The OECD has been at the forefront of efforts to promote and protect the free flow of information. </w:t>
      </w:r>
      <w:r w:rsidRPr="00215F59">
        <w:rPr>
          <w:rStyle w:val="StyleUnderline"/>
        </w:rPr>
        <w:t>We believe this to be a fundamental human right</w:t>
      </w:r>
      <w:r w:rsidRPr="00215F59">
        <w:rPr>
          <w:sz w:val="16"/>
        </w:rPr>
        <w:t xml:space="preserve">. </w:t>
      </w:r>
      <w:r w:rsidRPr="00215F59">
        <w:rPr>
          <w:rStyle w:val="StyleUnderline"/>
        </w:rPr>
        <w:t>We also encourage efforts to protect personal data</w:t>
      </w:r>
      <w:r w:rsidRPr="00215F59">
        <w:rPr>
          <w:sz w:val="16"/>
        </w:rPr>
        <w:t xml:space="preserve">, the freedom of expression, and other rights. We have underpinned this with leading work on Open and Innovative Government. </w:t>
      </w:r>
      <w:r w:rsidRPr="00215F59">
        <w:rPr>
          <w:rStyle w:val="StyleUnderline"/>
        </w:rPr>
        <w:t>An “open” government is transparent</w:t>
      </w:r>
      <w:r w:rsidRPr="00215F59">
        <w:rPr>
          <w:sz w:val="16"/>
        </w:rPr>
        <w:t xml:space="preserve">, </w:t>
      </w:r>
      <w:r w:rsidRPr="00215F59">
        <w:rPr>
          <w:rStyle w:val="StyleUnderline"/>
        </w:rPr>
        <w:t>accessible to anyone</w:t>
      </w:r>
      <w:r w:rsidRPr="00215F59">
        <w:rPr>
          <w:sz w:val="16"/>
        </w:rPr>
        <w:t xml:space="preserve">, anytime, anywhere; </w:t>
      </w:r>
      <w:r w:rsidRPr="00215F59">
        <w:rPr>
          <w:rStyle w:val="StyleUnderline"/>
        </w:rPr>
        <w:t>and responsive to new ideas and demands</w:t>
      </w:r>
      <w:r w:rsidRPr="00215F59">
        <w:rPr>
          <w:sz w:val="16"/>
        </w:rPr>
        <w:t xml:space="preserve">. </w:t>
      </w:r>
      <w:r w:rsidRPr="00215F59">
        <w:rPr>
          <w:rStyle w:val="StyleUnderline"/>
        </w:rPr>
        <w:t>Governments and international organisations have to lead by example</w:t>
      </w:r>
      <w:r w:rsidRPr="00215F59">
        <w:rPr>
          <w:sz w:val="16"/>
        </w:rPr>
        <w:t xml:space="preserve">, </w:t>
      </w:r>
      <w:r w:rsidRPr="00215F59">
        <w:rPr>
          <w:rStyle w:val="StyleUnderline"/>
        </w:rPr>
        <w:t>aligning disclosure and dissemination procedures with modern information management practices</w:t>
      </w:r>
      <w:r w:rsidRPr="00215F59">
        <w:rPr>
          <w:sz w:val="16"/>
        </w:rPr>
        <w:t xml:space="preserve">. </w:t>
      </w:r>
      <w:r w:rsidRPr="00A10D6A">
        <w:rPr>
          <w:sz w:val="16"/>
        </w:rPr>
        <w:t xml:space="preserve">We are working to meet this imperative in four dimensions: First, the OECD has developed a range of instruments to help governments ensure that openness translates into concrete improvements in key activities of government. Instruments such as the Principles for Integrity in Public Procurement, the Best Practices for Budget Transparency, the Principles for Transparency and Integrity in Lobbying and the Guidelines for Managing Conflict of Interest in the Public Service -- not only help mitigate corruption risks but also improve efficiency and ultimately contribute to public trust. Guidance on support to building and using Public Financial Management systems in developing countries emphasises transparency in budget processes, and our guidance on using national procurement systems also emphasises building transparent systems in developing countries. We also compare public sector performance in health, education and many other policy areas across countries. Our work on the PISA for example, has had significant impact on education policy making by developing cross-country comparable indicators on education performance for the first time. This promotes accountability, discussion and participation of citizens. Second, e-Government, Internet-based technologies and applications will be crucial components for open, transparent and accessible governments. Therefore OECD Ministers adopted the Seoul Declaration at their meeting on the Future of the Internet Economy which highlighted the importance of an open Internet to help bolster the free flow of information, freedom of expression and protection of individual liberties. We also emphasized the need for governments to ensure that public sector information is made widely available. OECD governments have adopted a Recommendation on Public Sector Information which provides policy guidelines designed to improve access and increase use of public sector information through greater transparency, enhanced competition and more competitive pricing. Third, in the area of development co-operation, regular reviews of development partner (donor) countries ensure transparency with regard to their aid policies and practices as well as compliance with their commitments. Aid statistics that can be accessed and used by all provide information on what type of aid development partners provide, to whom and for what purpose. Fourth, on Anti-Corruption matters, we work with our members to promote greater transparency as a means to fight corruption. Currently we are working with partner developing countries to set up web-based reporting systems on corruption at country level. For example, our just released progress report on OECD members’ performance with respect to their commitments on Stolen Asset Recovery shows clearly how much funding has been repatriated, how much has been frozen and highlights areas for improvement in this effort. We have also produced guidelines to help governments fight bid-rigging and other types of collusion. We see our work as a public good and are committed to making information open and accessible. This is consistent with our mission and part of our mandate. We believe that an organisation like ours has a democratic duty to provide citizens with the information that allows them to understand the day’s main issues. For us, </w:t>
      </w:r>
      <w:r w:rsidRPr="00215F59">
        <w:rPr>
          <w:rStyle w:val="StyleUnderline"/>
        </w:rPr>
        <w:t>openness also means that citizens should be able to use that information to shape policy</w:t>
      </w:r>
      <w:r w:rsidRPr="00A10D6A">
        <w:rPr>
          <w:sz w:val="16"/>
        </w:rPr>
        <w:t xml:space="preserve">. </w:t>
      </w:r>
      <w:r w:rsidRPr="00215F59">
        <w:rPr>
          <w:rStyle w:val="StyleUnderline"/>
        </w:rPr>
        <w:t>To put this commitment into practice</w:t>
      </w:r>
      <w:r w:rsidRPr="00A10D6A">
        <w:rPr>
          <w:sz w:val="16"/>
        </w:rPr>
        <w:t xml:space="preserve">, we work with multiple civil society actors, with business and trade unions (through BIAC and TUAC, who have an institutionalized advisory role to the OECD), public stakeholders (including in legislative branches), the global media and citizens in member and partner countries. We work to maximise the impact and dissemination of OECD knowledge by translating complex content into easily accessible products. We use new interactive and innovative instruments such as Your Better Life Index (www.oecdbetterlifeindex.org) </w:t>
      </w:r>
      <w:r w:rsidRPr="00215F59">
        <w:rPr>
          <w:rStyle w:val="StyleUnderline"/>
        </w:rPr>
        <w:t>to engage with citizens on issues of central concern to their lives</w:t>
      </w:r>
      <w:r w:rsidRPr="00A10D6A">
        <w:rPr>
          <w:sz w:val="16"/>
        </w:rPr>
        <w:t xml:space="preserve">, </w:t>
      </w:r>
      <w:r w:rsidRPr="00215F59">
        <w:rPr>
          <w:rStyle w:val="StyleUnderline"/>
        </w:rPr>
        <w:t>and empower them to feedback their opinions to their governments</w:t>
      </w:r>
      <w:r w:rsidRPr="00A10D6A">
        <w:rPr>
          <w:sz w:val="16"/>
        </w:rPr>
        <w:t>. The OECD wholeheartedly supports efforts to increase openness and transparency through the free flow of information and the sharing of knowledge.</w:t>
      </w:r>
    </w:p>
    <w:p w:rsidR="00EE5981" w:rsidRPr="00215F59" w:rsidRDefault="00EE5981" w:rsidP="00EE5981"/>
    <w:p w:rsidR="00EE5981" w:rsidRPr="00215F59" w:rsidRDefault="00EE5981" w:rsidP="00EE5981"/>
    <w:p w:rsidR="00EE5981" w:rsidRPr="00215F59" w:rsidRDefault="00EE5981" w:rsidP="00EE5981"/>
    <w:p w:rsidR="00EE5981" w:rsidRDefault="00EE5981" w:rsidP="00EE5981">
      <w:pPr>
        <w:pStyle w:val="Heading3"/>
        <w:spacing w:before="0"/>
        <w:rPr>
          <w:rFonts w:cs="Arial"/>
        </w:rPr>
      </w:pPr>
      <w:bookmarkStart w:id="27" w:name="_Toc424259102"/>
      <w:r>
        <w:rPr>
          <w:rFonts w:cs="Arial"/>
        </w:rPr>
        <w:lastRenderedPageBreak/>
        <w:t>A2: Transparency Insufficient</w:t>
      </w:r>
      <w:bookmarkEnd w:id="27"/>
    </w:p>
    <w:p w:rsidR="00EE5981" w:rsidRPr="00EE5981" w:rsidRDefault="00EE5981" w:rsidP="00EE5981"/>
    <w:p w:rsidR="00EE5981" w:rsidRPr="00215F59" w:rsidRDefault="00EE5981" w:rsidP="00AF1BF7">
      <w:pPr>
        <w:pStyle w:val="Heading4"/>
      </w:pPr>
      <w:r>
        <w:t xml:space="preserve">Transparency drives civic engagement – controversial data releases shape public discourse. </w:t>
      </w:r>
    </w:p>
    <w:p w:rsidR="00EE5981" w:rsidRPr="00215F59" w:rsidRDefault="00EE5981" w:rsidP="00EE5981">
      <w:pPr>
        <w:rPr>
          <w:rStyle w:val="StyleStyleBold12pt"/>
        </w:rPr>
      </w:pPr>
    </w:p>
    <w:p w:rsidR="00EE5981" w:rsidRPr="00215F59" w:rsidRDefault="00EE5981" w:rsidP="00EE5981">
      <w:pPr>
        <w:rPr>
          <w:rStyle w:val="StyleStyleBold12pt"/>
        </w:rPr>
      </w:pPr>
      <w:r w:rsidRPr="00215F59">
        <w:rPr>
          <w:rStyle w:val="StyleStyleBold12pt"/>
        </w:rPr>
        <w:t xml:space="preserve">Leahy, 2015 </w:t>
      </w:r>
    </w:p>
    <w:p w:rsidR="00EE5981" w:rsidRPr="00215F59" w:rsidRDefault="00EE5981" w:rsidP="00EE5981">
      <w:r w:rsidRPr="00215F59">
        <w:t xml:space="preserve">(Patrick, Vermont Senator and long supporter of open government, “Transparency is key to good government,” March, Deerfield Valley News, </w:t>
      </w:r>
      <w:hyperlink r:id="rId23" w:history="1">
        <w:r w:rsidRPr="00215F59">
          <w:rPr>
            <w:rStyle w:val="Hyperlink"/>
          </w:rPr>
          <w:t>http://www.dvalnews.com/view/full_story/26530715/article-Transparency-is-key-to-good-government</w:t>
        </w:r>
      </w:hyperlink>
      <w:r w:rsidRPr="00215F59">
        <w:t>?)</w:t>
      </w:r>
    </w:p>
    <w:p w:rsidR="00EE5981" w:rsidRPr="00215F59" w:rsidRDefault="00EE5981" w:rsidP="00EE5981">
      <w:pPr>
        <w:rPr>
          <w:sz w:val="16"/>
        </w:rPr>
      </w:pPr>
    </w:p>
    <w:p w:rsidR="00EE5981" w:rsidRPr="00EE5981" w:rsidRDefault="00EE5981" w:rsidP="00EE5981">
      <w:pPr>
        <w:rPr>
          <w:sz w:val="14"/>
        </w:rPr>
      </w:pPr>
      <w:r w:rsidRPr="00EE5981">
        <w:rPr>
          <w:sz w:val="14"/>
        </w:rPr>
        <w:t xml:space="preserve">Sunshine Week is a time to celebrate one of our nation’s most basic values, the public’s “right to know.” </w:t>
      </w:r>
      <w:r w:rsidRPr="00215F59">
        <w:rPr>
          <w:rStyle w:val="StyleUnderline"/>
        </w:rPr>
        <w:t>Our very democracy is built on the idea that our government should not operate in secret.</w:t>
      </w:r>
      <w:r w:rsidRPr="00EE5981">
        <w:rPr>
          <w:sz w:val="14"/>
        </w:rPr>
        <w:t xml:space="preserve"> James Madison, a staunch defender of open government, whose birthday we celebrate each year during Sunshine Week, wisely noted that for our democracy to succeed, people “must arm themselves with the power knowledge gives.” </w:t>
      </w:r>
      <w:r w:rsidRPr="00215F59">
        <w:rPr>
          <w:rStyle w:val="StyleUnderline"/>
        </w:rPr>
        <w:t>Transparency enables the American people to hold their government accountable. Pulling back the curtain on the workings of government agencies is not always popular and is certainly not without controversy. But it is often those moments of controversy that make clear why an open government is so vital</w:t>
      </w:r>
      <w:r w:rsidRPr="00EE5981">
        <w:rPr>
          <w:sz w:val="14"/>
        </w:rPr>
        <w:t xml:space="preserve">. One of those moments was last year’s hard-fought release of the executive summary of the Senate Intelligence Committee’s torture report, which detailed the CIA’s shocking use of torture during the Bush Administration. The release of this historic report was met with extreme opposition by those who wanted to keep in the dark a grim chapter in our history. But shedding light on the CIA’s actions demonstrated to the world that America is different: We acknowledge our mistakes so that we can learn from them. That is why I encouraged and supported Senator Dianne Feinstein in her efforts to release the report’s executive summary. And that is why I was appalled to learn of recent efforts to have the full report returned to the Senate, to keep it out of the hands of those in the executive branch who can learn from these mistakes and ensure that this never happens again. There are many partisan fights in the Congress, but one area where I have brokered bipartisan agreement over the years is in passing laws that strengthen and improve the Freedom of Information Act, also known as FOIA. First signed into law in 1966 by President Johnson, FOIA has become the foundation on which all our sunshine and transparency policies rest. </w:t>
      </w:r>
      <w:r w:rsidRPr="00215F59">
        <w:rPr>
          <w:rStyle w:val="StyleUnderline"/>
        </w:rPr>
        <w:t>It remains an indispensable tool for Americans to</w:t>
      </w:r>
      <w:r w:rsidRPr="00EE5981">
        <w:rPr>
          <w:sz w:val="14"/>
        </w:rPr>
        <w:t xml:space="preserve"> </w:t>
      </w:r>
      <w:r w:rsidRPr="00215F59">
        <w:rPr>
          <w:rStyle w:val="StyleUnderline"/>
        </w:rPr>
        <w:t xml:space="preserve">obtain information affecting public policy, consumer safety, the environment and public </w:t>
      </w:r>
      <w:r w:rsidRPr="00EE5981">
        <w:rPr>
          <w:rStyle w:val="StyleUnderline"/>
        </w:rPr>
        <w:t xml:space="preserve">health. It is relied on by journalists, educators and historians to research not only important issues of the day, but significant moments in our history. </w:t>
      </w:r>
      <w:r w:rsidRPr="00215F59">
        <w:rPr>
          <w:rStyle w:val="StyleUnderline"/>
        </w:rPr>
        <w:t>It helps bring to light controversy and it promotes public discourse</w:t>
      </w:r>
      <w:r w:rsidRPr="00EE5981">
        <w:rPr>
          <w:sz w:val="14"/>
        </w:rPr>
        <w:t xml:space="preserve">. </w:t>
      </w:r>
    </w:p>
    <w:p w:rsidR="001456D7" w:rsidRDefault="003B3634" w:rsidP="003B3634">
      <w:pPr>
        <w:pStyle w:val="Heading3"/>
        <w:spacing w:before="0"/>
        <w:rPr>
          <w:rFonts w:cs="Arial"/>
        </w:rPr>
      </w:pPr>
      <w:bookmarkStart w:id="28" w:name="_Toc424259103"/>
      <w:r>
        <w:rPr>
          <w:rFonts w:cs="Arial"/>
        </w:rPr>
        <w:lastRenderedPageBreak/>
        <w:t>A2: Transparency Insufficient</w:t>
      </w:r>
      <w:bookmarkEnd w:id="28"/>
    </w:p>
    <w:p w:rsidR="003B3634" w:rsidRDefault="003B3634" w:rsidP="003B3634"/>
    <w:p w:rsidR="003B3634" w:rsidRPr="003B3634" w:rsidRDefault="003B3634" w:rsidP="00AF1BF7">
      <w:pPr>
        <w:pStyle w:val="Heading4"/>
      </w:pPr>
      <w:r>
        <w:t xml:space="preserve">Transparency increases public knowledge and democratic participation in policymaking. </w:t>
      </w:r>
    </w:p>
    <w:p w:rsidR="001456D7" w:rsidRPr="00215F59" w:rsidRDefault="001456D7" w:rsidP="00AF1BF7">
      <w:pPr>
        <w:pStyle w:val="Heading4"/>
      </w:pPr>
    </w:p>
    <w:p w:rsidR="001456D7" w:rsidRPr="00215F59" w:rsidRDefault="001456D7" w:rsidP="001456D7">
      <w:r w:rsidRPr="00215F59">
        <w:rPr>
          <w:rStyle w:val="StyleStyleBold12pt"/>
        </w:rPr>
        <w:t>PCLOB, 2014</w:t>
      </w:r>
    </w:p>
    <w:p w:rsidR="001456D7" w:rsidRPr="00215F59" w:rsidRDefault="001456D7" w:rsidP="001456D7">
      <w:r w:rsidRPr="00215F59">
        <w:t xml:space="preserve">(Privacy and Civil Liberties Oversight Board, “Report on the Telephone Records Program Conducted under Section 215 of the USA PATRIOT Act and on the Operations of the Foreign Intelligence Surveillance Court,” </w:t>
      </w:r>
      <w:r w:rsidRPr="00215F59">
        <w:rPr>
          <w:i/>
        </w:rPr>
        <w:t>PCLOB Report</w:t>
      </w:r>
      <w:r w:rsidRPr="00215F59">
        <w:t>, http://fas.org/irp/offdocs/pclob-215.pdf)</w:t>
      </w:r>
    </w:p>
    <w:p w:rsidR="001456D7" w:rsidRPr="00215F59" w:rsidRDefault="001456D7" w:rsidP="001456D7"/>
    <w:p w:rsidR="001456D7" w:rsidRPr="00215F59" w:rsidRDefault="001456D7" w:rsidP="001456D7">
      <w:pPr>
        <w:rPr>
          <w:sz w:val="16"/>
        </w:rPr>
      </w:pPr>
      <w:r w:rsidRPr="00215F59">
        <w:rPr>
          <w:rStyle w:val="Emphasis"/>
        </w:rPr>
        <w:t>Transparency is one of the foundations of democratic governance</w:t>
      </w:r>
      <w:r w:rsidRPr="00215F59">
        <w:rPr>
          <w:sz w:val="16"/>
        </w:rPr>
        <w:t xml:space="preserve">. </w:t>
      </w:r>
      <w:r w:rsidRPr="00215F59">
        <w:rPr>
          <w:rStyle w:val="StyleUnderline"/>
        </w:rPr>
        <w:t xml:space="preserve">Our constitutional system of government relies upon the participation of an informed electorate. </w:t>
      </w:r>
      <w:r w:rsidRPr="00215F59">
        <w:rPr>
          <w:sz w:val="16"/>
        </w:rPr>
        <w:t xml:space="preserve">This in turn requires public access to information about the activities of the government. </w:t>
      </w:r>
      <w:r w:rsidRPr="00215F59">
        <w:rPr>
          <w:rStyle w:val="Emphasis"/>
        </w:rPr>
        <w:t>Transparency supports accountability</w:t>
      </w:r>
      <w:r w:rsidRPr="00215F59">
        <w:rPr>
          <w:sz w:val="16"/>
        </w:rPr>
        <w:t xml:space="preserve">. It is </w:t>
      </w:r>
      <w:r w:rsidRPr="00215F59">
        <w:rPr>
          <w:rStyle w:val="StyleUnderline"/>
        </w:rPr>
        <w:t>especially important with regard to activities of the government that affect the rights of individuals,</w:t>
      </w:r>
      <w:r w:rsidRPr="00215F59">
        <w:rPr>
          <w:sz w:val="16"/>
        </w:rPr>
        <w:t xml:space="preserve"> where it is closely interlinked with redress for violations of rights. In </w:t>
      </w:r>
      <w:r w:rsidRPr="00215F59">
        <w:rPr>
          <w:rStyle w:val="StyleUnderline"/>
        </w:rPr>
        <w:t xml:space="preserve">the intelligence context, although a certain amount of secrecy is necessary, transparency regarding collection authorities and their exercise can increase public confidence in the intelligence process </w:t>
      </w:r>
      <w:r w:rsidRPr="00215F59">
        <w:rPr>
          <w:sz w:val="16"/>
        </w:rPr>
        <w:t xml:space="preserve">and in the monumental decisions that our leaders make based on intelligence products. </w:t>
      </w:r>
      <w:r w:rsidRPr="00215F59">
        <w:rPr>
          <w:rStyle w:val="StyleUnderline"/>
        </w:rPr>
        <w:t>In the aftermath of the Snowden disclosures, the government has released a substantial amount of information on the leaked government surveillance programs. Although there remains a deep well of distrust, these official disclosures have helped foster greater public understanding of government surveillance programs</w:t>
      </w:r>
      <w:r w:rsidRPr="00215F59">
        <w:rPr>
          <w:sz w:val="16"/>
        </w:rPr>
        <w:t xml:space="preserve">. However, to date the official disclosures relate almost exclusively to specific programs that had already been the subject of leaks, and we must be careful in citing these disclosures as object lessons for what additional transparency might be appropriate in the future. </w:t>
      </w:r>
    </w:p>
    <w:p w:rsidR="001456D7" w:rsidRPr="00215F59" w:rsidRDefault="001456D7" w:rsidP="001456D7"/>
    <w:p w:rsidR="001456D7" w:rsidRPr="00215F59" w:rsidRDefault="001456D7" w:rsidP="001456D7"/>
    <w:p w:rsidR="001456D7" w:rsidRDefault="000D700A" w:rsidP="001456D7">
      <w:pPr>
        <w:pStyle w:val="Heading3"/>
        <w:rPr>
          <w:rFonts w:eastAsia="Times New Roman"/>
          <w:lang w:val="en"/>
        </w:rPr>
      </w:pPr>
      <w:bookmarkStart w:id="29" w:name="_Toc424259104"/>
      <w:r>
        <w:rPr>
          <w:rFonts w:eastAsia="Times New Roman"/>
          <w:lang w:val="en"/>
        </w:rPr>
        <w:lastRenderedPageBreak/>
        <w:t>A2: Government not responsive to civic engagement</w:t>
      </w:r>
      <w:bookmarkEnd w:id="29"/>
    </w:p>
    <w:p w:rsidR="001456D7" w:rsidRPr="004978F5" w:rsidRDefault="001456D7" w:rsidP="001456D7">
      <w:pPr>
        <w:rPr>
          <w:lang w:val="en"/>
        </w:rPr>
      </w:pPr>
    </w:p>
    <w:p w:rsidR="001456D7" w:rsidRPr="004978F5" w:rsidRDefault="000D700A" w:rsidP="00AF1BF7">
      <w:pPr>
        <w:pStyle w:val="Heading4"/>
        <w:rPr>
          <w:rFonts w:eastAsia="Times New Roman"/>
          <w:lang w:val="en"/>
        </w:rPr>
      </w:pPr>
      <w:r>
        <w:rPr>
          <w:rFonts w:eastAsia="Times New Roman"/>
          <w:lang w:val="en"/>
        </w:rPr>
        <w:t xml:space="preserve">Elected officials are susceptible to public opinion – they’ll respond to engaged citizens. </w:t>
      </w:r>
    </w:p>
    <w:p w:rsidR="001456D7" w:rsidRPr="004978F5" w:rsidRDefault="001456D7" w:rsidP="001456D7">
      <w:pPr>
        <w:rPr>
          <w:lang w:val="en"/>
        </w:rPr>
      </w:pPr>
    </w:p>
    <w:p w:rsidR="001456D7" w:rsidRPr="004978F5" w:rsidRDefault="001456D7" w:rsidP="001456D7">
      <w:pPr>
        <w:rPr>
          <w:rStyle w:val="StyleStyleBold12pt"/>
        </w:rPr>
      </w:pPr>
      <w:r>
        <w:rPr>
          <w:rStyle w:val="StyleStyleBold12pt"/>
        </w:rPr>
        <w:t>Voltmer, 20</w:t>
      </w:r>
      <w:r w:rsidRPr="004978F5">
        <w:rPr>
          <w:rStyle w:val="StyleStyleBold12pt"/>
        </w:rPr>
        <w:t xml:space="preserve">08 </w:t>
      </w:r>
    </w:p>
    <w:p w:rsidR="001456D7" w:rsidRPr="004978F5" w:rsidRDefault="001456D7" w:rsidP="001456D7">
      <w:pPr>
        <w:rPr>
          <w:rStyle w:val="StyleUnderline"/>
          <w:b w:val="0"/>
          <w:u w:val="none"/>
        </w:rPr>
      </w:pPr>
      <w:r w:rsidRPr="004978F5">
        <w:t>(</w:t>
      </w:r>
      <w:r>
        <w:t xml:space="preserve">Katrin, </w:t>
      </w:r>
      <w:r w:rsidRPr="004978F5">
        <w:t>Diploma in Sociology Free University Berlin, Germany, Dr. Phil. in Political Science, Free Unive</w:t>
      </w:r>
      <w:r>
        <w:t xml:space="preserve">rsity Berlin, 14/11/08, </w:t>
      </w:r>
      <w:r w:rsidRPr="004978F5">
        <w:rPr>
          <w:u w:val="single"/>
        </w:rPr>
        <w:t>Roles of the news media</w:t>
      </w:r>
      <w:r>
        <w:t>, The media, government accountability, and citizen engagement”)</w:t>
      </w:r>
    </w:p>
    <w:p w:rsidR="001456D7" w:rsidRPr="004978F5" w:rsidRDefault="001456D7" w:rsidP="001456D7">
      <w:pPr>
        <w:rPr>
          <w:rStyle w:val="StyleStyleBold12pt"/>
          <w:bCs w:val="0"/>
          <w:sz w:val="18"/>
          <w:lang w:val="en"/>
        </w:rPr>
      </w:pPr>
    </w:p>
    <w:p w:rsidR="001456D7" w:rsidRPr="00215F59" w:rsidRDefault="001456D7" w:rsidP="001456D7">
      <w:pPr>
        <w:rPr>
          <w:rStyle w:val="StyleUnderline"/>
        </w:rPr>
      </w:pPr>
      <w:r w:rsidRPr="00215F59">
        <w:rPr>
          <w:sz w:val="16"/>
          <w:szCs w:val="26"/>
        </w:rPr>
        <w:t xml:space="preserve">Government accountability. Even though all governments – whether democratic or authoritarian – have to deliver a minimum of public goods in order to avoid widespread social unrest </w:t>
      </w:r>
      <w:r w:rsidRPr="00215F59">
        <w:rPr>
          <w:rStyle w:val="StyleUnderline"/>
        </w:rPr>
        <w:t>electoral democracy provides strong institutional incentives for political officials to be accountable to their citizens</w:t>
      </w:r>
      <w:r w:rsidRPr="00215F59">
        <w:rPr>
          <w:sz w:val="16"/>
          <w:szCs w:val="26"/>
        </w:rPr>
        <w:t xml:space="preserve">. With periodic elections </w:t>
      </w:r>
      <w:r w:rsidRPr="00215F59">
        <w:rPr>
          <w:rStyle w:val="StyleUnderline"/>
        </w:rPr>
        <w:t>citizens have a powerful instrument in their hand to reward or punish a government for its performance</w:t>
      </w:r>
      <w:r w:rsidRPr="00215F59">
        <w:rPr>
          <w:sz w:val="16"/>
          <w:szCs w:val="26"/>
        </w:rPr>
        <w:t>. Since elections are the main mechanism to allocate power in democratic systems they link the self</w:t>
      </w:r>
      <w:r w:rsidRPr="00215F59">
        <w:rPr>
          <w:rFonts w:ascii="Cambria Math" w:hAnsi="Cambria Math" w:cs="Cambria Math"/>
          <w:sz w:val="16"/>
          <w:szCs w:val="26"/>
        </w:rPr>
        <w:t>‐</w:t>
      </w:r>
      <w:r w:rsidRPr="00215F59">
        <w:rPr>
          <w:sz w:val="16"/>
          <w:szCs w:val="26"/>
        </w:rPr>
        <w:t>interest of politicians with the requirement to act in the interest of the population. Or as the political scientist V.O. Key puts it, “</w:t>
      </w:r>
      <w:r w:rsidRPr="00215F59">
        <w:rPr>
          <w:rStyle w:val="StyleUnderline"/>
        </w:rPr>
        <w:t>the fear of loss of popular support powerfully disciplines the actions of governments</w:t>
      </w:r>
      <w:r w:rsidRPr="00215F59">
        <w:rPr>
          <w:sz w:val="16"/>
          <w:szCs w:val="26"/>
        </w:rPr>
        <w:t xml:space="preserve">”.2 Yet whether or not voting can function as an effective mechanism to enforce government accountability depends on a complex set of both institutional and cultural conditions. Institutionally, the choice of electoral system, professionalism in public administration and the independence of the judiciary are crucial factors that affect the degree to which governments respond to public demands. </w:t>
      </w:r>
      <w:r w:rsidRPr="00215F59">
        <w:rPr>
          <w:rStyle w:val="StyleUnderline"/>
        </w:rPr>
        <w:t>Culturally, the ability and willingness of the citizens to engage in political life alongside the quality of public communication play an important part in strengthening the link between those in power and the citizenry</w:t>
      </w:r>
    </w:p>
    <w:p w:rsidR="001456D7" w:rsidRDefault="000D700A" w:rsidP="001456D7">
      <w:pPr>
        <w:pStyle w:val="Heading3"/>
        <w:spacing w:before="0"/>
        <w:rPr>
          <w:rFonts w:cs="Arial"/>
        </w:rPr>
      </w:pPr>
      <w:bookmarkStart w:id="30" w:name="_Toc424259105"/>
      <w:r>
        <w:rPr>
          <w:rFonts w:cs="Arial"/>
        </w:rPr>
        <w:lastRenderedPageBreak/>
        <w:t>A2: Perm solves NB</w:t>
      </w:r>
      <w:bookmarkEnd w:id="30"/>
    </w:p>
    <w:p w:rsidR="001456D7" w:rsidRPr="004978F5" w:rsidRDefault="001456D7" w:rsidP="001456D7"/>
    <w:p w:rsidR="001456D7" w:rsidRPr="00215F59" w:rsidRDefault="000D700A" w:rsidP="00AF1BF7">
      <w:pPr>
        <w:pStyle w:val="Heading4"/>
      </w:pPr>
      <w:r>
        <w:t>The permutation codifies legal</w:t>
      </w:r>
      <w:r w:rsidR="001456D7" w:rsidRPr="00215F59">
        <w:t xml:space="preserve"> action before</w:t>
      </w:r>
      <w:r>
        <w:t xml:space="preserve"> PCLOB</w:t>
      </w:r>
      <w:r w:rsidR="001456D7" w:rsidRPr="00215F59">
        <w:t xml:space="preserve"> findings are released – </w:t>
      </w:r>
      <w:r w:rsidR="00923050">
        <w:t xml:space="preserve">overshadows the public impact of their recommendations. </w:t>
      </w:r>
    </w:p>
    <w:p w:rsidR="001456D7" w:rsidRPr="00215F59" w:rsidRDefault="001456D7" w:rsidP="001456D7"/>
    <w:p w:rsidR="001456D7" w:rsidRPr="00215F59" w:rsidRDefault="001456D7" w:rsidP="001456D7">
      <w:pPr>
        <w:rPr>
          <w:rStyle w:val="StyleStyleBold12pt"/>
        </w:rPr>
      </w:pPr>
      <w:r w:rsidRPr="00215F59">
        <w:rPr>
          <w:rStyle w:val="StyleStyleBold12pt"/>
        </w:rPr>
        <w:t>Masnick, 2014</w:t>
      </w:r>
    </w:p>
    <w:p w:rsidR="001456D7" w:rsidRPr="00215F59" w:rsidRDefault="001456D7" w:rsidP="001456D7">
      <w:r w:rsidRPr="00215F59">
        <w:t xml:space="preserve">(Mike, CEO and Editor of TechDirt + BusinessWeek Contributor, “President Obama Locking In Cosmetic NSA 'Reforms' Before Key Privacy Board Can Even Weigh In,” </w:t>
      </w:r>
      <w:r w:rsidRPr="00215F59">
        <w:rPr>
          <w:i/>
        </w:rPr>
        <w:t xml:space="preserve">TechDirt, </w:t>
      </w:r>
      <w:r w:rsidRPr="00215F59">
        <w:t xml:space="preserve">Jan 16, Online: https://www.techdirt.com/articles/20140115/18345125891/president-obama-locking-cosmetic-nsa-reforms-before-key-privacy-board-can-even-weigh.shtml) </w:t>
      </w:r>
    </w:p>
    <w:p w:rsidR="001456D7" w:rsidRPr="00215F59" w:rsidRDefault="001456D7" w:rsidP="001456D7"/>
    <w:p w:rsidR="001456D7" w:rsidRPr="00215F59" w:rsidRDefault="001456D7" w:rsidP="001456D7">
      <w:pPr>
        <w:rPr>
          <w:rStyle w:val="StyleUnderline"/>
        </w:rPr>
      </w:pPr>
      <w:r w:rsidRPr="00215F59">
        <w:rPr>
          <w:sz w:val="16"/>
        </w:rPr>
        <w:t xml:space="preserve">While so much attention has been paid to the special White House task force that was set up to look at the NSA situation, and the fact that President Obama is planning to announce his almost entirely cosmetic "reforms" for the NSA tomorrow, it seems that </w:t>
      </w:r>
      <w:r w:rsidRPr="00215F59">
        <w:rPr>
          <w:rStyle w:val="StyleUnderline"/>
        </w:rPr>
        <w:t xml:space="preserve">almost everyone has forgotten that there is an official Privacy and Civil Liberties Oversight Board </w:t>
      </w:r>
      <w:r w:rsidRPr="00215F59">
        <w:rPr>
          <w:sz w:val="16"/>
        </w:rPr>
        <w:t xml:space="preserve">(PCLOB) </w:t>
      </w:r>
      <w:r w:rsidRPr="00215F59">
        <w:rPr>
          <w:rStyle w:val="StyleUnderline"/>
        </w:rPr>
        <w:t>that is planning to give its own recommendations concerning the NSA's programs</w:t>
      </w:r>
      <w:r w:rsidRPr="00215F59">
        <w:rPr>
          <w:sz w:val="16"/>
        </w:rPr>
        <w:t xml:space="preserve">... </w:t>
      </w:r>
      <w:r w:rsidRPr="00215F59">
        <w:rPr>
          <w:rStyle w:val="StyleUnderline"/>
        </w:rPr>
        <w:t>only, it's after the President will have already announced his plans</w:t>
      </w:r>
      <w:r w:rsidRPr="00215F59">
        <w:rPr>
          <w:sz w:val="16"/>
        </w:rPr>
        <w:t xml:space="preserve">. Admittedly, it must be easy to forget about or ignore the PCLOB. As we discussed a year and a half ago, the federal government (under both Presidents Bush and Obama) left it entirely unstaffed for nearly five years. However, it does now exist and has also been investigating the NSA's programs and their impact on privacy and civil liberties. </w:t>
      </w:r>
      <w:r w:rsidRPr="00215F59">
        <w:rPr>
          <w:sz w:val="12"/>
        </w:rPr>
        <w:t>¶</w:t>
      </w:r>
      <w:r w:rsidRPr="00215F59">
        <w:rPr>
          <w:sz w:val="16"/>
        </w:rPr>
        <w:t xml:space="preserve"> </w:t>
      </w:r>
      <w:r w:rsidRPr="00215F59">
        <w:rPr>
          <w:rStyle w:val="StyleUnderline"/>
        </w:rPr>
        <w:t>Earlier this month, the PCLOB announced that it will be releasing its findings</w:t>
      </w:r>
      <w:r w:rsidRPr="00215F59">
        <w:rPr>
          <w:sz w:val="16"/>
        </w:rPr>
        <w:t xml:space="preserve">... in late January or after February. In other words, the recommendations will be </w:t>
      </w:r>
      <w:r w:rsidRPr="00215F59">
        <w:rPr>
          <w:rStyle w:val="StyleUnderline"/>
        </w:rPr>
        <w:t>after the President has already announced his plans</w:t>
      </w:r>
      <w:r w:rsidRPr="00215F59">
        <w:rPr>
          <w:sz w:val="16"/>
        </w:rPr>
        <w:t xml:space="preserve">. It does sound like </w:t>
      </w:r>
      <w:r w:rsidRPr="00215F59">
        <w:rPr>
          <w:rStyle w:val="StyleUnderline"/>
        </w:rPr>
        <w:t xml:space="preserve">the PCLOB report will be </w:t>
      </w:r>
      <w:r w:rsidRPr="00215F59">
        <w:rPr>
          <w:sz w:val="16"/>
        </w:rPr>
        <w:t xml:space="preserve">fairly </w:t>
      </w:r>
      <w:r w:rsidRPr="00215F59">
        <w:rPr>
          <w:rStyle w:val="StyleUnderline"/>
        </w:rPr>
        <w:t xml:space="preserve">thorough </w:t>
      </w:r>
      <w:r w:rsidRPr="00215F59">
        <w:rPr>
          <w:sz w:val="16"/>
        </w:rPr>
        <w:t xml:space="preserve">-- </w:t>
      </w:r>
      <w:r w:rsidRPr="00215F59">
        <w:rPr>
          <w:rStyle w:val="StyleUnderline"/>
        </w:rPr>
        <w:t>there will be one focused on Section 215</w:t>
      </w:r>
      <w:r w:rsidRPr="00215F59">
        <w:rPr>
          <w:sz w:val="16"/>
        </w:rPr>
        <w:t xml:space="preserve"> of the PATRIOT Act (the bulk metadata collection), a report </w:t>
      </w:r>
      <w:r w:rsidRPr="00215F59">
        <w:rPr>
          <w:rStyle w:val="StyleUnderline"/>
        </w:rPr>
        <w:t>on how FISC works, and</w:t>
      </w:r>
      <w:r w:rsidRPr="00215F59">
        <w:rPr>
          <w:sz w:val="16"/>
        </w:rPr>
        <w:t xml:space="preserve"> a final report </w:t>
      </w:r>
      <w:r w:rsidRPr="00215F59">
        <w:rPr>
          <w:rStyle w:val="StyleUnderline"/>
        </w:rPr>
        <w:t xml:space="preserve">on Section 702 </w:t>
      </w:r>
      <w:r w:rsidRPr="00215F59">
        <w:rPr>
          <w:sz w:val="16"/>
        </w:rPr>
        <w:t xml:space="preserve">of the FISA Amendments Act. </w:t>
      </w:r>
      <w:r w:rsidRPr="00215F59">
        <w:rPr>
          <w:rStyle w:val="StyleUnderline"/>
        </w:rPr>
        <w:t xml:space="preserve">Basically, three separate looks at the most controversial aspects of the NSA's activities. And all of them coming after the President has already made up his mind. </w:t>
      </w:r>
      <w:r w:rsidRPr="00215F59">
        <w:rPr>
          <w:rStyle w:val="StyleUnderline"/>
          <w:sz w:val="12"/>
        </w:rPr>
        <w:t>¶</w:t>
      </w:r>
      <w:r w:rsidRPr="00215F59">
        <w:rPr>
          <w:sz w:val="16"/>
        </w:rPr>
        <w:t xml:space="preserve"> Of course, while it might seem odd that the President would announce his plans just a few days before the government's official organization in charge of privacy and civil liberties announces its findings...</w:t>
      </w:r>
      <w:r w:rsidRPr="00215F59">
        <w:rPr>
          <w:rStyle w:val="StyleUnderline"/>
        </w:rPr>
        <w:t xml:space="preserve"> it's not that odd if the whole point is to </w:t>
      </w:r>
      <w:r w:rsidRPr="00215F59">
        <w:rPr>
          <w:sz w:val="16"/>
        </w:rPr>
        <w:t xml:space="preserve">basically </w:t>
      </w:r>
      <w:r w:rsidRPr="00215F59">
        <w:rPr>
          <w:rStyle w:val="StyleUnderline"/>
        </w:rPr>
        <w:t xml:space="preserve">cut off any serious consideration of whatever they actually end up recommending. </w:t>
      </w:r>
      <w:r w:rsidRPr="00215F59">
        <w:rPr>
          <w:sz w:val="16"/>
        </w:rPr>
        <w:t xml:space="preserve">And, of course, </w:t>
      </w:r>
      <w:r w:rsidRPr="00215F59">
        <w:rPr>
          <w:rStyle w:val="StyleUnderline"/>
        </w:rPr>
        <w:t>you don't even have to be overly cynical to assume that's exactly what's happening.</w:t>
      </w:r>
    </w:p>
    <w:p w:rsidR="001456D7" w:rsidRPr="00215F59" w:rsidRDefault="001456D7" w:rsidP="001456D7">
      <w:pPr>
        <w:rPr>
          <w:rStyle w:val="StyleUnderline"/>
        </w:rPr>
      </w:pPr>
    </w:p>
    <w:p w:rsidR="00614BC3" w:rsidRPr="00215F59" w:rsidRDefault="008279B1" w:rsidP="00215F59">
      <w:pPr>
        <w:pStyle w:val="Heading2"/>
        <w:spacing w:before="0"/>
        <w:rPr>
          <w:rFonts w:cs="Arial"/>
        </w:rPr>
      </w:pPr>
      <w:bookmarkStart w:id="31" w:name="_Toc424259106"/>
      <w:r>
        <w:rPr>
          <w:rFonts w:cs="Arial"/>
        </w:rPr>
        <w:lastRenderedPageBreak/>
        <w:t>Politics</w:t>
      </w:r>
      <w:bookmarkEnd w:id="31"/>
    </w:p>
    <w:p w:rsidR="00614BC3" w:rsidRPr="00215F59" w:rsidRDefault="00614BC3" w:rsidP="00215F59"/>
    <w:p w:rsidR="00614BC3" w:rsidRPr="00215F59" w:rsidRDefault="00614BC3" w:rsidP="00215F59"/>
    <w:p w:rsidR="00ED3311" w:rsidRDefault="008279B1" w:rsidP="00ED3311">
      <w:pPr>
        <w:pStyle w:val="Heading3"/>
      </w:pPr>
      <w:bookmarkStart w:id="32" w:name="_Toc424259107"/>
      <w:r>
        <w:lastRenderedPageBreak/>
        <w:t>CP Shields Politics</w:t>
      </w:r>
      <w:bookmarkEnd w:id="32"/>
    </w:p>
    <w:p w:rsidR="00ED3311" w:rsidRPr="0068363E" w:rsidRDefault="00ED3311" w:rsidP="00ED3311"/>
    <w:p w:rsidR="00ED3311" w:rsidRDefault="00ED3311" w:rsidP="00AF1BF7">
      <w:pPr>
        <w:pStyle w:val="Heading4"/>
      </w:pPr>
      <w:r>
        <w:t>Commissions solve gridlock</w:t>
      </w:r>
    </w:p>
    <w:p w:rsidR="00ED3311" w:rsidRPr="00962AAE" w:rsidRDefault="00ED3311" w:rsidP="00ED3311"/>
    <w:p w:rsidR="00ED3311" w:rsidRDefault="00ED3311" w:rsidP="00ED3311">
      <w:pPr>
        <w:rPr>
          <w:sz w:val="16"/>
        </w:rPr>
      </w:pPr>
      <w:r w:rsidRPr="00F85E34">
        <w:rPr>
          <w:rStyle w:val="StyleStyleBold12pt"/>
        </w:rPr>
        <w:t>Glassman and Straus, 2015</w:t>
      </w:r>
      <w:r w:rsidRPr="00F85E34">
        <w:rPr>
          <w:sz w:val="16"/>
        </w:rPr>
        <w:t xml:space="preserve"> Mathew E. Glassman and Jacob R. Straus are analysts on Congress. (Mathew E. Glassman and Jacob R. Straus, “Congressional Commissions: Overview, Structure, and Legislative Considerations”</w:t>
      </w:r>
      <w:r>
        <w:rPr>
          <w:sz w:val="16"/>
        </w:rPr>
        <w:t>, Pg. 7-8</w:t>
      </w:r>
      <w:r w:rsidRPr="00F85E34">
        <w:rPr>
          <w:sz w:val="16"/>
        </w:rPr>
        <w:t xml:space="preserve">, 1/27/15, Congressional Research Service, </w:t>
      </w:r>
      <w:hyperlink r:id="rId24" w:history="1">
        <w:r w:rsidRPr="00681FAC">
          <w:rPr>
            <w:rStyle w:val="Hyperlink"/>
            <w:sz w:val="16"/>
          </w:rPr>
          <w:t>https://www.fas.org/sgp/crs/misc/R40076.pdf)//ER</w:t>
        </w:r>
      </w:hyperlink>
    </w:p>
    <w:p w:rsidR="00ED3311" w:rsidRPr="00B520D2" w:rsidRDefault="00ED3311" w:rsidP="00ED3311"/>
    <w:p w:rsidR="00ED3311" w:rsidRDefault="00ED3311" w:rsidP="00ED3311">
      <w:pPr>
        <w:rPr>
          <w:sz w:val="14"/>
        </w:rPr>
      </w:pPr>
      <w:r w:rsidRPr="00964D3D">
        <w:rPr>
          <w:sz w:val="14"/>
        </w:rPr>
        <w:t xml:space="preserve">Legislators seeking policy changes may be confronted by an array of political interests, some in favor of proposed changes and some against. </w:t>
      </w:r>
      <w:r w:rsidRPr="00EE4C18">
        <w:rPr>
          <w:rStyle w:val="StyleUnderline"/>
        </w:rPr>
        <w:t xml:space="preserve">When these interests clash, the resulting legislation may encounter gridlock in </w:t>
      </w:r>
      <w:r w:rsidRPr="00964D3D">
        <w:rPr>
          <w:sz w:val="14"/>
        </w:rPr>
        <w:t>the highly structured political institution of the modern</w:t>
      </w:r>
      <w:r w:rsidRPr="00EE4C18">
        <w:rPr>
          <w:rStyle w:val="StyleUnderline"/>
        </w:rPr>
        <w:t xml:space="preserve"> Congress.</w:t>
      </w:r>
      <w:r w:rsidRPr="00964D3D">
        <w:rPr>
          <w:sz w:val="14"/>
        </w:rPr>
        <w:t>28</w:t>
      </w:r>
      <w:r w:rsidRPr="00EE4C18">
        <w:rPr>
          <w:rStyle w:val="StyleUnderline"/>
        </w:rPr>
        <w:t xml:space="preserve"> By creating a commission, Congress can place policy debates in a</w:t>
      </w:r>
      <w:r w:rsidRPr="00964D3D">
        <w:rPr>
          <w:sz w:val="14"/>
        </w:rPr>
        <w:t xml:space="preserve"> potentially</w:t>
      </w:r>
      <w:r w:rsidRPr="00EE4C18">
        <w:rPr>
          <w:rStyle w:val="StyleUnderline"/>
        </w:rPr>
        <w:t xml:space="preserve"> more flexible environment, where congressional and public attention can be developed over time</w:t>
      </w:r>
      <w:r w:rsidRPr="00964D3D">
        <w:rPr>
          <w:sz w:val="14"/>
        </w:rPr>
        <w:t>.</w:t>
      </w:r>
      <w:r w:rsidRPr="00EF6778">
        <w:rPr>
          <w:rStyle w:val="StyleUnderline"/>
        </w:rPr>
        <w:t xml:space="preserve"> </w:t>
      </w:r>
      <w:r w:rsidRPr="00904206">
        <w:rPr>
          <w:rStyle w:val="StyleUnderline"/>
        </w:rPr>
        <w:t>Solutions to policy problems produced within the normal legislative process</w:t>
      </w:r>
      <w:r w:rsidRPr="00964D3D">
        <w:rPr>
          <w:sz w:val="14"/>
        </w:rPr>
        <w:t xml:space="preserve"> may also </w:t>
      </w:r>
      <w:r w:rsidRPr="00904206">
        <w:rPr>
          <w:rStyle w:val="StyleUnderline"/>
        </w:rPr>
        <w:t xml:space="preserve">suffer politically from </w:t>
      </w:r>
      <w:r w:rsidRPr="00964D3D">
        <w:rPr>
          <w:sz w:val="14"/>
        </w:rPr>
        <w:t>charges of</w:t>
      </w:r>
      <w:r w:rsidRPr="00904206">
        <w:rPr>
          <w:rStyle w:val="StyleUnderline"/>
        </w:rPr>
        <w:t xml:space="preserve"> partisanship.</w:t>
      </w:r>
      <w:r w:rsidRPr="00964D3D">
        <w:rPr>
          <w:sz w:val="14"/>
        </w:rPr>
        <w:t xml:space="preserve">30 </w:t>
      </w:r>
      <w:r w:rsidRPr="00904206">
        <w:rPr>
          <w:rStyle w:val="StyleUnderline"/>
        </w:rPr>
        <w:t xml:space="preserve">Similar charges may be made against investigations conducted by Congress.31 The </w:t>
      </w:r>
      <w:r w:rsidRPr="00485096">
        <w:rPr>
          <w:rStyle w:val="Emphasis"/>
        </w:rPr>
        <w:t>non-partisan or bipartisan character of most congressional commissions</w:t>
      </w:r>
      <w:r w:rsidRPr="00964D3D">
        <w:rPr>
          <w:sz w:val="14"/>
        </w:rPr>
        <w:t xml:space="preserve"> may </w:t>
      </w:r>
      <w:r w:rsidRPr="00904206">
        <w:rPr>
          <w:rStyle w:val="StyleUnderline"/>
        </w:rPr>
        <w:t xml:space="preserve">make </w:t>
      </w:r>
      <w:r w:rsidRPr="00485096">
        <w:rPr>
          <w:rStyle w:val="Emphasis"/>
        </w:rPr>
        <w:t>their findings and recommendations</w:t>
      </w:r>
      <w:r w:rsidRPr="00904206">
        <w:rPr>
          <w:rStyle w:val="StyleUnderline"/>
        </w:rPr>
        <w:t xml:space="preserve"> less susceptible to such charges and </w:t>
      </w:r>
      <w:r w:rsidRPr="00C061DE">
        <w:rPr>
          <w:rStyle w:val="Emphasis"/>
        </w:rPr>
        <w:t>more politically acceptable to diverse viewpoints</w:t>
      </w:r>
      <w:r w:rsidRPr="00904206">
        <w:rPr>
          <w:rStyle w:val="StyleUnderline"/>
        </w:rPr>
        <w:t>.</w:t>
      </w:r>
      <w:r w:rsidRPr="00964D3D">
        <w:rPr>
          <w:sz w:val="14"/>
        </w:rPr>
        <w:t xml:space="preserve"> The </w:t>
      </w:r>
      <w:r w:rsidRPr="00904206">
        <w:rPr>
          <w:rStyle w:val="StyleUnderline"/>
        </w:rPr>
        <w:t xml:space="preserve">bipartisan or nonpartisan arrangement can </w:t>
      </w:r>
      <w:r w:rsidRPr="00964D3D">
        <w:rPr>
          <w:sz w:val="14"/>
        </w:rPr>
        <w:t>potentially</w:t>
      </w:r>
      <w:r w:rsidRPr="00904206">
        <w:rPr>
          <w:rStyle w:val="StyleUnderline"/>
        </w:rPr>
        <w:t xml:space="preserve"> </w:t>
      </w:r>
      <w:r w:rsidRPr="00485096">
        <w:rPr>
          <w:rStyle w:val="Emphasis"/>
        </w:rPr>
        <w:t>give their recommendations strong credibility</w:t>
      </w:r>
      <w:r w:rsidRPr="00904206">
        <w:rPr>
          <w:rStyle w:val="StyleUnderline"/>
        </w:rPr>
        <w:t>,</w:t>
      </w:r>
      <w:r w:rsidRPr="00964D3D">
        <w:rPr>
          <w:sz w:val="14"/>
        </w:rPr>
        <w:t xml:space="preserve"> both </w:t>
      </w:r>
      <w:r w:rsidRPr="00904206">
        <w:rPr>
          <w:rStyle w:val="StyleUnderline"/>
        </w:rPr>
        <w:t>in Congress and among the public</w:t>
      </w:r>
      <w:r w:rsidRPr="00485096">
        <w:rPr>
          <w:rStyle w:val="Emphasis"/>
        </w:rPr>
        <w:t xml:space="preserve">, even </w:t>
      </w:r>
      <w:r w:rsidRPr="00C061DE">
        <w:rPr>
          <w:rStyle w:val="StyleUnderline"/>
        </w:rPr>
        <w:t>when dealing</w:t>
      </w:r>
      <w:r w:rsidRPr="00485096">
        <w:rPr>
          <w:rStyle w:val="Emphasis"/>
        </w:rPr>
        <w:t xml:space="preserve"> with divisive issues</w:t>
      </w:r>
      <w:r w:rsidRPr="00904206">
        <w:rPr>
          <w:rStyle w:val="StyleUnderline"/>
        </w:rPr>
        <w:t xml:space="preserve"> of public policy.</w:t>
      </w:r>
      <w:r w:rsidRPr="00CB0E90">
        <w:rPr>
          <w:rStyle w:val="StyleUnderline"/>
        </w:rPr>
        <w:t>32 Commissions</w:t>
      </w:r>
      <w:r w:rsidRPr="00964D3D">
        <w:rPr>
          <w:sz w:val="14"/>
        </w:rPr>
        <w:t xml:space="preserve"> may</w:t>
      </w:r>
      <w:r w:rsidRPr="00CB0E90">
        <w:rPr>
          <w:rStyle w:val="StyleUnderline"/>
        </w:rPr>
        <w:t xml:space="preserve"> also give political factions space to negotiate compromises</w:t>
      </w:r>
      <w:r w:rsidRPr="00964D3D">
        <w:rPr>
          <w:sz w:val="14"/>
        </w:rPr>
        <w:t xml:space="preserve"> in good faith</w:t>
      </w:r>
      <w:r w:rsidRPr="00CB0E90">
        <w:rPr>
          <w:rStyle w:val="StyleUnderline"/>
        </w:rPr>
        <w:t xml:space="preserve">, bypassing the short-term </w:t>
      </w:r>
      <w:r w:rsidRPr="00964D3D">
        <w:rPr>
          <w:sz w:val="14"/>
        </w:rPr>
        <w:t>tactical</w:t>
      </w:r>
      <w:r w:rsidRPr="00CB0E90">
        <w:rPr>
          <w:rStyle w:val="StyleUnderline"/>
        </w:rPr>
        <w:t xml:space="preserve"> political maneuvers that accompany public negotiations</w:t>
      </w:r>
      <w:r w:rsidRPr="00964D3D">
        <w:rPr>
          <w:sz w:val="14"/>
        </w:rPr>
        <w:t xml:space="preserve">.33 Similarly, </w:t>
      </w:r>
      <w:r w:rsidRPr="00CB0E90">
        <w:rPr>
          <w:rStyle w:val="Emphasis"/>
        </w:rPr>
        <w:t>because commission members are not elected, they may be better suited to suggesting unpopular, but necessary, policy solutions</w:t>
      </w:r>
      <w:r w:rsidRPr="00964D3D">
        <w:rPr>
          <w:sz w:val="14"/>
        </w:rPr>
        <w:t>.34</w:t>
      </w:r>
      <w:r w:rsidRPr="00EF6778">
        <w:rPr>
          <w:rStyle w:val="Emphasis"/>
        </w:rPr>
        <w:t xml:space="preserve"> </w:t>
      </w:r>
      <w:r w:rsidRPr="00DD55DE">
        <w:rPr>
          <w:rStyle w:val="Emphasis"/>
        </w:rPr>
        <w:t>A commission may allow legislators to solve collective action problems</w:t>
      </w:r>
      <w:r w:rsidRPr="00DD55DE">
        <w:rPr>
          <w:rStyle w:val="StyleUnderline"/>
        </w:rPr>
        <w:t xml:space="preserve">, situations in which all legislators individually seek to protect the interests of their own district, despite widespread agreement that the collective result of such interests is something none of them prefer. Legislators can use a commission to </w:t>
      </w:r>
      <w:r w:rsidRPr="00964D3D">
        <w:rPr>
          <w:sz w:val="14"/>
        </w:rPr>
        <w:t>jointly “tie their hands” in such circumstances,</w:t>
      </w:r>
      <w:r w:rsidRPr="00DD55DE">
        <w:rPr>
          <w:rStyle w:val="StyleUnderline"/>
        </w:rPr>
        <w:t xml:space="preserve"> allow</w:t>
      </w:r>
      <w:r w:rsidRPr="00964D3D">
        <w:rPr>
          <w:sz w:val="14"/>
        </w:rPr>
        <w:t>ing</w:t>
      </w:r>
      <w:r w:rsidRPr="00DD55DE">
        <w:rPr>
          <w:rStyle w:val="StyleUnderline"/>
        </w:rPr>
        <w:t xml:space="preserve"> general consensus about a particular policy solution to avoid being impeded by individual concerns about the effect or implementation of the solution.</w:t>
      </w:r>
      <w:r w:rsidRPr="00964D3D">
        <w:rPr>
          <w:sz w:val="14"/>
        </w:rPr>
        <w:t xml:space="preserve">35For example, in 1988 Congress established the Base Closure and Realignment Commission (BRAC) as a politically and geographically neutral body to make independent decisions about closures of military bases.36 The list of bases slated for closure by the commission was required to be either accepted or rejected as a whole by Congress, bypassing internal congressional politics over which individual bases would be closed, and </w:t>
      </w:r>
      <w:r w:rsidRPr="00DD55DE">
        <w:rPr>
          <w:rStyle w:val="Emphasis"/>
        </w:rPr>
        <w:t>protecting individual Members from political charges that they didn’t “save” their district</w:t>
      </w:r>
      <w:r w:rsidRPr="00964D3D">
        <w:rPr>
          <w:sz w:val="14"/>
        </w:rPr>
        <w:t>’s base.37</w:t>
      </w:r>
    </w:p>
    <w:p w:rsidR="00ED3311" w:rsidRDefault="00ED3311" w:rsidP="00ED3311">
      <w:pPr>
        <w:rPr>
          <w:sz w:val="14"/>
        </w:rPr>
      </w:pPr>
    </w:p>
    <w:p w:rsidR="000A3B07" w:rsidRDefault="000A3B07" w:rsidP="000A3B07">
      <w:pPr>
        <w:pStyle w:val="Heading3"/>
      </w:pPr>
      <w:bookmarkStart w:id="33" w:name="_Toc424259108"/>
      <w:r>
        <w:lastRenderedPageBreak/>
        <w:t>CP Shields Politics</w:t>
      </w:r>
      <w:bookmarkEnd w:id="33"/>
    </w:p>
    <w:p w:rsidR="000A3B07" w:rsidRPr="00A54B15" w:rsidRDefault="000A3B07" w:rsidP="000A3B07"/>
    <w:p w:rsidR="000A3B07" w:rsidRDefault="000A3B07" w:rsidP="00AF1BF7">
      <w:pPr>
        <w:pStyle w:val="Heading4"/>
      </w:pPr>
      <w:r>
        <w:t>Commissions are respected by the public and shield Congress from politics</w:t>
      </w:r>
    </w:p>
    <w:p w:rsidR="000A3B07" w:rsidRPr="00A54B15" w:rsidRDefault="000A3B07" w:rsidP="000A3B07"/>
    <w:p w:rsidR="000A3B07" w:rsidRDefault="000A3B07" w:rsidP="000A3B07">
      <w:pPr>
        <w:rPr>
          <w:sz w:val="16"/>
        </w:rPr>
      </w:pPr>
      <w:r>
        <w:rPr>
          <w:rStyle w:val="StyleStyleBold12pt"/>
        </w:rPr>
        <w:t>Schwalbe, 2013</w:t>
      </w:r>
    </w:p>
    <w:p w:rsidR="000A3B07" w:rsidRPr="00A54B15" w:rsidRDefault="000A3B07" w:rsidP="000A3B07">
      <w:r w:rsidRPr="00A54B15">
        <w:t xml:space="preserve">(Steve, Auburn University, “Independent Commissions: Their History, Utilization and Effectiveness,” March 22, Weather Coalition, </w:t>
      </w:r>
      <w:hyperlink r:id="rId25" w:history="1">
        <w:r w:rsidRPr="00A54B15">
          <w:rPr>
            <w:rStyle w:val="Hyperlink"/>
          </w:rPr>
          <w:t>http://weathercoalition.org/sites/default/files/documents/2013/independent_commissions.pdf</w:t>
        </w:r>
      </w:hyperlink>
      <w:r w:rsidRPr="00A54B15">
        <w:t>)</w:t>
      </w:r>
    </w:p>
    <w:p w:rsidR="000A3B07" w:rsidRDefault="000A3B07" w:rsidP="000A3B07">
      <w:pPr>
        <w:rPr>
          <w:rStyle w:val="StyleUnderline"/>
        </w:rPr>
      </w:pPr>
    </w:p>
    <w:p w:rsidR="000A3B07" w:rsidRPr="00572DF8" w:rsidRDefault="000A3B07" w:rsidP="000A3B07">
      <w:pPr>
        <w:rPr>
          <w:sz w:val="16"/>
        </w:rPr>
      </w:pPr>
      <w:r w:rsidRPr="002310E1">
        <w:rPr>
          <w:rStyle w:val="StyleUnderline"/>
        </w:rPr>
        <w:t xml:space="preserve">Commissions </w:t>
      </w:r>
      <w:r w:rsidRPr="00572DF8">
        <w:rPr>
          <w:sz w:val="16"/>
        </w:rPr>
        <w:t xml:space="preserve">serve numerous purposes in the U.S. Government. Campbell cited three primary reasons for the establishment of federal independent commissions. </w:t>
      </w:r>
      <w:r w:rsidRPr="002310E1">
        <w:rPr>
          <w:rStyle w:val="StyleUnderline"/>
        </w:rPr>
        <w:t>First, they are established to provide expertise the Congress does not have among its own elected officials or their staffs. Next,</w:t>
      </w:r>
      <w:r w:rsidRPr="00572DF8">
        <w:rPr>
          <w:sz w:val="16"/>
        </w:rPr>
        <w:t xml:space="preserve"> he noted that the second most frequently cited reason by members of Congress for establishing a commission </w:t>
      </w:r>
      <w:r w:rsidRPr="002310E1">
        <w:rPr>
          <w:rStyle w:val="StyleUnderline"/>
        </w:rPr>
        <w:t>was to reduce the workload in Congress. Finally, they are formed to provide a convenient scapegoat to deflect the wrath of the electorate; i.e., “blame</w:t>
      </w:r>
      <w:r w:rsidRPr="00572DF8">
        <w:rPr>
          <w:sz w:val="16"/>
        </w:rPr>
        <w:t xml:space="preserve"> </w:t>
      </w:r>
      <w:r w:rsidRPr="002310E1">
        <w:rPr>
          <w:rStyle w:val="StyleUnderline"/>
        </w:rPr>
        <w:t>avoidance.</w:t>
      </w:r>
      <w:r w:rsidRPr="00572DF8">
        <w:rPr>
          <w:sz w:val="16"/>
        </w:rPr>
        <w:t xml:space="preserve">”18 Fisher found three advantages of regulatory commissions. First, commission members bring essential expert insights to a commission because the regulated industries are normally “complex and highly technical.” Second, appointing commissioners for extended terms of full-time work allows commissioners to become very familiar with the technical aspects of an industry, through periodic contacts that Congress would not be able to accomplish. As a result of their tenure, varied membership, and shared responsibility, commissioners would be resistant to external pressures. Finally, regulatory commissions provide policy continuity essential to the stability of a regulated industry.19 </w:t>
      </w:r>
      <w:r w:rsidRPr="002310E1">
        <w:rPr>
          <w:rStyle w:val="StyleUnderline"/>
        </w:rPr>
        <w:t>What the taxpayers are primarily looking for from independent commissions are non-partisan solutions to current problems.</w:t>
      </w:r>
      <w:r w:rsidRPr="00572DF8">
        <w:rPr>
          <w:sz w:val="16"/>
        </w:rPr>
        <w:t xml:space="preserve"> A good example of establishing a commission to find non-partisan solutions is Congress regulating its own ethical behavior. University of Florida Professor Beth Rosenson researched this issue and concluded that authorizing an ethics commission may be “based on the fear of electoral retaliation if legislators do not take aggressive action to regulate their own ethics.”20 Campbell noted that commissions perform several other functions besides providing recommendations to the President and Congress. The most common reason provided by analysts is that</w:t>
      </w:r>
      <w:r w:rsidRPr="00572DF8">
        <w:rPr>
          <w:rStyle w:val="StyleUnderline"/>
        </w:rPr>
        <w:t xml:space="preserve"> members of Congress generally want to avoid making difficult decisions that may adversely affect their chances for reelection.</w:t>
      </w:r>
      <w:r w:rsidRPr="00572DF8">
        <w:rPr>
          <w:sz w:val="16"/>
        </w:rPr>
        <w:t xml:space="preserve"> As he noted, “</w:t>
      </w:r>
      <w:r w:rsidRPr="000A3B07">
        <w:rPr>
          <w:rStyle w:val="StyleUnderline"/>
        </w:rPr>
        <w:t>Incentives to avoid blame lead members of Congress to adopt a distinctive set of political strategies, such as ‘passing the buck’ or ‘deflection</w:t>
      </w:r>
      <w:r w:rsidRPr="00572DF8">
        <w:rPr>
          <w:sz w:val="16"/>
        </w:rPr>
        <w:t xml:space="preserve">’….”21 Another technique legislators use to avoid incurring the wrath of the voters is to schedule any controversial independent commissions for after the next election. </w:t>
      </w:r>
      <w:r w:rsidRPr="00572DF8">
        <w:rPr>
          <w:rStyle w:val="StyleUnderline"/>
        </w:rPr>
        <w:t>Establish-ing a commission to research the issue and come up with recommendations after a preset period of time is an effective way to do that.</w:t>
      </w:r>
      <w:r w:rsidRPr="00572DF8">
        <w:rPr>
          <w:sz w:val="16"/>
        </w:rPr>
        <w:t xml:space="preserve"> The most clear-cut example demonstrating this technique is the timing of the BRAC commissions in the 1990s — all three made their base closure recommendations in non-election years (1991, 1993, and 1995). Even the next BRAC commission, established by the National Defense Authorization Act for Fiscal Year 2002, is not required to submit its base closure recommendations until 2005. </w:t>
      </w:r>
      <w:r w:rsidRPr="00572DF8">
        <w:rPr>
          <w:rStyle w:val="StyleUnderline"/>
        </w:rPr>
        <w:t>Congress certainly is not the most efficient organization in the U.S.; hence, there are times when</w:t>
      </w:r>
      <w:r w:rsidRPr="00572DF8">
        <w:rPr>
          <w:sz w:val="16"/>
        </w:rPr>
        <w:t xml:space="preserve"> </w:t>
      </w:r>
      <w:r w:rsidRPr="00572DF8">
        <w:rPr>
          <w:rStyle w:val="StyleUnderline"/>
        </w:rPr>
        <w:t>an independent commission is the more efficient and effective way to go.</w:t>
      </w:r>
      <w:r w:rsidRPr="00572DF8">
        <w:rPr>
          <w:sz w:val="16"/>
        </w:rPr>
        <w:t xml:space="preserve"> Law-makers are almost always short on time and information, which makes the option of delegating authority to a commission very appealing. Oftentimes, the expertise and necessary information is very costly for Congress to acquire. </w:t>
      </w:r>
      <w:r w:rsidRPr="00572DF8">
        <w:rPr>
          <w:rStyle w:val="StyleUnderline"/>
        </w:rPr>
        <w:t xml:space="preserve">Commissions are generally the most inexpensive way for Congress to solve complex problems. </w:t>
      </w:r>
      <w:r w:rsidRPr="00572DF8">
        <w:rPr>
          <w:sz w:val="16"/>
        </w:rPr>
        <w:t>From 1993-1997, Campbell found that 92 congressional offices introduced legislation that included proposals to establish ad hoc commissions.22</w:t>
      </w:r>
    </w:p>
    <w:p w:rsidR="000A3B07" w:rsidRDefault="000A3B07" w:rsidP="000A3B07">
      <w:pPr>
        <w:pStyle w:val="Heading3"/>
      </w:pPr>
      <w:bookmarkStart w:id="34" w:name="_Toc424259109"/>
      <w:r>
        <w:lastRenderedPageBreak/>
        <w:t>CP Shields Politics</w:t>
      </w:r>
      <w:bookmarkEnd w:id="34"/>
      <w:r>
        <w:t xml:space="preserve"> </w:t>
      </w:r>
    </w:p>
    <w:p w:rsidR="000A3B07" w:rsidRPr="000A3B07" w:rsidRDefault="000A3B07" w:rsidP="000A3B07"/>
    <w:p w:rsidR="000A3B07" w:rsidRDefault="000A3B07" w:rsidP="00AF1BF7">
      <w:pPr>
        <w:pStyle w:val="Heading4"/>
        <w:rPr>
          <w:rStyle w:val="StyleStyleBold12pt"/>
          <w:b/>
        </w:rPr>
      </w:pPr>
      <w:r w:rsidRPr="00C26C28">
        <w:rPr>
          <w:rStyle w:val="StyleStyleBold12pt"/>
          <w:b/>
        </w:rPr>
        <w:t>PCLOB avoids political dilemma + provides political cover</w:t>
      </w:r>
    </w:p>
    <w:p w:rsidR="000A3B07" w:rsidRPr="000A3B07" w:rsidRDefault="000A3B07" w:rsidP="000A3B07"/>
    <w:p w:rsidR="000A3B07" w:rsidRDefault="000A3B07" w:rsidP="000A3B07">
      <w:r>
        <w:rPr>
          <w:rStyle w:val="StyleStyleBold12pt"/>
        </w:rPr>
        <w:t>The Fiscal Seminar, 20</w:t>
      </w:r>
      <w:r w:rsidRPr="004D3DC2">
        <w:rPr>
          <w:rStyle w:val="StyleStyleBold12pt"/>
        </w:rPr>
        <w:t>09</w:t>
      </w:r>
      <w:r>
        <w:t xml:space="preserve"> </w:t>
      </w:r>
    </w:p>
    <w:p w:rsidR="000A3B07" w:rsidRDefault="000A3B07" w:rsidP="000A3B07">
      <w:r w:rsidRPr="005422F7">
        <w:t xml:space="preserve">(The Fiscal Seminar is a group of scholars who discuss federal budget and fiscal policy issues under the auspices of The Brookings Institution and The Heritage Foundation, June, </w:t>
      </w:r>
      <w:r>
        <w:t>“</w:t>
      </w:r>
      <w:r w:rsidRPr="005422F7">
        <w:t>THE POTENTIAL ROLE OF ENTITLEMENT OR BUDGET COMMISSIONS IN ADDRESSING LONG-TERM BUDGET PROBLEMS</w:t>
      </w:r>
      <w:r>
        <w:t>”</w:t>
      </w:r>
      <w:r w:rsidRPr="005422F7">
        <w:t>)</w:t>
      </w:r>
    </w:p>
    <w:p w:rsidR="000A3B07" w:rsidRDefault="000A3B07" w:rsidP="000A3B07">
      <w:pPr>
        <w:rPr>
          <w:sz w:val="16"/>
        </w:rPr>
      </w:pPr>
    </w:p>
    <w:p w:rsidR="000A3B07" w:rsidRPr="00507E96" w:rsidRDefault="000A3B07" w:rsidP="000A3B07">
      <w:pPr>
        <w:rPr>
          <w:sz w:val="16"/>
        </w:rPr>
      </w:pPr>
      <w:r w:rsidRPr="00507E96">
        <w:rPr>
          <w:sz w:val="16"/>
        </w:rPr>
        <w:t xml:space="preserve">Unfortunately, the current political environment creates strong disincentives for individual politicians to tackle the tough choices required to put our fiscal house back in order. </w:t>
      </w:r>
      <w:r w:rsidRPr="001E1A46">
        <w:rPr>
          <w:rStyle w:val="StyleUnderline"/>
        </w:rPr>
        <w:t xml:space="preserve">An appointed commission could offer an alternative mechanism through which to address </w:t>
      </w:r>
      <w:r w:rsidRPr="00507E96">
        <w:rPr>
          <w:sz w:val="16"/>
        </w:rPr>
        <w:t xml:space="preserve">these thorny but </w:t>
      </w:r>
      <w:r w:rsidRPr="001F3AC7">
        <w:rPr>
          <w:rStyle w:val="Emphasis"/>
        </w:rPr>
        <w:t>critical issues by undertaking the heavy lifting of developing options and building the political consensus necessary to enact legislation</w:t>
      </w:r>
      <w:r w:rsidRPr="00507E96">
        <w:rPr>
          <w:sz w:val="16"/>
        </w:rPr>
        <w:t xml:space="preserve">. As evidence of the popularity of this idea, </w:t>
      </w:r>
      <w:r w:rsidRPr="001E1A46">
        <w:rPr>
          <w:rStyle w:val="StyleUnderline"/>
        </w:rPr>
        <w:t>over a dozen bills were introduced in the 110th Congress that would have created commission</w:t>
      </w:r>
      <w:r w:rsidRPr="00507E96">
        <w:rPr>
          <w:sz w:val="16"/>
        </w:rPr>
        <w:t>s to find politically and fiscally acceptable solutions for reforming entitlements, taxes, the budgeting process, or some combination of the three. This paper reviews some of the recent history of appointed commissions and discusses the issues surrounding their potential role in long-term federal budgeting. THE ROLE AND STRUCTURE OF COMMISSIONS The use of commissions or advisory councils has a long history in the United States. In the early 1900s, the National Monetary Commission examined the nation’s distressed financial system and recommended establishing a central banking structure, a recommendation that was soon translated into the Federal Reserve System. From 1937 to 1996, Social Security policy-making was heavily influenced by the findings and recommendations of periodic advisory councils, including the National Commission on Social Security Reform (the Greenspan Commission) which helped to rescue the program from insolvency in 1983. The 1960s saw the Warren Commission investigate the assassination of President Kennedy and the Kerner Commission examine the causes of civil disorders</w:t>
      </w:r>
      <w:r w:rsidRPr="005F7B09">
        <w:rPr>
          <w:rStyle w:val="StyleUnderline"/>
        </w:rPr>
        <w:t>. The Base Closure and Realignment Commission (BRAC) provided an effective mechanism over the past two decades for overcoming the political hurdles inhibiting the restructuring of U.S. defense facilities across the country</w:t>
      </w:r>
      <w:r w:rsidRPr="00507E96">
        <w:rPr>
          <w:sz w:val="16"/>
        </w:rPr>
        <w:t>. And the recent National Commission on Terrorist Attacks upon the United States (the 9/11 Commission) delved into the numerous facets of the 2001 terrorist attacks and potential changes in homeland security. Commissions can be used for a variety of purposes that suit the needs of the President or the Congress</w:t>
      </w:r>
      <w:r w:rsidRPr="005F7B09">
        <w:rPr>
          <w:rStyle w:val="StyleUnderline"/>
        </w:rPr>
        <w:t xml:space="preserve">. </w:t>
      </w:r>
      <w:r w:rsidRPr="005F7B09">
        <w:rPr>
          <w:rStyle w:val="Emphasis"/>
        </w:rPr>
        <w:t xml:space="preserve">The role of some commissions is to develop a knowledge base about certain policies or problems free from the political machinations </w:t>
      </w:r>
      <w:r w:rsidRPr="00507E96">
        <w:rPr>
          <w:sz w:val="16"/>
        </w:rPr>
        <w:t xml:space="preserve">that are an unavoidable part of the legislative process. They can also develop policy options that members of Congress and their staff have too little time or expertise to formulate. </w:t>
      </w:r>
      <w:r w:rsidRPr="005F7B09">
        <w:rPr>
          <w:rStyle w:val="Emphasis"/>
        </w:rPr>
        <w:t>They can serve as consensus-building vehicles from which members of Congress may garner political protection while addressing contentious issues</w:t>
      </w:r>
      <w:r w:rsidRPr="00507E96">
        <w:rPr>
          <w:sz w:val="16"/>
        </w:rPr>
        <w:t xml:space="preserve">. </w:t>
      </w:r>
      <w:r w:rsidRPr="001E1A46">
        <w:rPr>
          <w:rStyle w:val="StyleUnderline"/>
        </w:rPr>
        <w:t>At other times, commissions appear simply to serve as delaying measures that can be employed to defuse a political issue until a more opportune time for action develops.</w:t>
      </w:r>
      <w:r>
        <w:rPr>
          <w:rStyle w:val="StyleUnderline"/>
        </w:rPr>
        <w:t xml:space="preserve"> </w:t>
      </w:r>
      <w:r w:rsidRPr="00507E96">
        <w:rPr>
          <w:sz w:val="16"/>
        </w:rPr>
        <w:t xml:space="preserve"> The best structure for a commission – i.e. its membership, duties, duration, voting rules, etc. – will often vary depending on that commission’s purpose, and therefore on the nature of the problem that the commission is addressing, the state of scientific or analytical development of the topic, and the political sensitivity of the subject matter. Those factors may also influence the nature and the standing of the commission’s recommendations. For example, in 1988, Congress established the National Commission on Acquired Immune Deficiency Syndrome (AIDS) to determine the dimensions of a new and rapidly spreading communicable disease, assess the degree of understanding about the disease, and lay out steps toward ultimately controlling and treating the disease. The commission focused on the science and largely ignored the potential politics surrounding the issue. In contrast, th</w:t>
      </w:r>
      <w:r w:rsidRPr="00507E96">
        <w:rPr>
          <w:rStyle w:val="StyleUnderline"/>
        </w:rPr>
        <w:t>e Greenspan Commission provided a forum for developing a political compromise on a set of politically unsavory changes</w:t>
      </w:r>
      <w:r w:rsidRPr="00507E96">
        <w:rPr>
          <w:sz w:val="16"/>
        </w:rPr>
        <w:t xml:space="preserve">. In this case, the political parties shared a deep concern about the impending insolvency of the Social Security system but feared the exposure of promoting their own solutions. </w:t>
      </w:r>
      <w:r w:rsidRPr="00507E96">
        <w:rPr>
          <w:rStyle w:val="Emphasis"/>
        </w:rPr>
        <w:t>The commission created political cover for the serious background negotiations that resulted in the ultimate compromise.</w:t>
      </w:r>
      <w:r w:rsidRPr="00507E96">
        <w:rPr>
          <w:sz w:val="16"/>
        </w:rPr>
        <w:t xml:space="preserve"> The structure of the commission reflected these concerns and was composed of fifteen members, with the President, the Senate Majority Leader, and the Speaker of the House each appointing five members to the panel.</w:t>
      </w:r>
    </w:p>
    <w:p w:rsidR="008279B1" w:rsidRPr="00215F59" w:rsidRDefault="008279B1" w:rsidP="008279B1">
      <w:pPr>
        <w:pStyle w:val="Heading3"/>
        <w:spacing w:before="0"/>
        <w:rPr>
          <w:rFonts w:cs="Arial"/>
        </w:rPr>
      </w:pPr>
      <w:bookmarkStart w:id="35" w:name="_Toc424259110"/>
      <w:r>
        <w:rPr>
          <w:rFonts w:cs="Arial"/>
        </w:rPr>
        <w:lastRenderedPageBreak/>
        <w:t>CP Bipartisan</w:t>
      </w:r>
      <w:bookmarkEnd w:id="35"/>
      <w:r>
        <w:rPr>
          <w:rFonts w:cs="Arial"/>
        </w:rPr>
        <w:t xml:space="preserve"> </w:t>
      </w:r>
    </w:p>
    <w:p w:rsidR="008279B1" w:rsidRPr="00215F59" w:rsidRDefault="008279B1" w:rsidP="008279B1"/>
    <w:p w:rsidR="008279B1" w:rsidRDefault="008279B1" w:rsidP="00AF1BF7">
      <w:pPr>
        <w:pStyle w:val="Heading4"/>
      </w:pPr>
      <w:r w:rsidRPr="00215F59">
        <w:t>Bipartisan support for PCLOB</w:t>
      </w:r>
    </w:p>
    <w:p w:rsidR="008279B1" w:rsidRPr="00215F59" w:rsidRDefault="008279B1" w:rsidP="008279B1"/>
    <w:p w:rsidR="008279B1" w:rsidRPr="00215F59" w:rsidRDefault="008279B1" w:rsidP="008279B1">
      <w:pPr>
        <w:rPr>
          <w:sz w:val="16"/>
          <w:szCs w:val="26"/>
        </w:rPr>
      </w:pPr>
      <w:r>
        <w:rPr>
          <w:rStyle w:val="StyleStyleBold12pt"/>
        </w:rPr>
        <w:t xml:space="preserve">Ferrer, </w:t>
      </w:r>
      <w:r w:rsidRPr="00215F59">
        <w:rPr>
          <w:rStyle w:val="StyleStyleBold12pt"/>
        </w:rPr>
        <w:t>2011</w:t>
      </w:r>
      <w:r w:rsidRPr="00215F59">
        <w:rPr>
          <w:sz w:val="16"/>
          <w:szCs w:val="20"/>
        </w:rPr>
        <w:t xml:space="preserve"> </w:t>
      </w:r>
    </w:p>
    <w:p w:rsidR="008279B1" w:rsidRPr="00215F59" w:rsidRDefault="008279B1" w:rsidP="008279B1">
      <w:r w:rsidRPr="00215F59">
        <w:t xml:space="preserve">(Amy, Executive director of the American Philosophical Association, a bachelor's degree in women's studies and a master's degree in public policy and administration, 8/31/11, Bill of Rights Defensive Committee, </w:t>
      </w:r>
      <w:hyperlink r:id="rId26" w:history="1">
        <w:r w:rsidRPr="00215F59">
          <w:rPr>
            <w:rStyle w:val="Hyperlink"/>
          </w:rPr>
          <w:t>http://www.bordc.org/blog/coalition-calls-obama-fill-privacy-and-civil-liberties-oversight-board</w:t>
        </w:r>
      </w:hyperlink>
      <w:r w:rsidRPr="00215F59">
        <w:t>)</w:t>
      </w:r>
    </w:p>
    <w:p w:rsidR="008279B1" w:rsidRPr="00215F59" w:rsidRDefault="008279B1" w:rsidP="008279B1">
      <w:pPr>
        <w:rPr>
          <w:sz w:val="20"/>
          <w:szCs w:val="20"/>
        </w:rPr>
      </w:pPr>
    </w:p>
    <w:p w:rsidR="008279B1" w:rsidRPr="00215F59" w:rsidRDefault="008279B1" w:rsidP="008279B1">
      <w:pPr>
        <w:rPr>
          <w:b/>
          <w:sz w:val="16"/>
          <w:szCs w:val="26"/>
        </w:rPr>
      </w:pPr>
    </w:p>
    <w:p w:rsidR="008279B1" w:rsidRDefault="008279B1" w:rsidP="008279B1">
      <w:pPr>
        <w:rPr>
          <w:rFonts w:eastAsia="Times New Roman"/>
          <w:sz w:val="16"/>
          <w:szCs w:val="26"/>
          <w:lang w:val="en"/>
        </w:rPr>
      </w:pPr>
      <w:r w:rsidRPr="00215F59">
        <w:rPr>
          <w:sz w:val="16"/>
        </w:rPr>
        <w:t xml:space="preserve">Last week, a coalition of organizations led by the Constitution Project and including the Bill of Rights Defense Committee sent </w:t>
      </w:r>
      <w:hyperlink r:id="rId27" w:history="1">
        <w:r w:rsidRPr="00215F59">
          <w:rPr>
            <w:rStyle w:val="Hyperlink"/>
            <w:sz w:val="16"/>
          </w:rPr>
          <w:t>a letter to President Obama</w:t>
        </w:r>
      </w:hyperlink>
      <w:r w:rsidRPr="00215F59">
        <w:rPr>
          <w:sz w:val="16"/>
        </w:rPr>
        <w:t xml:space="preserve"> and several other high-ranking officials calling for the administration to fill vacancies on the Privacy and Civil Liberties Oversight Board. The letter reads, in part, In November 2009 and March 2010 many of the undersigned organizations wrote to the administration to express our concern over the lack of nominations to the Privacy and Civil Liberties Oversight Board (PCLOB</w:t>
      </w:r>
      <w:r w:rsidRPr="00215F59">
        <w:rPr>
          <w:rFonts w:eastAsia="Times New Roman"/>
          <w:sz w:val="16"/>
          <w:szCs w:val="26"/>
          <w:lang w:val="en"/>
        </w:rPr>
        <w:t xml:space="preserve">). </w:t>
      </w:r>
      <w:r w:rsidRPr="00215F59">
        <w:rPr>
          <w:rStyle w:val="StyleUnderline"/>
        </w:rPr>
        <w:t>The urgency of our plea has increased</w:t>
      </w:r>
      <w:r w:rsidRPr="00215F59">
        <w:rPr>
          <w:rFonts w:eastAsia="Times New Roman"/>
          <w:sz w:val="16"/>
          <w:szCs w:val="26"/>
          <w:lang w:val="en"/>
        </w:rPr>
        <w:t xml:space="preserve">. As you know, the 9/11 Commission recommended creating such a board, and Congress has enacted authorizing legislation. </w:t>
      </w:r>
      <w:r w:rsidRPr="00215F59">
        <w:rPr>
          <w:rStyle w:val="StyleUnderline"/>
        </w:rPr>
        <w:t xml:space="preserve">There is broad bipartisan support for this board to carry out its intended mission. </w:t>
      </w:r>
      <w:r w:rsidRPr="00215F59">
        <w:rPr>
          <w:rFonts w:eastAsia="Times New Roman"/>
          <w:sz w:val="16"/>
          <w:szCs w:val="26"/>
          <w:lang w:val="en"/>
        </w:rPr>
        <w:t xml:space="preserve">However, without nominated and confirmed members to serve on this board, the PCLOB does not currently exist. Now, as we approach the 10th Anniversary of 9/11, </w:t>
      </w:r>
      <w:r w:rsidRPr="00215F59">
        <w:rPr>
          <w:rStyle w:val="StyleUnderline"/>
        </w:rPr>
        <w:t>it is more important than ever that we implement the 9/11 Commission’s recommendation. Our continued fight for the security of our country must include measures to safeguard the liberty of its people. Several government reports</w:t>
      </w:r>
      <w:r w:rsidRPr="00215F59">
        <w:rPr>
          <w:rFonts w:eastAsia="Times New Roman"/>
          <w:sz w:val="16"/>
          <w:szCs w:val="26"/>
          <w:lang w:val="en"/>
        </w:rPr>
        <w:t xml:space="preserve">, including the 9/11 Commission report and the administration's own Cybersecurity Review, </w:t>
      </w:r>
      <w:r w:rsidRPr="00215F59">
        <w:rPr>
          <w:rStyle w:val="StyleUnderline"/>
        </w:rPr>
        <w:t>have called for full implementation of the PCLOB to protect American's privacy and civil liberties against government intrusion. It is high time the president step up and follow those recommendations</w:t>
      </w:r>
      <w:r w:rsidRPr="00215F59">
        <w:rPr>
          <w:rFonts w:eastAsia="Times New Roman"/>
          <w:sz w:val="16"/>
          <w:szCs w:val="26"/>
          <w:lang w:val="en"/>
        </w:rPr>
        <w:t>.</w:t>
      </w:r>
    </w:p>
    <w:p w:rsidR="008279B1" w:rsidRPr="00215F59" w:rsidRDefault="008279B1" w:rsidP="008279B1">
      <w:pPr>
        <w:rPr>
          <w:sz w:val="16"/>
          <w:lang w:val="en"/>
        </w:rPr>
      </w:pPr>
    </w:p>
    <w:p w:rsidR="008279B1" w:rsidRPr="00215F59" w:rsidRDefault="008279B1" w:rsidP="008279B1">
      <w:pPr>
        <w:pStyle w:val="Heading3"/>
        <w:spacing w:before="0"/>
        <w:rPr>
          <w:rFonts w:cs="Arial"/>
        </w:rPr>
      </w:pPr>
      <w:bookmarkStart w:id="36" w:name="_Toc424259111"/>
      <w:r>
        <w:rPr>
          <w:rFonts w:cs="Arial"/>
        </w:rPr>
        <w:lastRenderedPageBreak/>
        <w:t>CP Popular</w:t>
      </w:r>
      <w:bookmarkEnd w:id="36"/>
    </w:p>
    <w:p w:rsidR="008279B1" w:rsidRPr="00215F59" w:rsidRDefault="008279B1" w:rsidP="008279B1">
      <w:pPr>
        <w:rPr>
          <w:rFonts w:eastAsia="Times New Roman"/>
          <w:b/>
          <w:iCs/>
          <w:sz w:val="26"/>
          <w:lang w:val="en"/>
        </w:rPr>
      </w:pPr>
    </w:p>
    <w:p w:rsidR="008279B1" w:rsidRDefault="008279B1" w:rsidP="00AF1BF7">
      <w:pPr>
        <w:pStyle w:val="Heading4"/>
      </w:pPr>
      <w:r w:rsidRPr="00215F59">
        <w:t>Popular with Public because they want increased government transparency</w:t>
      </w:r>
    </w:p>
    <w:p w:rsidR="008279B1" w:rsidRPr="00215F59" w:rsidRDefault="008279B1" w:rsidP="008279B1"/>
    <w:p w:rsidR="008279B1" w:rsidRPr="00215F59" w:rsidRDefault="008279B1" w:rsidP="008279B1">
      <w:pPr>
        <w:rPr>
          <w:b/>
          <w:bCs/>
          <w:iCs/>
        </w:rPr>
      </w:pPr>
      <w:r>
        <w:rPr>
          <w:b/>
          <w:bCs/>
          <w:iCs/>
        </w:rPr>
        <w:t>Stendebach, 2015</w:t>
      </w:r>
    </w:p>
    <w:p w:rsidR="008279B1" w:rsidRDefault="008279B1" w:rsidP="008279B1">
      <w:r w:rsidRPr="00215F59">
        <w:t xml:space="preserve">(Larry, the co-founder of a government transparency website that strives to deliver government data in a way that is useful to the people and help citizens interact with the government, develops the technology needed in modern politics, “Why Government Transparency is Important”, United for Missouri, </w:t>
      </w:r>
      <w:hyperlink r:id="rId28" w:history="1">
        <w:r w:rsidRPr="00D54FFC">
          <w:rPr>
            <w:rStyle w:val="Hyperlink"/>
          </w:rPr>
          <w:t>http://www.unitedformissouri.org/news/government-transparency-important-missouri</w:t>
        </w:r>
      </w:hyperlink>
      <w:r w:rsidRPr="00215F59">
        <w:t>)</w:t>
      </w:r>
    </w:p>
    <w:p w:rsidR="008279B1" w:rsidRPr="00215F59" w:rsidRDefault="008279B1" w:rsidP="008279B1"/>
    <w:p w:rsidR="008279B1" w:rsidRDefault="008279B1" w:rsidP="008279B1">
      <w:pPr>
        <w:rPr>
          <w:sz w:val="16"/>
        </w:rPr>
      </w:pPr>
      <w:r w:rsidRPr="00215F59">
        <w:rPr>
          <w:rStyle w:val="StyleUnderline"/>
        </w:rPr>
        <w:t>The public certainly wants government transparency.</w:t>
      </w:r>
      <w:r w:rsidRPr="00215F59">
        <w:rPr>
          <w:sz w:val="16"/>
        </w:rPr>
        <w:t xml:space="preserve"> In a recent study by the Association of Government Accountants (AGA), approximately </w:t>
      </w:r>
      <w:r w:rsidRPr="00215F59">
        <w:rPr>
          <w:rStyle w:val="StyleUnderline"/>
        </w:rPr>
        <w:t>75% of participants surveyed said the availability of government financial management information continues to be very important to the public.</w:t>
      </w:r>
      <w:r w:rsidRPr="00215F59">
        <w:rPr>
          <w:sz w:val="16"/>
        </w:rPr>
        <w:t xml:space="preserve"> The same survey found </w:t>
      </w:r>
      <w:r w:rsidRPr="00215F59">
        <w:rPr>
          <w:rStyle w:val="StyleUnderline"/>
        </w:rPr>
        <w:t>that 71% of people claimed would use transparent government financial data to make informed choices at the ballot box if it were provided to them.</w:t>
      </w:r>
      <w:r w:rsidRPr="00215F59">
        <w:rPr>
          <w:sz w:val="16"/>
        </w:rPr>
        <w:t xml:space="preserve"> So with costs being low, citizens desiring transparency, and with the Internet as a platform, </w:t>
      </w:r>
      <w:r w:rsidRPr="00215F59">
        <w:rPr>
          <w:rStyle w:val="StyleUnderline"/>
        </w:rPr>
        <w:t>government has no excuse to keep shielding its fiscal business from public scrutiny</w:t>
      </w:r>
      <w:r w:rsidRPr="00215F59">
        <w:rPr>
          <w:sz w:val="16"/>
        </w:rPr>
        <w:t>. Elected officials and governments are public servants and services; they work for YOU and ME the taxpayer.</w:t>
      </w:r>
    </w:p>
    <w:p w:rsidR="008279B1" w:rsidRPr="00215F59" w:rsidRDefault="008279B1" w:rsidP="008279B1">
      <w:pPr>
        <w:rPr>
          <w:sz w:val="16"/>
        </w:rPr>
      </w:pPr>
    </w:p>
    <w:p w:rsidR="008279B1" w:rsidRDefault="000A3B07" w:rsidP="008279B1">
      <w:pPr>
        <w:pStyle w:val="Heading3"/>
      </w:pPr>
      <w:bookmarkStart w:id="37" w:name="_Toc424259112"/>
      <w:r>
        <w:lastRenderedPageBreak/>
        <w:t>CP Generates Political Capital</w:t>
      </w:r>
      <w:bookmarkEnd w:id="37"/>
    </w:p>
    <w:p w:rsidR="008279B1" w:rsidRPr="005422F7" w:rsidRDefault="008279B1" w:rsidP="008279B1"/>
    <w:p w:rsidR="008279B1" w:rsidRDefault="008279B1" w:rsidP="00AF1BF7">
      <w:pPr>
        <w:pStyle w:val="Heading4"/>
      </w:pPr>
      <w:r>
        <w:t>Commission key to PC - Commissions build political capital through non-partisan consensus</w:t>
      </w:r>
    </w:p>
    <w:p w:rsidR="008279B1" w:rsidRDefault="008279B1" w:rsidP="008279B1">
      <w:pPr>
        <w:rPr>
          <w:rStyle w:val="StyleStyleBold12pt"/>
        </w:rPr>
      </w:pPr>
    </w:p>
    <w:p w:rsidR="008279B1" w:rsidRDefault="008279B1" w:rsidP="008279B1">
      <w:r>
        <w:rPr>
          <w:rStyle w:val="StyleStyleBold12pt"/>
        </w:rPr>
        <w:t>Biggs, 200</w:t>
      </w:r>
      <w:r w:rsidRPr="0048347F">
        <w:rPr>
          <w:rStyle w:val="StyleStyleBold12pt"/>
        </w:rPr>
        <w:t>9</w:t>
      </w:r>
      <w:r>
        <w:t xml:space="preserve"> </w:t>
      </w:r>
    </w:p>
    <w:p w:rsidR="008279B1" w:rsidRPr="005422F7" w:rsidRDefault="008279B1" w:rsidP="008279B1">
      <w:r w:rsidRPr="005422F7">
        <w:t>(Andrew, served at the Social Security Administration, as Associate Commissioner for Retirement Policy, Deputy Commissioner for Policy, and Deputy Commissioner of the agency, Feb-17-2009,</w:t>
      </w:r>
      <w:r>
        <w:t xml:space="preserve"> </w:t>
      </w:r>
      <w:r w:rsidRPr="005422F7">
        <w:t xml:space="preserve">“Rumors Of Obama Social Security Reform Commission,” </w:t>
      </w:r>
      <w:hyperlink r:id="rId29" w:history="1">
        <w:r w:rsidRPr="005422F7">
          <w:rPr>
            <w:rStyle w:val="Hyperlink"/>
          </w:rPr>
          <w:t>http://www.frumforum.com/rumors-of-obama-social-security-reform-commission/</w:t>
        </w:r>
      </w:hyperlink>
      <w:r w:rsidRPr="005422F7">
        <w:t>)</w:t>
      </w:r>
    </w:p>
    <w:p w:rsidR="008279B1" w:rsidRDefault="008279B1" w:rsidP="008279B1"/>
    <w:p w:rsidR="008279B1" w:rsidRPr="005422F7" w:rsidRDefault="008279B1" w:rsidP="008279B1">
      <w:pPr>
        <w:rPr>
          <w:sz w:val="16"/>
        </w:rPr>
      </w:pPr>
      <w:r w:rsidRPr="005422F7">
        <w:rPr>
          <w:sz w:val="16"/>
        </w:rPr>
        <w:t>If, however, Obama wishes for a task force to build political momentum toward reform, he’ll want a broader group. Based on my experience on the staff of President Bush’s 2001 reform commission and work with the White House on reform in 1995, here are a few quick thoughts: First, t</w:t>
      </w:r>
      <w:r w:rsidRPr="00671971">
        <w:rPr>
          <w:rStyle w:val="StyleUnderline"/>
        </w:rPr>
        <w:t>o build any political momentum a working group should represent the reasonable spectrum of views</w:t>
      </w:r>
      <w:r w:rsidRPr="005422F7">
        <w:rPr>
          <w:sz w:val="16"/>
        </w:rPr>
        <w:t xml:space="preserve"> on Social Security. Something like the DiamondOrszag reform proposal probably represents a reasonable bound on the left, as it retains the current program in pretty much its current form while making it sustainably solvent almost entirely through increased taxes. Something like the President’s Commission’s “Model Two” is a reasonable bound on the right, since it likewise makes the program sustainably solvent entirely by reducing benefits. There are folks on both the left and right whose views make it such that any reform compromise would be almost impossible – on the left, because many believe Social Security doesn’t even face a deficit, and on the right because they believe that simply borrowing a few trillion dollars and investing it in personal accounts will fix the whole problem. Neither view is correct. It may be possible to get some folks further left on board by proposing auto-correction policies that only come into effect to the degree the system faces deficits; I discuss one option in this paper. If they’re right that Social Security doesn’t face any shortfall, nothing will change. </w:t>
      </w:r>
      <w:r w:rsidRPr="0048347F">
        <w:rPr>
          <w:rStyle w:val="StyleUnderline"/>
        </w:rPr>
        <w:t>One problem with President Bush’s 2001 Commission was that it didn’t represent the reasonable spectrum of beliefs on Social Security reform. This didn’t make it a dishonest commission</w:t>
      </w:r>
      <w:r w:rsidRPr="005422F7">
        <w:rPr>
          <w:sz w:val="16"/>
        </w:rPr>
        <w:t>; like President Roosevelt’s Committee on Economic Security, it was designed to put flesh on the bones laid out by the President. In this case, the Commission was tasked with designing a reform plan that included personal accounts and excluded tax increases. That said</w:t>
      </w:r>
      <w:r w:rsidRPr="00671971">
        <w:rPr>
          <w:rStyle w:val="Emphasis"/>
        </w:rPr>
        <w:t xml:space="preserve">, a commission </w:t>
      </w:r>
      <w:r w:rsidRPr="005422F7">
        <w:rPr>
          <w:sz w:val="16"/>
        </w:rPr>
        <w:t xml:space="preserve">only </w:t>
      </w:r>
      <w:r w:rsidRPr="00671971">
        <w:rPr>
          <w:rStyle w:val="Emphasis"/>
        </w:rPr>
        <w:t xml:space="preserve">builds political capital toward enacting reform if it’s seen as building a consensus through a process in which all views have been heard. </w:t>
      </w:r>
      <w:r w:rsidRPr="005422F7">
        <w:rPr>
          <w:sz w:val="16"/>
        </w:rPr>
        <w:t xml:space="preserve">In both the 2001 Commission and the later 2005 reform drive, Democrats didn’t feel they were part of the process. They clearly will be a central part of the process this time, but the goal will now be to include Republicans. Just as Republicans shouldn’t reflexively oppose any Obama administration reform plans for political reasons, so Democrats shouldn’t seek to exclude Republicans from the process. </w:t>
      </w:r>
      <w:r w:rsidRPr="00671971">
        <w:rPr>
          <w:rStyle w:val="StyleUnderline"/>
        </w:rPr>
        <w:t>Second, a reform task force should include a variety of different players, including members of government, both legislative and executive, representatives of outside interest groups, and experts who can provide technical ad</w:t>
      </w:r>
      <w:r>
        <w:rPr>
          <w:rStyle w:val="StyleUnderline"/>
        </w:rPr>
        <w:t>a</w:t>
      </w:r>
      <w:r w:rsidRPr="00671971">
        <w:rPr>
          <w:rStyle w:val="StyleUnderline"/>
        </w:rPr>
        <w:t>vice and help ensure the integrity of the reforms decided upon</w:t>
      </w:r>
      <w:r w:rsidRPr="005422F7">
        <w:rPr>
          <w:sz w:val="16"/>
        </w:rPr>
        <w:t>. The 2001 Bush Commission didn’t include any sitting Members of Congress and only a small fraction of commissioners had the technical expertise needed to make the plans the best they could be. A broader group would be helpful. Third, any task force or commission needs time. The 2001 Commission ran roughly from May through December of that year and had to conduct a number of public hearings. This was simply too much to do in too little time, and as a result the plans were fairly bare bones. There is plenty else on the policy agenda at the moment, so there’s no reason not to give a working group a year or more to put things together.</w:t>
      </w:r>
    </w:p>
    <w:p w:rsidR="00327797" w:rsidRPr="00215F59" w:rsidRDefault="006827FE" w:rsidP="00215F59">
      <w:pPr>
        <w:pStyle w:val="Heading2"/>
        <w:spacing w:before="0"/>
        <w:rPr>
          <w:rFonts w:cs="Arial"/>
        </w:rPr>
      </w:pPr>
      <w:bookmarkStart w:id="38" w:name="_Toc424259113"/>
      <w:r w:rsidRPr="00215F59">
        <w:rPr>
          <w:rFonts w:cs="Arial"/>
        </w:rPr>
        <w:lastRenderedPageBreak/>
        <w:t>Aff Answers</w:t>
      </w:r>
      <w:bookmarkEnd w:id="38"/>
    </w:p>
    <w:p w:rsidR="005F2D77" w:rsidRDefault="001C3488" w:rsidP="005F2D77">
      <w:pPr>
        <w:pStyle w:val="Heading3"/>
      </w:pPr>
      <w:bookmarkStart w:id="39" w:name="_Toc424259114"/>
      <w:r>
        <w:lastRenderedPageBreak/>
        <w:t>Turn – Kills Accountability</w:t>
      </w:r>
      <w:bookmarkEnd w:id="39"/>
    </w:p>
    <w:p w:rsidR="001C3488" w:rsidRPr="001C3488" w:rsidRDefault="001C3488" w:rsidP="001C3488"/>
    <w:p w:rsidR="005F2D77" w:rsidRDefault="001C3488" w:rsidP="00AF1BF7">
      <w:pPr>
        <w:pStyle w:val="Heading4"/>
      </w:pPr>
      <w:r>
        <w:t xml:space="preserve">Commissions </w:t>
      </w:r>
      <w:r w:rsidR="005F2D77">
        <w:t>d</w:t>
      </w:r>
      <w:r>
        <w:t xml:space="preserve">estroy government accountability – replace elected officials with appointed decisionmakers </w:t>
      </w:r>
    </w:p>
    <w:p w:rsidR="001C3488" w:rsidRPr="001C3488" w:rsidRDefault="001C3488" w:rsidP="001C3488"/>
    <w:p w:rsidR="005F2D77" w:rsidRDefault="005F2D77" w:rsidP="005F2D77">
      <w:pPr>
        <w:rPr>
          <w:sz w:val="16"/>
        </w:rPr>
      </w:pPr>
      <w:r w:rsidRPr="00F85E34">
        <w:rPr>
          <w:rStyle w:val="StyleStyleBold12pt"/>
        </w:rPr>
        <w:t>Glassman and Straus, 2015</w:t>
      </w:r>
      <w:r w:rsidRPr="00F85E34">
        <w:rPr>
          <w:sz w:val="16"/>
        </w:rPr>
        <w:t xml:space="preserve"> Mathew E. Glassman and Jacob R. Straus are analysts on Congress. (Mathew E. Glassman and Jacob R. Straus, “Congressional Commissions: Overview, Structure, and Legislative Considerations”,</w:t>
      </w:r>
      <w:r>
        <w:rPr>
          <w:sz w:val="16"/>
        </w:rPr>
        <w:t xml:space="preserve"> Pg.9-10,</w:t>
      </w:r>
      <w:r w:rsidRPr="00F85E34">
        <w:rPr>
          <w:sz w:val="16"/>
        </w:rPr>
        <w:t xml:space="preserve"> 1/27/15, Congressional Research Service, </w:t>
      </w:r>
      <w:hyperlink r:id="rId30" w:history="1">
        <w:r w:rsidR="001C3488" w:rsidRPr="00681FAC">
          <w:rPr>
            <w:rStyle w:val="Hyperlink"/>
            <w:sz w:val="16"/>
          </w:rPr>
          <w:t>https://www.fas.org/sgp/crs/misc/R40076.pdf)//ER</w:t>
        </w:r>
      </w:hyperlink>
    </w:p>
    <w:p w:rsidR="001C3488" w:rsidRPr="00745BBE" w:rsidRDefault="001C3488" w:rsidP="005F2D77"/>
    <w:p w:rsidR="005F2D77" w:rsidRPr="00745BBE" w:rsidRDefault="005F2D77" w:rsidP="005F2D77">
      <w:pPr>
        <w:rPr>
          <w:sz w:val="16"/>
        </w:rPr>
      </w:pPr>
      <w:r w:rsidRPr="00745BBE">
        <w:rPr>
          <w:sz w:val="16"/>
        </w:rPr>
        <w:t>Congressional commissions have been criticized by both political and scholarly observers. These criticisms chiefly fall into three groups. First, critics often charge that</w:t>
      </w:r>
      <w:r w:rsidRPr="00063B08">
        <w:rPr>
          <w:rStyle w:val="StyleUnderline"/>
        </w:rPr>
        <w:t xml:space="preserve"> </w:t>
      </w:r>
      <w:r w:rsidRPr="00063B08">
        <w:rPr>
          <w:rStyle w:val="Emphasis"/>
        </w:rPr>
        <w:t>commissions are an “abdication of responsibility” on the part of legislators</w:t>
      </w:r>
      <w:r w:rsidRPr="00063B08">
        <w:rPr>
          <w:rStyle w:val="StyleUnderline"/>
        </w:rPr>
        <w:t>.</w:t>
      </w:r>
      <w:r w:rsidRPr="00745BBE">
        <w:rPr>
          <w:sz w:val="16"/>
        </w:rPr>
        <w:t>41 Second</w:t>
      </w:r>
      <w:r w:rsidRPr="00063B08">
        <w:rPr>
          <w:rStyle w:val="Emphasis"/>
        </w:rPr>
        <w:t>, commissions are undemocratic</w:t>
      </w:r>
      <w:r w:rsidRPr="00063B08">
        <w:rPr>
          <w:rStyle w:val="StyleUnderline"/>
        </w:rPr>
        <w:t>, replacing elected legislators with appointed decision-makers.</w:t>
      </w:r>
      <w:r w:rsidRPr="00745BBE">
        <w:rPr>
          <w:sz w:val="16"/>
        </w:rPr>
        <w:t xml:space="preserve"> Third, critics also argue that </w:t>
      </w:r>
      <w:r w:rsidRPr="00063B08">
        <w:rPr>
          <w:rStyle w:val="Emphasis"/>
        </w:rPr>
        <w:t>commissions are financially inefficient; they are expensive and their findings often ignored by Congress.</w:t>
      </w:r>
      <w:r w:rsidRPr="00745BBE">
        <w:rPr>
          <w:sz w:val="16"/>
        </w:rPr>
        <w:t xml:space="preserve"> Abdicated Responsibility Critics of </w:t>
      </w:r>
      <w:r w:rsidRPr="00063B08">
        <w:rPr>
          <w:rStyle w:val="StyleUnderline"/>
        </w:rPr>
        <w:t xml:space="preserve">commissions </w:t>
      </w:r>
      <w:r w:rsidRPr="00745BBE">
        <w:rPr>
          <w:sz w:val="16"/>
        </w:rPr>
        <w:t xml:space="preserve">argue that they </w:t>
      </w:r>
      <w:r w:rsidRPr="00063B08">
        <w:rPr>
          <w:rStyle w:val="Emphasis"/>
        </w:rPr>
        <w:t>are primarily created by legislators specifically for “blame avoidance.”</w:t>
      </w:r>
      <w:r w:rsidRPr="00745BBE">
        <w:rPr>
          <w:sz w:val="16"/>
        </w:rPr>
        <w:t xml:space="preserve">42 In this view, </w:t>
      </w:r>
      <w:r w:rsidRPr="00063B08">
        <w:rPr>
          <w:rStyle w:val="StyleUnderline"/>
        </w:rPr>
        <w:t>Congress uses commissions to distance itself from risky decisions when confronted with controversial issues</w:t>
      </w:r>
      <w:r w:rsidRPr="00745BBE">
        <w:rPr>
          <w:sz w:val="16"/>
        </w:rPr>
        <w:t xml:space="preserve">. </w:t>
      </w:r>
      <w:r w:rsidRPr="00063B08">
        <w:rPr>
          <w:rStyle w:val="StyleUnderline"/>
        </w:rPr>
        <w:t>By creating a commission, legislators can take credit for addressing a topic of controversy without having to take a substantive position on the topic</w:t>
      </w:r>
      <w:r w:rsidRPr="00745BBE">
        <w:rPr>
          <w:sz w:val="16"/>
        </w:rPr>
        <w:t>. If the commission’s work is ultimately popular, legislators can take credit for the work. If the commission’s work product is unpopular, legislators can shift responsibility to the commission itself.43</w:t>
      </w:r>
      <w:r w:rsidRPr="00EF6778">
        <w:rPr>
          <w:sz w:val="16"/>
        </w:rPr>
        <w:t xml:space="preserve"> </w:t>
      </w:r>
      <w:r w:rsidRPr="00745BBE">
        <w:rPr>
          <w:sz w:val="16"/>
        </w:rPr>
        <w:t xml:space="preserve">A second concern about </w:t>
      </w:r>
      <w:r w:rsidRPr="006D081A">
        <w:rPr>
          <w:rStyle w:val="StyleUnderline"/>
        </w:rPr>
        <w:t>commissions</w:t>
      </w:r>
      <w:r w:rsidRPr="00745BBE">
        <w:rPr>
          <w:sz w:val="16"/>
        </w:rPr>
        <w:t xml:space="preserve"> is that they</w:t>
      </w:r>
      <w:r w:rsidRPr="006D081A">
        <w:rPr>
          <w:rStyle w:val="StyleUnderline"/>
        </w:rPr>
        <w:t xml:space="preserve"> are not democratic.</w:t>
      </w:r>
      <w:r w:rsidRPr="00745BBE">
        <w:rPr>
          <w:sz w:val="16"/>
        </w:rPr>
        <w:t xml:space="preserve"> This criticism takes three forms. First, </w:t>
      </w:r>
      <w:r w:rsidRPr="00894CF6">
        <w:rPr>
          <w:rStyle w:val="Emphasis"/>
        </w:rPr>
        <w:t>commissions may be unrepresentative of the general population</w:t>
      </w:r>
      <w:r w:rsidRPr="00894CF6">
        <w:rPr>
          <w:rStyle w:val="StyleUnderline"/>
        </w:rPr>
        <w:t>; the members of most commissions are not elected and may not reflect the variety of popular opinion on an issue</w:t>
      </w:r>
      <w:r w:rsidRPr="00745BBE">
        <w:rPr>
          <w:sz w:val="16"/>
        </w:rPr>
        <w:t xml:space="preserve">.44Second, </w:t>
      </w:r>
      <w:r w:rsidRPr="00894CF6">
        <w:rPr>
          <w:rStyle w:val="Emphasis"/>
        </w:rPr>
        <w:t>commissions lack popular accountability</w:t>
      </w:r>
      <w:r w:rsidRPr="00745BBE">
        <w:rPr>
          <w:sz w:val="16"/>
        </w:rPr>
        <w:t xml:space="preserve">. Unlike Members of Congress, </w:t>
      </w:r>
      <w:r w:rsidRPr="00CF3C37">
        <w:rPr>
          <w:rStyle w:val="StyleUnderline"/>
        </w:rPr>
        <w:t>commission</w:t>
      </w:r>
      <w:r w:rsidRPr="00EF6778">
        <w:rPr>
          <w:rStyle w:val="StyleUnderline"/>
        </w:rPr>
        <w:t xml:space="preserve"> </w:t>
      </w:r>
      <w:r w:rsidRPr="00CF3C37">
        <w:rPr>
          <w:rStyle w:val="StyleUnderline"/>
        </w:rPr>
        <w:t>members are</w:t>
      </w:r>
      <w:r w:rsidRPr="00745BBE">
        <w:rPr>
          <w:sz w:val="16"/>
        </w:rPr>
        <w:t xml:space="preserve"> often </w:t>
      </w:r>
      <w:r w:rsidRPr="00CF3C37">
        <w:rPr>
          <w:rStyle w:val="StyleUnderline"/>
        </w:rPr>
        <w:t>insulated from the electoral pressures of popular opinion</w:t>
      </w:r>
      <w:r w:rsidRPr="00745BBE">
        <w:rPr>
          <w:sz w:val="16"/>
        </w:rPr>
        <w:t xml:space="preserve">. Finally, </w:t>
      </w:r>
      <w:r w:rsidRPr="00CF3C37">
        <w:rPr>
          <w:rStyle w:val="StyleUnderline"/>
        </w:rPr>
        <w:t>commissions may not operate in public</w:t>
      </w:r>
      <w:r w:rsidRPr="00745BBE">
        <w:rPr>
          <w:sz w:val="16"/>
        </w:rPr>
        <w:t xml:space="preserve">; unlike Congress, </w:t>
      </w:r>
      <w:r w:rsidRPr="00CF3C37">
        <w:rPr>
          <w:rStyle w:val="StyleUnderline"/>
        </w:rPr>
        <w:t>their meetings, hearings, and investigations may be held in private</w:t>
      </w:r>
      <w:r w:rsidRPr="00745BBE">
        <w:rPr>
          <w:sz w:val="16"/>
        </w:rPr>
        <w:t xml:space="preserve">.45 </w:t>
      </w:r>
    </w:p>
    <w:p w:rsidR="005F2D77" w:rsidRDefault="005F2D77" w:rsidP="005F2D77"/>
    <w:p w:rsidR="005F2D77" w:rsidRDefault="005F2D77" w:rsidP="005F2D77"/>
    <w:p w:rsidR="00C16CAE" w:rsidRDefault="00C16CAE" w:rsidP="00C16CAE">
      <w:pPr>
        <w:pStyle w:val="Heading3"/>
      </w:pPr>
      <w:bookmarkStart w:id="40" w:name="_Toc424259115"/>
      <w:r>
        <w:lastRenderedPageBreak/>
        <w:t>Turn – Kills Accountability</w:t>
      </w:r>
      <w:bookmarkEnd w:id="40"/>
    </w:p>
    <w:p w:rsidR="00C16CAE" w:rsidRDefault="00C16CAE" w:rsidP="00C16CAE"/>
    <w:p w:rsidR="00C16CAE" w:rsidRDefault="00C16CAE" w:rsidP="00AF1BF7">
      <w:pPr>
        <w:pStyle w:val="Heading4"/>
      </w:pPr>
      <w:r>
        <w:t>Commissions bad – voter’s power muted and limit debate on commissioned policies</w:t>
      </w:r>
    </w:p>
    <w:p w:rsidR="00C16CAE" w:rsidRPr="005422F7" w:rsidRDefault="00C16CAE" w:rsidP="00C16CAE"/>
    <w:p w:rsidR="00C16CAE" w:rsidRDefault="00C16CAE" w:rsidP="00C16CAE">
      <w:r>
        <w:rPr>
          <w:rStyle w:val="StyleStyleBold12pt"/>
        </w:rPr>
        <w:t>The Fiscal Seminar, 20</w:t>
      </w:r>
      <w:r w:rsidRPr="004D3DC2">
        <w:rPr>
          <w:rStyle w:val="StyleStyleBold12pt"/>
        </w:rPr>
        <w:t>09</w:t>
      </w:r>
      <w:r>
        <w:t xml:space="preserve"> </w:t>
      </w:r>
    </w:p>
    <w:p w:rsidR="00C16CAE" w:rsidRDefault="00C16CAE" w:rsidP="00C16CAE">
      <w:r w:rsidRPr="005422F7">
        <w:t xml:space="preserve">(The Fiscal Seminar is a group of scholars who discuss federal budget and fiscal policy issues under the auspices of The Brookings Institution and The Heritage Foundation, June, </w:t>
      </w:r>
      <w:r>
        <w:t>“</w:t>
      </w:r>
      <w:r w:rsidRPr="005422F7">
        <w:t>THE POTENTIAL ROLE OF ENTITLEMENT OR BUDGET COMMISSIONS IN ADDRESSING LONG-TERM BUDGET PROBLEMS</w:t>
      </w:r>
      <w:r>
        <w:t>”</w:t>
      </w:r>
      <w:r w:rsidRPr="005422F7">
        <w:t>)</w:t>
      </w:r>
    </w:p>
    <w:p w:rsidR="00C16CAE" w:rsidRPr="004D3DC2" w:rsidRDefault="00C16CAE" w:rsidP="00C16CAE">
      <w:pPr>
        <w:rPr>
          <w:rStyle w:val="StyleUnderline"/>
        </w:rPr>
      </w:pPr>
    </w:p>
    <w:p w:rsidR="00C16CAE" w:rsidRPr="00C5559B" w:rsidRDefault="00C16CAE" w:rsidP="00C16CAE">
      <w:pPr>
        <w:rPr>
          <w:u w:val="single"/>
        </w:rPr>
      </w:pPr>
      <w:r w:rsidRPr="00BE40A5">
        <w:rPr>
          <w:sz w:val="16"/>
        </w:rPr>
        <w:t>Criticisms of using a commission to formulate policy have rested on philosophical, political, and practical concerns. Different critiques apply to different models so it may be difficult to extrapolate them to commissions in general.1 Philosophical. The use of commissions is regarded by some observers as an</w:t>
      </w:r>
      <w:r w:rsidRPr="00BE40A5">
        <w:rPr>
          <w:rStyle w:val="StyleUnderline"/>
        </w:rPr>
        <w:t xml:space="preserve"> inappropriate delegation of Congress’ responsibilities and duties</w:t>
      </w:r>
      <w:r w:rsidRPr="00BE40A5">
        <w:rPr>
          <w:sz w:val="16"/>
        </w:rPr>
        <w:t xml:space="preserve">. Under this view, </w:t>
      </w:r>
      <w:r w:rsidRPr="00BE40A5">
        <w:rPr>
          <w:rStyle w:val="StyleUnderline"/>
        </w:rPr>
        <w:t>power originally given by voters to elected officials cannot be transferred to others.</w:t>
      </w:r>
      <w:r w:rsidRPr="00BE40A5">
        <w:rPr>
          <w:sz w:val="16"/>
        </w:rPr>
        <w:t xml:space="preserve"> And yet the delegation of authority can be justified if the duties of the commission are clear and limited. Nonetheless, the delegation of certain powers does raise questions about representation in the policy-making process</w:t>
      </w:r>
      <w:r w:rsidRPr="00BE40A5">
        <w:rPr>
          <w:rStyle w:val="StyleUnderline"/>
        </w:rPr>
        <w:t>. Commissions</w:t>
      </w:r>
      <w:r w:rsidRPr="00BE40A5">
        <w:rPr>
          <w:sz w:val="16"/>
        </w:rPr>
        <w:t xml:space="preserve">, whether authorized by statute or through executive order, </w:t>
      </w:r>
      <w:r w:rsidRPr="00BE40A5">
        <w:rPr>
          <w:rStyle w:val="StyleUnderline"/>
        </w:rPr>
        <w:t>are often comprised of individuals who have noticeably different philosophical and political beliefs than the Congress</w:t>
      </w:r>
      <w:r w:rsidRPr="00BE40A5">
        <w:rPr>
          <w:sz w:val="16"/>
        </w:rPr>
        <w:t xml:space="preserve">. Such differences could therefore </w:t>
      </w:r>
      <w:r w:rsidRPr="00BE40A5">
        <w:rPr>
          <w:rStyle w:val="StyleUnderline"/>
        </w:rPr>
        <w:t>undermine the accountability of the Congress and transfer too much influence to unelected officials.</w:t>
      </w:r>
      <w:r>
        <w:rPr>
          <w:rStyle w:val="StyleUnderline"/>
        </w:rPr>
        <w:t xml:space="preserve"> </w:t>
      </w:r>
      <w:r w:rsidRPr="00BE40A5">
        <w:rPr>
          <w:sz w:val="16"/>
        </w:rPr>
        <w:t xml:space="preserve">Political. In some cases, reliance on the </w:t>
      </w:r>
      <w:r w:rsidRPr="00BE40A5">
        <w:rPr>
          <w:rStyle w:val="StyleUnderline"/>
        </w:rPr>
        <w:t>recommendations of commissions may have political ramifications</w:t>
      </w:r>
      <w:r w:rsidRPr="00BE40A5">
        <w:rPr>
          <w:sz w:val="16"/>
        </w:rPr>
        <w:t xml:space="preserve"> as well. There are some instances where the </w:t>
      </w:r>
      <w:r w:rsidRPr="00BE40A5">
        <w:rPr>
          <w:rStyle w:val="StyleUnderline"/>
        </w:rPr>
        <w:t xml:space="preserve">recommendations of a commission have the effect of limiting debate in the Congress. </w:t>
      </w:r>
      <w:r w:rsidRPr="00BE40A5">
        <w:rPr>
          <w:sz w:val="16"/>
        </w:rPr>
        <w:t xml:space="preserve">(Indeed, that may be the intent.) For example, the Greenspan Commission’s set of recommendations was approved in part because proponents made a persuasive argument that the package was of a take-it-or-leave-it form. That is, to change or substitute a different proposal for one of those recommended by the commission could lead to the collapse of a delicately balanced compromise. Similarly, </w:t>
      </w:r>
      <w:r w:rsidRPr="00BE40A5">
        <w:rPr>
          <w:rStyle w:val="StyleUnderline"/>
        </w:rPr>
        <w:t>because amending the package was considered dangerous to the passage of a legislative response to the looming Social Security insolvency, even the debate on the merits of the package and its components was largely muted.</w:t>
      </w:r>
    </w:p>
    <w:p w:rsidR="00C16CAE" w:rsidRDefault="00C16CAE" w:rsidP="00C16CAE"/>
    <w:p w:rsidR="00C16CAE" w:rsidRPr="00215F59" w:rsidRDefault="00C16CAE" w:rsidP="00C16CAE"/>
    <w:p w:rsidR="00C16CAE" w:rsidRDefault="00C16CAE" w:rsidP="00C16CAE">
      <w:pPr>
        <w:pStyle w:val="Heading3"/>
      </w:pPr>
      <w:bookmarkStart w:id="41" w:name="_Toc424259116"/>
      <w:r>
        <w:lastRenderedPageBreak/>
        <w:t>Turn – Kills Accountability</w:t>
      </w:r>
      <w:bookmarkEnd w:id="41"/>
      <w:r>
        <w:t xml:space="preserve"> </w:t>
      </w:r>
    </w:p>
    <w:p w:rsidR="00C16CAE" w:rsidRPr="00C16CAE" w:rsidRDefault="00C16CAE" w:rsidP="00C16CAE"/>
    <w:p w:rsidR="00C16CAE" w:rsidRDefault="00C16CAE" w:rsidP="00AF1BF7">
      <w:pPr>
        <w:pStyle w:val="Heading4"/>
        <w:rPr>
          <w:rStyle w:val="StyleStyleBold12pt"/>
          <w:b/>
        </w:rPr>
      </w:pPr>
      <w:r>
        <w:rPr>
          <w:rStyle w:val="StyleStyleBold12pt"/>
          <w:b/>
        </w:rPr>
        <w:t>Their “shields politics” arguments prove – commissions like PCLOB absorb blame, which takes out their accountability claims</w:t>
      </w:r>
    </w:p>
    <w:p w:rsidR="00C16CAE" w:rsidRPr="005422F7" w:rsidRDefault="00C16CAE" w:rsidP="00C16CAE"/>
    <w:p w:rsidR="00C16CAE" w:rsidRDefault="00C16CAE" w:rsidP="00C16CAE">
      <w:pPr>
        <w:rPr>
          <w:rStyle w:val="StyleStyleBold12pt"/>
        </w:rPr>
      </w:pPr>
      <w:r w:rsidRPr="0096478C">
        <w:rPr>
          <w:rStyle w:val="StyleStyleBold12pt"/>
        </w:rPr>
        <w:t>Mayer</w:t>
      </w:r>
      <w:r>
        <w:rPr>
          <w:rStyle w:val="StyleStyleBold12pt"/>
        </w:rPr>
        <w:t>,</w:t>
      </w:r>
      <w:r w:rsidRPr="0096478C">
        <w:rPr>
          <w:rStyle w:val="StyleStyleBold12pt"/>
        </w:rPr>
        <w:t xml:space="preserve"> 2007</w:t>
      </w:r>
      <w:r>
        <w:rPr>
          <w:rStyle w:val="StyleStyleBold12pt"/>
        </w:rPr>
        <w:t xml:space="preserve"> </w:t>
      </w:r>
    </w:p>
    <w:p w:rsidR="00C16CAE" w:rsidRPr="005422F7" w:rsidRDefault="00C16CAE" w:rsidP="00C16CAE">
      <w:r>
        <w:t xml:space="preserve">(Kenneth, </w:t>
      </w:r>
      <w:r w:rsidRPr="005422F7">
        <w:t>Professor of Political Science</w:t>
      </w:r>
      <w:r>
        <w:t xml:space="preserve"> @ </w:t>
      </w:r>
      <w:r w:rsidRPr="005422F7">
        <w:t>University of Wisconsin-Madison</w:t>
      </w:r>
      <w:r>
        <w:t xml:space="preserve">, </w:t>
      </w:r>
      <w:r w:rsidRPr="005422F7">
        <w:t>December, “THE BASE REALIGNMENT AND CLOSURE PROCESS: IS IT POSSIBLE TO MAKE RATIONAL POLICY?”</w:t>
      </w:r>
      <w:r>
        <w:t xml:space="preserve"> </w:t>
      </w:r>
      <w:r w:rsidRPr="005422F7">
        <w:rPr>
          <w:i/>
        </w:rPr>
        <w:t>NYU Wagner Graduate School of Public Service</w:t>
      </w:r>
      <w:r w:rsidRPr="005422F7">
        <w:t xml:space="preserve">)    </w:t>
      </w:r>
    </w:p>
    <w:p w:rsidR="00C16CAE" w:rsidRPr="0096478C" w:rsidRDefault="00C16CAE" w:rsidP="00C16CAE">
      <w:pPr>
        <w:rPr>
          <w:sz w:val="16"/>
        </w:rPr>
      </w:pPr>
      <w:r w:rsidRPr="0096478C">
        <w:rPr>
          <w:sz w:val="16"/>
        </w:rPr>
        <w:t xml:space="preserve"> </w:t>
      </w:r>
    </w:p>
    <w:p w:rsidR="00C16CAE" w:rsidRPr="005422F7" w:rsidRDefault="00C16CAE" w:rsidP="00C16CAE">
      <w:pPr>
        <w:rPr>
          <w:sz w:val="14"/>
        </w:rPr>
      </w:pPr>
      <w:r w:rsidRPr="0096478C">
        <w:rPr>
          <w:rStyle w:val="StyleUnderline"/>
        </w:rPr>
        <w:t>In practice, the complicated procedural language guarantees nothing</w:t>
      </w:r>
      <w:r w:rsidRPr="005422F7">
        <w:rPr>
          <w:rStyle w:val="StyleUnderline"/>
          <w:sz w:val="14"/>
          <w:u w:val="none"/>
        </w:rPr>
        <w:t xml:space="preserve">.  </w:t>
      </w:r>
      <w:r w:rsidRPr="005422F7">
        <w:rPr>
          <w:sz w:val="14"/>
        </w:rPr>
        <w:t>Moreover, the supermajority requirement – established to insure that any proposal has broad consensus – will make it</w:t>
      </w:r>
      <w:r w:rsidRPr="005422F7">
        <w:rPr>
          <w:rStyle w:val="StyleUnderline"/>
          <w:sz w:val="14"/>
          <w:u w:val="none"/>
        </w:rPr>
        <w:t xml:space="preserve"> </w:t>
      </w:r>
      <w:r w:rsidRPr="0096478C">
        <w:rPr>
          <w:rStyle w:val="StyleUnderline"/>
        </w:rPr>
        <w:t>nearly impossible to steer meaningful proposal through</w:t>
      </w:r>
      <w:r w:rsidRPr="005422F7">
        <w:rPr>
          <w:rStyle w:val="StyleUnderline"/>
          <w:sz w:val="14"/>
          <w:u w:val="none"/>
        </w:rPr>
        <w:t xml:space="preserve">.  </w:t>
      </w:r>
      <w:r w:rsidRPr="005422F7">
        <w:rPr>
          <w:sz w:val="14"/>
        </w:rPr>
        <w:t xml:space="preserve">The requirement that both chambers cast a vote on the final proposal could put pressure on members, who might be reluctant to take a clear position on a reform.  </w:t>
      </w:r>
      <w:r w:rsidRPr="0096478C">
        <w:rPr>
          <w:rStyle w:val="StyleUnderline"/>
        </w:rPr>
        <w:t>But the lack of any substantive delegated power makes this commission comparable to efforts to shift blame and find consensus.</w:t>
      </w:r>
      <w:r w:rsidRPr="005422F7">
        <w:rPr>
          <w:rStyle w:val="StyleUnderline"/>
          <w:sz w:val="14"/>
          <w:u w:val="none"/>
        </w:rPr>
        <w:t xml:space="preserve">  </w:t>
      </w:r>
      <w:r w:rsidRPr="0096478C">
        <w:rPr>
          <w:rStyle w:val="StyleUnderline"/>
        </w:rPr>
        <w:t>It is not a serious ef</w:t>
      </w:r>
      <w:r>
        <w:rPr>
          <w:rStyle w:val="StyleUnderline"/>
        </w:rPr>
        <w:t xml:space="preserve">fort to implement a solution.  </w:t>
      </w:r>
      <w:r w:rsidRPr="0096478C">
        <w:rPr>
          <w:rStyle w:val="StyleUnderline"/>
        </w:rPr>
        <w:t>There is simply far too much controversy over what sorts of reforms are necessary</w:t>
      </w:r>
      <w:r w:rsidRPr="005422F7">
        <w:rPr>
          <w:sz w:val="14"/>
        </w:rPr>
        <w:t xml:space="preserve">.  Should benefits be protected, or should cuts be considered?  Should taxes be raised, and if so by how much?  Should benefits be means tested? The retirement age raised?  What should the transition period look like?  No legislator is likely to give up decision making rights in the presence of such controversy and uncertainty about the scope of the final policy. And this is how it should be. </w:t>
      </w:r>
      <w:r w:rsidRPr="005422F7">
        <w:rPr>
          <w:rStyle w:val="StyleUnderline"/>
          <w:sz w:val="14"/>
          <w:u w:val="none"/>
        </w:rPr>
        <w:t xml:space="preserve"> </w:t>
      </w:r>
      <w:r w:rsidRPr="0096478C">
        <w:rPr>
          <w:rStyle w:val="StyleUnderline"/>
        </w:rPr>
        <w:t>Automatic delegation comes at the cost of accountability</w:t>
      </w:r>
      <w:r w:rsidRPr="005422F7">
        <w:rPr>
          <w:rStyle w:val="StyleUnderline"/>
          <w:sz w:val="14"/>
          <w:u w:val="none"/>
        </w:rPr>
        <w:t xml:space="preserve">, </w:t>
      </w:r>
      <w:r w:rsidRPr="005422F7">
        <w:rPr>
          <w:sz w:val="14"/>
        </w:rPr>
        <w:t xml:space="preserve">which as a policy value is at least as important as rationality and efficiency. </w:t>
      </w:r>
      <w:r w:rsidRPr="005422F7">
        <w:rPr>
          <w:rStyle w:val="StyleUnderline"/>
          <w:sz w:val="14"/>
          <w:u w:val="none"/>
        </w:rPr>
        <w:t xml:space="preserve"> </w:t>
      </w:r>
      <w:r w:rsidRPr="005422F7">
        <w:rPr>
          <w:rStyle w:val="StyleUnderline"/>
        </w:rPr>
        <w:t>Delegating authority to an independent body, or governing via an automatic rule, is often a “blame avoidance” mechanism designed to obfuscate the ultimate responsibility and make it difficult for voters to connect cause and effect</w:t>
      </w:r>
      <w:r w:rsidRPr="005422F7">
        <w:rPr>
          <w:rStyle w:val="StyleUnderline"/>
          <w:sz w:val="14"/>
          <w:u w:val="none"/>
        </w:rPr>
        <w:t xml:space="preserve">.  </w:t>
      </w:r>
      <w:r w:rsidRPr="005422F7">
        <w:rPr>
          <w:sz w:val="14"/>
        </w:rPr>
        <w:t xml:space="preserve">As we have seen with BRAC, sometimes this works, at least in the sense of producing a generally preferred but politically difficult outcome that cannot be traced back to the actions of any legislator or group of legislators.   </w:t>
      </w:r>
      <w:r w:rsidRPr="0096478C">
        <w:rPr>
          <w:rStyle w:val="StyleUnderline"/>
        </w:rPr>
        <w:t>But delegation, by itself, does not resolve underlying disagreement and controversies, and the electorate ought to have enough information to assign blame or credit</w:t>
      </w:r>
      <w:r w:rsidRPr="005422F7">
        <w:rPr>
          <w:sz w:val="14"/>
        </w:rPr>
        <w:t>.  Ultimately, BRAC arose from an unusual set of circumstances, and it should replicated with great caution.  .</w:t>
      </w:r>
    </w:p>
    <w:p w:rsidR="00327797" w:rsidRPr="00215F59" w:rsidRDefault="00327797" w:rsidP="00215F59">
      <w:pPr>
        <w:pStyle w:val="Heading3"/>
        <w:spacing w:before="0"/>
        <w:rPr>
          <w:rFonts w:cs="Arial"/>
        </w:rPr>
      </w:pPr>
      <w:bookmarkStart w:id="42" w:name="_Toc424259117"/>
      <w:r w:rsidRPr="00215F59">
        <w:rPr>
          <w:rFonts w:cs="Arial"/>
        </w:rPr>
        <w:lastRenderedPageBreak/>
        <w:t>No solvency</w:t>
      </w:r>
      <w:r w:rsidR="006827FE" w:rsidRPr="00215F59">
        <w:rPr>
          <w:rFonts w:cs="Arial"/>
        </w:rPr>
        <w:t xml:space="preserve"> – </w:t>
      </w:r>
      <w:r w:rsidR="001C3488">
        <w:rPr>
          <w:rFonts w:cs="Arial"/>
        </w:rPr>
        <w:t>Lacks Authority</w:t>
      </w:r>
      <w:bookmarkEnd w:id="42"/>
      <w:r w:rsidR="006827FE" w:rsidRPr="00215F59">
        <w:rPr>
          <w:rFonts w:cs="Arial"/>
        </w:rPr>
        <w:t xml:space="preserve"> </w:t>
      </w:r>
    </w:p>
    <w:p w:rsidR="006827FE" w:rsidRPr="00215F59" w:rsidRDefault="006827FE" w:rsidP="00215F59"/>
    <w:p w:rsidR="00327797" w:rsidRPr="00215F59" w:rsidRDefault="00327797" w:rsidP="00AF1BF7">
      <w:pPr>
        <w:pStyle w:val="Heading4"/>
      </w:pPr>
      <w:r w:rsidRPr="00215F59">
        <w:t>PCLOB cannot solve – has no power over policy + unable to see the larger scope of domestic surveillance</w:t>
      </w:r>
    </w:p>
    <w:p w:rsidR="006827FE" w:rsidRPr="00215F59" w:rsidRDefault="006827FE" w:rsidP="00215F59"/>
    <w:p w:rsidR="00327797" w:rsidRPr="00215F59" w:rsidRDefault="00327797" w:rsidP="00215F59">
      <w:r w:rsidRPr="00215F59">
        <w:rPr>
          <w:rStyle w:val="StyleStyleBold12pt"/>
        </w:rPr>
        <w:t>Goldfarb et al., ‘15</w:t>
      </w:r>
      <w:r w:rsidRPr="00215F59">
        <w:t xml:space="preserve"> ( Ronald Goldfarb - </w:t>
      </w:r>
      <w:r w:rsidRPr="00215F59">
        <w:rPr>
          <w:sz w:val="18"/>
        </w:rPr>
        <w:t>Washington, D.C. attorney and literary agent – JSD from Yale Law School</w:t>
      </w:r>
      <w:r w:rsidRPr="00215F59">
        <w:t xml:space="preserve">, Hodding Carter, III, David Cole, Thomas S. Blanton, Jon Mills, Barry Siegel, Edward Wasserman, </w:t>
      </w:r>
      <w:r w:rsidRPr="00215F59">
        <w:rPr>
          <w:i/>
        </w:rPr>
        <w:t>After Snowden: Privacy, Secrecy, and Security in the Information Age</w:t>
      </w:r>
      <w:r w:rsidRPr="00215F59">
        <w:t>, pg. 233-234)</w:t>
      </w:r>
    </w:p>
    <w:p w:rsidR="006827FE" w:rsidRPr="00215F59" w:rsidRDefault="006827FE" w:rsidP="00215F59"/>
    <w:p w:rsidR="00327797" w:rsidRPr="00215F59" w:rsidRDefault="00327797" w:rsidP="00215F59">
      <w:pPr>
        <w:rPr>
          <w:rStyle w:val="StyleUnderline"/>
        </w:rPr>
      </w:pPr>
      <w:r w:rsidRPr="00215F59">
        <w:rPr>
          <w:sz w:val="16"/>
        </w:rPr>
        <w:t xml:space="preserve">An important element of having a clear policy for domestic surveillance is to have reasonable and independent oversight of surveillance actions to assure compliance. Two groups currently oversee surveillance activities that are otherwise secret: members of the Privacy and Civil Liberties Oversight Board (PCLOB) and the federal judges who sit on the FISA court. Additionally, leaders of the intelligence community brief congressional intelligence and judiciary committees on their surveillance activities. Congress is also required to authorize amass data collection activities under Section 215 of the Patriot Act. Despite congressional approval and oversight, the discovery of the current ongoing domestic surveillance activities has been a shock to the American people. Perhaps as big a shock to Congress was that the CIA surveilled the computers of staffers on the Senate Intelligence Committee, the congressional committee charged with direct oversight of the intelligence community. Therefore, the restoration of public trust is going to require more or different oversight. </w:t>
      </w:r>
      <w:r w:rsidRPr="00215F59">
        <w:rPr>
          <w:rStyle w:val="StyleUnderline"/>
        </w:rPr>
        <w:t>The PCLOB has released reports on NSA and other agency compliance with Section 702 of the Foreign Intelligence Surveillance Act. It is generally tasked with balancing civil liberties and surveillance. Reviews have been mixed. Its reports indicate that any surveillance activities of Internet communications were in compliance. However, the report also indicated that outside of Section 702’s “fundamental core,” certain practices “push the program close to the line of constitutional reasonableness.”</w:t>
      </w:r>
      <w:r w:rsidRPr="00215F59">
        <w:rPr>
          <w:sz w:val="16"/>
        </w:rPr>
        <w:t xml:space="preserve"> The fundamental core is collection of foreign intelligence, but practices go beyond that. </w:t>
      </w:r>
      <w:r w:rsidRPr="00215F59">
        <w:rPr>
          <w:rStyle w:val="StyleUnderline"/>
        </w:rPr>
        <w:t>The analysis of the constitutional issue is greatly limited by the fact that the board was unable to evaluate “the unknown and potentially large scope” of Section 702’s incidental collection of U.S persons’ data</w:t>
      </w:r>
      <w:r w:rsidRPr="00215F59">
        <w:rPr>
          <w:sz w:val="16"/>
        </w:rPr>
        <w:t xml:space="preserve">. In other words, </w:t>
      </w:r>
      <w:r w:rsidRPr="00215F59">
        <w:rPr>
          <w:rStyle w:val="StyleUnderline"/>
        </w:rPr>
        <w:t>the board was not informed of the full impact of the government’s “incidental collection.</w:t>
      </w:r>
      <w:r w:rsidRPr="00215F59">
        <w:rPr>
          <w:sz w:val="16"/>
        </w:rPr>
        <w:t>” The oversight impact of the PCLOB is defined by two indisputable shortcomings</w:t>
      </w:r>
      <w:r w:rsidRPr="00215F59">
        <w:rPr>
          <w:rStyle w:val="StyleUnderline"/>
        </w:rPr>
        <w:t>. First, they have no authority to implement or control policy. Second, they apparently do not or cannot consider the full scope of government surveillance</w:t>
      </w:r>
      <w:r w:rsidRPr="00215F59">
        <w:rPr>
          <w:sz w:val="16"/>
        </w:rPr>
        <w:t>. The reports are, however, important and useful in understanding intelligence activities.</w:t>
      </w:r>
    </w:p>
    <w:p w:rsidR="00327797" w:rsidRPr="00215F59" w:rsidRDefault="00327797" w:rsidP="00215F59">
      <w:pPr>
        <w:rPr>
          <w:sz w:val="16"/>
        </w:rPr>
      </w:pPr>
    </w:p>
    <w:p w:rsidR="00342D9C" w:rsidRPr="00352A52" w:rsidRDefault="00342D9C" w:rsidP="00342D9C">
      <w:pPr>
        <w:pStyle w:val="Heading3"/>
      </w:pPr>
      <w:bookmarkStart w:id="43" w:name="_Toc424259118"/>
      <w:r>
        <w:lastRenderedPageBreak/>
        <w:t>No Solvency – Lacks Authority</w:t>
      </w:r>
      <w:bookmarkEnd w:id="43"/>
    </w:p>
    <w:p w:rsidR="00342D9C" w:rsidRPr="00352A52" w:rsidRDefault="00342D9C" w:rsidP="00342D9C"/>
    <w:p w:rsidR="00342D9C" w:rsidRDefault="00342D9C" w:rsidP="00AF1BF7">
      <w:pPr>
        <w:pStyle w:val="Heading4"/>
      </w:pPr>
      <w:r w:rsidRPr="00215F59">
        <w:t>PCLOB has no power to enforce decisions or challenge an agency’s secrecy powers</w:t>
      </w:r>
    </w:p>
    <w:p w:rsidR="00342D9C" w:rsidRPr="00342D9C" w:rsidRDefault="00342D9C" w:rsidP="00342D9C"/>
    <w:p w:rsidR="00342D9C" w:rsidRDefault="00342D9C" w:rsidP="00342D9C">
      <w:pPr>
        <w:rPr>
          <w:sz w:val="16"/>
        </w:rPr>
      </w:pPr>
      <w:r w:rsidRPr="00215F59">
        <w:rPr>
          <w:rStyle w:val="StyleStyleBold12pt"/>
        </w:rPr>
        <w:t>Stanley 13</w:t>
      </w:r>
      <w:r w:rsidRPr="00215F59">
        <w:rPr>
          <w:sz w:val="16"/>
        </w:rPr>
        <w:t>, Senior Policy Analyst, ACLU Speech, Privacy &amp; Technology Project</w:t>
      </w:r>
      <w:r w:rsidRPr="00215F59">
        <w:rPr>
          <w:rStyle w:val="StyleUnderline"/>
        </w:rPr>
        <w:t xml:space="preserve"> </w:t>
      </w:r>
      <w:r w:rsidRPr="00215F59">
        <w:rPr>
          <w:sz w:val="16"/>
        </w:rPr>
        <w:t xml:space="preserve">(Jay, “What Powers Does the Civil Liberties Oversight Board Have?” </w:t>
      </w:r>
      <w:r w:rsidRPr="00215F59">
        <w:rPr>
          <w:i/>
          <w:sz w:val="16"/>
        </w:rPr>
        <w:t xml:space="preserve">ACLU, </w:t>
      </w:r>
      <w:r w:rsidRPr="00215F59">
        <w:rPr>
          <w:sz w:val="16"/>
        </w:rPr>
        <w:t xml:space="preserve">November/4, </w:t>
      </w:r>
      <w:hyperlink r:id="rId31" w:history="1">
        <w:r w:rsidRPr="00681FAC">
          <w:rPr>
            <w:rStyle w:val="Hyperlink"/>
            <w:sz w:val="16"/>
          </w:rPr>
          <w:t>https://www.aclu.org/blog/what-powers-does-civil-liberties-oversight-board-have</w:t>
        </w:r>
      </w:hyperlink>
      <w:r w:rsidRPr="00215F59">
        <w:rPr>
          <w:sz w:val="16"/>
        </w:rPr>
        <w:t>)</w:t>
      </w:r>
    </w:p>
    <w:p w:rsidR="00342D9C" w:rsidRPr="00215F59" w:rsidRDefault="00342D9C" w:rsidP="00342D9C">
      <w:pPr>
        <w:rPr>
          <w:rStyle w:val="StyleUnderline"/>
        </w:rPr>
      </w:pPr>
    </w:p>
    <w:p w:rsidR="00342D9C" w:rsidRPr="00215F59" w:rsidRDefault="00342D9C" w:rsidP="00342D9C">
      <w:pPr>
        <w:rPr>
          <w:sz w:val="16"/>
        </w:rPr>
      </w:pPr>
      <w:r w:rsidRPr="00215F59">
        <w:rPr>
          <w:rStyle w:val="StyleUnderline"/>
        </w:rPr>
        <w:t>What Congress did not give the PCLOB the power to do</w:t>
      </w:r>
      <w:r w:rsidRPr="00215F59">
        <w:rPr>
          <w:sz w:val="16"/>
        </w:rPr>
        <w:t xml:space="preserve">, unfortunately, </w:t>
      </w:r>
      <w:r w:rsidRPr="00215F59">
        <w:rPr>
          <w:rStyle w:val="StyleUnderline"/>
        </w:rPr>
        <w:t>is challenge agencies' secrecy powers when it finds those powers have been abused to cover up wrongdoing or incompetence or to prevent legitimate public debate</w:t>
      </w:r>
      <w:r w:rsidRPr="00215F59">
        <w:rPr>
          <w:sz w:val="16"/>
        </w:rPr>
        <w:t xml:space="preserve">. </w:t>
      </w:r>
      <w:r w:rsidRPr="00215F59">
        <w:rPr>
          <w:rStyle w:val="StyleUnderline"/>
        </w:rPr>
        <w:t>At a time when such abuses of secrecy powers are widespread</w:t>
      </w:r>
      <w:r w:rsidRPr="00215F59">
        <w:rPr>
          <w:sz w:val="16"/>
        </w:rPr>
        <w:t>, it is not clear how the PCLOB would or could proceed if, for example, it uncovers brazen violations of the law that are classified (as they most likely would be)</w:t>
      </w:r>
      <w:r w:rsidRPr="00215F59">
        <w:rPr>
          <w:rStyle w:val="StyleUnderline"/>
        </w:rPr>
        <w:t xml:space="preserve">. The PCLOB </w:t>
      </w:r>
      <w:r w:rsidRPr="00215F59">
        <w:rPr>
          <w:sz w:val="16"/>
        </w:rPr>
        <w:t>also</w:t>
      </w:r>
      <w:r w:rsidRPr="00215F59">
        <w:rPr>
          <w:rStyle w:val="StyleUnderline"/>
        </w:rPr>
        <w:t xml:space="preserve"> has no enforcement power</w:t>
      </w:r>
      <w:r w:rsidRPr="00215F59">
        <w:rPr>
          <w:sz w:val="16"/>
        </w:rPr>
        <w:t xml:space="preserve">. </w:t>
      </w:r>
      <w:r w:rsidRPr="00215F59">
        <w:rPr>
          <w:rStyle w:val="StyleUnderline"/>
        </w:rPr>
        <w:t>Other than by going to court like anyone else</w:t>
      </w:r>
      <w:r w:rsidRPr="00215F59">
        <w:rPr>
          <w:sz w:val="16"/>
        </w:rPr>
        <w:t xml:space="preserve">, </w:t>
      </w:r>
      <w:r w:rsidRPr="00215F59">
        <w:rPr>
          <w:rStyle w:val="StyleUnderline"/>
        </w:rPr>
        <w:t>it cannot order any government agency to change its practices or otherwise enforce the law</w:t>
      </w:r>
      <w:r w:rsidRPr="00215F59">
        <w:rPr>
          <w:sz w:val="16"/>
        </w:rPr>
        <w:t>. Other countries give their privacy commissioners such powers; in 2008, for example, the Italian government decided to publish the income tax returns of all Italian citizens on the Internet. The Italian data protection author-ity did not just condemn the action, or hold hearings, or file a court case--it ordered the information taken down, and it was. In some countries, such as Slovenia, the data protection commissioner also has the power to unilaterally declassify information</w:t>
      </w:r>
    </w:p>
    <w:p w:rsidR="00342D9C" w:rsidRDefault="00342D9C" w:rsidP="00342D9C">
      <w:pPr>
        <w:pStyle w:val="Heading3"/>
      </w:pPr>
      <w:bookmarkStart w:id="44" w:name="_Toc424259119"/>
      <w:r>
        <w:lastRenderedPageBreak/>
        <w:t>No solvency – Lacks Authority</w:t>
      </w:r>
      <w:bookmarkEnd w:id="44"/>
    </w:p>
    <w:p w:rsidR="00342D9C" w:rsidRPr="004978F5" w:rsidRDefault="00342D9C" w:rsidP="00342D9C"/>
    <w:p w:rsidR="00342D9C" w:rsidRDefault="00342D9C" w:rsidP="00AF1BF7">
      <w:pPr>
        <w:pStyle w:val="Heading4"/>
      </w:pPr>
      <w:r w:rsidRPr="00215F59">
        <w:t>PCLOB doesn’t have power to change, can only make recommendations which won’t always be taken into consideration</w:t>
      </w:r>
    </w:p>
    <w:p w:rsidR="00342D9C" w:rsidRPr="00342D9C" w:rsidRDefault="00342D9C" w:rsidP="00342D9C"/>
    <w:p w:rsidR="00342D9C" w:rsidRPr="00215F59" w:rsidRDefault="00342D9C" w:rsidP="00342D9C">
      <w:pPr>
        <w:rPr>
          <w:rStyle w:val="StyleStyleBold12pt"/>
        </w:rPr>
      </w:pPr>
      <w:r w:rsidRPr="00215F59">
        <w:rPr>
          <w:rStyle w:val="StyleStyleBold12pt"/>
        </w:rPr>
        <w:t>Setty, 2015</w:t>
      </w:r>
    </w:p>
    <w:p w:rsidR="00342D9C" w:rsidRPr="00215F59" w:rsidRDefault="00342D9C" w:rsidP="00342D9C">
      <w:r w:rsidRPr="00215F59">
        <w:t>(Sudha, Professor of Law at Western New England University, “SEARCH FOR MEANINGFUL</w:t>
      </w:r>
    </w:p>
    <w:p w:rsidR="00342D9C" w:rsidRPr="00215F59" w:rsidRDefault="00342D9C" w:rsidP="00342D9C">
      <w:r w:rsidRPr="00215F59">
        <w:t xml:space="preserve">ACCOUNTABILITY,” </w:t>
      </w:r>
      <w:r w:rsidRPr="00215F59">
        <w:rPr>
          <w:i/>
        </w:rPr>
        <w:t>Stanford Journal of International Law</w:t>
      </w:r>
      <w:r w:rsidRPr="00215F59">
        <w:t xml:space="preserve">, 51:1, Online: http://digitalcommons.law.wne.edu/cgi/viewcontent.cgi?article=1305&amp;context=facschol) </w:t>
      </w:r>
    </w:p>
    <w:p w:rsidR="00342D9C" w:rsidRPr="00215F59" w:rsidRDefault="00342D9C" w:rsidP="00342D9C"/>
    <w:p w:rsidR="00342D9C" w:rsidRPr="00215F59" w:rsidRDefault="00342D9C" w:rsidP="00342D9C">
      <w:pPr>
        <w:rPr>
          <w:rStyle w:val="StyleUnderline"/>
        </w:rPr>
      </w:pPr>
      <w:r w:rsidRPr="00215F59">
        <w:rPr>
          <w:sz w:val="16"/>
        </w:rPr>
        <w:t xml:space="preserve">What does it mean to maintain the rule of law, particularly when national security and counterterrorism policies are at issue? In its propagation of the "global war on terror" after the terrorist attacks of September 11, 2001, the Bush Administration was accused many times of behaving in a lawless fashion. 1 President Obama picked up on this theme, insisting early on that his administration would oversee a return to the primacy of the rule of law, regardless of whether the country viewed itself as being at peace or at war. 2 In doing so, </w:t>
      </w:r>
      <w:r w:rsidRPr="00215F59">
        <w:rPr>
          <w:rStyle w:val="StyleUnderline"/>
        </w:rPr>
        <w:t>Obama promised to restore the idea that the government should have limited power, should be held to account for its transgressions, and that the government's actions and the laws under which it acts ought to be transparent.</w:t>
      </w:r>
      <w:r w:rsidRPr="00215F59">
        <w:rPr>
          <w:sz w:val="16"/>
        </w:rPr>
        <w:t xml:space="preserve"> 3 </w:t>
      </w:r>
      <w:r w:rsidRPr="00215F59">
        <w:rPr>
          <w:rStyle w:val="StyleUnderline"/>
        </w:rPr>
        <w:t>Yet the post-9/11 decision-making by both the Bush and Obama administrations has been characterized by excessive secrecy that stymies most efforts to hold the government accountable for its abuses.</w:t>
      </w:r>
      <w:r w:rsidRPr="00215F59">
        <w:rPr>
          <w:sz w:val="16"/>
        </w:rPr>
        <w:t xml:space="preserve"> </w:t>
      </w:r>
      <w:r w:rsidRPr="00215F59">
        <w:rPr>
          <w:rStyle w:val="StyleUnderline"/>
        </w:rPr>
        <w:t>Particularly in the area of government surveillance, meaningful oversight has seemed impossible without the trigger of leaked information.</w:t>
      </w:r>
      <w:r w:rsidRPr="00215F59">
        <w:rPr>
          <w:sz w:val="16"/>
        </w:rPr>
        <w:t xml:space="preserve"> The executive branch has consistently defended the legality and efficacy of these surveillance programs, insisting that the administration acts in accordance with the rule of law and that secrecy has been necessary, and that leaks by government insiders have been criminal and counterproductive. </w:t>
      </w:r>
      <w:r w:rsidRPr="00215F59">
        <w:rPr>
          <w:rStyle w:val="StyleUnderline"/>
        </w:rPr>
        <w:t>4 Congress has enabled the executive branch to engage in widespread surveillance in the post-9/11 context and has not been able to compel the executive branch to make available information regarding its surveillance programs that could give any oversight efforts more muscle.</w:t>
      </w:r>
    </w:p>
    <w:p w:rsidR="00342D9C" w:rsidRPr="00215F59" w:rsidRDefault="00342D9C" w:rsidP="00342D9C"/>
    <w:p w:rsidR="006827FE" w:rsidRPr="00215F59" w:rsidRDefault="006827FE" w:rsidP="00215F59">
      <w:pPr>
        <w:pStyle w:val="Heading3"/>
        <w:spacing w:before="0"/>
        <w:rPr>
          <w:rFonts w:cs="Arial"/>
        </w:rPr>
      </w:pPr>
      <w:bookmarkStart w:id="45" w:name="_Toc424259120"/>
      <w:r w:rsidRPr="00215F59">
        <w:rPr>
          <w:rFonts w:cs="Arial"/>
        </w:rPr>
        <w:lastRenderedPageBreak/>
        <w:t>No Solvency –</w:t>
      </w:r>
      <w:r w:rsidR="001C3488">
        <w:rPr>
          <w:rFonts w:cs="Arial"/>
        </w:rPr>
        <w:t xml:space="preserve"> Recommendations</w:t>
      </w:r>
      <w:r w:rsidRPr="00215F59">
        <w:rPr>
          <w:rFonts w:cs="Arial"/>
        </w:rPr>
        <w:t xml:space="preserve"> Ignored</w:t>
      </w:r>
      <w:bookmarkEnd w:id="45"/>
      <w:r w:rsidRPr="00215F59">
        <w:rPr>
          <w:rFonts w:cs="Arial"/>
        </w:rPr>
        <w:t xml:space="preserve"> </w:t>
      </w:r>
    </w:p>
    <w:p w:rsidR="006827FE" w:rsidRPr="00215F59" w:rsidRDefault="006827FE" w:rsidP="00215F59"/>
    <w:p w:rsidR="00327797" w:rsidRPr="00215F59" w:rsidRDefault="00327797" w:rsidP="00AF1BF7">
      <w:pPr>
        <w:pStyle w:val="Heading4"/>
      </w:pPr>
      <w:r w:rsidRPr="00215F59">
        <w:t>No Solvency – PCLOB’s recommendations are ignored</w:t>
      </w:r>
    </w:p>
    <w:p w:rsidR="006827FE" w:rsidRPr="00215F59" w:rsidRDefault="006827FE" w:rsidP="00215F59"/>
    <w:p w:rsidR="00327797" w:rsidRPr="00215F59" w:rsidRDefault="00327797" w:rsidP="00215F59">
      <w:r w:rsidRPr="00215F59">
        <w:rPr>
          <w:rStyle w:val="StyleStyleBold12pt"/>
        </w:rPr>
        <w:t>Raul, ‘10</w:t>
      </w:r>
      <w:r w:rsidRPr="00215F59">
        <w:t xml:space="preserve"> (Alan Charles Raul – vice chairman of the PCLOB 2006-2008, January-24-2010, “Where’s the civil liberties oversight?” </w:t>
      </w:r>
      <w:r w:rsidRPr="00215F59">
        <w:rPr>
          <w:i/>
        </w:rPr>
        <w:t>The Washington Post</w:t>
      </w:r>
      <w:r w:rsidRPr="00215F59">
        <w:t>)</w:t>
      </w:r>
    </w:p>
    <w:p w:rsidR="006827FE" w:rsidRPr="00215F59" w:rsidRDefault="006827FE" w:rsidP="00215F59"/>
    <w:p w:rsidR="00327797" w:rsidRPr="00215F59" w:rsidRDefault="00327797" w:rsidP="00215F59">
      <w:pPr>
        <w:rPr>
          <w:rStyle w:val="StyleUnderline"/>
          <w:u w:val="none"/>
        </w:rPr>
      </w:pPr>
      <w:r w:rsidRPr="00215F59">
        <w:rPr>
          <w:sz w:val="16"/>
        </w:rPr>
        <w:t xml:space="preserve">In 2007, the </w:t>
      </w:r>
      <w:r w:rsidRPr="00215F59">
        <w:rPr>
          <w:rStyle w:val="StyleUnderline"/>
        </w:rPr>
        <w:t>Justice Department's inspector general revealed the FBI's failure to comply with the statutory and procedural requirements on which its powerful national security letter (NSL) authority was conditioned</w:t>
      </w:r>
      <w:r w:rsidRPr="00215F59">
        <w:rPr>
          <w:sz w:val="16"/>
        </w:rPr>
        <w:t xml:space="preserve">. After the IG report, the White House </w:t>
      </w:r>
      <w:r w:rsidRPr="00215F59">
        <w:rPr>
          <w:rStyle w:val="StyleUnderline"/>
        </w:rPr>
        <w:t>Privacy and Civil Liberties Oversight Board further investigated the FBI's abuse of power and re-ported its conclusions</w:t>
      </w:r>
      <w:r w:rsidRPr="00215F59">
        <w:rPr>
          <w:sz w:val="16"/>
        </w:rPr>
        <w:t xml:space="preserve"> to the attorney general and White House counsel. In the board's January 2008 report to Congress -- two years ago! -- we stated: "[</w:t>
      </w:r>
      <w:r w:rsidRPr="00215F59">
        <w:rPr>
          <w:rStyle w:val="StyleUnderline"/>
        </w:rPr>
        <w:t>T]he Board is concerned that the FBI has not made a conscious, direct, and thorough effort to explain to the public and to Congress exactly why NSLs should be retained in their current form</w:t>
      </w:r>
      <w:r w:rsidRPr="00215F59">
        <w:rPr>
          <w:sz w:val="16"/>
        </w:rPr>
        <w:t>. . . . The Board welcomes the FBI's decision to [eliminate] the use of 'exigent' letters. . . . Finally, the Board believes senior officials in the FBI bear responsibility for failing to create any sort of compliance mechanism prior to the Report and failing to craft procedures to allow information regarding NSL violations to flow to those in authority." What happened next</w:t>
      </w:r>
      <w:r w:rsidRPr="00215F59">
        <w:rPr>
          <w:rStyle w:val="StyleUnderline"/>
        </w:rPr>
        <w:t>? There was no apparent accountability for the FBI's lack of legal compliance, and Congress decided instead to move the administrative deck chairs around by enacting legislation to phase out the Privacy and Civil Liberties Oversight Board</w:t>
      </w:r>
      <w:r w:rsidRPr="00215F59">
        <w:rPr>
          <w:sz w:val="16"/>
        </w:rPr>
        <w:t xml:space="preserve"> (which had only just been created in 2004 legislation), and transform it into an independent agency outside the White House. </w:t>
      </w:r>
      <w:r w:rsidRPr="00215F59">
        <w:rPr>
          <w:rStyle w:val="StyleUnderline"/>
        </w:rPr>
        <w:t xml:space="preserve">The Senate then failed to confirm President Bush's nominees for the reconstituted board, and President Obama has not nominated anyone at all. </w:t>
      </w:r>
      <w:r w:rsidRPr="00215F59">
        <w:rPr>
          <w:sz w:val="16"/>
        </w:rPr>
        <w:t xml:space="preserve">The American people are counting on the government to go after terrorists hard, and this means it must be equally serious about protecting our privacy and civil liberties. </w:t>
      </w:r>
      <w:r w:rsidRPr="00215F59">
        <w:rPr>
          <w:rStyle w:val="StyleUnderline"/>
        </w:rPr>
        <w:t>Right now it is not clear that these responsibilities are being dis-charged seriously</w:t>
      </w:r>
      <w:r w:rsidRPr="00215F59">
        <w:rPr>
          <w:rStyle w:val="StyleUnderline"/>
          <w:u w:val="none"/>
        </w:rPr>
        <w:t>.</w:t>
      </w:r>
    </w:p>
    <w:p w:rsidR="006827FE" w:rsidRPr="00215F59" w:rsidRDefault="006827FE" w:rsidP="00215F59">
      <w:pPr>
        <w:rPr>
          <w:rStyle w:val="StyleUnderline"/>
          <w:u w:val="none"/>
        </w:rPr>
      </w:pPr>
    </w:p>
    <w:p w:rsidR="006827FE" w:rsidRPr="00215F59" w:rsidRDefault="006827FE" w:rsidP="00215F59">
      <w:pPr>
        <w:rPr>
          <w:rStyle w:val="StyleUnderline"/>
          <w:u w:val="none"/>
        </w:rPr>
      </w:pPr>
    </w:p>
    <w:p w:rsidR="006827FE" w:rsidRPr="00215F59" w:rsidRDefault="006827FE" w:rsidP="00215F59">
      <w:pPr>
        <w:pStyle w:val="Heading3"/>
        <w:spacing w:before="0"/>
        <w:rPr>
          <w:rStyle w:val="StyleUnderline"/>
          <w:rFonts w:cs="Arial"/>
          <w:b/>
          <w:u w:val="none"/>
        </w:rPr>
      </w:pPr>
      <w:bookmarkStart w:id="46" w:name="_Toc424259121"/>
      <w:r w:rsidRPr="00215F59">
        <w:rPr>
          <w:rFonts w:cs="Arial"/>
        </w:rPr>
        <w:lastRenderedPageBreak/>
        <w:t xml:space="preserve">No Solvency </w:t>
      </w:r>
      <w:r w:rsidR="00342D9C">
        <w:rPr>
          <w:rFonts w:cs="Arial"/>
        </w:rPr>
        <w:t>– Laundry List</w:t>
      </w:r>
      <w:bookmarkEnd w:id="46"/>
    </w:p>
    <w:p w:rsidR="006827FE" w:rsidRPr="00215F59" w:rsidRDefault="006827FE" w:rsidP="00215F59">
      <w:pPr>
        <w:rPr>
          <w:rStyle w:val="StyleUnderline"/>
        </w:rPr>
      </w:pPr>
    </w:p>
    <w:p w:rsidR="006827FE" w:rsidRPr="00215F59" w:rsidRDefault="006827FE" w:rsidP="00AF1BF7">
      <w:pPr>
        <w:pStyle w:val="Heading4"/>
      </w:pPr>
      <w:r w:rsidRPr="00215F59">
        <w:t xml:space="preserve">No solv - PCLOB inadequate for a laundry list of reasons  </w:t>
      </w:r>
    </w:p>
    <w:p w:rsidR="006827FE" w:rsidRPr="00215F59" w:rsidRDefault="006827FE" w:rsidP="00215F59"/>
    <w:p w:rsidR="006827FE" w:rsidRPr="00215F59" w:rsidRDefault="006827FE" w:rsidP="00215F59">
      <w:pPr>
        <w:rPr>
          <w:rStyle w:val="StyleStyleBold12pt"/>
        </w:rPr>
      </w:pPr>
      <w:r w:rsidRPr="00215F59">
        <w:rPr>
          <w:rStyle w:val="StyleStyleBold12pt"/>
        </w:rPr>
        <w:t xml:space="preserve">Ben-Veniste and Cole, 2004 </w:t>
      </w:r>
    </w:p>
    <w:p w:rsidR="006827FE" w:rsidRPr="00215F59" w:rsidRDefault="006827FE" w:rsidP="00215F59">
      <w:r w:rsidRPr="00215F59">
        <w:t>(Richard Ben-Veniste - a lawyer and former member of the 9/11 commission, Lance Cole - a professor at Penn State Dickinson School of Law and former consultant to the commission, September-7-2004, “How to Watch The Watchers,” The New York Times)</w:t>
      </w:r>
    </w:p>
    <w:p w:rsidR="006827FE" w:rsidRPr="00215F59" w:rsidRDefault="006827FE" w:rsidP="00215F59">
      <w:pPr>
        <w:rPr>
          <w:b/>
        </w:rPr>
      </w:pPr>
    </w:p>
    <w:p w:rsidR="006827FE" w:rsidRPr="00215F59" w:rsidRDefault="006827FE" w:rsidP="00215F59">
      <w:pPr>
        <w:rPr>
          <w:sz w:val="14"/>
        </w:rPr>
      </w:pPr>
      <w:r w:rsidRPr="00215F59">
        <w:rPr>
          <w:sz w:val="14"/>
        </w:rPr>
        <w:t>Last week President Bush issued four executive orders addressing matters that were subjects of recommendations by the 9/11 commission. One of the four orders created a President's Board on Safeguarding Americans' Civil Liberties. While it is laudable that a civil liberties board was included in the first set of presidential actions in response to the commission's recommendations</w:t>
      </w:r>
      <w:r w:rsidRPr="00215F59">
        <w:rPr>
          <w:rStyle w:val="StyleUnderline"/>
        </w:rPr>
        <w:t xml:space="preserve">, the new board falls short of addressing the concerns that led the commission to recommend the creation of a meaningful oversight board in the first place. </w:t>
      </w:r>
      <w:r w:rsidRPr="00215F59">
        <w:rPr>
          <w:sz w:val="14"/>
        </w:rPr>
        <w:t xml:space="preserve">Since the attacks on the World Trade Center and the Pentagon, the government has acquired powerful new legal tools, including those provided by the Patriot Act, to collect intelligence on Americans. </w:t>
      </w:r>
      <w:r w:rsidRPr="00215F59">
        <w:rPr>
          <w:rStyle w:val="StyleUnderline"/>
        </w:rPr>
        <w:t>Government agencies are using ''data mining'' and other techniques to identify potential terrorists and cut off sources of terrorist financing</w:t>
      </w:r>
      <w:r w:rsidRPr="00215F59">
        <w:rPr>
          <w:sz w:val="14"/>
        </w:rPr>
        <w:t xml:space="preserve">. As the commission's report noted, the shift of power and authority to government must be tempered by an enhanced system of checks and balances to protect the personal liberties that define our way of life. One of the ways the commission sought to balance these competing objectives was to recommend the creation of a board within the executive branch to protect civil liberties and privacy rights. </w:t>
      </w:r>
      <w:r w:rsidRPr="00215F59">
        <w:rPr>
          <w:rStyle w:val="StyleUnderline"/>
        </w:rPr>
        <w:t>Unfortunately, the board created by the president has neither the right makeup nor the right powers to accomplish this objective.</w:t>
      </w:r>
      <w:r w:rsidRPr="00215F59">
        <w:rPr>
          <w:sz w:val="14"/>
        </w:rPr>
        <w:t xml:space="preserve"> For starters, </w:t>
      </w:r>
      <w:r w:rsidRPr="00215F59">
        <w:rPr>
          <w:rStyle w:val="StyleUnderline"/>
        </w:rPr>
        <w:t>the large size of the president's board is a problem.</w:t>
      </w:r>
      <w:r w:rsidRPr="00215F59">
        <w:rPr>
          <w:sz w:val="14"/>
        </w:rPr>
        <w:t xml:space="preserve"> With 20 or more people, individual members won't feel personally accountable or responsible, a fatal flaw for an effective civil liberties oversight body. </w:t>
      </w:r>
      <w:r w:rsidRPr="00215F59">
        <w:rPr>
          <w:rStyle w:val="StyleUnderline"/>
        </w:rPr>
        <w:t>But a more fundamental problem with the president's panel is the people who will serve on it</w:t>
      </w:r>
      <w:r w:rsidRPr="00215F59">
        <w:rPr>
          <w:sz w:val="14"/>
        </w:rPr>
        <w:t xml:space="preserve">. All its members are from within government and almost all are from the very agencies and departments whose actions are likely to be the subject of civil liberties challenges and complaints. </w:t>
      </w:r>
      <w:r w:rsidRPr="00215F59">
        <w:rPr>
          <w:rStyle w:val="StyleUnderline"/>
        </w:rPr>
        <w:t xml:space="preserve">The 9/11 commission demonstrated the value </w:t>
      </w:r>
      <w:r w:rsidRPr="00215F59">
        <w:rPr>
          <w:sz w:val="14"/>
        </w:rPr>
        <w:t xml:space="preserve">of a review of government actions by disinterested individuals from outside government. Only </w:t>
      </w:r>
      <w:r w:rsidRPr="00215F59">
        <w:rPr>
          <w:rStyle w:val="StyleUnderline"/>
        </w:rPr>
        <w:t>outsiders can supply both the independence and the skepticism that are essential to evaluate the merits of governmental assertions of power that intrude on personal privacy</w:t>
      </w:r>
      <w:r w:rsidRPr="00215F59">
        <w:rPr>
          <w:sz w:val="14"/>
        </w:rPr>
        <w:t xml:space="preserve">. In fact, the president's board seems especially unlikely to prevent one </w:t>
      </w:r>
      <w:r w:rsidRPr="00215F59">
        <w:rPr>
          <w:rStyle w:val="StyleUnderline"/>
        </w:rPr>
        <w:t xml:space="preserve">of the most serious potential problems brought on by the government's new powers -- the possibility of applying them in areas that have nothing to do with terrorism. </w:t>
      </w:r>
      <w:r w:rsidRPr="00215F59">
        <w:rPr>
          <w:sz w:val="14"/>
        </w:rPr>
        <w:t xml:space="preserve">Already, the Patriot Act has been used to investigate official corruption, money-laundering and computer hacking. </w:t>
      </w:r>
      <w:r w:rsidRPr="00215F59">
        <w:rPr>
          <w:rStyle w:val="StyleUnderline"/>
        </w:rPr>
        <w:t>A properly functioning civil liberties oversight board should also be nonpartisan</w:t>
      </w:r>
      <w:r w:rsidRPr="00215F59">
        <w:rPr>
          <w:sz w:val="14"/>
        </w:rPr>
        <w:t xml:space="preserve">, and the way to achieve that is through a balanced appointments process. </w:t>
      </w:r>
      <w:r w:rsidRPr="00215F59">
        <w:rPr>
          <w:rStyle w:val="StyleUnderline"/>
        </w:rPr>
        <w:t>The president's panel is made up almost entirely of presidential appointees</w:t>
      </w:r>
      <w:r w:rsidRPr="00215F59">
        <w:rPr>
          <w:sz w:val="14"/>
        </w:rPr>
        <w:t xml:space="preserve"> and senior staff members who serve presidential appointees. </w:t>
      </w:r>
      <w:r w:rsidRPr="00215F59">
        <w:rPr>
          <w:rStyle w:val="StyleUnderline"/>
        </w:rPr>
        <w:t>But the public must have confidence that the board transcends the partisan interests of whatever administration is in power. A far better model would be a board that is chosen through an appointments process that provides not only balance along party lines, but also participation by both the executive and legislative branches</w:t>
      </w:r>
      <w:r w:rsidRPr="00215F59">
        <w:rPr>
          <w:sz w:val="14"/>
        </w:rPr>
        <w:t>. For example, a nine-member board could be created with a requirement that no more than five of its members be from the same political party. The chairman and vice chairman could be required to come from different parties. What's more, the president's nominees would be subject to Senate confirmation. This is similar to the model that has been shown to work well for independent regulatory agencies. There's another problem. While the commission recommended a board that would provide oversight</w:t>
      </w:r>
      <w:r w:rsidRPr="00215F59">
        <w:rPr>
          <w:rStyle w:val="StyleUnderline"/>
        </w:rPr>
        <w:t>, the president's board is only an advisory board, which means that it will simply provide advice and information.</w:t>
      </w:r>
      <w:r w:rsidRPr="00215F59">
        <w:rPr>
          <w:sz w:val="14"/>
        </w:rPr>
        <w:t xml:space="preserve"> </w:t>
      </w:r>
      <w:r w:rsidRPr="00215F59">
        <w:rPr>
          <w:rStyle w:val="StyleUnderline"/>
        </w:rPr>
        <w:t>It has no obligation to disclose its findings to the public</w:t>
      </w:r>
      <w:r w:rsidRPr="00215F59">
        <w:rPr>
          <w:sz w:val="14"/>
        </w:rPr>
        <w:t>. That's a mistake. For such a board to be effective, it must be transparent. To that end, any panel should be required to provide quarterly reports of its findings to Congress and the public. As the 9/11 commission showed with its report, it is possible to remove references to sources and methods of intelligence collection and still provide an informative public accounting. In addition to the specifics set out in the commission report, there's another step that should be considered</w:t>
      </w:r>
      <w:r w:rsidRPr="00215F59">
        <w:rPr>
          <w:rStyle w:val="StyleUnderline"/>
        </w:rPr>
        <w:t xml:space="preserve">: departments and agencies that have responsibility for domestic intelligence collection and homeland security should put in place a kind of ''civil liberties ombudsman'' who would be responsible for bringing complaints and challenges before the board. </w:t>
      </w:r>
      <w:r w:rsidRPr="00215F59">
        <w:rPr>
          <w:sz w:val="14"/>
        </w:rPr>
        <w:t>The individuals in those positions must have full access to the surveillance techniques and domestic intelligence collection practices their departments and agencies employ</w:t>
      </w:r>
      <w:r w:rsidRPr="00215F59">
        <w:rPr>
          <w:rStyle w:val="StyleUnderline"/>
        </w:rPr>
        <w:t>. There must also be confidentiality and whistleblower protections to ensure that complaints are reported without fear of reprisal.</w:t>
      </w:r>
      <w:r w:rsidRPr="00215F59">
        <w:rPr>
          <w:sz w:val="14"/>
        </w:rPr>
        <w:t xml:space="preserve"> While the president's proposal is a welcome acknowledgment of the need for civil liberties protections, it seems that it will now be up to Congress to carry out the commission's recommendation for a genuine, effective oversight board. Only a truly independent board with real powers can help strike the right balance between enhanced powers to combat terrorism and adequate protection of our cherished civil liberties.</w:t>
      </w:r>
    </w:p>
    <w:p w:rsidR="006827FE" w:rsidRPr="00215F59" w:rsidRDefault="006827FE" w:rsidP="00215F59"/>
    <w:p w:rsidR="006827FE" w:rsidRPr="00215F59" w:rsidRDefault="006827FE" w:rsidP="00215F59"/>
    <w:p w:rsidR="006827FE" w:rsidRPr="00215F59" w:rsidRDefault="006827FE" w:rsidP="00215F59"/>
    <w:p w:rsidR="006827FE" w:rsidRPr="00215F59" w:rsidRDefault="006827FE" w:rsidP="00215F59">
      <w:pPr>
        <w:rPr>
          <w:sz w:val="22"/>
        </w:rPr>
      </w:pPr>
    </w:p>
    <w:p w:rsidR="00352A52" w:rsidRDefault="00352A52" w:rsidP="00215F59">
      <w:pPr>
        <w:rPr>
          <w:rStyle w:val="StyleUnderline"/>
        </w:rPr>
      </w:pPr>
    </w:p>
    <w:p w:rsidR="004978F5" w:rsidRDefault="004978F5" w:rsidP="004978F5">
      <w:pPr>
        <w:pStyle w:val="Heading3"/>
      </w:pPr>
      <w:bookmarkStart w:id="47" w:name="_Toc424259122"/>
      <w:r w:rsidRPr="004978F5">
        <w:lastRenderedPageBreak/>
        <w:t xml:space="preserve">Perm </w:t>
      </w:r>
      <w:r w:rsidR="00342D9C">
        <w:t>– As Many Actors as Possible</w:t>
      </w:r>
      <w:bookmarkEnd w:id="47"/>
    </w:p>
    <w:p w:rsidR="00342D9C" w:rsidRPr="00342D9C" w:rsidRDefault="00342D9C" w:rsidP="00342D9C"/>
    <w:p w:rsidR="004978F5" w:rsidRDefault="004978F5" w:rsidP="00AF1BF7">
      <w:pPr>
        <w:pStyle w:val="Heading4"/>
      </w:pPr>
      <w:r w:rsidRPr="00215F59">
        <w:t xml:space="preserve">Perm </w:t>
      </w:r>
      <w:r w:rsidR="00342D9C">
        <w:t xml:space="preserve">is essential – all actors must work to restore accountability </w:t>
      </w:r>
    </w:p>
    <w:p w:rsidR="00342D9C" w:rsidRPr="00342D9C" w:rsidRDefault="00342D9C" w:rsidP="00342D9C"/>
    <w:p w:rsidR="004978F5" w:rsidRPr="00215F59" w:rsidRDefault="004978F5" w:rsidP="004978F5">
      <w:pPr>
        <w:rPr>
          <w:rStyle w:val="StyleStyleBold12pt"/>
        </w:rPr>
      </w:pPr>
      <w:r w:rsidRPr="00215F59">
        <w:rPr>
          <w:rStyle w:val="StyleStyleBold12pt"/>
        </w:rPr>
        <w:t>Setty, 2015</w:t>
      </w:r>
    </w:p>
    <w:p w:rsidR="004978F5" w:rsidRPr="00215F59" w:rsidRDefault="004978F5" w:rsidP="004978F5">
      <w:r w:rsidRPr="00215F59">
        <w:t>(Sudha, Professor of Law at Western New England University, “SEARCH FOR MEANINGFUL</w:t>
      </w:r>
    </w:p>
    <w:p w:rsidR="004978F5" w:rsidRPr="00215F59" w:rsidRDefault="004978F5" w:rsidP="004978F5">
      <w:r w:rsidRPr="00215F59">
        <w:t xml:space="preserve">ACCOUNTABILITY,” </w:t>
      </w:r>
      <w:r w:rsidRPr="00215F59">
        <w:rPr>
          <w:i/>
        </w:rPr>
        <w:t>Stanford Journal of International Law</w:t>
      </w:r>
      <w:r w:rsidRPr="00215F59">
        <w:t xml:space="preserve">, 51:1, Online: http://digitalcommons.law.wne.edu/cgi/viewcontent.cgi?article=1305&amp;context=facschol) </w:t>
      </w:r>
    </w:p>
    <w:p w:rsidR="004978F5" w:rsidRPr="00215F59" w:rsidRDefault="004978F5" w:rsidP="004978F5"/>
    <w:p w:rsidR="004978F5" w:rsidRPr="00215F59" w:rsidRDefault="004978F5" w:rsidP="004978F5"/>
    <w:p w:rsidR="004978F5" w:rsidRPr="00215F59" w:rsidRDefault="004978F5" w:rsidP="004978F5">
      <w:pPr>
        <w:rPr>
          <w:sz w:val="16"/>
        </w:rPr>
      </w:pPr>
      <w:r w:rsidRPr="00215F59">
        <w:rPr>
          <w:rStyle w:val="StyleUnderline"/>
        </w:rPr>
        <w:t>Genuine accountability should not depend on the chance that an</w:t>
      </w:r>
      <w:r w:rsidRPr="00215F59">
        <w:rPr>
          <w:rStyle w:val="StyleUnderline"/>
          <w:b w:val="0"/>
          <w:sz w:val="12"/>
          <w:u w:val="none"/>
        </w:rPr>
        <w:t>¶</w:t>
      </w:r>
      <w:r w:rsidRPr="00215F59">
        <w:rPr>
          <w:rStyle w:val="StyleUnderline"/>
          <w:sz w:val="12"/>
        </w:rPr>
        <w:t xml:space="preserve"> </w:t>
      </w:r>
      <w:r w:rsidRPr="00215F59">
        <w:rPr>
          <w:rStyle w:val="StyleUnderline"/>
        </w:rPr>
        <w:t>unauthorized and illegal leak will occur</w:t>
      </w:r>
      <w:r w:rsidRPr="00215F59">
        <w:rPr>
          <w:sz w:val="16"/>
        </w:rPr>
        <w:t>. In the comparative example of the United</w:t>
      </w:r>
      <w:r w:rsidRPr="00215F59">
        <w:rPr>
          <w:sz w:val="12"/>
        </w:rPr>
        <w:t>¶</w:t>
      </w:r>
      <w:r w:rsidRPr="00215F59">
        <w:rPr>
          <w:sz w:val="16"/>
        </w:rPr>
        <w:t xml:space="preserve"> Kingdom, engagement with a European Union </w:t>
      </w:r>
      <w:r w:rsidRPr="00215F59">
        <w:rPr>
          <w:rStyle w:val="StyleStyleBold12pt"/>
          <w:b w:val="0"/>
          <w:sz w:val="16"/>
        </w:rPr>
        <w:t>energized</w:t>
      </w:r>
      <w:r w:rsidRPr="00215F59">
        <w:rPr>
          <w:sz w:val="16"/>
        </w:rPr>
        <w:t xml:space="preserve"> with a commitment to</w:t>
      </w:r>
      <w:r w:rsidRPr="00215F59">
        <w:rPr>
          <w:sz w:val="12"/>
        </w:rPr>
        <w:t>¶</w:t>
      </w:r>
      <w:r w:rsidRPr="00215F59">
        <w:rPr>
          <w:sz w:val="16"/>
        </w:rPr>
        <w:t xml:space="preserve"> increase privacy protections, along with domestic parliamentary oversight, provide</w:t>
      </w:r>
      <w:r w:rsidRPr="00215F59">
        <w:rPr>
          <w:sz w:val="12"/>
        </w:rPr>
        <w:t>¶</w:t>
      </w:r>
      <w:r w:rsidRPr="00215F59">
        <w:rPr>
          <w:sz w:val="16"/>
        </w:rPr>
        <w:t xml:space="preserve"> two potential avenues for increased constraint on surveillance. In India, the</w:t>
      </w:r>
      <w:r w:rsidRPr="00215F59">
        <w:rPr>
          <w:sz w:val="12"/>
        </w:rPr>
        <w:t>¶</w:t>
      </w:r>
      <w:r w:rsidRPr="00215F59">
        <w:rPr>
          <w:sz w:val="16"/>
        </w:rPr>
        <w:t xml:space="preserve"> parliament and the courts historically enabled, not constrained, the intelligence</w:t>
      </w:r>
      <w:r w:rsidRPr="00215F59">
        <w:rPr>
          <w:sz w:val="12"/>
        </w:rPr>
        <w:t>¶</w:t>
      </w:r>
      <w:r w:rsidRPr="00215F59">
        <w:rPr>
          <w:sz w:val="16"/>
        </w:rPr>
        <w:t xml:space="preserve"> community. Whether that stance will continue as the government's technological</w:t>
      </w:r>
      <w:r w:rsidRPr="00215F59">
        <w:rPr>
          <w:sz w:val="12"/>
        </w:rPr>
        <w:t>¶</w:t>
      </w:r>
      <w:r w:rsidRPr="00215F59">
        <w:rPr>
          <w:sz w:val="16"/>
        </w:rPr>
        <w:t xml:space="preserve"> capabilities increase is yet to be seen.</w:t>
      </w:r>
      <w:r w:rsidRPr="00215F59">
        <w:rPr>
          <w:sz w:val="12"/>
        </w:rPr>
        <w:t>¶</w:t>
      </w:r>
      <w:r w:rsidRPr="00215F59">
        <w:rPr>
          <w:sz w:val="16"/>
        </w:rPr>
        <w:t xml:space="preserve"> </w:t>
      </w:r>
      <w:r w:rsidRPr="00215F59">
        <w:rPr>
          <w:rStyle w:val="StyleUnderline"/>
        </w:rPr>
        <w:t>Domestically, it could be argued that</w:t>
      </w:r>
      <w:r w:rsidRPr="00215F59">
        <w:rPr>
          <w:sz w:val="16"/>
        </w:rPr>
        <w:t xml:space="preserve"> the types of </w:t>
      </w:r>
      <w:r w:rsidRPr="00215F59">
        <w:rPr>
          <w:rStyle w:val="StyleUnderline"/>
        </w:rPr>
        <w:t>reform</w:t>
      </w:r>
      <w:r w:rsidRPr="00215F59">
        <w:rPr>
          <w:sz w:val="16"/>
        </w:rPr>
        <w:t xml:space="preserve"> recommended</w:t>
      </w:r>
      <w:r w:rsidRPr="00215F59">
        <w:rPr>
          <w:sz w:val="12"/>
        </w:rPr>
        <w:t>¶</w:t>
      </w:r>
      <w:r w:rsidRPr="00215F59">
        <w:rPr>
          <w:sz w:val="16"/>
        </w:rPr>
        <w:t xml:space="preserve"> here </w:t>
      </w:r>
      <w:r w:rsidRPr="00215F59">
        <w:rPr>
          <w:rStyle w:val="StyleUnderline"/>
        </w:rPr>
        <w:t>to improve</w:t>
      </w:r>
      <w:r w:rsidRPr="00215F59">
        <w:rPr>
          <w:sz w:val="16"/>
        </w:rPr>
        <w:t xml:space="preserve"> actual </w:t>
      </w:r>
      <w:r w:rsidRPr="00215F59">
        <w:rPr>
          <w:rStyle w:val="StyleUnderline"/>
        </w:rPr>
        <w:t>accountability and transparency over</w:t>
      </w:r>
      <w:r w:rsidRPr="00215F59">
        <w:rPr>
          <w:sz w:val="16"/>
        </w:rPr>
        <w:t xml:space="preserve"> programs like </w:t>
      </w:r>
      <w:r w:rsidRPr="00215F59">
        <w:rPr>
          <w:rStyle w:val="StyleUnderline"/>
        </w:rPr>
        <w:t>the NSA</w:t>
      </w:r>
      <w:r w:rsidRPr="00215F59">
        <w:rPr>
          <w:sz w:val="12"/>
        </w:rPr>
        <w:t>¶</w:t>
      </w:r>
      <w:r w:rsidRPr="00215F59">
        <w:rPr>
          <w:sz w:val="16"/>
        </w:rPr>
        <w:t xml:space="preserve"> Metadata Program </w:t>
      </w:r>
      <w:r w:rsidRPr="00215F59">
        <w:rPr>
          <w:rStyle w:val="StyleUnderline"/>
        </w:rPr>
        <w:t>are overkill: They involve multiple branches of government, the</w:t>
      </w:r>
      <w:r w:rsidRPr="00215F59">
        <w:rPr>
          <w:rStyle w:val="StyleUnderline"/>
          <w:b w:val="0"/>
          <w:sz w:val="12"/>
          <w:u w:val="none"/>
        </w:rPr>
        <w:t>¶</w:t>
      </w:r>
      <w:r w:rsidRPr="00215F59">
        <w:rPr>
          <w:rStyle w:val="StyleUnderline"/>
          <w:sz w:val="12"/>
        </w:rPr>
        <w:t xml:space="preserve"> </w:t>
      </w:r>
      <w:r w:rsidRPr="00215F59">
        <w:rPr>
          <w:rStyle w:val="StyleUnderline"/>
        </w:rPr>
        <w:t>PCLOB, and the public.</w:t>
      </w:r>
      <w:r w:rsidRPr="00215F59">
        <w:rPr>
          <w:sz w:val="16"/>
        </w:rPr>
        <w:t xml:space="preserve"> </w:t>
      </w:r>
      <w:r w:rsidRPr="00215F59">
        <w:rPr>
          <w:rStyle w:val="StyleUnderline"/>
        </w:rPr>
        <w:t>However, much of the accountability apparatus that has</w:t>
      </w:r>
      <w:r w:rsidRPr="00215F59">
        <w:rPr>
          <w:rStyle w:val="StyleUnderline"/>
          <w:b w:val="0"/>
          <w:sz w:val="12"/>
          <w:u w:val="none"/>
        </w:rPr>
        <w:t>¶</w:t>
      </w:r>
      <w:r w:rsidRPr="00215F59">
        <w:rPr>
          <w:rStyle w:val="StyleUnderline"/>
          <w:sz w:val="12"/>
        </w:rPr>
        <w:t xml:space="preserve"> </w:t>
      </w:r>
      <w:r w:rsidRPr="00215F59">
        <w:rPr>
          <w:rStyle w:val="StyleUnderline"/>
        </w:rPr>
        <w:t>been in place was dormant until the Snowden disclosures, and would have remained</w:t>
      </w:r>
      <w:r w:rsidRPr="00215F59">
        <w:rPr>
          <w:rStyle w:val="StyleUnderline"/>
          <w:b w:val="0"/>
          <w:sz w:val="12"/>
          <w:u w:val="none"/>
        </w:rPr>
        <w:t>¶</w:t>
      </w:r>
      <w:r w:rsidRPr="00215F59">
        <w:rPr>
          <w:rStyle w:val="StyleUnderline"/>
          <w:sz w:val="12"/>
        </w:rPr>
        <w:t xml:space="preserve"> </w:t>
      </w:r>
      <w:r w:rsidRPr="00215F59">
        <w:rPr>
          <w:rStyle w:val="StyleUnderline"/>
        </w:rPr>
        <w:t>passive without those disclosures. A multi-faceted, long-term, structural approach</w:t>
      </w:r>
      <w:r w:rsidRPr="00215F59">
        <w:rPr>
          <w:rStyle w:val="StyleUnderline"/>
          <w:b w:val="0"/>
          <w:sz w:val="12"/>
          <w:u w:val="none"/>
        </w:rPr>
        <w:t>¶</w:t>
      </w:r>
      <w:r w:rsidRPr="00215F59">
        <w:rPr>
          <w:rStyle w:val="StyleUnderline"/>
          <w:sz w:val="12"/>
        </w:rPr>
        <w:t xml:space="preserve"> </w:t>
      </w:r>
      <w:r w:rsidRPr="00215F59">
        <w:rPr>
          <w:rStyle w:val="StyleUnderline"/>
        </w:rPr>
        <w:t>to improving transparency and accountability--one that involves at a minimum the</w:t>
      </w:r>
      <w:r w:rsidRPr="00215F59">
        <w:rPr>
          <w:rStyle w:val="StyleUnderline"/>
          <w:b w:val="0"/>
          <w:sz w:val="12"/>
          <w:u w:val="none"/>
        </w:rPr>
        <w:t>¶</w:t>
      </w:r>
      <w:r w:rsidRPr="00215F59">
        <w:rPr>
          <w:rStyle w:val="StyleUnderline"/>
          <w:sz w:val="12"/>
        </w:rPr>
        <w:t xml:space="preserve"> </w:t>
      </w:r>
      <w:r w:rsidRPr="00215F59">
        <w:rPr>
          <w:rStyle w:val="StyleUnderline"/>
        </w:rPr>
        <w:t>courts and the PCLOB, but hopefully Congress, the executive branch, and the</w:t>
      </w:r>
      <w:r w:rsidRPr="00215F59">
        <w:rPr>
          <w:rStyle w:val="StyleUnderline"/>
          <w:b w:val="0"/>
          <w:sz w:val="12"/>
          <w:u w:val="none"/>
        </w:rPr>
        <w:t>¶</w:t>
      </w:r>
      <w:r w:rsidRPr="00215F59">
        <w:rPr>
          <w:rStyle w:val="StyleUnderline"/>
          <w:sz w:val="12"/>
        </w:rPr>
        <w:t xml:space="preserve"> </w:t>
      </w:r>
      <w:r w:rsidRPr="00215F59">
        <w:rPr>
          <w:rStyle w:val="StyleUnderline"/>
        </w:rPr>
        <w:t>public as well-improves the likelihood of sustained and meaningful accountability</w:t>
      </w:r>
      <w:r w:rsidRPr="00215F59">
        <w:rPr>
          <w:rStyle w:val="StyleUnderline"/>
          <w:b w:val="0"/>
          <w:sz w:val="12"/>
          <w:u w:val="none"/>
        </w:rPr>
        <w:t>¶</w:t>
      </w:r>
      <w:r w:rsidRPr="00215F59">
        <w:rPr>
          <w:rStyle w:val="StyleUnderline"/>
          <w:sz w:val="12"/>
        </w:rPr>
        <w:t xml:space="preserve"> </w:t>
      </w:r>
      <w:r w:rsidRPr="00215F59">
        <w:rPr>
          <w:rStyle w:val="StyleUnderline"/>
        </w:rPr>
        <w:t>as new surveillance capabilities are developed and implemented</w:t>
      </w:r>
      <w:r w:rsidRPr="00215F59">
        <w:rPr>
          <w:sz w:val="16"/>
        </w:rPr>
        <w:t>.</w:t>
      </w:r>
    </w:p>
    <w:p w:rsidR="004978F5" w:rsidRPr="00215F59" w:rsidRDefault="004978F5" w:rsidP="004978F5"/>
    <w:p w:rsidR="004978F5" w:rsidRPr="00215F59" w:rsidRDefault="004978F5" w:rsidP="004978F5"/>
    <w:p w:rsidR="004978F5" w:rsidRPr="00215F59" w:rsidRDefault="004978F5" w:rsidP="004978F5"/>
    <w:p w:rsidR="004978F5" w:rsidRPr="00215F59" w:rsidRDefault="004978F5" w:rsidP="004978F5"/>
    <w:p w:rsidR="004978F5" w:rsidRDefault="00C16CAE" w:rsidP="00342D9C">
      <w:pPr>
        <w:pStyle w:val="Heading3"/>
      </w:pPr>
      <w:bookmarkStart w:id="48" w:name="_Toc424259123"/>
      <w:r>
        <w:lastRenderedPageBreak/>
        <w:t>Perm – CP then Plan</w:t>
      </w:r>
      <w:bookmarkEnd w:id="48"/>
    </w:p>
    <w:p w:rsidR="00342D9C" w:rsidRPr="00342D9C" w:rsidRDefault="00342D9C" w:rsidP="00342D9C"/>
    <w:p w:rsidR="004978F5" w:rsidRDefault="00C16CAE" w:rsidP="00AF1BF7">
      <w:pPr>
        <w:pStyle w:val="Heading4"/>
      </w:pPr>
      <w:r>
        <w:t xml:space="preserve">PCLOB’s recommendations are only as good as the authority implementing them – perm ensures they’re codified </w:t>
      </w:r>
    </w:p>
    <w:p w:rsidR="00C16CAE" w:rsidRPr="00C16CAE" w:rsidRDefault="00C16CAE" w:rsidP="00C16CAE"/>
    <w:p w:rsidR="004978F5" w:rsidRPr="00215F59" w:rsidRDefault="004978F5" w:rsidP="004978F5">
      <w:pPr>
        <w:rPr>
          <w:rStyle w:val="StyleStyleBold12pt"/>
        </w:rPr>
      </w:pPr>
      <w:r w:rsidRPr="00215F59">
        <w:rPr>
          <w:rStyle w:val="StyleStyleBold12pt"/>
        </w:rPr>
        <w:t>Setty, 2015</w:t>
      </w:r>
    </w:p>
    <w:p w:rsidR="004978F5" w:rsidRPr="00215F59" w:rsidRDefault="004978F5" w:rsidP="004978F5">
      <w:r w:rsidRPr="00215F59">
        <w:t>(Sudha, Professor of Law at Western New England University, “SEARCH FOR MEANINGFUL</w:t>
      </w:r>
    </w:p>
    <w:p w:rsidR="004978F5" w:rsidRDefault="004978F5" w:rsidP="004978F5">
      <w:r w:rsidRPr="00215F59">
        <w:t xml:space="preserve">ACCOUNTABILITY,” </w:t>
      </w:r>
      <w:r w:rsidRPr="00215F59">
        <w:rPr>
          <w:i/>
        </w:rPr>
        <w:t>Stanford Journal of International Law</w:t>
      </w:r>
      <w:r w:rsidRPr="00215F59">
        <w:t xml:space="preserve">, 51:1, Online: </w:t>
      </w:r>
      <w:hyperlink r:id="rId32" w:history="1">
        <w:r w:rsidR="00C16CAE" w:rsidRPr="00681FAC">
          <w:rPr>
            <w:rStyle w:val="Hyperlink"/>
          </w:rPr>
          <w:t>http://digitalcommons.law.wne.edu/cgi/viewcontent.cgi?article=1305&amp;context=facschol</w:t>
        </w:r>
      </w:hyperlink>
      <w:r w:rsidRPr="00215F59">
        <w:t xml:space="preserve">) </w:t>
      </w:r>
    </w:p>
    <w:p w:rsidR="00C16CAE" w:rsidRPr="00215F59" w:rsidRDefault="00C16CAE" w:rsidP="004978F5"/>
    <w:p w:rsidR="004978F5" w:rsidRPr="00215F59" w:rsidRDefault="004978F5" w:rsidP="004978F5">
      <w:pPr>
        <w:rPr>
          <w:sz w:val="14"/>
        </w:rPr>
      </w:pPr>
      <w:r w:rsidRPr="00215F59">
        <w:rPr>
          <w:rStyle w:val="StyleUnderline"/>
        </w:rPr>
        <w:t xml:space="preserve">Although Congress could launch a large-scale investigation into the programs Snowden disclosed, like the Church Committee in its time, </w:t>
      </w:r>
      <w:r w:rsidRPr="00215F59">
        <w:rPr>
          <w:sz w:val="14"/>
        </w:rPr>
        <w:t>176</w:t>
      </w:r>
      <w:r w:rsidRPr="00215F59">
        <w:rPr>
          <w:rStyle w:val="StyleUnderline"/>
        </w:rPr>
        <w:t xml:space="preserve"> its ability to serve effectively as an ongoing accountability mechanism</w:t>
      </w:r>
      <w:r w:rsidRPr="00215F59">
        <w:rPr>
          <w:sz w:val="14"/>
        </w:rPr>
        <w:t xml:space="preserve"> </w:t>
      </w:r>
      <w:r w:rsidRPr="00215F59">
        <w:rPr>
          <w:rStyle w:val="StyleUnderline"/>
        </w:rPr>
        <w:t>over intelligence gathering in the manner of a parliament seems unlikely.</w:t>
      </w:r>
      <w:r w:rsidRPr="00215F59">
        <w:rPr>
          <w:sz w:val="14"/>
        </w:rPr>
        <w:t xml:space="preserve"> For the political and structural reasons discussed above, the appamtus of national security policy-making is somewhat intentionally insulated from Congress. On the one hand, the benefit of this structural arrangement is that it may facilitate expertise and efficient decision making, but a key effect is also that this apparatus is not really accessible to the other branches of government or the public. 177 This consolidation of decision making authority in the executive branch, plus the difference between congressional and parliamentary access to executive branch information, accounts for a different potential for legislative oversight in the United States as compared to the United Kingdom and India. Further, </w:t>
      </w:r>
      <w:r w:rsidRPr="00215F59">
        <w:rPr>
          <w:rStyle w:val="StyleUnderline"/>
        </w:rPr>
        <w:t xml:space="preserve">the lack of widespread and sustained public pressure on Congress 178 toward reform suggests that a meaningful increase in legislative oversight of the intelligence community will not occur in the near future. Leaks like that of Snowden, combined with rigorous and responsible press coverage, can provide some level of constraint on and accountability over intelligence community activity. </w:t>
      </w:r>
      <w:r w:rsidRPr="00215F59">
        <w:rPr>
          <w:sz w:val="14"/>
        </w:rPr>
        <w:t xml:space="preserve">179 However, the tendency toward public inertia and the possibility that democratic institutions will not actually provide a substantive check on the surveillance apparatus 180 suggest weakness in relying solely on this approach. Further, the crackdown on leaking and the treatment of whistleblowers as criminals, even prior to Snowden's disclosures, 181 combined with heightened security measures, means that reliance on leaking as a meaningful structural check is misplaced. </w:t>
      </w:r>
      <w:r w:rsidRPr="00215F59">
        <w:rPr>
          <w:rStyle w:val="StyleUnderline"/>
        </w:rPr>
        <w:t>Tinkering with the structure inside of the NSA also seems to achieve more in terms of burnishing a veneer of accountability rather than creating genuine oversight</w:t>
      </w:r>
      <w:r w:rsidRPr="00215F59">
        <w:rPr>
          <w:sz w:val="14"/>
        </w:rPr>
        <w:t xml:space="preserve">. It is hard to understand how various proposed reforms, such as appointing a civilian to oversee the NSA 182 or creating a more adversarial internal review process within the NSA, 183 would increase accountability and transparency. For the executive branch, it seems more likely that pressure from business and corporate interests trying to retain consumer business 184 may shape NSA parameters for mass data collection and domestic surveillance in some respects, 185 but will likely not lead to institutional or structural changes as to the government's approach to surveillance without additional pressure from the public. One promising move with regard to oversight and transparency has been the establishment and staffing of the Privacy and Civil Liberties Oversight Board (PCLOB). 186 This board, tasked with assessing many aspects of the government's national security apparatus both for efficacy and for potentially unnecessary incursions into civil liberties, has a broad mandate and, compared with many national security decision makers, significant independence from the executive branch. 187 Retrospectively, the PCLOB has, among other things, issued the highly critical report of the NSA Metadata Program in January 2014 that led to further public pressure on the Obama administration to curtail this program; it is promising that the PCLOB's prospective agenda includes further analysis of various surveillance programs. 188 However, </w:t>
      </w:r>
      <w:r w:rsidRPr="00215F59">
        <w:rPr>
          <w:rStyle w:val="StyleUnderline"/>
        </w:rPr>
        <w:t xml:space="preserve">the PCLOB's potential influence in protecting civil rights may be limited by its position: The PCLOB is an advisory body that analyzes existing and proposed programs and possibly recommends changes, but it cannot mandate that those changes be implemented. The ability to have a high level of access to information surrounding counterterrorism surveillance programs and to recommend changes in such programs is important and should be lauded, but over-reliance on the PCLOB's non-binding advice to the intelligence community to somehow solve the accountability and transparency gap with regard to these programs would be a mistake. </w:t>
      </w:r>
      <w:r w:rsidRPr="00215F59">
        <w:rPr>
          <w:sz w:val="14"/>
        </w:rPr>
        <w:t xml:space="preserve">For example, on prospective matters, it is likely that intelligence agencies would consult the PCLOB only if the agency itself considers the issue being faced new or novel, as the NSA metadata program was labeled prior to its inception. In such cases, decision makers within an agency generally ask whether the contemplated program is useful or necessary, technologically feasible, and legal. If all three questions are answered affirmatively, the program can be implemented. Now that the PCLOB is fully operational, it seems likely that if a contemplated program is considered new or novel, an intelligence agency would consult the PCLOB at some stage of this process for its guidance on implementing the program. This nonpartisan external input may improve self-policing within the intelligence community and help intelligence agencies avoid implementing controversial programs or, even if implemented, set better parameters around new programs. 189 </w:t>
      </w:r>
      <w:r w:rsidRPr="00215F59">
        <w:rPr>
          <w:rStyle w:val="StyleUnderline"/>
        </w:rPr>
        <w:t>If the PCLOB is able to exert some degree of soft power in influencing national security decision-making, then the judiciary represents hard power that could be used to force the protection of civil liberties where it might not otherwise occur.</w:t>
      </w:r>
      <w:r w:rsidRPr="00215F59">
        <w:rPr>
          <w:sz w:val="14"/>
        </w:rPr>
        <w:t xml:space="preserve"> The FISC should be reformed to include a public advocate lobbying on behalf of privacy concerns, making the process genuinely adversarial and strengthening the FISC against charges that it merely rubber stamps applications from the intelligence community. 190 Article III courts need to follow the lead of Judge Leon in Klayman in conceptualizing privacy as broad and defensible, even in a world where electronics-based communication is dominant and relatively easy for the government to collect. If the judicial defense of privacy were combined with the possibility of liability for violations of that privacy, it is likely that this would incentivize increased self-policing among the members of the intelligence community. </w:t>
      </w:r>
      <w:r w:rsidRPr="00215F59">
        <w:rPr>
          <w:rStyle w:val="StyleUnderline"/>
        </w:rPr>
        <w:t>The creation of an active PCLOB and a more adversarial process before the FISC will not provide a perfect solution to the dilemmas posed by the government's legitimate need for secrecy and the protection of the public against potential abus</w:t>
      </w:r>
      <w:r w:rsidRPr="00215F59">
        <w:rPr>
          <w:sz w:val="14"/>
        </w:rPr>
        <w:t xml:space="preserve">e. </w:t>
      </w:r>
      <w:r w:rsidRPr="00215F59">
        <w:rPr>
          <w:rStyle w:val="StyleUnderline"/>
          <w:sz w:val="14"/>
          <w:u w:val="none"/>
        </w:rPr>
        <w:t>Yet because these changes are institutional and structural, they are well-placed to improve the dynamic between the intelligence community, oversight mechanisms, and the public</w:t>
      </w:r>
      <w:r w:rsidRPr="00215F59">
        <w:rPr>
          <w:sz w:val="14"/>
        </w:rPr>
        <w:t>.</w:t>
      </w:r>
    </w:p>
    <w:p w:rsidR="0066062C" w:rsidRDefault="0066062C" w:rsidP="0066062C">
      <w:pPr>
        <w:pStyle w:val="Heading3"/>
      </w:pPr>
      <w:bookmarkStart w:id="49" w:name="_Toc424259124"/>
      <w:r>
        <w:lastRenderedPageBreak/>
        <w:t>A2: Ptx NB – Transparency becomes polarized</w:t>
      </w:r>
      <w:bookmarkEnd w:id="49"/>
    </w:p>
    <w:p w:rsidR="0066062C" w:rsidRDefault="0066062C" w:rsidP="0066062C"/>
    <w:p w:rsidR="0066062C" w:rsidRDefault="0066062C" w:rsidP="00AF1BF7">
      <w:pPr>
        <w:pStyle w:val="Heading4"/>
      </w:pPr>
      <w:r>
        <w:t xml:space="preserve">Transparency results in a political firestorm – Benghazi etc prove </w:t>
      </w:r>
    </w:p>
    <w:p w:rsidR="0066062C" w:rsidRPr="0066062C" w:rsidRDefault="0066062C" w:rsidP="0066062C"/>
    <w:p w:rsidR="0066062C" w:rsidRPr="0089705A" w:rsidRDefault="0066062C" w:rsidP="0066062C">
      <w:pPr>
        <w:rPr>
          <w:rStyle w:val="StyleStyleBold12pt"/>
        </w:rPr>
      </w:pPr>
      <w:r w:rsidRPr="0089705A">
        <w:rPr>
          <w:rStyle w:val="StyleStyleBold12pt"/>
        </w:rPr>
        <w:t>Vladek &amp; Wright, 2014</w:t>
      </w:r>
    </w:p>
    <w:p w:rsidR="0066062C" w:rsidRPr="0089705A" w:rsidRDefault="0066062C" w:rsidP="0066062C">
      <w:r>
        <w:t xml:space="preserve">(Steve – prof of law @ American U and Andy – prof at Savannah Law School &amp; former counsel to the president, “Why (Some) Secrecy is Good for Civil Liberties,” </w:t>
      </w:r>
      <w:r>
        <w:rPr>
          <w:i/>
        </w:rPr>
        <w:t>JustSecurity</w:t>
      </w:r>
      <w:r>
        <w:t xml:space="preserve">, July 24, Online: </w:t>
      </w:r>
      <w:hyperlink r:id="rId33" w:history="1">
        <w:r w:rsidRPr="00681FAC">
          <w:rPr>
            <w:rStyle w:val="Hyperlink"/>
          </w:rPr>
          <w:t>http://justsecurity.org/13189/secrecy-civil-liberties/</w:t>
        </w:r>
      </w:hyperlink>
      <w:r>
        <w:t xml:space="preserve">) </w:t>
      </w:r>
    </w:p>
    <w:p w:rsidR="0066062C" w:rsidRDefault="0066062C" w:rsidP="0066062C">
      <w:pPr>
        <w:rPr>
          <w:sz w:val="16"/>
        </w:rPr>
      </w:pPr>
    </w:p>
    <w:p w:rsidR="0066062C" w:rsidRPr="008A30E6" w:rsidRDefault="0066062C" w:rsidP="0066062C">
      <w:pPr>
        <w:rPr>
          <w:sz w:val="16"/>
        </w:rPr>
      </w:pPr>
      <w:r w:rsidRPr="008A30E6">
        <w:rPr>
          <w:rStyle w:val="StyleUnderline"/>
        </w:rPr>
        <w:t xml:space="preserve">Public transparency is a double-edged sword.  </w:t>
      </w:r>
      <w:r w:rsidRPr="008A30E6">
        <w:rPr>
          <w:sz w:val="16"/>
        </w:rPr>
        <w:t xml:space="preserve">On one hand, it disincentivizes misbehavior—immoral, unconstitutional, or otherwise illegal—in absolute terms. There is real value to the cliché that sunshine is the best disinfectant. </w:t>
      </w:r>
      <w:r w:rsidRPr="008A30E6">
        <w:rPr>
          <w:rStyle w:val="StyleUnderline"/>
        </w:rPr>
        <w:t>However, as a relative matter, public transparency disincentivizes Executive Branch disclosure to Congress</w:t>
      </w:r>
      <w:r w:rsidRPr="008A30E6">
        <w:rPr>
          <w:sz w:val="16"/>
        </w:rPr>
        <w:t xml:space="preserve">. Notwithstanding the recent bickering between the Senate Select Committee on Intelligence and Central Intelligence Agency over the handling of classified information, and a few other dust-ups, Congress has generally taken its national security secrecy obligations seriously (as evidenced, for example, in Members’ responsible use of their Speech or Debate Clause immunity). </w:t>
      </w:r>
      <w:r w:rsidRPr="008A30E6">
        <w:rPr>
          <w:rStyle w:val="StyleUnderline"/>
        </w:rPr>
        <w:t>If the Executive Branch could not have some level of confidence that Congress could maintain secrets, it would likely resist disclosure even more than it does at present.</w:t>
      </w:r>
      <w:r>
        <w:rPr>
          <w:rStyle w:val="StyleUnderline"/>
        </w:rPr>
        <w:t xml:space="preserve"> </w:t>
      </w:r>
      <w:r w:rsidRPr="008A30E6">
        <w:rPr>
          <w:rStyle w:val="StyleUnderline"/>
        </w:rPr>
        <w:t>In addition, public oversight of sensitive national security matters creates unconstructive incentives to derail the fact-finding process with partisan politics.</w:t>
      </w:r>
      <w:r>
        <w:rPr>
          <w:rStyle w:val="StyleUnderline"/>
        </w:rPr>
        <w:t xml:space="preserve"> </w:t>
      </w:r>
      <w:r w:rsidRPr="008A30E6">
        <w:rPr>
          <w:rStyle w:val="StyleUnderline"/>
        </w:rPr>
        <w:t>One need look no further than the congressional investigations of the attack on U.S. facilities in Benghazi, Libya and the problematic law enforcement tactics along the southwest boarder</w:t>
      </w:r>
      <w:r w:rsidRPr="008A30E6">
        <w:rPr>
          <w:sz w:val="16"/>
        </w:rPr>
        <w:t xml:space="preserve"> in Operation Fast and Furious </w:t>
      </w:r>
      <w:r w:rsidRPr="008A30E6">
        <w:rPr>
          <w:rStyle w:val="StyleUnderline"/>
        </w:rPr>
        <w:t>to see that grandstanding is the norm rather than the exception.</w:t>
      </w:r>
      <w:r>
        <w:rPr>
          <w:rStyle w:val="StyleUnderline"/>
        </w:rPr>
        <w:t xml:space="preserve"> </w:t>
      </w:r>
      <w:r w:rsidRPr="008A30E6">
        <w:rPr>
          <w:rStyle w:val="StyleUnderline"/>
        </w:rPr>
        <w:t>There, what remain of the Congressional-Executive information access disputes largely go to the politics of administration reaction rather than the underlying conduct under investigation.</w:t>
      </w:r>
      <w:r w:rsidRPr="008A30E6">
        <w:rPr>
          <w:sz w:val="16"/>
        </w:rPr>
        <w:t xml:space="preserve"> As Andy has written previously, there has been more heat than light.</w:t>
      </w:r>
    </w:p>
    <w:p w:rsidR="005422F7" w:rsidRPr="00215F59" w:rsidRDefault="00C16CAE" w:rsidP="005422F7">
      <w:pPr>
        <w:pStyle w:val="Heading3"/>
        <w:spacing w:before="0"/>
        <w:rPr>
          <w:rFonts w:cs="Arial"/>
        </w:rPr>
      </w:pPr>
      <w:bookmarkStart w:id="50" w:name="_Toc424259125"/>
      <w:r>
        <w:rPr>
          <w:rFonts w:cs="Arial"/>
        </w:rPr>
        <w:lastRenderedPageBreak/>
        <w:t>A2: Ptx NB – Unpopular with Republicans</w:t>
      </w:r>
      <w:bookmarkEnd w:id="50"/>
    </w:p>
    <w:p w:rsidR="005422F7" w:rsidRPr="00215F59" w:rsidRDefault="005422F7" w:rsidP="005422F7"/>
    <w:p w:rsidR="005422F7" w:rsidRPr="00215F59" w:rsidRDefault="005422F7" w:rsidP="00AF1BF7">
      <w:pPr>
        <w:pStyle w:val="Heading4"/>
      </w:pPr>
      <w:r w:rsidRPr="00215F59">
        <w:t xml:space="preserve">PCLOB is unpopular with House Republicans – they’re sore over the chair’s recent op-ed piece. </w:t>
      </w:r>
    </w:p>
    <w:p w:rsidR="005422F7" w:rsidRPr="00215F59" w:rsidRDefault="005422F7" w:rsidP="005422F7"/>
    <w:p w:rsidR="005422F7" w:rsidRPr="00215F59" w:rsidRDefault="005422F7" w:rsidP="005422F7">
      <w:pPr>
        <w:rPr>
          <w:rStyle w:val="StyleStyleBold12pt"/>
        </w:rPr>
      </w:pPr>
      <w:r w:rsidRPr="00215F59">
        <w:rPr>
          <w:rStyle w:val="StyleStyleBold12pt"/>
        </w:rPr>
        <w:t>Nakashima 2015</w:t>
      </w:r>
    </w:p>
    <w:p w:rsidR="005422F7" w:rsidRPr="00215F59" w:rsidRDefault="005422F7" w:rsidP="005422F7">
      <w:r w:rsidRPr="00215F59">
        <w:rPr>
          <w:sz w:val="16"/>
        </w:rPr>
        <w:t>(</w:t>
      </w:r>
      <w:r w:rsidRPr="00215F59">
        <w:t xml:space="preserve">Ellen Nakashima, 6/10/15, "Upset over op-ed, GOP lawmakers seek to curb privacy board," Washington Post, </w:t>
      </w:r>
      <w:hyperlink r:id="rId34" w:history="1">
        <w:r w:rsidRPr="00215F59">
          <w:rPr>
            <w:rStyle w:val="Hyperlink"/>
          </w:rPr>
          <w:t>https://www.washingtonpost.com/world/national-security/upset-over-op-ed-gop-lawmakers-seek-to-curb-privacy-board/2015/06/10/11ee864e-0f12-11e5-adec-e82f8395c032_story.html</w:t>
        </w:r>
      </w:hyperlink>
      <w:r w:rsidRPr="00215F59">
        <w:t>)</w:t>
      </w:r>
    </w:p>
    <w:p w:rsidR="005422F7" w:rsidRPr="00215F59" w:rsidRDefault="005422F7" w:rsidP="005422F7">
      <w:pPr>
        <w:rPr>
          <w:rStyle w:val="StyleUnderline"/>
        </w:rPr>
      </w:pPr>
    </w:p>
    <w:p w:rsidR="005422F7" w:rsidRPr="00215F59" w:rsidRDefault="005422F7" w:rsidP="005422F7">
      <w:pPr>
        <w:rPr>
          <w:sz w:val="16"/>
        </w:rPr>
      </w:pPr>
      <w:r w:rsidRPr="00215F59">
        <w:rPr>
          <w:rStyle w:val="StyleUnderline"/>
        </w:rPr>
        <w:t>Republicans on the House Intelligence Committee</w:t>
      </w:r>
      <w:r w:rsidRPr="00215F59">
        <w:rPr>
          <w:sz w:val="16"/>
        </w:rPr>
        <w:t>, upset by an opinion piece penned by the chairman of a government watchdog on privacy issues</w:t>
      </w:r>
      <w:r w:rsidRPr="00215F59">
        <w:rPr>
          <w:rStyle w:val="StyleUnderline"/>
        </w:rPr>
        <w:t>, have advanced a measure to block the agency’s access to information related to U.S. covert action programs</w:t>
      </w:r>
      <w:r w:rsidRPr="00215F59">
        <w:rPr>
          <w:sz w:val="16"/>
        </w:rPr>
        <w:t xml:space="preserve">. </w:t>
      </w:r>
      <w:r w:rsidRPr="00215F59">
        <w:rPr>
          <w:rStyle w:val="StyleUnderline"/>
        </w:rPr>
        <w:t>The provision, in the 2016 intelligence authorization bill, takes a jab at the Privacy and Civil Liberties Oversight Board</w:t>
      </w:r>
      <w:r w:rsidRPr="00215F59">
        <w:rPr>
          <w:sz w:val="16"/>
        </w:rPr>
        <w:t xml:space="preserve">, an independent executive-branch agency whose job is to ensure that the government’s efforts to prevent terrorism are balanced with the need to protect privacy and civil liberties. </w:t>
      </w:r>
      <w:r w:rsidRPr="00215F59">
        <w:rPr>
          <w:rStyle w:val="StyleUnderline"/>
        </w:rPr>
        <w:t>David Medine, the board’s chairman, co-authored an essay in April arguing that if the United States were to continue killing U.S. citizens by drone strikes, an independent review panel was needed to assess whether targeting decisions are appropriate. In the piece, Medine, who was speaking for himself, suggested that the PCLOB would be a good candidate to serve as that review board. That article “really stirred the pot,”</w:t>
      </w:r>
      <w:r w:rsidRPr="00215F59">
        <w:rPr>
          <w:sz w:val="16"/>
        </w:rPr>
        <w:t xml:space="preserve"> said one congressional aide, who like others interviewed for this article was not authorized to speak on the record. The committee majority saw that suggestion, along with other reviews the board was undertaking, the aide said, as “mission creep</w:t>
      </w:r>
      <w:r w:rsidRPr="00215F59">
        <w:rPr>
          <w:rStyle w:val="StyleUnderline"/>
        </w:rPr>
        <w:t>.” The provision, which the committee approved by voice vote last week, was an attempt by Republicans to make sure the board members “stay in their lane,”</w:t>
      </w:r>
      <w:r w:rsidRPr="00215F59">
        <w:rPr>
          <w:sz w:val="16"/>
        </w:rPr>
        <w:t xml:space="preserve"> as another aide put it. </w:t>
      </w:r>
      <w:r w:rsidRPr="00215F59">
        <w:rPr>
          <w:rStyle w:val="StyleUnderline"/>
        </w:rPr>
        <w:t>“Covert action, by its very definition, is an activity that the United States cannot and should not acknowledge publicly,” said the committee’s chairman, Devin Nunes (R-Calif.). “Review of such activity is ill-suited for a public board like the PCLOB.”</w:t>
      </w:r>
      <w:r w:rsidRPr="00215F59">
        <w:rPr>
          <w:sz w:val="16"/>
        </w:rPr>
        <w:t xml:space="preserve"> But Democrats on the committee said the measure was unnecessary and short-sighted. “That’s essentially asking an umpire to watch a game with one eye closed,” said Rep. Jim Himes (D-Conn.). “The fact is there are covert activities that pose very deep and concerning civil liberties issues.” A case in point is the killing of the American-born imam and al-Qaeda operative Anwar al-Awlaki in a drone strike in 2011, Himes said. “There is no more profound civil liberties issue that is less subject to cure or remedy than killing someone. So it does not seem to be smart to ask the PCLOB to refrain from reviewing programs that may pose the most profound civil liberties challenges.” Democratic committee members said they will try to remove the provision, if not before a floor vote on the bill as early as Friday, then when the bill is reconciled with the Senate version. The oversight board was set up at the recommendation of the 9/11 Commission in 2007 but did not begin work until 2013. According to the law that authorizes it, the board may have access to all relevant reports and material from any executive branch agency. It may also interview government personnel and ask the attorney general to subpoena the production of any relevant information from the private sector. “</w:t>
      </w:r>
      <w:r w:rsidRPr="00215F59">
        <w:rPr>
          <w:rStyle w:val="StyleUnderline"/>
        </w:rPr>
        <w:t>The way we see it is they don’t have the authority to access covert action now — there’s nothing that grants them the authority,” the second aide said. “But at the same time, there’s nothing that specifically prohibits it. It’s possible that someone there could take a broad view of their mandate and access that information. If so, that’s a problem</w:t>
      </w:r>
      <w:r w:rsidRPr="00215F59">
        <w:rPr>
          <w:sz w:val="16"/>
        </w:rPr>
        <w:t xml:space="preserve">.” In its two years of operation, the board has produced two reports, neither of which has touched on covert programs. And individuals familiar with board matters say the board has not sought access to such materials. At the same time, Himes noted, the board has never mishandled classified information. Covert action refers to secret activities undertaken to influence political events. They are designed to hide the identity of the government and can be denied by that government. The CIA’s drone program in Pakistan, for instance, which has never been officially acknowledged, is covert, as was the operation to kill Osama bin Laden. The issues discussed in Medine’s article — the targeted killing of U.S. citizens who are al-Qaeda members overseas — could fall under the board’s statutory authority to review. And that, the second aide said, was worrisome to the Republicans. It was not just the Medine article that troubled the GOP. </w:t>
      </w:r>
      <w:r w:rsidRPr="00215F59">
        <w:rPr>
          <w:rStyle w:val="Emphasis"/>
        </w:rPr>
        <w:t>The committee majority also had concerns that the board’s review of Executive Order 12333</w:t>
      </w:r>
      <w:r w:rsidRPr="00215F59">
        <w:rPr>
          <w:sz w:val="16"/>
        </w:rPr>
        <w:t xml:space="preserve">, which outlines the roles and responsibilities for U.S. intelligence agencies, would exceed the board’s charge to look at counterterrorism programs. “Those two things in combination made the Republicans fear mission creep,” the first aide said. To assuage the GOP’s concerns, Himes offered an amendment to clarify that the bar on the PCLOB receiving information related to covert action should apply only to programs “unrelated to protecting the United States from terrorism.” His amendment failed. If the GOP provision becomes law, Himes asserted, “it will hobble the PCLOB.” Rep. Adam B. Schiff of California, the committee’s ranking Democrat, said he hoped the GOP provision could be blocked. “If [the Republicans] are concerned that the PCLOB is going beyond their mandate, that’s one thing,” he said. “But if the desire is actually to curtail a mandate that the board has, that’s another. </w:t>
      </w:r>
      <w:r w:rsidRPr="00215F59">
        <w:rPr>
          <w:rStyle w:val="StyleUnderline"/>
        </w:rPr>
        <w:t>I think they wanted to affirmatively narrow the PCLOB’s oversight responsibilities</w:t>
      </w:r>
      <w:r w:rsidRPr="00215F59">
        <w:rPr>
          <w:sz w:val="16"/>
        </w:rPr>
        <w:t>, which we oppose.”</w:t>
      </w:r>
    </w:p>
    <w:p w:rsidR="005422F7" w:rsidRDefault="005422F7" w:rsidP="005422F7">
      <w:pPr>
        <w:rPr>
          <w:sz w:val="16"/>
        </w:rPr>
      </w:pPr>
    </w:p>
    <w:p w:rsidR="00C16CAE" w:rsidRDefault="00C16CAE" w:rsidP="00C16CAE">
      <w:pPr>
        <w:pStyle w:val="Heading3"/>
      </w:pPr>
      <w:bookmarkStart w:id="51" w:name="_Toc424259126"/>
      <w:r>
        <w:lastRenderedPageBreak/>
        <w:t>A2: Civic Engagement NB (For Policy Affs)</w:t>
      </w:r>
      <w:bookmarkEnd w:id="51"/>
    </w:p>
    <w:p w:rsidR="00C16CAE" w:rsidRDefault="00C16CAE" w:rsidP="00C16CAE"/>
    <w:p w:rsidR="0066062C" w:rsidRDefault="0066062C" w:rsidP="00AF1BF7">
      <w:pPr>
        <w:pStyle w:val="Heading4"/>
      </w:pPr>
      <w:r>
        <w:t xml:space="preserve">Transparency is the wrong focal point for change – we should instead focus on institutionalizing accountability measures </w:t>
      </w:r>
    </w:p>
    <w:p w:rsidR="0066062C" w:rsidRPr="0066062C" w:rsidRDefault="0066062C" w:rsidP="0066062C"/>
    <w:p w:rsidR="00C16CAE" w:rsidRPr="0089705A" w:rsidRDefault="0089705A" w:rsidP="00C16CAE">
      <w:pPr>
        <w:rPr>
          <w:rStyle w:val="StyleStyleBold12pt"/>
        </w:rPr>
      </w:pPr>
      <w:r w:rsidRPr="0089705A">
        <w:rPr>
          <w:rStyle w:val="StyleStyleBold12pt"/>
        </w:rPr>
        <w:t>Vladek &amp; Wright, 2014</w:t>
      </w:r>
    </w:p>
    <w:p w:rsidR="008A30E6" w:rsidRPr="0089705A" w:rsidRDefault="008A30E6" w:rsidP="00C16CAE">
      <w:r>
        <w:t xml:space="preserve">(Steve – prof of law @ American U and Andy – prof at Savannah Law School &amp; former counsel to the president, </w:t>
      </w:r>
      <w:r w:rsidR="0089705A">
        <w:t xml:space="preserve">“Why (Some) Secrecy is Good for Civil Liberties,” </w:t>
      </w:r>
      <w:r w:rsidR="0089705A">
        <w:rPr>
          <w:i/>
        </w:rPr>
        <w:t>JustSecurity</w:t>
      </w:r>
      <w:r w:rsidR="0089705A">
        <w:t xml:space="preserve">, July 24, Online: </w:t>
      </w:r>
      <w:hyperlink r:id="rId35" w:history="1">
        <w:r w:rsidR="0089705A" w:rsidRPr="00681FAC">
          <w:rPr>
            <w:rStyle w:val="Hyperlink"/>
          </w:rPr>
          <w:t>http://justsecurity.org/13189/secrecy-civil-liberties/</w:t>
        </w:r>
      </w:hyperlink>
      <w:r w:rsidR="0089705A">
        <w:t xml:space="preserve">) </w:t>
      </w:r>
    </w:p>
    <w:p w:rsidR="00C16CAE" w:rsidRDefault="00C16CAE" w:rsidP="00C16CAE"/>
    <w:p w:rsidR="00C16CAE" w:rsidRDefault="00C16CAE" w:rsidP="00C16CAE">
      <w:pPr>
        <w:rPr>
          <w:sz w:val="16"/>
        </w:rPr>
      </w:pPr>
      <w:r w:rsidRPr="00C16CAE">
        <w:rPr>
          <w:sz w:val="16"/>
        </w:rPr>
        <w:t xml:space="preserve">Indeed, whatever the merits of that specific episode, it illuminates a larger problem that both of us have observed not just in the ever-ongoing dialogue over surveillance reforms after and in light of the Snowden disclosures, but in public discourse over national security law, more generally: That, </w:t>
      </w:r>
      <w:r w:rsidRPr="00C16CAE">
        <w:rPr>
          <w:rStyle w:val="StyleUnderline"/>
        </w:rPr>
        <w:t>far too often, proposals to reform government counterterrorism and national security programs are demanding transparency in lieu of accountability—and missing the critical point that the former is just one (of several) means for achieving the (more important) latter</w:t>
      </w:r>
      <w:r w:rsidRPr="00C16CAE">
        <w:rPr>
          <w:sz w:val="16"/>
        </w:rPr>
        <w:t xml:space="preserve">. Part of this conflation may come from the different interests of the critics—some of which (e.g., civil liberties groups) may be anti-secrecy and pro-privacy; and some of which (e.g., the media) may be anti-secrecy and anti-privacy. </w:t>
      </w:r>
      <w:r w:rsidRPr="00C16CAE">
        <w:rPr>
          <w:rStyle w:val="StyleUnderline"/>
        </w:rPr>
        <w:t>Regardless of the cause of this trend, by insisting upon greater transparency as a goal unto itself, critics have missed (or wrongly rejected) two separate, but closely related points.</w:t>
      </w:r>
      <w:r>
        <w:rPr>
          <w:rStyle w:val="StyleUnderline"/>
        </w:rPr>
        <w:t xml:space="preserve"> </w:t>
      </w:r>
      <w:r w:rsidRPr="00C16CAE">
        <w:rPr>
          <w:rStyle w:val="StyleUnderline"/>
        </w:rPr>
        <w:t>First,</w:t>
      </w:r>
      <w:r w:rsidRPr="00C16CAE">
        <w:rPr>
          <w:sz w:val="16"/>
        </w:rPr>
        <w:t xml:space="preserve"> recent revelations to the contrary notwithstanding, </w:t>
      </w:r>
      <w:r w:rsidRPr="00C16CAE">
        <w:rPr>
          <w:rStyle w:val="StyleUnderline"/>
        </w:rPr>
        <w:t>meaningful accountability of secret government programs is possible even without wide-scale transparency.</w:t>
      </w:r>
      <w:r>
        <w:rPr>
          <w:rStyle w:val="StyleUnderline"/>
        </w:rPr>
        <w:t xml:space="preserve"> </w:t>
      </w:r>
      <w:r w:rsidRPr="00C16CAE">
        <w:rPr>
          <w:rStyle w:val="StyleUnderline"/>
        </w:rPr>
        <w:t>Second, there is an array of circumstances in which properly accountable government secrecy is not anathema to civil liberties—and where transparency,</w:t>
      </w:r>
      <w:r w:rsidRPr="00C16CAE">
        <w:rPr>
          <w:sz w:val="16"/>
        </w:rPr>
        <w:t xml:space="preserve"> as such, </w:t>
      </w:r>
      <w:r w:rsidRPr="00C16CAE">
        <w:rPr>
          <w:rStyle w:val="StyleUnderline"/>
        </w:rPr>
        <w:t>might actually compromise individual rights. This is especially true where the government is protecting the confidentiality interests of third parties</w:t>
      </w:r>
      <w:r w:rsidRPr="00C16CAE">
        <w:rPr>
          <w:sz w:val="16"/>
        </w:rPr>
        <w:t xml:space="preserve"> (e.g., under the Privacy Act), </w:t>
      </w:r>
      <w:r w:rsidRPr="00C16CAE">
        <w:rPr>
          <w:rStyle w:val="StyleUnderline"/>
        </w:rPr>
        <w:t>but it may also be true in at least some cases in which the government is protecting its own secrets.</w:t>
      </w:r>
      <w:r>
        <w:rPr>
          <w:rStyle w:val="StyleUnderline"/>
        </w:rPr>
        <w:t xml:space="preserve"> </w:t>
      </w:r>
      <w:r w:rsidRPr="00C16CAE">
        <w:rPr>
          <w:sz w:val="16"/>
        </w:rPr>
        <w:t xml:space="preserve">Simply put, </w:t>
      </w:r>
      <w:r w:rsidRPr="00C16CAE">
        <w:rPr>
          <w:rStyle w:val="StyleUnderline"/>
        </w:rPr>
        <w:t>comprehensive transparency is neither normatively desirable nor practically achievable in the national security and counterterrorism spheres.</w:t>
      </w:r>
      <w:r w:rsidRPr="00C16CAE">
        <w:rPr>
          <w:sz w:val="16"/>
        </w:rPr>
        <w:t xml:space="preserve"> </w:t>
      </w:r>
      <w:r w:rsidRPr="00C16CAE">
        <w:rPr>
          <w:rStyle w:val="StyleUnderline"/>
        </w:rPr>
        <w:t>Instead,</w:t>
      </w:r>
      <w:r w:rsidRPr="00C16CAE">
        <w:rPr>
          <w:sz w:val="16"/>
        </w:rPr>
        <w:t xml:space="preserve"> as we aim to show in this post, </w:t>
      </w:r>
      <w:r w:rsidRPr="00C16CAE">
        <w:rPr>
          <w:rStyle w:val="StyleUnderline"/>
        </w:rPr>
        <w:t>true progressive reform in the national security space should be focused first and foremost on measures that will increase accountability, a goal to which increased transparency is only one of a number of potential routes—and, indeed, one with which such transparency is sometimes at odds.</w:t>
      </w:r>
      <w:r w:rsidRPr="00C16CAE">
        <w:rPr>
          <w:sz w:val="16"/>
        </w:rPr>
        <w:t xml:space="preserve"> To unpack this argument, we focus on the two most significant external mechanisms for ensuring accountability of government national security programs: judicial review (Part I) and congressional oversight (Part II). After summarizing the critiques of the status quo, we explain why increased </w:t>
      </w:r>
      <w:r w:rsidRPr="00C16CAE">
        <w:rPr>
          <w:rStyle w:val="StyleUnderline"/>
        </w:rPr>
        <w:t>transparency—even if a necessary means of improving accountability—won’t be sufficient,</w:t>
      </w:r>
      <w:r w:rsidRPr="00C16CAE">
        <w:rPr>
          <w:sz w:val="16"/>
        </w:rPr>
        <w:t xml:space="preserve"> before highlighting what we view as the better way forward.</w:t>
      </w:r>
    </w:p>
    <w:p w:rsidR="008A30E6" w:rsidRDefault="008A30E6" w:rsidP="00C16CAE">
      <w:pPr>
        <w:rPr>
          <w:sz w:val="16"/>
        </w:rPr>
      </w:pPr>
    </w:p>
    <w:p w:rsidR="0089705A" w:rsidRDefault="0089705A" w:rsidP="00C16CAE">
      <w:pPr>
        <w:rPr>
          <w:sz w:val="16"/>
        </w:rPr>
      </w:pPr>
    </w:p>
    <w:p w:rsidR="00196B2A" w:rsidRDefault="00196B2A" w:rsidP="00196B2A">
      <w:pPr>
        <w:pStyle w:val="Heading3"/>
      </w:pPr>
      <w:bookmarkStart w:id="52" w:name="_Toc424259127"/>
      <w:r>
        <w:lastRenderedPageBreak/>
        <w:t>A2: Civic Engagement NB (For K Affs)</w:t>
      </w:r>
      <w:bookmarkEnd w:id="52"/>
    </w:p>
    <w:p w:rsidR="00196B2A" w:rsidRDefault="00196B2A" w:rsidP="00196B2A"/>
    <w:p w:rsidR="00196B2A" w:rsidRDefault="00196B2A" w:rsidP="00AF1BF7">
      <w:pPr>
        <w:pStyle w:val="Heading4"/>
      </w:pPr>
      <w:r>
        <w:t>The issue isn’t government transparency, it’s the securitized public sphere – all information is rendered into soundbytes by the media – the only way to solve civic engagement is to focus on how these discursive processes structure our experience of governance and media.</w:t>
      </w:r>
    </w:p>
    <w:p w:rsidR="00196B2A" w:rsidRPr="00617D84" w:rsidRDefault="00196B2A" w:rsidP="00196B2A">
      <w:pPr>
        <w:rPr>
          <w:rFonts w:asciiTheme="minorHAnsi" w:hAnsiTheme="minorHAnsi" w:cstheme="minorHAnsi"/>
          <w:b/>
        </w:rPr>
      </w:pPr>
    </w:p>
    <w:p w:rsidR="00196B2A" w:rsidRPr="00FE2334" w:rsidRDefault="00196B2A" w:rsidP="00196B2A">
      <w:pPr>
        <w:rPr>
          <w:rStyle w:val="StyleStyleBold12pt"/>
        </w:rPr>
      </w:pPr>
      <w:r w:rsidRPr="00FE2334">
        <w:rPr>
          <w:rStyle w:val="StyleStyleBold12pt"/>
        </w:rPr>
        <w:t xml:space="preserve">Elmer and Opel, 2006 </w:t>
      </w:r>
    </w:p>
    <w:p w:rsidR="00196B2A" w:rsidRPr="00FE2334" w:rsidRDefault="00196B2A" w:rsidP="00196B2A">
      <w:r w:rsidRPr="00617D84">
        <w:rPr>
          <w:rFonts w:asciiTheme="minorHAnsi" w:hAnsiTheme="minorHAnsi" w:cstheme="minorHAnsi"/>
        </w:rPr>
        <w:t>(</w:t>
      </w:r>
      <w:r w:rsidRPr="00FE2334">
        <w:t xml:space="preserve">Bell, Globemedia Research Chair in the School of Radio TV Arts at Ryerson University, and Andy Opel, assistant professor in the Department of Communication at Florida State University, “Surviving the Inevitable Future,” July-September, </w:t>
      </w:r>
      <w:r w:rsidRPr="0039660A">
        <w:rPr>
          <w:i/>
        </w:rPr>
        <w:t>Cultural Studies,</w:t>
      </w:r>
      <w:r w:rsidRPr="00FE2334">
        <w:t xml:space="preserve"> 20:4-5)</w:t>
      </w:r>
    </w:p>
    <w:p w:rsidR="00196B2A" w:rsidRPr="0039660A" w:rsidRDefault="00196B2A" w:rsidP="00196B2A"/>
    <w:p w:rsidR="00196B2A" w:rsidRPr="0039660A" w:rsidRDefault="00196B2A" w:rsidP="00196B2A">
      <w:pPr>
        <w:rPr>
          <w:sz w:val="16"/>
        </w:rPr>
      </w:pPr>
      <w:r w:rsidRPr="0039660A">
        <w:rPr>
          <w:sz w:val="16"/>
        </w:rPr>
        <w:t xml:space="preserve">Throughout the media discourse over the virtues or moral failings of the policy analysis markets, broader questions about the possibility of individuals ‘knowing’ anything new was never addressed. </w:t>
      </w:r>
      <w:r w:rsidRPr="0039660A">
        <w:rPr>
          <w:rStyle w:val="StyleUnderline"/>
        </w:rPr>
        <w:t>The problem of citizens producing ‘accurate’ information under the social conditions of consolidated media implicated with defense contractors is clearly problematic. With the dominant US news media issuing a series of mea culpa explanations for their failure to investigate governmental claims</w:t>
      </w:r>
      <w:r w:rsidRPr="0039660A">
        <w:rPr>
          <w:sz w:val="16"/>
        </w:rPr>
        <w:t xml:space="preserve"> about WMD and Iraq Al Qaeda connections leading up the start of the Iraq war, </w:t>
      </w:r>
      <w:r w:rsidRPr="0039660A">
        <w:rPr>
          <w:rStyle w:val="StyleUnderline"/>
        </w:rPr>
        <w:t>coupled with scandals about forged documents,</w:t>
      </w:r>
      <w:r w:rsidRPr="0039660A">
        <w:rPr>
          <w:sz w:val="16"/>
        </w:rPr>
        <w:t xml:space="preserve"> non-investigative journalism and a US, presidential election campaign dominated by discussion of television ads over social issues, </w:t>
      </w:r>
      <w:r w:rsidRPr="0039660A">
        <w:rPr>
          <w:rStyle w:val="StyleUnderline"/>
        </w:rPr>
        <w:t>the possibility of a well informed electorate making accurate forecasts of terrorist activity was unlikely and</w:t>
      </w:r>
      <w:r w:rsidRPr="0039660A">
        <w:rPr>
          <w:sz w:val="16"/>
        </w:rPr>
        <w:t xml:space="preserve"> rather circular </w:t>
      </w:r>
      <w:r w:rsidRPr="0039660A">
        <w:rPr>
          <w:rStyle w:val="StyleUnderline"/>
        </w:rPr>
        <w:t>people betting on possible events based on information disseminated from the government seeking insights from the general public.</w:t>
      </w:r>
      <w:r w:rsidRPr="0039660A">
        <w:rPr>
          <w:sz w:val="16"/>
        </w:rPr>
        <w:t xml:space="preserve"> Nevertheless, proponents of PAM assailed the critics for injecting morality into an amoral (sic) process. </w:t>
      </w:r>
      <w:r w:rsidRPr="0039660A">
        <w:rPr>
          <w:rStyle w:val="StyleUnderline"/>
        </w:rPr>
        <w:t>What we are left with is a call to embrace</w:t>
      </w:r>
      <w:r w:rsidRPr="0039660A">
        <w:rPr>
          <w:sz w:val="16"/>
        </w:rPr>
        <w:t xml:space="preserve"> a market system that is driven, not by rational judgment and intelligence, but rather fueled by the emotion of </w:t>
      </w:r>
      <w:r w:rsidRPr="0039660A">
        <w:rPr>
          <w:rStyle w:val="StyleUnderline"/>
        </w:rPr>
        <w:t>fear</w:t>
      </w:r>
      <w:r w:rsidRPr="0039660A">
        <w:rPr>
          <w:sz w:val="16"/>
        </w:rPr>
        <w:t xml:space="preserve">. </w:t>
      </w:r>
      <w:r w:rsidRPr="0039660A">
        <w:rPr>
          <w:rStyle w:val="StyleUnderline"/>
        </w:rPr>
        <w:t>Morality, dissent, criticism and analytical thought must be evacuated</w:t>
      </w:r>
      <w:r w:rsidRPr="0039660A">
        <w:rPr>
          <w:sz w:val="16"/>
        </w:rPr>
        <w:t xml:space="preserve"> for the market to perform smoothly. Citizens turned gamblers take part in homeland (in)security by wagering money on potential terror outcomes, based on information provided by a media that reproduces government allegation as fact. As we saw in the height of the Wall Street Technology insider driven bubble of the late 1990s, there was no need for analysis of a businesses balance sheet, it could be assumed that a ‘new economy’ had emerged. Decisions were made based on an inevitable future where evidence and balance sheets were replaced by optimism. Conversely, with PAM the market is driven by pessimism, the fear of what will happen. Conclusion In the lead up to the presidential election of 2004, the Bush Administration repeatedly defended the strategy of preemption and the actions taken against Iraq with statements that ‘the world is safer’. </w:t>
      </w:r>
      <w:r w:rsidRPr="0039660A">
        <w:rPr>
          <w:rStyle w:val="StyleUnderline"/>
        </w:rPr>
        <w:t>This</w:t>
      </w:r>
      <w:r w:rsidRPr="0039660A">
        <w:rPr>
          <w:sz w:val="16"/>
        </w:rPr>
        <w:t xml:space="preserve"> rhetorical turn </w:t>
      </w:r>
      <w:r w:rsidRPr="0039660A">
        <w:rPr>
          <w:rStyle w:val="StyleUnderline"/>
        </w:rPr>
        <w:t>exemplifies the language of the survival society, where statements about national security require little to no proof or evidence. Most Americans have no way to either refute or to affirm the central question raised: are we safer? Indeed in the face of so many troubling questions and such fearful uncertainties, facts fall by the wayside</w:t>
      </w:r>
      <w:r w:rsidRPr="0039660A">
        <w:rPr>
          <w:sz w:val="16"/>
        </w:rPr>
        <w:t xml:space="preserve">. Thus, in many respects </w:t>
      </w:r>
      <w:r w:rsidRPr="0039660A">
        <w:rPr>
          <w:rStyle w:val="StyleUnderline"/>
        </w:rPr>
        <w:t>the survivor society is sustained by a suspension of disbelief. Morality, critical thinking and dissent actively inhibit the smooth functioning of society. As inevitability becomes the dominant trope, individual agency is redirected toward survival,</w:t>
      </w:r>
      <w:r w:rsidRPr="0039660A">
        <w:rPr>
          <w:sz w:val="16"/>
        </w:rPr>
        <w:t xml:space="preserve"> a hyper individualism </w:t>
      </w:r>
      <w:r w:rsidRPr="0039660A">
        <w:rPr>
          <w:rStyle w:val="StyleUnderline"/>
        </w:rPr>
        <w:t>that evacuates the possibility of critical exchange in the public sphere.</w:t>
      </w:r>
      <w:r w:rsidRPr="0039660A">
        <w:rPr>
          <w:sz w:val="16"/>
        </w:rPr>
        <w:t xml:space="preserve"> Critical exchanges, dissent, hindsight and re-evaluation are said to support the enemy and undermine the preemptive efforts. Citizens are called upon to continue shopping and maintain ‘normal’ behavior because to do anything less would disrupt the flow of consumer goods and services and weaken a fragile economy. Theoretically </w:t>
      </w:r>
      <w:r w:rsidRPr="0039660A">
        <w:rPr>
          <w:rStyle w:val="StyleUnderline"/>
        </w:rPr>
        <w:t>we need to continue to question how surveillance functions in an environment where evidence is not needed to justify state violence, arrests, incarceration, etc. (America’s pre-emptive policy at home and abroad). We’ve characterized this as shift in reasoning, from ‘what-if’ simulation models where surveillance intelligence fuels forecasting models, to ‘when, then’ thinking where the future is deemed inevitable</w:t>
      </w:r>
      <w:r w:rsidRPr="0039660A">
        <w:rPr>
          <w:sz w:val="16"/>
        </w:rPr>
        <w:t xml:space="preserve"> (i.e. ‘not if but when terrorists will attack’). The RAND and DARPA terrorist preparation programs and terrorist futures market examples demonstrate that’when, then’ reasoning is not as much about tracking and monitoring behaviour as it is evacuating the possibility of social critique and political debate. According to DARPA and other ‘betting’ proponents, rational thought and ethical questions about the market disable their predictive powers. Thus, in the survivor society social control is achieved through distancing the need for evidence and installing forecasting technologies that by their very nature must function critique-free. The discursive contours of the survivor society offer stark contrasts to those of the Cold War era and the emerging surveillance society. During World War II, the US government implored citizens to sacrifice for the collective good, initiating everything from recycling programs to gardening as a way to conserve resources and boost food production. Victory gardens became a symbol of civic participation, where individual actions were directed toward a collective good. These programs were materially based and discursively centered around active participation in the war effort. Alternatively, </w:t>
      </w:r>
      <w:r w:rsidRPr="0039660A">
        <w:rPr>
          <w:rStyle w:val="StyleUnderline"/>
        </w:rPr>
        <w:t xml:space="preserve">the war on terror has elicited calls for a hyper-individualism </w:t>
      </w:r>
      <w:r w:rsidRPr="0039660A">
        <w:rPr>
          <w:sz w:val="16"/>
        </w:rPr>
        <w:t xml:space="preserve">that focuses on the immaterial faith, wagering and the primacy of individual survival. </w:t>
      </w:r>
      <w:r w:rsidRPr="0039660A">
        <w:rPr>
          <w:rStyle w:val="StyleUnderline"/>
        </w:rPr>
        <w:t xml:space="preserve">Civic participation is equated with </w:t>
      </w:r>
      <w:r w:rsidRPr="0039660A">
        <w:rPr>
          <w:sz w:val="16"/>
        </w:rPr>
        <w:t xml:space="preserve">maintaining (or increasing) consumer debt, </w:t>
      </w:r>
      <w:r w:rsidRPr="0039660A">
        <w:rPr>
          <w:sz w:val="16"/>
        </w:rPr>
        <w:lastRenderedPageBreak/>
        <w:t xml:space="preserve">participating in the privatized ‘marketplace of ideas’ futures markets and </w:t>
      </w:r>
      <w:r w:rsidRPr="0039660A">
        <w:rPr>
          <w:rStyle w:val="StyleUnderline"/>
        </w:rPr>
        <w:t>avoiding any temptation to inject morality, dissent, criticism or analytical thought lest they aid and abet the enemy and interfere with the smooth functioning of predictive markets</w:t>
      </w:r>
      <w:r w:rsidRPr="0039660A">
        <w:rPr>
          <w:sz w:val="16"/>
        </w:rPr>
        <w:t xml:space="preserve">. This new rhetoric of the survivor society is amplified through an increasingly monolithic commercial televisual media system. </w:t>
      </w:r>
      <w:r w:rsidRPr="0039660A">
        <w:rPr>
          <w:rStyle w:val="StyleUnderline"/>
        </w:rPr>
        <w:t xml:space="preserve">Although policy documents offer more nuanced predictions about the war on terror, public statements by a host of government officials, broadcast repeatedly as sound bites, describe a stark, inevitable future of unending terror threats. The contradictions between the written documents and the public statements suggest a willful attempt to harness the immediacy (and uniformity) of network and cable news outlets to distribute and maintain an atmosphere of fear and emotion that encourages participation in the new regimes of hyper individualism. For those who resist these new regimes, choosing to dissent, ask for evidence, or request pubic documents, their actions are met with increased hostility </w:t>
      </w:r>
      <w:r w:rsidRPr="0039660A">
        <w:rPr>
          <w:sz w:val="16"/>
        </w:rPr>
        <w:t xml:space="preserve">and accusations of irrationality. </w:t>
      </w:r>
    </w:p>
    <w:p w:rsidR="00196B2A" w:rsidRPr="00FE2334" w:rsidRDefault="00196B2A" w:rsidP="00196B2A"/>
    <w:p w:rsidR="00196B2A" w:rsidRPr="00FE2334" w:rsidRDefault="00196B2A" w:rsidP="00196B2A"/>
    <w:p w:rsidR="0086639A" w:rsidRPr="00215F59" w:rsidRDefault="0086639A" w:rsidP="0086639A"/>
    <w:p w:rsidR="00E072B3" w:rsidRDefault="00E072B3" w:rsidP="00E072B3">
      <w:pPr>
        <w:pStyle w:val="Heading1"/>
      </w:pPr>
      <w:bookmarkStart w:id="53" w:name="_Toc424259128"/>
      <w:r>
        <w:lastRenderedPageBreak/>
        <w:t>Drones</w:t>
      </w:r>
      <w:bookmarkEnd w:id="53"/>
    </w:p>
    <w:p w:rsidR="009A29F0" w:rsidRPr="009A29F0" w:rsidRDefault="009A29F0" w:rsidP="009A29F0">
      <w:pPr>
        <w:pStyle w:val="Heading2"/>
      </w:pPr>
      <w:bookmarkStart w:id="54" w:name="_Toc424259129"/>
      <w:r>
        <w:lastRenderedPageBreak/>
        <w:t>NEG</w:t>
      </w:r>
      <w:bookmarkEnd w:id="54"/>
    </w:p>
    <w:p w:rsidR="00E072B3" w:rsidRDefault="00ED732F" w:rsidP="00ED732F">
      <w:pPr>
        <w:pStyle w:val="Heading3"/>
      </w:pPr>
      <w:bookmarkStart w:id="55" w:name="_Toc424259130"/>
      <w:r>
        <w:lastRenderedPageBreak/>
        <w:t>Warrants PIC 1NC</w:t>
      </w:r>
      <w:r w:rsidR="00867568">
        <w:t xml:space="preserve"> Shell</w:t>
      </w:r>
      <w:bookmarkEnd w:id="55"/>
    </w:p>
    <w:p w:rsidR="00ED732F" w:rsidRDefault="00ED732F" w:rsidP="00AF1BF7">
      <w:pPr>
        <w:pStyle w:val="Heading4"/>
      </w:pPr>
    </w:p>
    <w:p w:rsidR="00ED732F" w:rsidRPr="00F45CC6" w:rsidRDefault="00ED732F" w:rsidP="00AF1BF7">
      <w:pPr>
        <w:pStyle w:val="Heading4"/>
      </w:pPr>
      <w:r w:rsidRPr="00F45CC6">
        <w:t xml:space="preserve">The United States federal government should implement a maximum duration of twenty four hours on </w:t>
      </w:r>
      <w:r>
        <w:t>drone</w:t>
      </w:r>
      <w:r w:rsidRPr="00F45CC6">
        <w:t xml:space="preserve"> operations</w:t>
      </w:r>
      <w:r>
        <w:t xml:space="preserve"> </w:t>
      </w:r>
      <w:r w:rsidRPr="00F45CC6">
        <w:t xml:space="preserve">and </w:t>
      </w:r>
      <w:r>
        <w:t xml:space="preserve">delete any superfluous data gathered from drone operations within a 30 day period. </w:t>
      </w:r>
    </w:p>
    <w:p w:rsidR="00ED732F" w:rsidRPr="00ED732F" w:rsidRDefault="00ED732F" w:rsidP="00ED732F"/>
    <w:p w:rsidR="00E072B3" w:rsidRDefault="00E072B3" w:rsidP="00AF1BF7">
      <w:pPr>
        <w:pStyle w:val="Heading4"/>
      </w:pPr>
      <w:r>
        <w:t xml:space="preserve">Drone warrants </w:t>
      </w:r>
      <w:r w:rsidR="00ED732F">
        <w:t xml:space="preserve">&amp; technology restrictions </w:t>
      </w:r>
      <w:r w:rsidR="00F624A4">
        <w:t>gut</w:t>
      </w:r>
      <w:r w:rsidR="00ED732F">
        <w:t xml:space="preserve"> law enforcement effectiveness</w:t>
      </w:r>
      <w:r>
        <w:t xml:space="preserve"> – </w:t>
      </w:r>
      <w:r w:rsidR="00ED732F">
        <w:t xml:space="preserve">limits on mission duration and data retention </w:t>
      </w:r>
      <w:r w:rsidR="00F624A4">
        <w:t xml:space="preserve">are sufficient to prevent a surveillance state. </w:t>
      </w:r>
    </w:p>
    <w:p w:rsidR="00ED732F" w:rsidRPr="00ED732F" w:rsidRDefault="00ED732F" w:rsidP="00ED732F"/>
    <w:p w:rsidR="00E072B3" w:rsidRDefault="00E072B3" w:rsidP="00E072B3">
      <w:r w:rsidRPr="008907DD">
        <w:rPr>
          <w:rStyle w:val="StyleStyleBold12pt"/>
        </w:rPr>
        <w:t>McNeal ’14</w:t>
      </w:r>
      <w:r>
        <w:t xml:space="preserve"> (</w:t>
      </w:r>
      <w:r w:rsidRPr="00D33FCD">
        <w:t>Gregory McNeal</w:t>
      </w:r>
      <w:r>
        <w:t xml:space="preserve"> - </w:t>
      </w:r>
      <w:r w:rsidRPr="00D33FCD">
        <w:t xml:space="preserve">is a professor at Pepperdine University School of Law and a contributor to Forbes. He is an expert in law and public policy with a specific focus on security, </w:t>
      </w:r>
      <w:r>
        <w:t xml:space="preserve">technology and crime, November 2014, “Drones and Aerial Surveillance: Considerations For Legislators,” </w:t>
      </w:r>
      <w:r w:rsidRPr="00033C06">
        <w:rPr>
          <w:i/>
        </w:rPr>
        <w:t>Brookings</w:t>
      </w:r>
      <w:r>
        <w:t>)</w:t>
      </w:r>
    </w:p>
    <w:p w:rsidR="00ED732F" w:rsidRPr="00715ED5" w:rsidRDefault="00ED732F" w:rsidP="00E072B3"/>
    <w:p w:rsidR="00FC2649" w:rsidRPr="00FC2649" w:rsidRDefault="00E072B3" w:rsidP="00FC2649">
      <w:pPr>
        <w:rPr>
          <w:sz w:val="12"/>
        </w:rPr>
      </w:pPr>
      <w:r w:rsidRPr="00FC2649">
        <w:rPr>
          <w:sz w:val="12"/>
        </w:rPr>
        <w:t xml:space="preserve">To counter the threat of surveillance, </w:t>
      </w:r>
      <w:r w:rsidRPr="00996351">
        <w:rPr>
          <w:rStyle w:val="StyleUnderline"/>
        </w:rPr>
        <w:t xml:space="preserve">privacy advocates have focused solely on requiring warrants before the use of drones by law enforcement. </w:t>
      </w:r>
      <w:r w:rsidRPr="00FC2649">
        <w:rPr>
          <w:sz w:val="12"/>
        </w:rPr>
        <w:t xml:space="preserve">Such a </w:t>
      </w:r>
      <w:r w:rsidRPr="00996351">
        <w:rPr>
          <w:rStyle w:val="StyleUnderline"/>
        </w:rPr>
        <w:t>mandate oftentimes will result in the grounding of drone technology in circumstances where law enforcement use of drones would be beneficial and largely non-controversial</w:t>
      </w:r>
      <w:r w:rsidRPr="00FC2649">
        <w:rPr>
          <w:sz w:val="12"/>
        </w:rPr>
        <w:t>. For example, in light of the Boston Marathon bombing, police may want to fly a drone above a marathon to ensure the safety of the public. Under many bills, police would not be allowed to use a drone unless they had a warrant, premised upon probable cause to believe a crime had been or was about to be committed. This requirement exceeds current Fourth Amendment protections with regard to the reasonableness of observing activities in public places. What this means is that the police would need to put together a warrant application with sufficient facts to prove to a judge that they had probable cause. That application would need to define with particularity the place to be searched or the persons to be surveilled. All of this would be required to observe people gathered in a public place, merely because the observation was taking place from a drone, rather than from an officer on a rooftop or in a helicopter. In a circumstance like a marathon, this probable cause showing will be difficult for the police to satisfy</w:t>
      </w:r>
      <w:r w:rsidRPr="00715ED5">
        <w:rPr>
          <w:rStyle w:val="StyleUnderline"/>
        </w:rPr>
        <w:t xml:space="preserve">. After all, if the police knew who in the crowd was a potential bomber, they would arrest those individuals. Rather, a marathon is the type of event where the police would want to use a drone to monitor for unknown attackers, and in the unfortunate event of an attack, use the footage to identify the perpetrators. This is precisely the type of circumstance where the use of drone could be helpful, </w:t>
      </w:r>
      <w:r w:rsidRPr="00FC2649">
        <w:rPr>
          <w:sz w:val="12"/>
        </w:rPr>
        <w:t xml:space="preserve">but unfortunately it has been outlawed in many states. </w:t>
      </w:r>
      <w:r w:rsidRPr="00ED732F">
        <w:rPr>
          <w:rStyle w:val="StyleUnderline"/>
        </w:rPr>
        <w:t>To make matters worse, this type of drone surveillance would pose little to no harms to privacy.</w:t>
      </w:r>
      <w:r w:rsidRPr="00FC2649">
        <w:rPr>
          <w:sz w:val="12"/>
        </w:rPr>
        <w:t xml:space="preserve"> A marathon is a highly public event, the event is televised, it takes place on streets where there are surveillance cameras and spectators are photographing the event. </w:t>
      </w:r>
      <w:r w:rsidRPr="00996351">
        <w:rPr>
          <w:rStyle w:val="StyleUnderline"/>
        </w:rPr>
        <w:t xml:space="preserve">Moreover, in the states where drones have been banned (unless accompanied by a warrant), </w:t>
      </w:r>
      <w:r w:rsidRPr="00715ED5">
        <w:rPr>
          <w:rStyle w:val="Emphasis"/>
        </w:rPr>
        <w:t xml:space="preserve">the police have not been prohibited from using any other type of surveillance equipment </w:t>
      </w:r>
      <w:r w:rsidRPr="00996351">
        <w:rPr>
          <w:rStyle w:val="StyleUnderline"/>
        </w:rPr>
        <w:t xml:space="preserve">--- just drones. This technology centric approach has done little to protect privacy, but will certainly harm public safety, </w:t>
      </w:r>
      <w:r w:rsidRPr="00715ED5">
        <w:rPr>
          <w:rStyle w:val="Emphasis"/>
        </w:rPr>
        <w:t>depriv</w:t>
      </w:r>
      <w:r w:rsidRPr="00996351">
        <w:rPr>
          <w:rStyle w:val="StyleUnderline"/>
        </w:rPr>
        <w:t xml:space="preserve">ing </w:t>
      </w:r>
      <w:r w:rsidRPr="00715ED5">
        <w:rPr>
          <w:rStyle w:val="Emphasis"/>
        </w:rPr>
        <w:t>law enforcement of a tool that they could use to protect people</w:t>
      </w:r>
      <w:r w:rsidRPr="00996351">
        <w:rPr>
          <w:rStyle w:val="StyleUnderline"/>
        </w:rPr>
        <w:t>.</w:t>
      </w:r>
      <w:r w:rsidRPr="00FC2649">
        <w:rPr>
          <w:sz w:val="12"/>
        </w:rPr>
        <w:t xml:space="preserve"> While warrants are appealing to privacy advocates</w:t>
      </w:r>
      <w:r w:rsidRPr="00715ED5">
        <w:rPr>
          <w:rStyle w:val="Emphasis"/>
        </w:rPr>
        <w:t>, the enactment of overly broad restrictions on drone use can curtail non-invasive, beneficial uses of drones</w:t>
      </w:r>
      <w:r w:rsidRPr="00FC2649">
        <w:rPr>
          <w:sz w:val="12"/>
        </w:rPr>
        <w:t xml:space="preserve">. </w:t>
      </w:r>
      <w:r w:rsidRPr="00F624A4">
        <w:rPr>
          <w:rStyle w:val="Emphasis"/>
        </w:rPr>
        <w:t>Legislators should reject a warrant-based, technology centric approach</w:t>
      </w:r>
      <w:r w:rsidRPr="00996351">
        <w:rPr>
          <w:rStyle w:val="StyleUnderline"/>
        </w:rPr>
        <w:t xml:space="preserve"> as it is unworkable and counterproductive. Instead, legislators should follow a property rights centric approach, coupled with limits on persistent surveillance, data retention procedures, transparency and accountability measures and a recognition of the possibility that technology may make unmanned aerial surveillance more protective of privacy than manned surveillance</w:t>
      </w:r>
      <w:r w:rsidRPr="00FC2649">
        <w:rPr>
          <w:sz w:val="12"/>
        </w:rPr>
        <w:t xml:space="preserve">. </w:t>
      </w:r>
      <w:r w:rsidR="00FC2649" w:rsidRPr="00FC2649">
        <w:rPr>
          <w:sz w:val="12"/>
        </w:rPr>
        <w:t xml:space="preserve">This paper makes five core recommendations: Legislators should follow a property rights approach to aerial surveillance. This approach provides landowners with the right to exclude aircraft, persons, and other objects from a column of airspace extending from the surface of their land up to 350 feet above ground level. Such an approach may solve most public and private harms associated with drones. </w:t>
      </w:r>
      <w:r w:rsidR="00FC2649" w:rsidRPr="005C4F99">
        <w:rPr>
          <w:rStyle w:val="StyleUnderline"/>
        </w:rPr>
        <w:t>Legislators should craft simple, duration-based surveillance legislation that will limit the aggregate amount of time the government may surveil a specific individual.</w:t>
      </w:r>
      <w:r w:rsidR="00FC2649" w:rsidRPr="00FC2649">
        <w:rPr>
          <w:sz w:val="12"/>
        </w:rPr>
        <w:t xml:space="preserve"> Such legislation can address the potential harm of persistent surveillance, a harm that is capable of being committed by manned and unmanned aircraft. </w:t>
      </w:r>
      <w:r w:rsidR="00FC2649" w:rsidRPr="005C4F99">
        <w:rPr>
          <w:rStyle w:val="StyleUnderline"/>
        </w:rPr>
        <w:t>Legislators should adopt data retention procedures that require heightened levels of suspicion and increased procedural protections for accessing stored data gathered by aerial surveillance</w:t>
      </w:r>
      <w:r w:rsidR="00FC2649" w:rsidRPr="00FC2649">
        <w:rPr>
          <w:sz w:val="12"/>
        </w:rPr>
        <w:t>. After a legislatively determined period of time, all stored data should be deleted. Legislators should enact transparency and accountability measures, requiring government agencies to publish on a regular basis information about the use of aerial surveillance devices (both manned and unmanned). Legislators should recognize that technology such as geofencing and auto-redaction, may make aerial surveillance by drones more protective of privacy than human surveillance.</w:t>
      </w:r>
    </w:p>
    <w:p w:rsidR="00E072B3" w:rsidRDefault="00E072B3" w:rsidP="00E072B3">
      <w:pPr>
        <w:rPr>
          <w:sz w:val="16"/>
        </w:rPr>
      </w:pPr>
    </w:p>
    <w:p w:rsidR="00F624A4" w:rsidRDefault="00F624A4" w:rsidP="00E072B3">
      <w:pPr>
        <w:rPr>
          <w:sz w:val="16"/>
        </w:rPr>
      </w:pPr>
    </w:p>
    <w:p w:rsidR="00F004C5" w:rsidRDefault="00F004C5" w:rsidP="00F004C5">
      <w:pPr>
        <w:pStyle w:val="Heading3"/>
      </w:pPr>
      <w:bookmarkStart w:id="56" w:name="_Toc424259131"/>
      <w:r>
        <w:lastRenderedPageBreak/>
        <w:t xml:space="preserve">2NC </w:t>
      </w:r>
      <w:r w:rsidR="00867568">
        <w:t>– No Warrants Key 2 Solve Intel DA</w:t>
      </w:r>
      <w:bookmarkEnd w:id="56"/>
    </w:p>
    <w:p w:rsidR="00F004C5" w:rsidRDefault="00F004C5" w:rsidP="00AF1BF7">
      <w:pPr>
        <w:pStyle w:val="Heading4"/>
      </w:pPr>
    </w:p>
    <w:p w:rsidR="00867568" w:rsidRPr="00867568" w:rsidRDefault="00867568" w:rsidP="00AF1BF7">
      <w:pPr>
        <w:pStyle w:val="Heading4"/>
      </w:pPr>
      <w:r>
        <w:t xml:space="preserve">Warrant-free use and technological advances are core components of law enforcement  </w:t>
      </w:r>
    </w:p>
    <w:p w:rsidR="00F004C5" w:rsidRDefault="00F004C5" w:rsidP="00F004C5">
      <w:r>
        <w:t xml:space="preserve">***note: this is a re-underlining of Reid evidence from the 1NC Crime Turn – don’t read it twice! </w:t>
      </w:r>
    </w:p>
    <w:p w:rsidR="00F004C5" w:rsidRPr="000201B0" w:rsidRDefault="00F004C5" w:rsidP="00F004C5"/>
    <w:p w:rsidR="00F004C5" w:rsidRDefault="00F004C5" w:rsidP="00F004C5">
      <w:pPr>
        <w:rPr>
          <w:sz w:val="16"/>
        </w:rPr>
      </w:pPr>
      <w:r w:rsidRPr="0090608F">
        <w:rPr>
          <w:rStyle w:val="StyleStyleBold12pt"/>
        </w:rPr>
        <w:t>Reid, 2014</w:t>
      </w:r>
      <w:r w:rsidRPr="0077240B">
        <w:rPr>
          <w:sz w:val="16"/>
        </w:rPr>
        <w:t xml:space="preserve"> (Melanie, Professor of Law at Lincoln Memorial University, “GROUNDING DRONES: BIG BROTHER'S TOOL BOX NEEDS REGULATION NOT ELIMINATION,” </w:t>
      </w:r>
      <w:r w:rsidRPr="0077240B">
        <w:rPr>
          <w:i/>
          <w:sz w:val="16"/>
        </w:rPr>
        <w:t>Journal of Law and Technology</w:t>
      </w:r>
      <w:r w:rsidRPr="0077240B">
        <w:rPr>
          <w:sz w:val="16"/>
        </w:rPr>
        <w:t xml:space="preserve">, 20:3, Online: </w:t>
      </w:r>
      <w:hyperlink r:id="rId36" w:history="1">
        <w:r w:rsidRPr="0077240B">
          <w:rPr>
            <w:rStyle w:val="Hyperlink"/>
            <w:sz w:val="16"/>
          </w:rPr>
          <w:t>http://jolt.richmond.edu/index.php/grounding-drones-big-brothers-tool-box-needs-regulation-not-elimination/</w:t>
        </w:r>
      </w:hyperlink>
      <w:r w:rsidRPr="0077240B">
        <w:rPr>
          <w:sz w:val="16"/>
        </w:rPr>
        <w:t xml:space="preserve">) </w:t>
      </w:r>
    </w:p>
    <w:p w:rsidR="00F004C5" w:rsidRPr="00A20B1F" w:rsidRDefault="00F004C5" w:rsidP="00F004C5">
      <w:pPr>
        <w:rPr>
          <w:sz w:val="16"/>
        </w:rPr>
      </w:pPr>
    </w:p>
    <w:p w:rsidR="00F004C5" w:rsidRPr="007D7776" w:rsidRDefault="00F004C5" w:rsidP="00F004C5">
      <w:pPr>
        <w:rPr>
          <w:sz w:val="16"/>
        </w:rPr>
      </w:pPr>
      <w:r w:rsidRPr="007D7776">
        <w:rPr>
          <w:rStyle w:val="StyleUnderline"/>
        </w:rPr>
        <w:t xml:space="preserve">If </w:t>
      </w:r>
      <w:r w:rsidRPr="007D7776">
        <w:rPr>
          <w:sz w:val="16"/>
        </w:rPr>
        <w:t xml:space="preserve">state and </w:t>
      </w:r>
      <w:r w:rsidRPr="007D7776">
        <w:rPr>
          <w:rStyle w:val="StyleUnderline"/>
        </w:rPr>
        <w:t>federal legislators are successful and remain on a determined course to restrict application of drones, drone use may be severely limited,</w:t>
      </w:r>
      <w:r w:rsidRPr="007D7776">
        <w:rPr>
          <w:sz w:val="16"/>
        </w:rPr>
        <w:t xml:space="preserve"> similar to what took place after the court decision on thermal imaging. </w:t>
      </w:r>
      <w:r w:rsidRPr="007D7776">
        <w:rPr>
          <w:rStyle w:val="StyleUnderline"/>
        </w:rPr>
        <w:t xml:space="preserve">After the Kyllo decision </w:t>
      </w:r>
      <w:r w:rsidRPr="007D7776">
        <w:rPr>
          <w:sz w:val="16"/>
        </w:rPr>
        <w:t xml:space="preserve">in which the Court held that thermal imaging constituted a search under the Fourth Amendment,[260] </w:t>
      </w:r>
      <w:r w:rsidRPr="007D7776">
        <w:rPr>
          <w:rStyle w:val="StyleUnderline"/>
        </w:rPr>
        <w:t xml:space="preserve">law enforcement was no longer able to use </w:t>
      </w:r>
      <w:r w:rsidRPr="007D7776">
        <w:rPr>
          <w:sz w:val="16"/>
        </w:rPr>
        <w:t xml:space="preserve">the </w:t>
      </w:r>
      <w:r w:rsidRPr="007D7776">
        <w:rPr>
          <w:rStyle w:val="StyleUnderline"/>
        </w:rPr>
        <w:t xml:space="preserve">technology to assist in building sufficient probable cause for a search warrant. </w:t>
      </w:r>
      <w:r w:rsidRPr="007D7776">
        <w:rPr>
          <w:sz w:val="16"/>
        </w:rPr>
        <w:t xml:space="preserve">Admittedly, thermal imaging allows law enforcement the ability to collect intelligence within private dwellings, i.e., locations where the owner has a reasonable expectation of privacy. </w:t>
      </w:r>
      <w:r w:rsidRPr="007D7776">
        <w:rPr>
          <w:rStyle w:val="StyleUnderline"/>
        </w:rPr>
        <w:t>Drone surveillance collects intelligence in public areas where there is no such expectation of privacy. Law enforcement needs a variety of investigatory tools that can be used without a warrant in order to gather enough facts for probable cause to justify search and arrest warrants. If government becomes significantly limited in its ability to collect information in a reasonable and impartial manner, the ability to investigate a complaint and determine if a crime has been committed will be hindered</w:t>
      </w:r>
      <w:r w:rsidRPr="007D7776">
        <w:rPr>
          <w:sz w:val="16"/>
        </w:rPr>
        <w:t xml:space="preserve">. </w:t>
      </w:r>
      <w:r w:rsidRPr="007D7776">
        <w:rPr>
          <w:rStyle w:val="StyleUnderline"/>
        </w:rPr>
        <w:t>Drone use is a reasonable, non-intrusive technique and should be one of those investigatory tools available to law enforcement agencies. Public safety requires that law enforcement have the ability to leverage every reasonable investigatory tool at its disposal to uphold the law and bring criminals to justice</w:t>
      </w:r>
      <w:r w:rsidRPr="007D7776">
        <w:rPr>
          <w:sz w:val="16"/>
        </w:rPr>
        <w:t xml:space="preserve">. Some techniques which are intrusive and infringe on privacy issues need to be closely monitored and regulated. [95] Public concern is understandable—thousands of drones from both the public and private sector will soon be accumulating a significant amount of information once FAA regulations are put in place by 2015. Drone technology is in its infancy stage. Future drones may be lighter, simpler, with longer flight times and have the ability to act/react to given situations based on software programming without human intervention. </w:t>
      </w:r>
      <w:r w:rsidRPr="007D7776">
        <w:rPr>
          <w:rStyle w:val="StyleUnderline"/>
        </w:rPr>
        <w:t>Previously, laws were passed to regulate new technology after its effects and impact on society were determined. In the case of drones</w:t>
      </w:r>
      <w:r w:rsidRPr="007D7776">
        <w:rPr>
          <w:sz w:val="16"/>
        </w:rPr>
        <w:t xml:space="preserve">, state and </w:t>
      </w:r>
      <w:r w:rsidRPr="007D7776">
        <w:rPr>
          <w:rStyle w:val="StyleUnderline"/>
        </w:rPr>
        <w:t xml:space="preserve">federal legislatures are attempting to get ahead of the curve and pass laws based on what drones can be expected to do in the future. </w:t>
      </w:r>
      <w:r w:rsidRPr="007D7776">
        <w:rPr>
          <w:sz w:val="16"/>
        </w:rPr>
        <w:t xml:space="preserve">I think </w:t>
      </w:r>
      <w:r w:rsidRPr="007D7776">
        <w:rPr>
          <w:rStyle w:val="StyleUnderline"/>
        </w:rPr>
        <w:t>we are getting ahead of ourselves. The drones of today are the same as aircraft and helicopters which are currently used to conduct aerial surveillance. There is no need to place greater restrictions on drones than regular aircraft</w:t>
      </w:r>
      <w:r w:rsidRPr="007D7776">
        <w:rPr>
          <w:sz w:val="16"/>
        </w:rPr>
        <w:t xml:space="preserve">. </w:t>
      </w:r>
      <w:r w:rsidRPr="007D7776">
        <w:rPr>
          <w:rStyle w:val="StyleUnderline"/>
        </w:rPr>
        <w:t xml:space="preserve">The unintended victims of such a law would be smaller law enforcement agencies that cannot afford their own aircraft or helicopter. Inexpensive drone technology would allow all law enforcement agencies to operate on a level playing field </w:t>
      </w:r>
      <w:r w:rsidRPr="007D7776">
        <w:rPr>
          <w:sz w:val="16"/>
        </w:rPr>
        <w:t xml:space="preserve">in the use of aerial surveillance for investigations. </w:t>
      </w:r>
    </w:p>
    <w:p w:rsidR="00F004C5" w:rsidRDefault="00F004C5" w:rsidP="00F004C5"/>
    <w:p w:rsidR="00F004C5" w:rsidRDefault="00F004C5" w:rsidP="00F004C5"/>
    <w:p w:rsidR="00867568" w:rsidRDefault="00867568" w:rsidP="00867568">
      <w:pPr>
        <w:pStyle w:val="Heading3"/>
      </w:pPr>
      <w:bookmarkStart w:id="57" w:name="_Toc424259132"/>
      <w:r>
        <w:lastRenderedPageBreak/>
        <w:t>2NC – No Warrants Key 2 Solve Intel DA</w:t>
      </w:r>
      <w:bookmarkEnd w:id="57"/>
    </w:p>
    <w:p w:rsidR="00867568" w:rsidRPr="00F004C5" w:rsidRDefault="00867568" w:rsidP="00867568"/>
    <w:p w:rsidR="00867568" w:rsidRDefault="00867568" w:rsidP="00AF1BF7">
      <w:pPr>
        <w:pStyle w:val="Heading4"/>
      </w:pPr>
      <w:r>
        <w:t>Warrants impede criminal investigation</w:t>
      </w:r>
    </w:p>
    <w:p w:rsidR="00867568" w:rsidRPr="00867568" w:rsidRDefault="00867568" w:rsidP="00867568"/>
    <w:p w:rsidR="00867568" w:rsidRDefault="00867568" w:rsidP="00867568">
      <w:pPr>
        <w:rPr>
          <w:sz w:val="16"/>
        </w:rPr>
      </w:pPr>
      <w:r w:rsidRPr="0090608F">
        <w:rPr>
          <w:rStyle w:val="StyleStyleBold12pt"/>
        </w:rPr>
        <w:t>Reid, 2014</w:t>
      </w:r>
      <w:r w:rsidRPr="0077240B">
        <w:rPr>
          <w:sz w:val="16"/>
        </w:rPr>
        <w:t xml:space="preserve"> (Melanie, Professor of Law at Lincoln Memorial University, “GROUNDING DRONES: BIG BROTHER'S TOOL BOX NEEDS REGULATION NOT ELIMINATION,” </w:t>
      </w:r>
      <w:r w:rsidRPr="0077240B">
        <w:rPr>
          <w:i/>
          <w:sz w:val="16"/>
        </w:rPr>
        <w:t>Journal of Law and Technology</w:t>
      </w:r>
      <w:r w:rsidRPr="0077240B">
        <w:rPr>
          <w:sz w:val="16"/>
        </w:rPr>
        <w:t xml:space="preserve">, 20:3, Online: </w:t>
      </w:r>
      <w:hyperlink r:id="rId37" w:history="1">
        <w:r w:rsidRPr="0077240B">
          <w:rPr>
            <w:rStyle w:val="Hyperlink"/>
            <w:sz w:val="16"/>
          </w:rPr>
          <w:t>http://jolt.richmond.edu/index.php/grounding-drones-big-brothers-tool-box-needs-regulation-not-elimination/</w:t>
        </w:r>
      </w:hyperlink>
      <w:r w:rsidRPr="0077240B">
        <w:rPr>
          <w:sz w:val="16"/>
        </w:rPr>
        <w:t xml:space="preserve">) </w:t>
      </w:r>
    </w:p>
    <w:p w:rsidR="00867568" w:rsidRPr="0077240B" w:rsidRDefault="00867568" w:rsidP="00867568">
      <w:pPr>
        <w:rPr>
          <w:sz w:val="16"/>
        </w:rPr>
      </w:pPr>
    </w:p>
    <w:p w:rsidR="00867568" w:rsidRDefault="00867568" w:rsidP="00867568">
      <w:pPr>
        <w:rPr>
          <w:sz w:val="16"/>
        </w:rPr>
      </w:pPr>
      <w:r w:rsidRPr="0077240B">
        <w:rPr>
          <w:rStyle w:val="StyleUnderline"/>
        </w:rPr>
        <w:t>Law enforcement has a select group of investigatory tools it can use without triggering Fourth Amendment protections. Surveillance of suspects is one of the oldest tools that law enforcement has used to collect information and determine whether criminal activity is occurring.</w:t>
      </w:r>
      <w:r w:rsidRPr="006E60DF">
        <w:rPr>
          <w:sz w:val="16"/>
        </w:rPr>
        <w:t xml:space="preserve"> [160] </w:t>
      </w:r>
      <w:r w:rsidRPr="0077240B">
        <w:rPr>
          <w:rStyle w:val="StyleUnderline"/>
        </w:rPr>
        <w:t>It is one of the first steps of any criminal investigation. The idea that a warrant would be needed to surveil a suspect would effectively cripple any investigation before it even got off the ground.</w:t>
      </w:r>
      <w:r w:rsidRPr="006E60DF">
        <w:rPr>
          <w:sz w:val="16"/>
        </w:rPr>
        <w:t xml:space="preserve"> [51] Only a certain number of investigatory tools are given Fourth Amendment protection. </w:t>
      </w:r>
      <w:r w:rsidRPr="0077240B">
        <w:rPr>
          <w:rStyle w:val="StyleUnderline"/>
        </w:rPr>
        <w:t>If all investigatory tools were outside the Fourth Amendment, then it would be virtually impossible for law enforcement to ever gain probable cause to seek a warrant.</w:t>
      </w:r>
      <w:r w:rsidRPr="006E60DF">
        <w:rPr>
          <w:sz w:val="16"/>
        </w:rPr>
        <w:t xml:space="preserve"> Therefore, law enforcement requires methods and tools that are permissible under Fourth Amendment protections in order to allow for the collection of sufficient information to use as probable cause for an arrest, search, or warrant for other, more intrusive investigatory tools. </w:t>
      </w:r>
    </w:p>
    <w:p w:rsidR="00F004C5" w:rsidRDefault="00867568" w:rsidP="00F004C5">
      <w:pPr>
        <w:pStyle w:val="Heading3"/>
      </w:pPr>
      <w:bookmarkStart w:id="58" w:name="_Toc424259133"/>
      <w:r>
        <w:lastRenderedPageBreak/>
        <w:t>2NC – Tech Key 2 Solve Intel DA</w:t>
      </w:r>
      <w:bookmarkEnd w:id="58"/>
    </w:p>
    <w:p w:rsidR="00F004C5" w:rsidRPr="006639D6" w:rsidRDefault="00F004C5" w:rsidP="00F004C5"/>
    <w:p w:rsidR="00F004C5" w:rsidRDefault="00F004C5" w:rsidP="00AF1BF7">
      <w:pPr>
        <w:pStyle w:val="Heading4"/>
      </w:pPr>
      <w:r>
        <w:t>Drones Warrants Protect the Public</w:t>
      </w:r>
    </w:p>
    <w:p w:rsidR="00F004C5" w:rsidRPr="0097477A" w:rsidRDefault="00F004C5" w:rsidP="00F004C5">
      <w:pPr>
        <w:tabs>
          <w:tab w:val="left" w:pos="2970"/>
        </w:tabs>
        <w:rPr>
          <w:sz w:val="16"/>
        </w:rPr>
      </w:pPr>
      <w:r w:rsidRPr="0097477A">
        <w:rPr>
          <w:rStyle w:val="StyleStyleBold12pt"/>
        </w:rPr>
        <w:t>Friesen 13</w:t>
      </w:r>
      <w:r>
        <w:rPr>
          <w:rStyle w:val="StyleStyleBold12pt"/>
        </w:rPr>
        <w:t xml:space="preserve"> </w:t>
      </w:r>
      <w:r w:rsidRPr="0097477A">
        <w:rPr>
          <w:rStyle w:val="StyleStyleBold12pt"/>
          <w:b w:val="0"/>
          <w:sz w:val="16"/>
        </w:rPr>
        <w:t>(</w:t>
      </w:r>
      <w:r w:rsidRPr="0097477A">
        <w:rPr>
          <w:sz w:val="16"/>
        </w:rPr>
        <w:t>Sarah, “Contrary to Popular Belief, Drones Not All Bad”, April 18, 2013, http://dailysignal.com/2013/04/18/contrary-to-popular-belief-drones-not-all-bad/)</w:t>
      </w:r>
    </w:p>
    <w:p w:rsidR="00F004C5" w:rsidRDefault="00F004C5" w:rsidP="00F004C5"/>
    <w:p w:rsidR="00F004C5" w:rsidRDefault="00F004C5" w:rsidP="00F004C5">
      <w:pPr>
        <w:rPr>
          <w:sz w:val="16"/>
        </w:rPr>
      </w:pPr>
      <w:r w:rsidRPr="0097477A">
        <w:rPr>
          <w:sz w:val="16"/>
        </w:rPr>
        <w:t xml:space="preserve">Last week, Politico published an article on America’s misconception of drones, and why those misconceptions can, and should, be remedied. As technology advances, the ways in which it can be exploited grows. Drones are no exception. While steps need to be taken to ensure that privacy rights are protected from drone activities, </w:t>
      </w:r>
      <w:r w:rsidRPr="00364CC1">
        <w:rPr>
          <w:rStyle w:val="StyleUnderline"/>
        </w:rPr>
        <w:t>the U.S. should not unnecessarily restrain such a valuable technology.</w:t>
      </w:r>
      <w:r w:rsidRPr="0097477A">
        <w:rPr>
          <w:sz w:val="12"/>
        </w:rPr>
        <w:t>¶</w:t>
      </w:r>
      <w:r w:rsidRPr="0097477A">
        <w:rPr>
          <w:sz w:val="16"/>
        </w:rPr>
        <w:t xml:space="preserve"> </w:t>
      </w:r>
      <w:r w:rsidRPr="00364CC1">
        <w:rPr>
          <w:rStyle w:val="StyleUnderline"/>
        </w:rPr>
        <w:t>Today, the public has a negative perception of drones</w:t>
      </w:r>
      <w:r w:rsidRPr="0097477A">
        <w:rPr>
          <w:sz w:val="16"/>
        </w:rPr>
        <w:t>—to put it mildly. The connotation is generally that of Big Brother watching Americans going about their daily lives—all under the guise of keeping us “safe,” of course. This is far from reality.</w:t>
      </w:r>
      <w:r w:rsidRPr="0097477A">
        <w:rPr>
          <w:sz w:val="12"/>
        </w:rPr>
        <w:t>¶</w:t>
      </w:r>
      <w:r w:rsidRPr="0097477A">
        <w:rPr>
          <w:sz w:val="16"/>
        </w:rPr>
        <w:t xml:space="preserve"> </w:t>
      </w:r>
      <w:r w:rsidRPr="00364CC1">
        <w:rPr>
          <w:rStyle w:val="StyleUnderline"/>
        </w:rPr>
        <w:t xml:space="preserve">Drones </w:t>
      </w:r>
      <w:r w:rsidRPr="0097477A">
        <w:rPr>
          <w:sz w:val="16"/>
        </w:rPr>
        <w:t xml:space="preserve">do, </w:t>
      </w:r>
      <w:r w:rsidRPr="00364CC1">
        <w:rPr>
          <w:rStyle w:val="StyleUnderline"/>
        </w:rPr>
        <w:t>in fact, provide many services that keep Americans safe</w:t>
      </w:r>
      <w:r w:rsidRPr="0097477A">
        <w:rPr>
          <w:sz w:val="16"/>
        </w:rPr>
        <w:t>.</w:t>
      </w:r>
      <w:r w:rsidRPr="0097477A">
        <w:rPr>
          <w:sz w:val="12"/>
        </w:rPr>
        <w:t>¶</w:t>
      </w:r>
      <w:r w:rsidRPr="0097477A">
        <w:rPr>
          <w:sz w:val="16"/>
        </w:rPr>
        <w:t xml:space="preserve"> </w:t>
      </w:r>
      <w:r w:rsidRPr="00364CC1">
        <w:rPr>
          <w:rStyle w:val="StyleUnderline"/>
        </w:rPr>
        <w:t>Border patrol security</w:t>
      </w:r>
      <w:r w:rsidRPr="0097477A">
        <w:rPr>
          <w:rStyle w:val="StyleUnderline"/>
          <w:sz w:val="12"/>
        </w:rPr>
        <w:t>¶</w:t>
      </w:r>
      <w:r w:rsidRPr="00364CC1">
        <w:rPr>
          <w:rStyle w:val="StyleUnderline"/>
        </w:rPr>
        <w:t xml:space="preserve"> Emergency preparation and disaster response</w:t>
      </w:r>
      <w:r w:rsidRPr="0097477A">
        <w:rPr>
          <w:rStyle w:val="StyleUnderline"/>
          <w:sz w:val="12"/>
        </w:rPr>
        <w:t>¶</w:t>
      </w:r>
      <w:r w:rsidRPr="00364CC1">
        <w:rPr>
          <w:rStyle w:val="StyleUnderline"/>
        </w:rPr>
        <w:t xml:space="preserve"> Cargo delivery (private sector)</w:t>
      </w:r>
      <w:r w:rsidRPr="0097477A">
        <w:rPr>
          <w:rStyle w:val="StyleUnderline"/>
          <w:sz w:val="12"/>
        </w:rPr>
        <w:t>¶</w:t>
      </w:r>
      <w:r w:rsidRPr="00364CC1">
        <w:rPr>
          <w:rStyle w:val="StyleUnderline"/>
        </w:rPr>
        <w:t xml:space="preserve"> Maritime domain awareness</w:t>
      </w:r>
      <w:r w:rsidRPr="0097477A">
        <w:rPr>
          <w:rStyle w:val="StyleUnderline"/>
          <w:sz w:val="12"/>
        </w:rPr>
        <w:t>¶</w:t>
      </w:r>
      <w:r w:rsidRPr="00364CC1">
        <w:rPr>
          <w:rStyle w:val="StyleUnderline"/>
        </w:rPr>
        <w:t xml:space="preserve"> Environmental monitoring (flooding, dams, levees, etc.)</w:t>
      </w:r>
      <w:r w:rsidRPr="0097477A">
        <w:rPr>
          <w:rStyle w:val="StyleUnderline"/>
          <w:sz w:val="12"/>
        </w:rPr>
        <w:t>¶</w:t>
      </w:r>
      <w:r w:rsidRPr="00364CC1">
        <w:rPr>
          <w:rStyle w:val="StyleUnderline"/>
        </w:rPr>
        <w:t xml:space="preserve"> Law enforcement (pursuit or search and rescue)</w:t>
      </w:r>
      <w:r w:rsidRPr="0097477A">
        <w:rPr>
          <w:sz w:val="12"/>
        </w:rPr>
        <w:t>¶</w:t>
      </w:r>
      <w:r w:rsidRPr="0097477A">
        <w:rPr>
          <w:sz w:val="16"/>
        </w:rPr>
        <w:t xml:space="preserve"> Arguably, these are all things that need to be done. Drones provide a cheaper platform that keeps the pilot out of any potential danger. This raises the obvious question: If drones have good uses, then why do people think they are so bad?</w:t>
      </w:r>
      <w:r w:rsidRPr="0097477A">
        <w:rPr>
          <w:sz w:val="12"/>
        </w:rPr>
        <w:t>¶</w:t>
      </w:r>
      <w:r w:rsidRPr="0097477A">
        <w:rPr>
          <w:sz w:val="16"/>
        </w:rPr>
        <w:t xml:space="preserve"> Ellen Tauscher, former Undersecretary of State for Arms Control and International Security says that a </w:t>
      </w:r>
      <w:hyperlink r:id="rId38" w:tgtFrame="_blank" w:history="1">
        <w:r w:rsidRPr="0097477A">
          <w:rPr>
            <w:sz w:val="16"/>
          </w:rPr>
          <w:t>big contributor to the problem</w:t>
        </w:r>
      </w:hyperlink>
      <w:r w:rsidRPr="0097477A">
        <w:rPr>
          <w:sz w:val="16"/>
        </w:rPr>
        <w:t xml:space="preserve"> is that “there are too many different names being used to describe the technology.” Having so many names floating about only exacerbates an already confusing topic.</w:t>
      </w:r>
      <w:r w:rsidRPr="0097477A">
        <w:rPr>
          <w:sz w:val="12"/>
        </w:rPr>
        <w:t>¶</w:t>
      </w:r>
      <w:r w:rsidRPr="0097477A">
        <w:rPr>
          <w:sz w:val="16"/>
        </w:rPr>
        <w:t xml:space="preserve"> </w:t>
      </w:r>
      <w:r w:rsidRPr="00364CC1">
        <w:rPr>
          <w:rStyle w:val="StyleUnderline"/>
        </w:rPr>
        <w:t>One of the many names for drones is “unmanned aerial vehicle.” This is entirely inaccurate</w:t>
      </w:r>
      <w:r w:rsidRPr="0097477A">
        <w:rPr>
          <w:sz w:val="16"/>
        </w:rPr>
        <w:t xml:space="preserve">. </w:t>
      </w:r>
      <w:r w:rsidRPr="00364CC1">
        <w:rPr>
          <w:rStyle w:val="StyleUnderline"/>
        </w:rPr>
        <w:t>Drones</w:t>
      </w:r>
      <w:r w:rsidRPr="0097477A">
        <w:rPr>
          <w:sz w:val="16"/>
        </w:rPr>
        <w:t xml:space="preserve">, like planes and helicopters, do </w:t>
      </w:r>
      <w:r w:rsidRPr="00364CC1">
        <w:rPr>
          <w:rStyle w:val="StyleUnderline"/>
        </w:rPr>
        <w:t>have pilots</w:t>
      </w:r>
      <w:r w:rsidRPr="0097477A">
        <w:rPr>
          <w:sz w:val="16"/>
        </w:rPr>
        <w:t xml:space="preserve">, but they </w:t>
      </w:r>
      <w:r w:rsidRPr="00364CC1">
        <w:rPr>
          <w:rStyle w:val="StyleUnderline"/>
        </w:rPr>
        <w:t>fly the drones remotely</w:t>
      </w:r>
      <w:r w:rsidRPr="0097477A">
        <w:rPr>
          <w:sz w:val="16"/>
        </w:rPr>
        <w:t>.</w:t>
      </w:r>
      <w:r w:rsidRPr="0097477A">
        <w:rPr>
          <w:sz w:val="12"/>
        </w:rPr>
        <w:t>¶</w:t>
      </w:r>
      <w:r w:rsidRPr="0097477A">
        <w:rPr>
          <w:sz w:val="16"/>
        </w:rPr>
        <w:t xml:space="preserve"> Another aspect of the confusion surrounding drones, according to Politico, is the secrecy that shrouds how the military uses them. It seems that this secrecy has led to speculation that has tainted the American public’s view of drones in general, both military and non-military. America needs to ensure that guidelines for the domestic usage of drones are based on fact, not speculation.</w:t>
      </w:r>
      <w:r w:rsidRPr="0097477A">
        <w:rPr>
          <w:sz w:val="12"/>
        </w:rPr>
        <w:t>¶</w:t>
      </w:r>
      <w:r w:rsidRPr="0097477A">
        <w:rPr>
          <w:sz w:val="16"/>
        </w:rPr>
        <w:t xml:space="preserve"> </w:t>
      </w:r>
      <w:r w:rsidRPr="00364CC1">
        <w:rPr>
          <w:rStyle w:val="StyleUnderline"/>
        </w:rPr>
        <w:t xml:space="preserve">Generally, drones can and should be regulated by the laws already in place dealing with aerial surveillance. This is the route that should be taken instead of requiring a warrant for drone usage in the U.S. This would not only severely restrict the effectiveness of drones but also </w:t>
      </w:r>
      <w:r w:rsidRPr="00364CC1">
        <w:rPr>
          <w:rStyle w:val="Emphasis"/>
        </w:rPr>
        <w:t>be a misapplication of the Fourth Amendment</w:t>
      </w:r>
      <w:r w:rsidRPr="0097477A">
        <w:rPr>
          <w:sz w:val="16"/>
        </w:rPr>
        <w:t>.</w:t>
      </w:r>
      <w:r w:rsidRPr="0097477A">
        <w:rPr>
          <w:sz w:val="12"/>
        </w:rPr>
        <w:t>¶</w:t>
      </w:r>
      <w:r w:rsidRPr="0097477A">
        <w:rPr>
          <w:sz w:val="16"/>
        </w:rPr>
        <w:t xml:space="preserve"> The government and the private sector need to present a coherent and clear picture to the American people of what drones really are. </w:t>
      </w:r>
      <w:r w:rsidRPr="0097477A">
        <w:rPr>
          <w:rStyle w:val="StyleUnderline"/>
        </w:rPr>
        <w:t>If the public’s inaccurate and negative perception of drones is not altered, it could influence policy to the point of depriving America of a truly valuable tool.</w:t>
      </w:r>
      <w:r w:rsidRPr="0097477A">
        <w:rPr>
          <w:sz w:val="12"/>
        </w:rPr>
        <w:t>¶</w:t>
      </w:r>
      <w:r w:rsidRPr="0097477A">
        <w:rPr>
          <w:sz w:val="16"/>
        </w:rPr>
        <w:t xml:space="preserve"> </w:t>
      </w:r>
    </w:p>
    <w:p w:rsidR="00F004C5" w:rsidRDefault="00F004C5" w:rsidP="00F004C5">
      <w:pPr>
        <w:rPr>
          <w:sz w:val="16"/>
        </w:rPr>
      </w:pPr>
    </w:p>
    <w:p w:rsidR="00F624A4" w:rsidRDefault="007B6360" w:rsidP="00F624A4">
      <w:pPr>
        <w:pStyle w:val="Heading3"/>
      </w:pPr>
      <w:bookmarkStart w:id="59" w:name="_Toc424259134"/>
      <w:r>
        <w:lastRenderedPageBreak/>
        <w:t>A2: Case is a DA</w:t>
      </w:r>
      <w:bookmarkEnd w:id="59"/>
    </w:p>
    <w:p w:rsidR="007B6360" w:rsidRPr="007B6360" w:rsidRDefault="007B6360" w:rsidP="007B6360"/>
    <w:p w:rsidR="00E072B3" w:rsidRDefault="007B6360" w:rsidP="00AF1BF7">
      <w:pPr>
        <w:pStyle w:val="Heading4"/>
      </w:pPr>
      <w:r>
        <w:t xml:space="preserve">The aff impact claims are speculative at best – legislating warrant requirements off of half-baked public perception of drones is overkill, instead we should pursue minimal restrictions until the impacts of the technology can be accurately assessed. </w:t>
      </w:r>
    </w:p>
    <w:p w:rsidR="00F624A4" w:rsidRPr="00F624A4" w:rsidRDefault="00F624A4" w:rsidP="00F624A4"/>
    <w:p w:rsidR="00E072B3" w:rsidRDefault="00E072B3" w:rsidP="00E072B3">
      <w:r w:rsidRPr="008907DD">
        <w:rPr>
          <w:rStyle w:val="StyleStyleBold12pt"/>
        </w:rPr>
        <w:t>McNeal ’14</w:t>
      </w:r>
      <w:r>
        <w:t xml:space="preserve"> (</w:t>
      </w:r>
      <w:r w:rsidRPr="00D33FCD">
        <w:t>Gregory McNeal</w:t>
      </w:r>
      <w:r>
        <w:t xml:space="preserve"> - </w:t>
      </w:r>
      <w:r w:rsidRPr="00D33FCD">
        <w:t xml:space="preserve">is a professor at Pepperdine University School of Law and a contributor to Forbes. He is an expert in law and public policy with a specific focus on security, </w:t>
      </w:r>
      <w:r>
        <w:t xml:space="preserve">technology and crime, November 2014, “Drones and Aerial Surveillance: Considerations For Legislators,” </w:t>
      </w:r>
      <w:r w:rsidRPr="00033C06">
        <w:rPr>
          <w:i/>
        </w:rPr>
        <w:t>Brookings</w:t>
      </w:r>
      <w:r>
        <w:t>)</w:t>
      </w:r>
    </w:p>
    <w:p w:rsidR="00F624A4" w:rsidRPr="00D33FCD" w:rsidRDefault="00F624A4" w:rsidP="00E072B3"/>
    <w:p w:rsidR="00E072B3" w:rsidRPr="00107785" w:rsidRDefault="00E072B3" w:rsidP="00E072B3">
      <w:pPr>
        <w:rPr>
          <w:sz w:val="16"/>
        </w:rPr>
      </w:pPr>
      <w:r w:rsidRPr="00107785">
        <w:rPr>
          <w:sz w:val="16"/>
        </w:rPr>
        <w:t xml:space="preserve">The emergence of unmanned aerial vehicles in domestic skies raises understandable privacy concerns that require careful and sometimes creative solutions. </w:t>
      </w:r>
      <w:r w:rsidRPr="00107785">
        <w:rPr>
          <w:rStyle w:val="StyleUnderline"/>
        </w:rPr>
        <w:t>The smartest and most effective solution is to adopt a property rights approach that does not disrupt the status quo</w:t>
      </w:r>
      <w:r w:rsidRPr="00107785">
        <w:rPr>
          <w:sz w:val="16"/>
        </w:rPr>
        <w:t xml:space="preserve">. Such an approach, coupled with time-based prohibitions on persistent surveillance, transparency, and data retention procedures will create the most effective and clear legislative package. </w:t>
      </w:r>
      <w:r w:rsidRPr="00107785">
        <w:rPr>
          <w:rStyle w:val="StyleUnderline"/>
        </w:rPr>
        <w:t xml:space="preserve">Legislators should reject alarmist </w:t>
      </w:r>
      <w:r w:rsidRPr="00353E98">
        <w:rPr>
          <w:rStyle w:val="StyleUnderline"/>
        </w:rPr>
        <w:t>calls that suggest we are on the verge of an Orwellian police state</w:t>
      </w:r>
      <w:r w:rsidRPr="00107785">
        <w:rPr>
          <w:sz w:val="16"/>
        </w:rPr>
        <w:t xml:space="preserve">.[73] In 1985, the ACLU argued in an amicus brief filed in California v. Ciraolo that police observation from an airplane was “invasive modern technology” and upholding the search of Ciraolo’s yard would “alter society’s very concept of privacy.” Later, in 1988, the ACLU argued in Florida v. Riley that allowing police surveillance by helicopter was “Orwellian” and “would expose all Americans, their homes and effects, to highly intrusive snooping by government agents...” </w:t>
      </w:r>
      <w:r w:rsidRPr="00107785">
        <w:rPr>
          <w:rStyle w:val="StyleUnderline"/>
        </w:rPr>
        <w:t>In a different context in 2004 (before the advent of the iPhone) police in Boston were going to use Blackberry phones to access public databases (the equivalent of Googling). Privacy advocates decried the use of these handheld phones as “mass scrutiny of the lives and activities of innocent people,” and “a violation of the core democratic principle that the government should not be permitted to violate a person’s privacy</w:t>
      </w:r>
      <w:r w:rsidRPr="00107785">
        <w:rPr>
          <w:sz w:val="16"/>
        </w:rPr>
        <w:t xml:space="preserve">, unless it has a reason to believe that he or she is involved in wrongdoing.”[74] </w:t>
      </w:r>
      <w:r w:rsidRPr="00107785">
        <w:rPr>
          <w:rStyle w:val="StyleUnderline"/>
        </w:rPr>
        <w:t>Reactionary claims such as these get the public’s attention and are easy to make, but have the predicted harms come true?</w:t>
      </w:r>
      <w:r>
        <w:rPr>
          <w:rStyle w:val="StyleUnderline"/>
        </w:rPr>
        <w:t xml:space="preserve"> </w:t>
      </w:r>
      <w:r w:rsidRPr="00107785">
        <w:rPr>
          <w:rStyle w:val="StyleUnderline"/>
        </w:rPr>
        <w:t>Is the sky truly falling?</w:t>
      </w:r>
      <w:r>
        <w:rPr>
          <w:rStyle w:val="StyleUnderline"/>
        </w:rPr>
        <w:t xml:space="preserve"> </w:t>
      </w:r>
      <w:r w:rsidRPr="00107785">
        <w:rPr>
          <w:rStyle w:val="StyleUnderline"/>
        </w:rPr>
        <w:t>We should be careful to not craft hasty legislation based on emotionally charged rhetoric.</w:t>
      </w:r>
      <w:r w:rsidRPr="00107785">
        <w:rPr>
          <w:sz w:val="16"/>
        </w:rPr>
        <w:t xml:space="preserve"> </w:t>
      </w:r>
      <w:r w:rsidRPr="000E21A5">
        <w:rPr>
          <w:rStyle w:val="StyleUnderline"/>
        </w:rPr>
        <w:t xml:space="preserve">Outright bans on the use of drones and broadly worded warrant requirements that function as the equivalent of an outright ban </w:t>
      </w:r>
      <w:r w:rsidRPr="00715ED5">
        <w:rPr>
          <w:rStyle w:val="Emphasis"/>
        </w:rPr>
        <w:t>do little to protect privacy or public safety</w:t>
      </w:r>
      <w:r w:rsidRPr="000E21A5">
        <w:rPr>
          <w:rStyle w:val="StyleUnderline"/>
        </w:rPr>
        <w:t xml:space="preserve"> and in some instances </w:t>
      </w:r>
      <w:r w:rsidRPr="00107785">
        <w:rPr>
          <w:rStyle w:val="Emphasis"/>
        </w:rPr>
        <w:t xml:space="preserve">will only serve to protect criminal wrongdoing. </w:t>
      </w:r>
      <w:r w:rsidRPr="00107785">
        <w:rPr>
          <w:sz w:val="16"/>
        </w:rPr>
        <w:t xml:space="preserve">Legislators should instead enact legislation that maintains the current balance between legitimate surveillance and individuals’ privacy rights. </w:t>
      </w:r>
      <w:r w:rsidRPr="00107785">
        <w:rPr>
          <w:rStyle w:val="StyleUnderline"/>
        </w:rPr>
        <w:t>The best way to achieve that goal is to follow a property centric approach</w:t>
      </w:r>
      <w:r w:rsidRPr="00107785">
        <w:rPr>
          <w:sz w:val="16"/>
        </w:rPr>
        <w:t>, coupled with limits on pervasive surveillance, enhanced transparency measures, and data protection procedures.</w:t>
      </w:r>
    </w:p>
    <w:p w:rsidR="00E072B3" w:rsidRDefault="00E072B3" w:rsidP="00E072B3"/>
    <w:p w:rsidR="00E072B3" w:rsidRDefault="00E072B3" w:rsidP="00E072B3"/>
    <w:p w:rsidR="007B6360" w:rsidRPr="007B6360" w:rsidRDefault="000201B0" w:rsidP="007B6360">
      <w:pPr>
        <w:pStyle w:val="Heading3"/>
      </w:pPr>
      <w:bookmarkStart w:id="60" w:name="_Toc424259135"/>
      <w:r>
        <w:lastRenderedPageBreak/>
        <w:t>A2: Warrants key to Accountability</w:t>
      </w:r>
      <w:bookmarkEnd w:id="60"/>
    </w:p>
    <w:p w:rsidR="007B6360" w:rsidRPr="007B6360" w:rsidRDefault="007B6360" w:rsidP="007B6360"/>
    <w:p w:rsidR="00E072B3" w:rsidRDefault="000201B0" w:rsidP="00AF1BF7">
      <w:pPr>
        <w:pStyle w:val="Heading4"/>
        <w:rPr>
          <w:rStyle w:val="StyleStyleBold12pt"/>
          <w:b/>
          <w:bCs w:val="0"/>
        </w:rPr>
      </w:pPr>
      <w:r>
        <w:rPr>
          <w:rStyle w:val="StyleStyleBold12pt"/>
          <w:b/>
          <w:bCs w:val="0"/>
        </w:rPr>
        <w:t xml:space="preserve">Requiring warrants is unnecessary – limitations on data collection and retention are sufficient to solve without destroying essential law enforcement tools.  </w:t>
      </w:r>
    </w:p>
    <w:p w:rsidR="007B6360" w:rsidRDefault="007B6360" w:rsidP="007B6360">
      <w:r>
        <w:t>*</w:t>
      </w:r>
      <w:r w:rsidR="000201B0">
        <w:t>**</w:t>
      </w:r>
      <w:r>
        <w:t>note: this is</w:t>
      </w:r>
      <w:r w:rsidR="000201B0">
        <w:t xml:space="preserve"> a re-underlining of</w:t>
      </w:r>
      <w:r>
        <w:t xml:space="preserve"> Yang evidence from the 1NC Crime Turn – don’t read it twice! </w:t>
      </w:r>
    </w:p>
    <w:p w:rsidR="007B6360" w:rsidRPr="007B6360" w:rsidRDefault="007B6360" w:rsidP="007B6360"/>
    <w:p w:rsidR="00E072B3" w:rsidRDefault="00E072B3" w:rsidP="00E072B3">
      <w:r w:rsidRPr="008475FA">
        <w:rPr>
          <w:rStyle w:val="StyleStyleBold12pt"/>
        </w:rPr>
        <w:t>Yang 2014</w:t>
      </w:r>
      <w:r>
        <w:t xml:space="preserve"> [Douglas, J.D., Boston University School of Law, 2014 | “BIG BROTHER'S GROWN WINGS: THE DOMESTIC PROLIFERATION OF DRONE SURVEILLANCE AND THE LAW'S RESPONSE,” The Boston University Public Interest Law Journal| 23 B.U. Pub. Int. L.J. 343]</w:t>
      </w:r>
    </w:p>
    <w:p w:rsidR="000201B0" w:rsidRDefault="000201B0" w:rsidP="00E072B3"/>
    <w:p w:rsidR="007B6360" w:rsidRDefault="007B6360" w:rsidP="007B6360">
      <w:pPr>
        <w:rPr>
          <w:sz w:val="16"/>
        </w:rPr>
      </w:pPr>
      <w:r w:rsidRPr="000201B0">
        <w:rPr>
          <w:sz w:val="16"/>
        </w:rPr>
        <w:t xml:space="preserve">The arrival of drones within United States airspace calls for the creation of a new judicial analysis and for the enactment of new bedrock principles in state and federal legislative bodies. Drone use should not be subject to a mere application of the current judicial framework because unmanned drones have the ability to negate the inherent weaknesses that current manned surveillance techniques possess, </w:t>
      </w:r>
      <w:hyperlink r:id="rId39" w:anchor="n211" w:history="1">
        <w:r w:rsidRPr="000201B0">
          <w:rPr>
            <w:rStyle w:val="Hyperlink"/>
            <w:sz w:val="16"/>
          </w:rPr>
          <w:t>n211</w:t>
        </w:r>
      </w:hyperlink>
      <w:r w:rsidRPr="000201B0">
        <w:rPr>
          <w:sz w:val="16"/>
        </w:rPr>
        <w:t xml:space="preserve"> much in the same way current surveillance techniques can perform tasks that previously required physical trespass.</w:t>
      </w:r>
      <w:hyperlink r:id="rId40" w:anchor="n212" w:history="1">
        <w:r w:rsidRPr="000201B0">
          <w:rPr>
            <w:rStyle w:val="Hyperlink"/>
            <w:sz w:val="16"/>
          </w:rPr>
          <w:t>n212</w:t>
        </w:r>
      </w:hyperlink>
      <w:r w:rsidRPr="000201B0">
        <w:rPr>
          <w:sz w:val="16"/>
        </w:rPr>
        <w:t xml:space="preserve"> Because drones are quieter, </w:t>
      </w:r>
      <w:hyperlink r:id="rId41" w:anchor="n213" w:history="1">
        <w:r w:rsidRPr="000201B0">
          <w:rPr>
            <w:rStyle w:val="Hyperlink"/>
            <w:sz w:val="16"/>
          </w:rPr>
          <w:t>n213</w:t>
        </w:r>
      </w:hyperlink>
      <w:r w:rsidRPr="000201B0">
        <w:rPr>
          <w:sz w:val="16"/>
        </w:rPr>
        <w:t xml:space="preserve"> smaller, </w:t>
      </w:r>
      <w:hyperlink r:id="rId42" w:anchor="n214" w:history="1">
        <w:r w:rsidRPr="000201B0">
          <w:rPr>
            <w:rStyle w:val="Hyperlink"/>
            <w:sz w:val="16"/>
          </w:rPr>
          <w:t>n214</w:t>
        </w:r>
      </w:hyperlink>
      <w:r w:rsidRPr="000201B0">
        <w:rPr>
          <w:sz w:val="16"/>
        </w:rPr>
        <w:t xml:space="preserve"> cheaper, </w:t>
      </w:r>
      <w:hyperlink r:id="rId43" w:anchor="n215" w:history="1">
        <w:r w:rsidRPr="000201B0">
          <w:rPr>
            <w:rStyle w:val="Hyperlink"/>
            <w:sz w:val="16"/>
          </w:rPr>
          <w:t>n215</w:t>
        </w:r>
      </w:hyperlink>
      <w:r w:rsidRPr="000201B0">
        <w:rPr>
          <w:sz w:val="16"/>
        </w:rPr>
        <w:t xml:space="preserve"> tireless, </w:t>
      </w:r>
      <w:hyperlink r:id="rId44" w:anchor="n216" w:history="1">
        <w:r w:rsidRPr="000201B0">
          <w:rPr>
            <w:rStyle w:val="Hyperlink"/>
            <w:sz w:val="16"/>
          </w:rPr>
          <w:t>n216</w:t>
        </w:r>
      </w:hyperlink>
      <w:r w:rsidRPr="000201B0">
        <w:rPr>
          <w:sz w:val="16"/>
        </w:rPr>
        <w:t xml:space="preserve"> and are more capable than traditional [*373] platforms of observation, </w:t>
      </w:r>
      <w:hyperlink r:id="rId45" w:anchor="n217" w:history="1">
        <w:r w:rsidRPr="000201B0">
          <w:rPr>
            <w:rStyle w:val="Hyperlink"/>
            <w:sz w:val="16"/>
          </w:rPr>
          <w:t>n217</w:t>
        </w:r>
      </w:hyperlink>
      <w:r w:rsidRPr="000201B0">
        <w:rPr>
          <w:sz w:val="16"/>
        </w:rPr>
        <w:t xml:space="preserve"> the legal standards by which they are tested must reflect these realities. Mere application of current law is inadequate because current law already struggles to keep up with technological change. </w:t>
      </w:r>
      <w:hyperlink r:id="rId46" w:anchor="n218" w:history="1">
        <w:r w:rsidRPr="000201B0">
          <w:rPr>
            <w:rStyle w:val="Hyperlink"/>
            <w:sz w:val="16"/>
          </w:rPr>
          <w:t>n218</w:t>
        </w:r>
      </w:hyperlink>
      <w:r w:rsidRPr="000201B0">
        <w:rPr>
          <w:sz w:val="16"/>
        </w:rPr>
        <w:t xml:space="preserve"> The legislature and Judiciary must not fall into Olmstead's trap of stubborn rigidity; these institutions must allow for "more flexibility to protect a broader concept of human dignity at a time when information technology [has] outstripped what property rights alone [can] protect." </w:t>
      </w:r>
      <w:hyperlink r:id="rId47" w:anchor="n219" w:history="1">
        <w:r w:rsidRPr="000201B0">
          <w:rPr>
            <w:rStyle w:val="Hyperlink"/>
            <w:sz w:val="16"/>
          </w:rPr>
          <w:t>n219</w:t>
        </w:r>
      </w:hyperlink>
      <w:r w:rsidRPr="000201B0">
        <w:rPr>
          <w:sz w:val="16"/>
        </w:rPr>
        <w:t xml:space="preserve"> Any new standard that courts and legislatures could reasonably be expected to apply must be grounded in law, reality, and logic. For the purposes of this Note's analysis, this Note will lay out a general proposition that </w:t>
      </w:r>
      <w:r w:rsidRPr="00F45CC6">
        <w:rPr>
          <w:rStyle w:val="Emphasis"/>
        </w:rPr>
        <w:t>using a warrant-focused scheme incorrectly addresses the privacy problem that drones present</w:t>
      </w:r>
      <w:r w:rsidRPr="000201B0">
        <w:rPr>
          <w:sz w:val="16"/>
        </w:rPr>
        <w:t xml:space="preserve">. Following this proposition, this Note will then recommend an alternative to the blanket </w:t>
      </w:r>
      <w:r w:rsidRPr="000201B0">
        <w:rPr>
          <w:b/>
          <w:bCs/>
          <w:sz w:val="16"/>
        </w:rPr>
        <w:t>warrant</w:t>
      </w:r>
      <w:r w:rsidRPr="000201B0">
        <w:rPr>
          <w:sz w:val="16"/>
        </w:rPr>
        <w:t xml:space="preserve"> requirement for </w:t>
      </w:r>
      <w:r w:rsidRPr="000201B0">
        <w:rPr>
          <w:b/>
          <w:bCs/>
          <w:sz w:val="16"/>
        </w:rPr>
        <w:t>drone</w:t>
      </w:r>
      <w:r w:rsidRPr="000201B0">
        <w:rPr>
          <w:sz w:val="16"/>
        </w:rPr>
        <w:t xml:space="preserve"> surveillance missions. B. Replacing the Blanket Warrant Requirement with Bright-Line Rules While popular among both state and federal legislative responses, </w:t>
      </w:r>
      <w:hyperlink r:id="rId48" w:anchor="n220" w:history="1">
        <w:r w:rsidRPr="000201B0">
          <w:rPr>
            <w:rStyle w:val="Hyperlink"/>
            <w:sz w:val="16"/>
            <w:vertAlign w:val="superscript"/>
          </w:rPr>
          <w:t>n220</w:t>
        </w:r>
      </w:hyperlink>
      <w:r w:rsidRPr="000201B0">
        <w:rPr>
          <w:sz w:val="16"/>
        </w:rPr>
        <w:t xml:space="preserve"> </w:t>
      </w:r>
      <w:r w:rsidRPr="00F45CC6">
        <w:rPr>
          <w:rStyle w:val="StyleUnderline"/>
        </w:rPr>
        <w:t>compelling a government entity</w:t>
      </w:r>
      <w:r w:rsidRPr="000201B0">
        <w:rPr>
          <w:sz w:val="16"/>
        </w:rPr>
        <w:t xml:space="preserve"> or agent </w:t>
      </w:r>
      <w:r w:rsidRPr="00F45CC6">
        <w:rPr>
          <w:rStyle w:val="StyleUnderline"/>
        </w:rPr>
        <w:t>to obtain a warrant before</w:t>
      </w:r>
      <w:r w:rsidRPr="000201B0">
        <w:rPr>
          <w:sz w:val="16"/>
        </w:rPr>
        <w:t xml:space="preserve"> allowing most </w:t>
      </w:r>
      <w:r w:rsidRPr="00F45CC6">
        <w:rPr>
          <w:rStyle w:val="StyleUnderline"/>
        </w:rPr>
        <w:t>drone surveillances mission</w:t>
      </w:r>
      <w:r w:rsidRPr="000201B0">
        <w:rPr>
          <w:sz w:val="16"/>
        </w:rPr>
        <w:t xml:space="preserve"> to take off </w:t>
      </w:r>
      <w:r w:rsidRPr="00F45CC6">
        <w:rPr>
          <w:rStyle w:val="StyleUnderline"/>
        </w:rPr>
        <w:t>prohibitively disadvantages government</w:t>
      </w:r>
      <w:r w:rsidRPr="000201B0">
        <w:rPr>
          <w:sz w:val="16"/>
        </w:rPr>
        <w:t xml:space="preserve"> [*374] </w:t>
      </w:r>
      <w:r w:rsidRPr="00F45CC6">
        <w:rPr>
          <w:rStyle w:val="StyleUnderline"/>
        </w:rPr>
        <w:t>drone use because such a broad requirement imprecisely applies the blunt force of a warrant's power.</w:t>
      </w:r>
      <w:r w:rsidRPr="000201B0">
        <w:rPr>
          <w:sz w:val="16"/>
        </w:rPr>
        <w:t xml:space="preserve"> Here, the inexact application of a broad restriction inevitably leads to an odd and unreasonable result: </w:t>
      </w:r>
      <w:r w:rsidRPr="00F45CC6">
        <w:rPr>
          <w:rStyle w:val="StyleUnderline"/>
        </w:rPr>
        <w:t>under a blanket warrant requirement scheme drones would be unable to perform, without a warrant, some of the same surveillance tasks from the same locations that helicopters and airplanes have been authorized to execute</w:t>
      </w:r>
      <w:r w:rsidRPr="000201B0">
        <w:rPr>
          <w:sz w:val="16"/>
        </w:rPr>
        <w:t xml:space="preserve"> without warrants for decades. </w:t>
      </w:r>
      <w:hyperlink r:id="rId49" w:anchor="n221" w:history="1">
        <w:r w:rsidRPr="000201B0">
          <w:rPr>
            <w:rStyle w:val="Hyperlink"/>
            <w:sz w:val="16"/>
            <w:vertAlign w:val="superscript"/>
          </w:rPr>
          <w:t>n221</w:t>
        </w:r>
      </w:hyperlink>
      <w:r w:rsidRPr="000201B0">
        <w:rPr>
          <w:sz w:val="16"/>
        </w:rPr>
        <w:t xml:space="preserve"> </w:t>
      </w:r>
      <w:r w:rsidRPr="00D712D9">
        <w:rPr>
          <w:rStyle w:val="StyleUnderline"/>
        </w:rPr>
        <w:t>Society should not simply hamstring drone use because of its "fear that rapidly advancing science and technology is making [surveillance] more and more effective</w:t>
      </w:r>
      <w:r w:rsidRPr="000201B0">
        <w:rPr>
          <w:sz w:val="16"/>
        </w:rPr>
        <w:t xml:space="preserve">." </w:t>
      </w:r>
      <w:hyperlink r:id="rId50" w:anchor="n222" w:history="1">
        <w:r w:rsidRPr="000201B0">
          <w:rPr>
            <w:rStyle w:val="Hyperlink"/>
            <w:sz w:val="16"/>
            <w:vertAlign w:val="superscript"/>
          </w:rPr>
          <w:t>n222</w:t>
        </w:r>
      </w:hyperlink>
      <w:r w:rsidRPr="000201B0">
        <w:rPr>
          <w:sz w:val="16"/>
        </w:rPr>
        <w:t xml:space="preserve"> Rather, there should balance a between legitimate government needs and society's privacy interest. </w:t>
      </w:r>
      <w:r w:rsidRPr="00D712D9">
        <w:rPr>
          <w:rStyle w:val="StyleUnderline"/>
        </w:rPr>
        <w:t>Instead of employing a blanket warrant requirement that overly burdens drone use,</w:t>
      </w:r>
      <w:r w:rsidRPr="000201B0">
        <w:rPr>
          <w:sz w:val="16"/>
        </w:rPr>
        <w:t xml:space="preserve"> </w:t>
      </w:r>
      <w:r w:rsidRPr="00F45CC6">
        <w:rPr>
          <w:rStyle w:val="StyleUnderline"/>
        </w:rPr>
        <w:t>legislatures should focus on bringing drones into parity with traditional forms of aerial surveillance</w:t>
      </w:r>
      <w:r w:rsidRPr="000201B0">
        <w:rPr>
          <w:sz w:val="16"/>
        </w:rPr>
        <w:t xml:space="preserve">, such as airplanes and helicopters. </w:t>
      </w:r>
      <w:r w:rsidRPr="000201B0">
        <w:rPr>
          <w:rStyle w:val="StyleUnderline"/>
        </w:rPr>
        <w:t>Rather than focus almost exclusively on methods applied, legislatures should also look to results attained: "what information does the government acquire as a result of making the observations?"</w:t>
      </w:r>
      <w:r w:rsidRPr="000201B0">
        <w:rPr>
          <w:sz w:val="16"/>
        </w:rPr>
        <w:t xml:space="preserve"> </w:t>
      </w:r>
      <w:hyperlink r:id="rId51" w:anchor="n223" w:history="1">
        <w:r w:rsidRPr="000201B0">
          <w:rPr>
            <w:rStyle w:val="Hyperlink"/>
            <w:sz w:val="16"/>
            <w:vertAlign w:val="superscript"/>
          </w:rPr>
          <w:t>n223</w:t>
        </w:r>
      </w:hyperlink>
      <w:r w:rsidRPr="000201B0">
        <w:rPr>
          <w:sz w:val="16"/>
        </w:rPr>
        <w:t xml:space="preserve"> This conception of privacy runs in tandem with the Supreme Court's line of opinions that look to the functional result of government action, including Justice Brandeis's dissent in Olmstead and the majority opinion in Katz. </w:t>
      </w:r>
      <w:hyperlink r:id="rId52" w:anchor="n224" w:history="1">
        <w:r w:rsidRPr="000201B0">
          <w:rPr>
            <w:rStyle w:val="Hyperlink"/>
            <w:sz w:val="16"/>
            <w:vertAlign w:val="superscript"/>
          </w:rPr>
          <w:t>n224</w:t>
        </w:r>
      </w:hyperlink>
      <w:r w:rsidRPr="000201B0">
        <w:rPr>
          <w:sz w:val="16"/>
        </w:rPr>
        <w:t xml:space="preserve"> However, abandoning a blanket warrant requirement does not necessary entail abandoning warrants altogether; the following Six Rules for </w:t>
      </w:r>
      <w:r w:rsidRPr="000201B0">
        <w:rPr>
          <w:b/>
          <w:bCs/>
          <w:sz w:val="16"/>
        </w:rPr>
        <w:t>Drone</w:t>
      </w:r>
      <w:r w:rsidRPr="000201B0">
        <w:rPr>
          <w:sz w:val="16"/>
        </w:rPr>
        <w:t xml:space="preserve"> Usage ("Rules") apply </w:t>
      </w:r>
      <w:r w:rsidRPr="000201B0">
        <w:rPr>
          <w:b/>
          <w:bCs/>
          <w:sz w:val="16"/>
        </w:rPr>
        <w:t>warrant</w:t>
      </w:r>
      <w:r w:rsidRPr="000201B0">
        <w:rPr>
          <w:sz w:val="16"/>
        </w:rPr>
        <w:t xml:space="preserve"> requirements in certain situations and scenarios.</w:t>
      </w:r>
    </w:p>
    <w:p w:rsidR="009A29F0" w:rsidRDefault="009A29F0" w:rsidP="007B6360">
      <w:pPr>
        <w:rPr>
          <w:sz w:val="16"/>
        </w:rPr>
      </w:pPr>
    </w:p>
    <w:p w:rsidR="009A29F0" w:rsidRPr="000201B0" w:rsidRDefault="009A29F0" w:rsidP="009A29F0">
      <w:pPr>
        <w:pStyle w:val="Heading2"/>
      </w:pPr>
      <w:bookmarkStart w:id="61" w:name="_Toc424259136"/>
      <w:r>
        <w:lastRenderedPageBreak/>
        <w:t>AFF</w:t>
      </w:r>
      <w:bookmarkEnd w:id="61"/>
    </w:p>
    <w:p w:rsidR="00F004C5" w:rsidRDefault="00F004C5" w:rsidP="00F004C5">
      <w:pPr>
        <w:pStyle w:val="Heading3"/>
        <w:rPr>
          <w:rStyle w:val="StyleStyleBold12pt"/>
          <w:b/>
        </w:rPr>
      </w:pPr>
      <w:bookmarkStart w:id="62" w:name="_Toc424259137"/>
      <w:r>
        <w:rPr>
          <w:rStyle w:val="StyleStyleBold12pt"/>
          <w:b/>
        </w:rPr>
        <w:lastRenderedPageBreak/>
        <w:t>Aff: Warrants key</w:t>
      </w:r>
      <w:bookmarkEnd w:id="62"/>
      <w:r>
        <w:rPr>
          <w:rStyle w:val="StyleStyleBold12pt"/>
          <w:b/>
        </w:rPr>
        <w:t xml:space="preserve"> </w:t>
      </w:r>
    </w:p>
    <w:p w:rsidR="00F004C5" w:rsidRPr="00B27954" w:rsidRDefault="00F004C5" w:rsidP="00AF1BF7">
      <w:pPr>
        <w:pStyle w:val="Heading4"/>
        <w:rPr>
          <w:rStyle w:val="StyleStyleBold12pt"/>
          <w:b/>
        </w:rPr>
      </w:pPr>
      <w:r w:rsidRPr="00B27954">
        <w:rPr>
          <w:rStyle w:val="StyleStyleBold12pt"/>
          <w:b/>
        </w:rPr>
        <w:t xml:space="preserve">Warrants provide regulations </w:t>
      </w:r>
    </w:p>
    <w:p w:rsidR="00F004C5" w:rsidRPr="00E2233B" w:rsidRDefault="00F004C5" w:rsidP="00F004C5">
      <w:pPr>
        <w:rPr>
          <w:rStyle w:val="StyleStyleBold12pt"/>
        </w:rPr>
      </w:pPr>
      <w:r w:rsidRPr="00A01D35">
        <w:rPr>
          <w:rStyle w:val="StyleStyleBold12pt"/>
        </w:rPr>
        <w:t>Morrison 13</w:t>
      </w:r>
      <w:r>
        <w:rPr>
          <w:rStyle w:val="StyleStyleBold12pt"/>
          <w:b w:val="0"/>
        </w:rPr>
        <w:t xml:space="preserve"> </w:t>
      </w:r>
      <w:r w:rsidRPr="00A01D35">
        <w:rPr>
          <w:rStyle w:val="StyleStyleBold12pt"/>
          <w:b w:val="0"/>
        </w:rPr>
        <w:t>(</w:t>
      </w:r>
      <w:r w:rsidRPr="00A01D35">
        <w:rPr>
          <w:rStyle w:val="StyleStyleBold12pt"/>
          <w:b w:val="0"/>
          <w:sz w:val="20"/>
        </w:rPr>
        <w:t>J.D., Columbia Law School Diploma in Journalism, Graduate Centre for Journalism, The City University, London, England B.A., Brown University)</w:t>
      </w:r>
      <w:r>
        <w:rPr>
          <w:rStyle w:val="StyleStyleBold12pt"/>
          <w:sz w:val="20"/>
        </w:rPr>
        <w:t xml:space="preserve"> </w:t>
      </w:r>
    </w:p>
    <w:p w:rsidR="00F004C5" w:rsidRPr="00E2233B" w:rsidRDefault="00F004C5" w:rsidP="00F004C5">
      <w:pPr>
        <w:rPr>
          <w:i/>
        </w:rPr>
      </w:pPr>
      <w:r>
        <w:t xml:space="preserve">(Caren Myers, 9/2/13, “DR. PANOPTICON, </w:t>
      </w:r>
      <w:r w:rsidRPr="00AE0CF3">
        <w:t>OR, HOW I LEARNED TO STOP WORRYING AND LOVE THE DRONE</w:t>
      </w:r>
      <w:r>
        <w:t>,”</w:t>
      </w:r>
      <w:r w:rsidRPr="00E2233B">
        <w:t xml:space="preserve"> </w:t>
      </w:r>
      <w:r w:rsidRPr="00E2233B">
        <w:rPr>
          <w:i/>
        </w:rPr>
        <w:t>Georgia State University College of Law</w:t>
      </w:r>
      <w:r>
        <w:rPr>
          <w:i/>
        </w:rPr>
        <w:t>)</w:t>
      </w:r>
    </w:p>
    <w:p w:rsidR="00F004C5" w:rsidRPr="00AE0CF3" w:rsidRDefault="00F004C5" w:rsidP="00F004C5">
      <w:pPr>
        <w:rPr>
          <w:sz w:val="16"/>
        </w:rPr>
      </w:pPr>
      <w:r w:rsidRPr="00AE0CF3">
        <w:rPr>
          <w:sz w:val="16"/>
        </w:rPr>
        <w:t xml:space="preserve">As described above, Fourth Amendment doctrine is ill-equipped to handle such universal surveillance. </w:t>
      </w:r>
      <w:r w:rsidRPr="00AE0CF3">
        <w:rPr>
          <w:rStyle w:val="StyleUnderline"/>
        </w:rPr>
        <w:t>The Fourth Amendment deals best with the particular, with articulable facts that can be sworn to by a police officer and detailed in an affidavit in support of a warrant.</w:t>
      </w:r>
      <w:r w:rsidRPr="00AE0CF3">
        <w:rPr>
          <w:sz w:val="16"/>
        </w:rPr>
        <w:t xml:space="preserve"> </w:t>
      </w:r>
      <w:r w:rsidRPr="00AE0CF3">
        <w:rPr>
          <w:rStyle w:val="StyleUnderline"/>
        </w:rPr>
        <w:t>Universal surveillance, by its nature, is not particularized.63 Neither probable cause nor reasonable suspicion fit easily onto the kind of surveillance that vacuums up everyone indiscriminately.</w:t>
      </w:r>
      <w:r w:rsidRPr="00AE0CF3">
        <w:rPr>
          <w:sz w:val="16"/>
        </w:rPr>
        <w:t xml:space="preserve">64 A different approach, therefore, may be to focus on how the information obtained is used, rather than on the fact of its collection.65 </w:t>
      </w:r>
      <w:r w:rsidRPr="00AE0CF3">
        <w:rPr>
          <w:rStyle w:val="StyleUnderline"/>
        </w:rPr>
        <w:t>Requiring a warrant, or some showing of justifiable cause, to search the database might be a better way to regulate investigations, particularly if pervasive surveillance becomes commonplace.</w:t>
      </w:r>
      <w:r w:rsidRPr="00AE0CF3">
        <w:rPr>
          <w:sz w:val="16"/>
        </w:rPr>
        <w:t>66 As one commentator argues, “[b]ias may still affect the manner in which data are organized and analysis prioritized, but it should at least be more evident than the personal choices of individual analysts. It will leave a trail.”67 Id.</w:t>
      </w:r>
    </w:p>
    <w:p w:rsidR="00B27954" w:rsidRDefault="00B27954" w:rsidP="00B27954">
      <w:pPr>
        <w:pStyle w:val="Heading3"/>
      </w:pPr>
      <w:bookmarkStart w:id="63" w:name="_Toc424259138"/>
      <w:r>
        <w:lastRenderedPageBreak/>
        <w:t>Aff: Warrants key</w:t>
      </w:r>
      <w:bookmarkEnd w:id="63"/>
    </w:p>
    <w:p w:rsidR="00B27954" w:rsidRDefault="00B27954" w:rsidP="00B27954"/>
    <w:p w:rsidR="00B27954" w:rsidRDefault="00B27954" w:rsidP="00AF1BF7">
      <w:pPr>
        <w:pStyle w:val="Heading4"/>
      </w:pPr>
      <w:r>
        <w:t>Warrants are crucial to privacy protection – the impact is racialized surveillance</w:t>
      </w:r>
    </w:p>
    <w:p w:rsidR="00B27954" w:rsidRPr="00B27954" w:rsidRDefault="00B27954" w:rsidP="00B27954"/>
    <w:p w:rsidR="00B27954" w:rsidRDefault="00B27954" w:rsidP="00B27954">
      <w:r w:rsidRPr="00A93316">
        <w:rPr>
          <w:rStyle w:val="StyleStyleBold12pt"/>
        </w:rPr>
        <w:t>Bernd, 2015</w:t>
      </w:r>
      <w:r>
        <w:t xml:space="preserve"> (Candice, “Drone Use Lack Police Warrant Requirement,” Truth Out, February 24, </w:t>
      </w:r>
      <w:hyperlink r:id="rId53" w:history="1">
        <w:r w:rsidRPr="00654E8A">
          <w:rPr>
            <w:rStyle w:val="Hyperlink"/>
          </w:rPr>
          <w:t>http://www.truth-out.org/news/item/29250-proposed-rules-regulating-domestic-drone-use-lack-police-warrant-requirement</w:t>
        </w:r>
      </w:hyperlink>
      <w:r>
        <w:t>)</w:t>
      </w:r>
    </w:p>
    <w:p w:rsidR="00B27954" w:rsidRPr="00FA3606" w:rsidRDefault="00B27954" w:rsidP="00B27954"/>
    <w:p w:rsidR="00B27954" w:rsidRPr="001D750B" w:rsidRDefault="00B27954" w:rsidP="00B27954">
      <w:pPr>
        <w:rPr>
          <w:rStyle w:val="StyleUnderline"/>
        </w:rPr>
      </w:pPr>
      <w:r w:rsidRPr="00974026">
        <w:rPr>
          <w:rStyle w:val="StyleUnderline"/>
        </w:rPr>
        <w:t>A crucial element that is missing from</w:t>
      </w:r>
      <w:r w:rsidRPr="00B27954">
        <w:rPr>
          <w:sz w:val="14"/>
        </w:rPr>
        <w:t xml:space="preserve"> the White House order and </w:t>
      </w:r>
      <w:r w:rsidRPr="00974026">
        <w:rPr>
          <w:rStyle w:val="StyleUnderline"/>
        </w:rPr>
        <w:t>proposed FAA rules</w:t>
      </w:r>
      <w:r w:rsidRPr="00B27954">
        <w:rPr>
          <w:sz w:val="14"/>
        </w:rPr>
        <w:t xml:space="preserve">, according to Guliani: </w:t>
      </w:r>
      <w:r w:rsidRPr="00974026">
        <w:rPr>
          <w:rStyle w:val="StyleUnderline"/>
        </w:rPr>
        <w:t>a warrant requirement for law enforcement officials seeking to deploy domestic drones for surveillance purposes</w:t>
      </w:r>
      <w:r w:rsidRPr="001D750B">
        <w:rPr>
          <w:rStyle w:val="StyleUnderline"/>
          <w:sz w:val="10"/>
          <w:szCs w:val="10"/>
        </w:rPr>
        <w:t>.</w:t>
      </w:r>
      <w:r w:rsidRPr="00B27954">
        <w:rPr>
          <w:sz w:val="14"/>
          <w:szCs w:val="10"/>
        </w:rPr>
        <w:t xml:space="preserve"> "The fact that [the memo] leaves that to the discretion of each agency could be a concern down the line if the agency decides not to adopt that requirement," Guliani said. Many state, federal agencies and corporations are already using domestic drones, with more than 80 law enforcement agencies having applied for a special "Certificate of Authorization" from the FAA to use UAS since 2008. While the White House directive is aimed at addressing federal agencies, many states are still grappling with how to regulate the use of domestic drones. More than a dozen states have enacted legislation regulating domestic drone use, while more than half of all states have introduced legislation regarding domestic drones, with a majority of those bills as well as already-enacted legislation requiring law enforcement agencies to obtain a probable cause warrant before a drone can be deployed. But in the states that have enacted legislation, the laws vary widely and establish inconsistent standards. States such as Texas, for example, restrict domestic drone use, but the legislation contains so many exemptions for law enforcement agencies the ACLU have called it "an outlier" in terms of protecting privacy. Meanwhile states such as Florida, Oregon, Illinois, Montana and Tennessee require a warrant for law enforcement use in nearly all cases. "That there are states that have looked at, and have adopted that warrant requirement, makes the omission in the presidential memo even more obvious," Guliani said.</w:t>
      </w:r>
      <w:r w:rsidRPr="00B27954">
        <w:rPr>
          <w:sz w:val="14"/>
        </w:rPr>
        <w:t xml:space="preserve"> </w:t>
      </w:r>
      <w:r w:rsidRPr="00974026">
        <w:rPr>
          <w:rStyle w:val="StyleUnderline"/>
        </w:rPr>
        <w:t>With no national legislation regulating domestic drone use, inconsistent and varying standards by which law enforcement agencies</w:t>
      </w:r>
      <w:r w:rsidRPr="00B27954">
        <w:rPr>
          <w:sz w:val="14"/>
        </w:rPr>
        <w:t xml:space="preserve"> and corporations </w:t>
      </w:r>
      <w:r w:rsidRPr="00974026">
        <w:rPr>
          <w:rStyle w:val="StyleUnderline"/>
        </w:rPr>
        <w:t>can deploy UAS in states, and the glaring omission of a warrant requirement</w:t>
      </w:r>
      <w:r w:rsidRPr="00B27954">
        <w:rPr>
          <w:sz w:val="14"/>
        </w:rPr>
        <w:t xml:space="preserve"> at this point in the White House's guidelines, </w:t>
      </w:r>
      <w:r w:rsidRPr="00974026">
        <w:rPr>
          <w:rStyle w:val="StyleUnderline"/>
        </w:rPr>
        <w:t>a dangerous loophole remains present in which law enforcement agencies</w:t>
      </w:r>
      <w:r w:rsidRPr="00B27954">
        <w:rPr>
          <w:sz w:val="14"/>
        </w:rPr>
        <w:t xml:space="preserve">, </w:t>
      </w:r>
      <w:r w:rsidRPr="00974026">
        <w:rPr>
          <w:rStyle w:val="StyleUnderline"/>
        </w:rPr>
        <w:t>and potentially corporations</w:t>
      </w:r>
      <w:r w:rsidRPr="00B27954">
        <w:rPr>
          <w:sz w:val="14"/>
        </w:rPr>
        <w:t xml:space="preserve">, in only a couple of years, </w:t>
      </w:r>
      <w:r w:rsidRPr="00974026">
        <w:rPr>
          <w:rStyle w:val="StyleUnderline"/>
        </w:rPr>
        <w:t>can deploy UAS in masse to conduct surveillance on civilians who have not been charged with any crime</w:t>
      </w:r>
      <w:r w:rsidRPr="00B27954">
        <w:rPr>
          <w:sz w:val="14"/>
        </w:rPr>
        <w:t xml:space="preserve">. But beyond the immediate concerns about domestic drone use, </w:t>
      </w:r>
      <w:r w:rsidRPr="00B27954">
        <w:rPr>
          <w:rStyle w:val="StyleStyleBold12pt"/>
          <w:sz w:val="14"/>
        </w:rPr>
        <w:t>when we look at how drones may be integrated with other forms of nascent police surveillance technology, an even more Orwellian picture of the future of domestic drones begins to emerge.</w:t>
      </w:r>
      <w:r w:rsidRPr="00B27954">
        <w:rPr>
          <w:sz w:val="14"/>
        </w:rPr>
        <w:t xml:space="preserve"> Drones That Can See Through Walls, Read Your Texts and Recognize Your Face With loopholes in national and state standards regulating UAS, </w:t>
      </w:r>
      <w:r w:rsidRPr="006D746C">
        <w:rPr>
          <w:rStyle w:val="StyleUnderline"/>
        </w:rPr>
        <w:t>law enforcement agencies could potentially be able to use invasive police surveillance technologies in conjunction with UAS to obtain information on large numbers of people that they otherwise wouldn't be able to obtain without a warrant.</w:t>
      </w:r>
      <w:r w:rsidRPr="00B27954">
        <w:rPr>
          <w:sz w:val="14"/>
        </w:rPr>
        <w:t xml:space="preserve"> </w:t>
      </w:r>
      <w:r w:rsidRPr="00B27954">
        <w:rPr>
          <w:sz w:val="14"/>
          <w:szCs w:val="10"/>
        </w:rPr>
        <w:t>"The fact that drones now have also been combining with other forms of technology creates even a larger privacy risk," Guliani says. "Imagine if there was a drone that was also combined with facial recognition technology. A drone flying overhead could identify large numbers of people and be tracking their movements." A leading manufacturer of the "StingRay" surveillance technology, used by federal agencies and municipal police departments alike to sweep up vast numbers of cell phone records from people who are simply in the radius of a targeted suspect, has already developed a kit to deploy the technology on aerial vehicles and unmanned aerial vehicles. This type of deployment may become the next logical step for the industry. The use of StingRay technology as it currently stands is already incredibly secretive, with police departments and manufacturers such as Harris Corporation concealing their use of the phone-tracking equipment from the courts through the use of non-disclosure agreements. The Department of Homeland Security's US Customs and Border Protection and the FBI already use planes and drones in areas that are more than 100 miles of the Mexican border to conduct aerial surveillance, and government agencies have been revealed to have been using Cessna planes outfitted with StingRay technology to track suspects. The FBI has been resistant to answer even lawmakers' questions about how many drones it operates and how often they are used. "It is both technologically possible and by no means a leap to imagine that once the FAA approves broader use of drones within the US by law enforcement, [law enforcement officials] may put StingRays on them," said Nathan Freed Wessler, a staff attorney with the ACLU's Speech, Privacy and Technology Project, and an expert on StingRay technology. UAS have also been outfitted with thermal sensing technologies to produce heat maps of people inside buildings. Other advocates worry if domestic drones are deployed as a platform for providing temporary internet service to consumers, it could potentially give corporate drone operators access to the internet data of those consumers and threaten net neutrality. "If internet companies were to deliver internet service in hard-to-reach places, which would be a good thing, would they then be collecting information in large quantities and would that information then be something that their contacts would then have access to?" asked Drew Mitnick who is junior policy counsel at Access, an organization dedicated to issues of internet freedom. It's questions like this that the National Telecommunications and Information Administration has been ordered by the White House to answer in a collaborative process, alongside civil society and industry groups, to develop guidelines for commercial drone use.</w:t>
      </w:r>
      <w:r w:rsidRPr="00B27954">
        <w:rPr>
          <w:sz w:val="14"/>
        </w:rPr>
        <w:t xml:space="preserve"> The ACLU's Guliani pointed out, however, that </w:t>
      </w:r>
      <w:r w:rsidRPr="001D750B">
        <w:rPr>
          <w:rStyle w:val="StyleUnderline"/>
        </w:rPr>
        <w:t>invasive forms of surveillance, especially police surveillance, often impact communities of color disproportionately, pointing to US Customs and Border Protections' ubiquitous use of drone surveillance in vast border regions impacting huge swaths of the populations that live in those areas.</w:t>
      </w:r>
      <w:r w:rsidRPr="00B27954">
        <w:rPr>
          <w:sz w:val="14"/>
        </w:rPr>
        <w:t xml:space="preserve"> </w:t>
      </w:r>
      <w:r w:rsidRPr="001D750B">
        <w:rPr>
          <w:rStyle w:val="StyleUnderline"/>
        </w:rPr>
        <w:t>"You're not just talking about the physical border, you're talking about an area that encompasses many major cities that have large minority populations</w:t>
      </w:r>
      <w:r w:rsidRPr="00B27954">
        <w:rPr>
          <w:sz w:val="14"/>
        </w:rPr>
        <w:t xml:space="preserve">, and the idea that these drones can be flown with little or no privacy protections really mean that, people, just by virtue of living in that region are somehow accepting that they have a right to less privacy," she said. </w:t>
      </w:r>
      <w:r w:rsidRPr="001D750B">
        <w:rPr>
          <w:rStyle w:val="StyleUnderline"/>
        </w:rPr>
        <w:t>African-American communities could well feel the disproportionate impacts of the integrated use of domestic drones and other surveillance in the coming years</w:t>
      </w:r>
      <w:r w:rsidRPr="00B27954">
        <w:rPr>
          <w:sz w:val="14"/>
        </w:rPr>
        <w:t xml:space="preserve">, as technologies such as StingRay are already being used mostly in the ongoing war on drugs to track those suspected of selling and buying drugs. The drug war has long negatively impacted communities of color, </w:t>
      </w:r>
      <w:r w:rsidRPr="00B27954">
        <w:rPr>
          <w:rStyle w:val="StyleStyleBold12pt"/>
          <w:sz w:val="14"/>
        </w:rPr>
        <w:t>based on racialized</w:t>
      </w:r>
      <w:r w:rsidRPr="00B27954">
        <w:rPr>
          <w:sz w:val="14"/>
        </w:rPr>
        <w:t xml:space="preserve"> drug </w:t>
      </w:r>
      <w:r w:rsidRPr="001D750B">
        <w:rPr>
          <w:rStyle w:val="StyleUnderline"/>
        </w:rPr>
        <w:t>policies and racial discrimination by law enforcement; two-thirds of all those convicted of drug crimes are people of color, despite similar rates of drug use among whites and people of color.</w:t>
      </w:r>
      <w:r w:rsidRPr="00B27954">
        <w:rPr>
          <w:sz w:val="14"/>
        </w:rPr>
        <w:t xml:space="preserve"> </w:t>
      </w:r>
      <w:r w:rsidRPr="001D750B">
        <w:rPr>
          <w:rStyle w:val="StyleUnderline"/>
        </w:rPr>
        <w:t xml:space="preserve">These already-existing racial disparities in intrusive policing tactics and deployment of surveillance technologies are one of </w:t>
      </w:r>
      <w:r w:rsidRPr="001D750B">
        <w:rPr>
          <w:rStyle w:val="StyleUnderline"/>
        </w:rPr>
        <w:lastRenderedPageBreak/>
        <w:t>the primary reasons civil liberties experts are saying the government often gets it backward when thinking about privacy issues: deploying intrusive technologies first, and coming up with privacy policies governing their use afterward (when they may already be violating many people's civil rights).</w:t>
      </w:r>
    </w:p>
    <w:p w:rsidR="00B27954" w:rsidRPr="00B36E29" w:rsidRDefault="00B27954" w:rsidP="00B27954"/>
    <w:p w:rsidR="00B27954" w:rsidRDefault="00B27954" w:rsidP="00B27954">
      <w:pPr>
        <w:pStyle w:val="Heading3"/>
      </w:pPr>
      <w:bookmarkStart w:id="64" w:name="_Toc424259139"/>
      <w:r>
        <w:lastRenderedPageBreak/>
        <w:t>Aff: Sense-enhanced technology bad</w:t>
      </w:r>
      <w:bookmarkEnd w:id="64"/>
    </w:p>
    <w:p w:rsidR="00B27954" w:rsidRDefault="00B27954" w:rsidP="00B27954"/>
    <w:p w:rsidR="00B27954" w:rsidRDefault="00B27954" w:rsidP="00AF1BF7">
      <w:pPr>
        <w:pStyle w:val="Heading4"/>
      </w:pPr>
      <w:r>
        <w:t>Thermal imaging technology is the cornerstone of drone surveillance – it creates regimes of temperature that facilitate border militarization</w:t>
      </w:r>
    </w:p>
    <w:p w:rsidR="00B27954" w:rsidRPr="00B27954" w:rsidRDefault="00B27954" w:rsidP="00B27954"/>
    <w:p w:rsidR="00B27954" w:rsidRDefault="00B27954" w:rsidP="00B27954">
      <w:r w:rsidRPr="009E40FF">
        <w:rPr>
          <w:rStyle w:val="StyleUnderline"/>
        </w:rPr>
        <w:t>Parks, 2014</w:t>
      </w:r>
      <w:r>
        <w:t xml:space="preserve"> (Lisa, UC Santa Barbara, “Drones, Infrared Imagery, and Body Heat,” International Journal of Communication 8, Feature 2518–2521)</w:t>
      </w:r>
    </w:p>
    <w:p w:rsidR="00B27954" w:rsidRPr="009E40FF" w:rsidRDefault="00B27954" w:rsidP="00B27954"/>
    <w:p w:rsidR="00B27954" w:rsidRPr="009E40FF" w:rsidRDefault="00B27954" w:rsidP="00B27954">
      <w:pPr>
        <w:rPr>
          <w:sz w:val="16"/>
        </w:rPr>
      </w:pPr>
      <w:r w:rsidRPr="009E40FF">
        <w:rPr>
          <w:sz w:val="16"/>
        </w:rPr>
        <w:t xml:space="preserve">For decades, planes and satellites have remotely sensed the earth’s surface, transforming objects and sites into temperature data. Over time, this data has been used to understand the thermal properties of material phenomena and to generate heat signatures for objects ranging from nuclear power plants to glaciers. </w:t>
      </w:r>
      <w:r w:rsidRPr="003C6FB2">
        <w:rPr>
          <w:rStyle w:val="StyleUnderline"/>
        </w:rPr>
        <w:t>Within this planetary regime, the earth has been codified as a set of absolute temperature values such that military strategists</w:t>
      </w:r>
      <w:r w:rsidRPr="009E40FF">
        <w:rPr>
          <w:sz w:val="16"/>
        </w:rPr>
        <w:t xml:space="preserve">, meteorologists, and earth scientists </w:t>
      </w:r>
      <w:r w:rsidRPr="003C6FB2">
        <w:rPr>
          <w:rStyle w:val="StyleUnderline"/>
        </w:rPr>
        <w:t>have built careers on</w:t>
      </w:r>
      <w:r w:rsidRPr="009E40FF">
        <w:rPr>
          <w:sz w:val="16"/>
        </w:rPr>
        <w:t xml:space="preserve"> perceived repetitions, </w:t>
      </w:r>
      <w:r w:rsidRPr="003C6FB2">
        <w:rPr>
          <w:rStyle w:val="StyleUnderline"/>
        </w:rPr>
        <w:t>variations</w:t>
      </w:r>
      <w:r w:rsidRPr="009E40FF">
        <w:rPr>
          <w:sz w:val="16"/>
        </w:rPr>
        <w:t xml:space="preserve">, and/or anomalies </w:t>
      </w:r>
      <w:r w:rsidRPr="003C6FB2">
        <w:rPr>
          <w:rStyle w:val="StyleUnderline"/>
        </w:rPr>
        <w:t>in these values. In the current world order, temperature taking</w:t>
      </w:r>
      <w:r w:rsidRPr="009E40FF">
        <w:rPr>
          <w:sz w:val="16"/>
        </w:rPr>
        <w:t xml:space="preserve"> usually </w:t>
      </w:r>
      <w:r w:rsidRPr="003C6FB2">
        <w:rPr>
          <w:rStyle w:val="StyleUnderline"/>
        </w:rPr>
        <w:t>precedes decision making, and officials have invested enormous faith in</w:t>
      </w:r>
      <w:r w:rsidRPr="009E40FF">
        <w:rPr>
          <w:sz w:val="16"/>
        </w:rPr>
        <w:t xml:space="preserve"> the capacities of sensing </w:t>
      </w:r>
      <w:r w:rsidRPr="003C6FB2">
        <w:rPr>
          <w:rStyle w:val="StyleUnderline"/>
        </w:rPr>
        <w:t>instruments tasked to “see” electromagnetic radiation</w:t>
      </w:r>
      <w:r w:rsidRPr="009E40FF">
        <w:rPr>
          <w:sz w:val="16"/>
        </w:rPr>
        <w:t xml:space="preserve"> that is imperceptible to humans. </w:t>
      </w:r>
      <w:r w:rsidRPr="003C6FB2">
        <w:rPr>
          <w:rStyle w:val="StyleUnderline"/>
        </w:rPr>
        <w:t>In recent years thermal infrared sensors have been loaded onto</w:t>
      </w:r>
      <w:r w:rsidRPr="009E40FF">
        <w:rPr>
          <w:sz w:val="16"/>
        </w:rPr>
        <w:t xml:space="preserve"> unmanned aerial vehicles or </w:t>
      </w:r>
      <w:r w:rsidRPr="003C6FB2">
        <w:rPr>
          <w:rStyle w:val="StyleUnderline"/>
        </w:rPr>
        <w:t>drones</w:t>
      </w:r>
      <w:r w:rsidRPr="009E40FF">
        <w:rPr>
          <w:sz w:val="16"/>
        </w:rPr>
        <w:t xml:space="preserve">, which fly at lower altitudes than planes and satellites and can hover over particular sites for extended periods, yielding high-resolution imagery. The Predator and Reaper drones used in U.S. counterterrorism and targeted killings are equipped with infrared sensors that enable remote pilots to monitor and track heat-bearing objects on the ground in real time. </w:t>
      </w:r>
      <w:r w:rsidRPr="00093061">
        <w:rPr>
          <w:rStyle w:val="StyleUnderline"/>
        </w:rPr>
        <w:t>As drones fly above territories, their instruments “see” through clouds and darkness and sense infrared radiation</w:t>
      </w:r>
      <w:r w:rsidRPr="009E40FF">
        <w:rPr>
          <w:sz w:val="16"/>
        </w:rPr>
        <w:t xml:space="preserve"> emitted from objects on the earth’s surface. Once this radiation is detected, it is encrypted and converted into data and transmitted to earth stations where it can be processed by computers and rendered as rasterized displays that correlate pixel qualities with temperature values. FLIR, one of the world’s largest manufacturers of infrared instruments, boasts that its infrared cameras are designed to “to show a thermal world not visible to the unaided eye</w:t>
      </w:r>
      <w:r w:rsidRPr="00093061">
        <w:rPr>
          <w:rStyle w:val="StyleUnderline"/>
        </w:rPr>
        <w:t>.” In addition to being used for general aerial reconnaissance, infrared imagery is used to monitor, track, and target</w:t>
      </w:r>
      <w:r w:rsidRPr="009E40FF">
        <w:rPr>
          <w:sz w:val="16"/>
        </w:rPr>
        <w:t>—or, in the parlance of U.S. special operations, to “find, fix, and finish”—</w:t>
      </w:r>
      <w:r w:rsidRPr="00093061">
        <w:rPr>
          <w:rStyle w:val="StyleUnderline"/>
        </w:rPr>
        <w:t>particular</w:t>
      </w:r>
      <w:r w:rsidRPr="009E40FF">
        <w:rPr>
          <w:sz w:val="16"/>
        </w:rPr>
        <w:t xml:space="preserve"> sites, objects, or </w:t>
      </w:r>
      <w:r w:rsidRPr="00093061">
        <w:rPr>
          <w:rStyle w:val="StyleUnderline"/>
        </w:rPr>
        <w:t>bodies</w:t>
      </w:r>
      <w:r w:rsidRPr="009E40FF">
        <w:rPr>
          <w:sz w:val="16"/>
        </w:rPr>
        <w:t xml:space="preserve"> on earth. In such contexts, </w:t>
      </w:r>
      <w:r w:rsidRPr="00093061">
        <w:rPr>
          <w:rStyle w:val="StyleUnderline"/>
        </w:rPr>
        <w:t>infrared imaging reorganizes the visual field as a hunt for heat, and the “drone stare” is fixed on heat-bearing objects such as</w:t>
      </w:r>
      <w:r w:rsidRPr="009E40FF">
        <w:rPr>
          <w:sz w:val="16"/>
        </w:rPr>
        <w:t xml:space="preserve"> guns, missiles, explosives, tanks, antiaircraft vehicles, trucks, power generators, and </w:t>
      </w:r>
      <w:r w:rsidRPr="00093061">
        <w:rPr>
          <w:rStyle w:val="StyleUnderline"/>
        </w:rPr>
        <w:t>people</w:t>
      </w:r>
      <w:r w:rsidRPr="009E40FF">
        <w:rPr>
          <w:sz w:val="16"/>
        </w:rPr>
        <w:t xml:space="preserve"> (Wall &amp; Monahan, 2011). During the past decade, infrared imagery has been used to locate and kill Osama bin Laden and Anwar al-Awlaki as well as thousands of alleged terrorists and civilians in Pakistan, Yemen, and Somalia. In the United States, </w:t>
      </w:r>
      <w:r w:rsidRPr="00664214">
        <w:rPr>
          <w:rStyle w:val="StyleUnderline"/>
        </w:rPr>
        <w:t>law enforcers have used airborne thermal infrared sensors to patrol U.S. borders, bolster urban and rural policing</w:t>
      </w:r>
      <w:r w:rsidRPr="009E40FF">
        <w:rPr>
          <w:sz w:val="16"/>
        </w:rPr>
        <w:t xml:space="preserve">, and find and apprehend Boston bombing suspect Dzhokhar Tsarnaev. In such situations, aerial systems are calibrated to detect and visualize infrared emissions such that human bodies pop out in the visual field as blotches of light or dark stasis or movement (depending on image processing selections). As such, </w:t>
      </w:r>
      <w:r w:rsidRPr="00664214">
        <w:rPr>
          <w:rStyle w:val="StyleUnderline"/>
        </w:rPr>
        <w:t>bodies are not only easier to see, but easier to track and target. Within this visual regime, surveillance practices are extended beyond epidermalization</w:t>
      </w:r>
      <w:r w:rsidRPr="009E40FF">
        <w:rPr>
          <w:sz w:val="16"/>
        </w:rPr>
        <w:t xml:space="preserve"> (Browne, 2010; Fanon, 1967), personal information gathering (Lyon, 2002), and biometrics (Gates, 2011) </w:t>
      </w:r>
      <w:r w:rsidRPr="00664214">
        <w:rPr>
          <w:rStyle w:val="StyleUnderline"/>
        </w:rPr>
        <w:t xml:space="preserve">as infrared imagery isolates suspects according to the heat waves emitted by their </w:t>
      </w:r>
      <w:r w:rsidRPr="00F0779F">
        <w:rPr>
          <w:rStyle w:val="StyleUnderline"/>
        </w:rPr>
        <w:t>bodies. While other systems of human differentiation and observation are organized around skin color</w:t>
      </w:r>
      <w:r w:rsidRPr="009E40FF">
        <w:rPr>
          <w:sz w:val="16"/>
        </w:rPr>
        <w:t xml:space="preserve">, personal data, and/or facial recognition, </w:t>
      </w:r>
      <w:r w:rsidRPr="00F0779F">
        <w:rPr>
          <w:rStyle w:val="StyleUnderline"/>
        </w:rPr>
        <w:t xml:space="preserve">aerial infrared imagery turns all bodies into indistinct human morphologies that cannot be differentiated according to conventional </w:t>
      </w:r>
      <w:r w:rsidRPr="009E40FF">
        <w:rPr>
          <w:sz w:val="16"/>
        </w:rPr>
        <w:t xml:space="preserve">visible light </w:t>
      </w:r>
      <w:r w:rsidRPr="00F0779F">
        <w:rPr>
          <w:rStyle w:val="StyleUnderline"/>
        </w:rPr>
        <w:t>indicators of gender, race, or class. Seeing according to temperature turns everyone into a potential suspect or target and has the effect of normalizing surveillance since all bodies appear similar beneath its gaze.</w:t>
      </w:r>
      <w:r w:rsidRPr="009E40FF">
        <w:rPr>
          <w:sz w:val="16"/>
        </w:rPr>
        <w:t xml:space="preserve"> At the same time, however, it is important to point out that temperature data have become visible precisely so that they can be made productive within existing regimes of power. </w:t>
      </w:r>
      <w:r w:rsidRPr="00A11597">
        <w:rPr>
          <w:rStyle w:val="StyleUnderline"/>
        </w:rPr>
        <w:t>Even as it displaces the visible light registers of ethnic/racial difference, drone-based infrared imagery reinforces already existing power hierarchies by monitoring and targeting certain territories and peoples—such as those</w:t>
      </w:r>
      <w:r w:rsidRPr="009E40FF">
        <w:rPr>
          <w:sz w:val="16"/>
        </w:rPr>
        <w:t xml:space="preserve"> in Pakistan, Yemen, Somalia and </w:t>
      </w:r>
      <w:r w:rsidRPr="00A11597">
        <w:rPr>
          <w:rStyle w:val="StyleUnderline"/>
        </w:rPr>
        <w:t>along the U.S.-Mexico border</w:t>
      </w:r>
      <w:r w:rsidRPr="009E40FF">
        <w:rPr>
          <w:sz w:val="16"/>
        </w:rPr>
        <w:t xml:space="preserve">—with greater frequency and potency. </w:t>
      </w:r>
      <w:r w:rsidRPr="00A11597">
        <w:rPr>
          <w:rStyle w:val="StyleUnderline"/>
        </w:rPr>
        <w:t>These areas are designated as geopolitical “hotspots” that need to be pre-emptively contained.</w:t>
      </w:r>
      <w:r w:rsidRPr="009E40FF">
        <w:rPr>
          <w:sz w:val="16"/>
        </w:rPr>
        <w:t xml:space="preserve"> Strategies of </w:t>
      </w:r>
      <w:r w:rsidRPr="00B83E95">
        <w:rPr>
          <w:rStyle w:val="StyleUnderline"/>
        </w:rPr>
        <w:t>ethnic/racial differentiation</w:t>
      </w:r>
      <w:r w:rsidRPr="009E40FF">
        <w:rPr>
          <w:sz w:val="16"/>
        </w:rPr>
        <w:t xml:space="preserve"> do not disappear within an aerial system of temperature-based visuality; rather, they </w:t>
      </w:r>
      <w:r w:rsidRPr="00B27954">
        <w:rPr>
          <w:rStyle w:val="StyleUnderline"/>
        </w:rPr>
        <w:t>are restructured along a vertical axis of power and recodified through systems of social sorting, remote sensing, and computational imaging</w:t>
      </w:r>
      <w:r w:rsidRPr="00B83E95">
        <w:rPr>
          <w:rStyle w:val="StyleStyleBold12pt"/>
        </w:rPr>
        <w:t>.</w:t>
      </w:r>
      <w:r w:rsidRPr="009E40FF">
        <w:rPr>
          <w:sz w:val="16"/>
        </w:rPr>
        <w:t xml:space="preserve"> Certain </w:t>
      </w:r>
      <w:r w:rsidRPr="00B83E95">
        <w:rPr>
          <w:rStyle w:val="StyleUnderline"/>
        </w:rPr>
        <w:t>peoples’ territories, movements, and profiles are scrutinized, tracked, and targeted from the air day after day</w:t>
      </w:r>
      <w:r w:rsidRPr="009E40FF">
        <w:rPr>
          <w:sz w:val="16"/>
        </w:rPr>
        <w:t xml:space="preserve">, month after month, year after year. </w:t>
      </w:r>
      <w:r w:rsidRPr="00B83E95">
        <w:rPr>
          <w:rStyle w:val="StyleUnderline"/>
        </w:rPr>
        <w:t xml:space="preserve">As drones circle above, they reorganize surveillance as the aerial harvesting of body heat and </w:t>
      </w:r>
      <w:r w:rsidRPr="00B83E95">
        <w:rPr>
          <w:rStyle w:val="StyleUnderline"/>
        </w:rPr>
        <w:lastRenderedPageBreak/>
        <w:t>movement, which not only alters peoples’ everyday dispositions to the sky, but also produces vertical affects such as intimidation, fear, rage, revenge, injury, and death. Surveillance</w:t>
      </w:r>
      <w:r w:rsidRPr="009E40FF">
        <w:rPr>
          <w:sz w:val="16"/>
        </w:rPr>
        <w:t xml:space="preserve">, then, </w:t>
      </w:r>
      <w:r w:rsidRPr="00B83E95">
        <w:rPr>
          <w:rStyle w:val="StyleUnderline"/>
        </w:rPr>
        <w:t>shifts from a system of decoding the visible markers of difference on individual bodies to one that uses body temperature data to differentially apply vertical administration.</w:t>
      </w:r>
      <w:r w:rsidRPr="009E40FF">
        <w:rPr>
          <w:sz w:val="16"/>
        </w:rPr>
        <w:t xml:space="preserve"> Perhaps </w:t>
      </w:r>
      <w:r w:rsidRPr="00B83E95">
        <w:rPr>
          <w:rStyle w:val="StyleUnderline"/>
        </w:rPr>
        <w:t>what the thermal image ultimately reveals is how deep the compulsions of</w:t>
      </w:r>
      <w:r w:rsidRPr="009E40FF">
        <w:rPr>
          <w:sz w:val="16"/>
        </w:rPr>
        <w:t xml:space="preserve"> extraction and </w:t>
      </w:r>
      <w:r w:rsidRPr="00B83E95">
        <w:rPr>
          <w:rStyle w:val="StyleUnderline"/>
        </w:rPr>
        <w:t>control run and how forcefully they need to be</w:t>
      </w:r>
      <w:r w:rsidRPr="009E40FF">
        <w:rPr>
          <w:sz w:val="16"/>
        </w:rPr>
        <w:t xml:space="preserve"> staged and </w:t>
      </w:r>
      <w:r w:rsidRPr="00B83E95">
        <w:rPr>
          <w:rStyle w:val="StyleUnderline"/>
        </w:rPr>
        <w:t>reasserted.</w:t>
      </w:r>
      <w:r w:rsidRPr="009E40FF">
        <w:rPr>
          <w:sz w:val="16"/>
        </w:rPr>
        <w:t xml:space="preserve"> Though infrared imagery encodes light or dark blotches as “hot,” it is important to point out that these images are not “heat photos.” They are computational images or data visualizations. As Alex Galloway explains, “any visualization of data must invent an artificial set of translation rules that convert abstract number to semiotic sign” (2012, p. 83). Because of this, he continues, “any data visualization is first and foremost a visualization of the conversion rules themselves, and only secondarily a visualization of the raw data” (ibid.). If this is true, what are we really looking at when viewing infrared imagery? The thermal image is not only a visualization of an algorithm (assuming this is what Galloway means by conversion rules); it can also be understood as rendering more macrolevel conversion rules such as the implicit mandate of science and militarism to transform the imperceptible into a rubric of human experience and the body into a target.</w:t>
      </w:r>
    </w:p>
    <w:p w:rsidR="00B27954" w:rsidRDefault="00B27954" w:rsidP="00B27954"/>
    <w:p w:rsidR="00B27954" w:rsidRDefault="00B27954" w:rsidP="00B27954">
      <w:pPr>
        <w:pStyle w:val="Heading3"/>
      </w:pPr>
      <w:bookmarkStart w:id="65" w:name="_Toc424259140"/>
      <w:r>
        <w:lastRenderedPageBreak/>
        <w:t>Aff: Sense-enhancing tech bad</w:t>
      </w:r>
      <w:bookmarkEnd w:id="65"/>
    </w:p>
    <w:p w:rsidR="00B27954" w:rsidRPr="00B27954" w:rsidRDefault="00B27954" w:rsidP="00B27954"/>
    <w:p w:rsidR="00B27954" w:rsidRDefault="00B27954" w:rsidP="00AF1BF7">
      <w:pPr>
        <w:pStyle w:val="Heading4"/>
      </w:pPr>
      <w:r>
        <w:t>Privacy protections don’t apply to sense-enhancing technology – new restrictions are needed</w:t>
      </w:r>
    </w:p>
    <w:p w:rsidR="00B27954" w:rsidRDefault="00B27954" w:rsidP="00B27954">
      <w:r w:rsidRPr="00B369D0">
        <w:rPr>
          <w:rStyle w:val="StyleStyleBold12pt"/>
        </w:rPr>
        <w:t>Schlag, 2013</w:t>
      </w:r>
      <w:r>
        <w:t xml:space="preserve"> (Chris, “The New Privacy Battle: How the Expanding Use of Drones Continues to Erode Our Concept of Privacy and Privacy Rights,” Journal of Technology Law &amp; Policy, Volume XIII – Spring 2013)</w:t>
      </w:r>
    </w:p>
    <w:p w:rsidR="00B27954" w:rsidRPr="00AA2246" w:rsidRDefault="00B27954" w:rsidP="00B27954"/>
    <w:p w:rsidR="00B27954" w:rsidRPr="00B27954" w:rsidRDefault="00B27954" w:rsidP="00B27954">
      <w:pPr>
        <w:rPr>
          <w:sz w:val="16"/>
        </w:rPr>
      </w:pPr>
      <w:r w:rsidRPr="00B27954">
        <w:rPr>
          <w:sz w:val="16"/>
        </w:rPr>
        <w:t xml:space="preserve">The essence of Fourth Amendment privacy protection arises out of the requirement that a search or seizure be “reasonable.” The main question then becomes: what exactly is reasonable? With issues of </w:t>
      </w:r>
      <w:r w:rsidRPr="00B27954">
        <w:rPr>
          <w:rStyle w:val="StyleStyleBold12pt"/>
          <w:sz w:val="16"/>
        </w:rPr>
        <w:t>emerging technologies,</w:t>
      </w:r>
      <w:r w:rsidRPr="00B27954">
        <w:rPr>
          <w:sz w:val="16"/>
        </w:rPr>
        <w:t xml:space="preserve"> the answer is not readily apparent. A significant problem that </w:t>
      </w:r>
      <w:r w:rsidRPr="005F198D">
        <w:rPr>
          <w:rStyle w:val="StyleUnderline"/>
        </w:rPr>
        <w:t>blur</w:t>
      </w:r>
      <w:r w:rsidRPr="00B27954">
        <w:rPr>
          <w:sz w:val="16"/>
        </w:rPr>
        <w:t xml:space="preserve">s </w:t>
      </w:r>
      <w:r w:rsidRPr="005F198D">
        <w:rPr>
          <w:rStyle w:val="StyleUnderline"/>
        </w:rPr>
        <w:t>the analysis of what is reasonable</w:t>
      </w:r>
      <w:r w:rsidRPr="00B27954">
        <w:rPr>
          <w:sz w:val="16"/>
        </w:rPr>
        <w:t xml:space="preserve"> is the prevalence and understanding of technology in society. In application, Katz’s reasonable expectation of privacy test leaves a significant gap between society’s understanding of existing technology and the technology’s availability for use.106 The Supreme Court even discussed this gap in Kyllo by emphasizing that because sense-enhancing technology used to peer inside the home was “not in general public use,” individuals could not have expected the technology to be used for that purpose.107 While the general public does not necessarily engage in drone use, drones can be purchased relatively easily.108 The public is also clearly aware of the military’s extensive use of drones.109 Applying the Katz test and Kyllo reasoning to the issue of domestic drone use, an important question surfaces: has the availability of drones for general use, combined with public knowledge of drone operation destroyed society’s privacy expectations to the degree that individuals have no reasonable expectation of privacy from drone surveillance? </w:t>
      </w:r>
      <w:r w:rsidRPr="00B27954">
        <w:rPr>
          <w:rStyle w:val="StyleUnderline"/>
        </w:rPr>
        <w:t>The largest privacy concern arising out of drone use is the drone’s ability to operate as a powerful, inconspicuous, and autonomous surveillance tool. Just as the sense-enhancing technology in Kyllo was used to peer through walls,</w:t>
      </w:r>
      <w:r w:rsidRPr="0022373A">
        <w:rPr>
          <w:rStyle w:val="StyleUnderline"/>
        </w:rPr>
        <w:t xml:space="preserve"> UAVs can be easily modified to carry high-megapixel cameras, infrared cameras, and thermal imaging; thereby making a wall completely inconsequential.</w:t>
      </w:r>
      <w:r w:rsidRPr="00B27954">
        <w:rPr>
          <w:sz w:val="16"/>
        </w:rPr>
        <w:t xml:space="preserve">110 As these technologies are not necessarily in general public use, law enforcement’s use of them would likely trigger Fourth Amendment protections under Kyllo. 111 However, because the general public can actually purchase the technology relatively easily, drone technology may be considered more pervasive then originally believed.112 Furthermore, even if drones cannot be used to obtain information about a person’s in-home activities, surveillance drones flying in open view or in public airspace would likely not be protected under the Fourth Amendment, because the Supreme Court has already said there is no reasonable expectation of privacy in these areas.113 Similarly, </w:t>
      </w:r>
      <w:r w:rsidRPr="006514FB">
        <w:rPr>
          <w:rStyle w:val="StyleUnderline"/>
        </w:rPr>
        <w:t>use of drones equipped with</w:t>
      </w:r>
      <w:r w:rsidRPr="00B27954">
        <w:rPr>
          <w:sz w:val="16"/>
        </w:rPr>
        <w:t xml:space="preserve"> low-powered cameras or other unsophisticated </w:t>
      </w:r>
      <w:r w:rsidRPr="006514FB">
        <w:rPr>
          <w:rStyle w:val="StyleUnderline"/>
        </w:rPr>
        <w:t>technology for surveillance purposes would also not raise privacy concerns under the Fourth Amendment, as items in “plain view” do not trigger privacy protection.</w:t>
      </w:r>
      <w:r w:rsidRPr="00B27954">
        <w:rPr>
          <w:sz w:val="16"/>
        </w:rPr>
        <w:t xml:space="preserve">114 The inconspicuous, efficient, and cheap surveillance method that drones provide raises a very similar issue to that seen in United States v. Jones. In Jones, the Supreme Court expressed concern over the availability and reduced pricing of GPS monitoring, which would allow for easier GPS tracking of individuals without their knowledge.115 Drones also provide long-term GPS capabilities that can be performed without actually coming in contact with an individual’s person or property.116 Furthermore, </w:t>
      </w:r>
      <w:r w:rsidRPr="00B27954">
        <w:rPr>
          <w:rStyle w:val="StyleUnderline"/>
        </w:rPr>
        <w:t>drones pose a huge concern to individual privacy rights because drones are inexpensive, come equipped with real-time recording, and various types of cameras; drone surveillance permits the collection of intimate and detailed information about an individual.117 Left unrestrained, drone technology will develop faster than a sufficiently controlling framework can effectively manage, and take advantage of unsuspecting individuals. Equipped with cameras,</w:t>
      </w:r>
      <w:r w:rsidRPr="00B27954">
        <w:rPr>
          <w:sz w:val="16"/>
        </w:rPr>
        <w:t xml:space="preserve"> GPS tracking, targeting, video surveillance, endurance scoping, </w:t>
      </w:r>
      <w:r w:rsidRPr="00B27954">
        <w:rPr>
          <w:rStyle w:val="StyleUnderline"/>
        </w:rPr>
        <w:t>infrared networking, and satellite positioning, drones can obtain pictures, videos, technological transfers,118 and more, all without the knowledge of the individual.</w:t>
      </w:r>
      <w:r w:rsidRPr="00B27954">
        <w:rPr>
          <w:sz w:val="16"/>
        </w:rPr>
        <w:t xml:space="preserve">119 As many Americans are unaware of changing drone technology use and applications in the United States, they can hardly have formulated sufficient protections to potential privacy invasions that could result from drone use. </w:t>
      </w:r>
    </w:p>
    <w:p w:rsidR="00F004C5" w:rsidRDefault="00F004C5" w:rsidP="00F004C5"/>
    <w:p w:rsidR="000212E8" w:rsidRDefault="000212E8" w:rsidP="000212E8">
      <w:pPr>
        <w:pStyle w:val="Heading1"/>
      </w:pPr>
      <w:bookmarkStart w:id="66" w:name="_Toc424259141"/>
      <w:r>
        <w:lastRenderedPageBreak/>
        <w:t>Behavior Pattern Recognition / TSA</w:t>
      </w:r>
      <w:bookmarkEnd w:id="66"/>
    </w:p>
    <w:p w:rsidR="009A29F0" w:rsidRPr="009A29F0" w:rsidRDefault="009A29F0" w:rsidP="009A29F0">
      <w:pPr>
        <w:pStyle w:val="Heading2"/>
      </w:pPr>
      <w:bookmarkStart w:id="67" w:name="_Toc424259142"/>
      <w:r>
        <w:lastRenderedPageBreak/>
        <w:t>NEG</w:t>
      </w:r>
      <w:bookmarkEnd w:id="67"/>
    </w:p>
    <w:p w:rsidR="000212E8" w:rsidRPr="00F2746C" w:rsidRDefault="000212E8" w:rsidP="00F2746C"/>
    <w:p w:rsidR="00867568" w:rsidRDefault="00867568" w:rsidP="00867568">
      <w:pPr>
        <w:pStyle w:val="Heading3"/>
      </w:pPr>
      <w:bookmarkStart w:id="68" w:name="_Toc424259143"/>
      <w:r>
        <w:lastRenderedPageBreak/>
        <w:t>Reform BPR 1NC Shell</w:t>
      </w:r>
      <w:bookmarkEnd w:id="68"/>
      <w:r>
        <w:t xml:space="preserve"> </w:t>
      </w:r>
    </w:p>
    <w:p w:rsidR="00867568" w:rsidRDefault="00867568" w:rsidP="00867568"/>
    <w:p w:rsidR="00356BC3" w:rsidRPr="00893228" w:rsidRDefault="00867568" w:rsidP="00AF1BF7">
      <w:pPr>
        <w:pStyle w:val="Heading4"/>
      </w:pPr>
      <w:r>
        <w:t xml:space="preserve">The United States federal government should </w:t>
      </w:r>
      <w:r w:rsidR="00356BC3">
        <w:t>reform</w:t>
      </w:r>
      <w:r>
        <w:t xml:space="preserve"> the Transportation Security Administration’s use of Behavioral Pattern Recognition </w:t>
      </w:r>
      <w:r w:rsidR="00356BC3">
        <w:t xml:space="preserve">by instituting baseline staff hiring and training standards as well as enhanced training programs for Behavior Detection Officers. </w:t>
      </w:r>
    </w:p>
    <w:p w:rsidR="00356BC3" w:rsidRPr="00AC7483" w:rsidRDefault="00356BC3" w:rsidP="00356BC3">
      <w:pPr>
        <w:rPr>
          <w:rStyle w:val="StyleUnderline"/>
        </w:rPr>
      </w:pPr>
    </w:p>
    <w:p w:rsidR="00867568" w:rsidRDefault="00356BC3" w:rsidP="00AF1BF7">
      <w:pPr>
        <w:pStyle w:val="Heading4"/>
      </w:pPr>
      <w:r>
        <w:t>Hiring and training reforms are key to revamp the US BPR program and solve for racial bias.</w:t>
      </w:r>
    </w:p>
    <w:p w:rsidR="00356BC3" w:rsidRPr="00356BC3" w:rsidRDefault="00356BC3" w:rsidP="00356BC3"/>
    <w:p w:rsidR="00356BC3" w:rsidRPr="00B91818" w:rsidRDefault="00356BC3" w:rsidP="00356BC3">
      <w:pPr>
        <w:rPr>
          <w:rStyle w:val="StyleStyleBold12pt"/>
          <w:b w:val="0"/>
        </w:rPr>
      </w:pPr>
      <w:r w:rsidRPr="00B91818">
        <w:rPr>
          <w:rStyle w:val="StyleStyleBold12pt"/>
        </w:rPr>
        <w:t>Cotton</w:t>
      </w:r>
      <w:r>
        <w:rPr>
          <w:rStyle w:val="StyleStyleBold12pt"/>
        </w:rPr>
        <w:t xml:space="preserve"> 15</w:t>
      </w:r>
      <w:r w:rsidRPr="00B91818">
        <w:rPr>
          <w:rStyle w:val="StyleStyleBold12pt"/>
        </w:rPr>
        <w:t xml:space="preserve"> </w:t>
      </w:r>
      <w:r>
        <w:rPr>
          <w:rStyle w:val="StyleStyleBold12pt"/>
          <w:b w:val="0"/>
        </w:rPr>
        <w:t>(</w:t>
      </w:r>
      <w:r w:rsidRPr="00B91818">
        <w:rPr>
          <w:rStyle w:val="StyleStyleBold12pt"/>
          <w:b w:val="0"/>
        </w:rPr>
        <w:t>Transportation Security Specialist</w:t>
      </w:r>
      <w:r>
        <w:rPr>
          <w:rStyle w:val="StyleStyleBold12pt"/>
          <w:b w:val="0"/>
        </w:rPr>
        <w:t>)</w:t>
      </w:r>
    </w:p>
    <w:p w:rsidR="00356BC3" w:rsidRPr="00B91818" w:rsidRDefault="00356BC3" w:rsidP="00356BC3">
      <w:pPr>
        <w:rPr>
          <w:i/>
        </w:rPr>
      </w:pPr>
      <w:r>
        <w:t>(</w:t>
      </w:r>
      <w:r w:rsidRPr="00B91818">
        <w:t>Brent A</w:t>
      </w:r>
      <w:r>
        <w:t>.,</w:t>
      </w:r>
      <w:r w:rsidRPr="00B91818">
        <w:t xml:space="preserve"> March 2015</w:t>
      </w:r>
      <w:r>
        <w:t>, “</w:t>
      </w:r>
      <w:r w:rsidRPr="00B91818">
        <w:t>STRATEGIC IMPROVEMENTS TO TSA SPOT PROGRAM</w:t>
      </w:r>
      <w:r>
        <w:t xml:space="preserve">,” </w:t>
      </w:r>
      <w:r w:rsidRPr="00B91818">
        <w:rPr>
          <w:i/>
        </w:rPr>
        <w:t>NAVAL POSTGRADUATE SCHOOL</w:t>
      </w:r>
      <w:r>
        <w:rPr>
          <w:i/>
        </w:rPr>
        <w:t>)</w:t>
      </w:r>
    </w:p>
    <w:p w:rsidR="00356BC3" w:rsidRPr="00B91818" w:rsidRDefault="00356BC3" w:rsidP="00356BC3"/>
    <w:p w:rsidR="00356BC3" w:rsidRDefault="00356BC3" w:rsidP="00356BC3">
      <w:pPr>
        <w:rPr>
          <w:sz w:val="16"/>
        </w:rPr>
      </w:pPr>
      <w:r w:rsidRPr="00B91818">
        <w:rPr>
          <w:rStyle w:val="StyleUnderline"/>
        </w:rPr>
        <w:t>The TSA SPOT program must continue to evolve, as it is one of the few layers that provide a real time threat assessment outside of the known technology countermeasures</w:t>
      </w:r>
      <w:r w:rsidRPr="00B91818">
        <w:rPr>
          <w:sz w:val="16"/>
        </w:rPr>
        <w:t xml:space="preserve">. </w:t>
      </w:r>
      <w:r w:rsidRPr="00B91818">
        <w:rPr>
          <w:rStyle w:val="StyleUnderline"/>
        </w:rPr>
        <w:t>Adversaries are constantly studying the TSA’s countermeasures and are exploring mechanisms and concealment techniques to defeat them; however, it is far more difficult for terrorists to conceal their involuntary emotional, physiological, and physical responses that will occur while engaged in high-stakes deception</w:t>
      </w:r>
      <w:r w:rsidRPr="00B91818">
        <w:rPr>
          <w:sz w:val="16"/>
        </w:rPr>
        <w:t>. While</w:t>
      </w:r>
      <w:r w:rsidRPr="00B91818">
        <w:rPr>
          <w:rStyle w:val="StyleUnderline"/>
        </w:rPr>
        <w:t xml:space="preserve"> the TSA</w:t>
      </w:r>
      <w:r w:rsidRPr="00B91818">
        <w:rPr>
          <w:sz w:val="16"/>
        </w:rPr>
        <w:t xml:space="preserve"> should continue to pursue the basic corrective action needed to fulfill the GAO and OIG recommendations, it </w:t>
      </w:r>
      <w:r w:rsidRPr="00B91818">
        <w:rPr>
          <w:rStyle w:val="StyleUnderline"/>
        </w:rPr>
        <w:t>should also be considering</w:t>
      </w:r>
      <w:r w:rsidRPr="00B91818">
        <w:rPr>
          <w:sz w:val="16"/>
        </w:rPr>
        <w:t xml:space="preserve"> the strategic direction of the SPOT program, including</w:t>
      </w:r>
      <w:r w:rsidRPr="00B91818">
        <w:rPr>
          <w:rStyle w:val="StyleUnderline"/>
        </w:rPr>
        <w:t xml:space="preserve"> how to improve effectiveness and defensibility to make SPOT a legitimate, contributing, aviation security program.</w:t>
      </w:r>
      <w:r w:rsidRPr="00B91818">
        <w:rPr>
          <w:sz w:val="16"/>
        </w:rPr>
        <w:t xml:space="preserve"> Considering creative solutions to complex problems aligns with the TSA’s commitment to becoming a high performing organization. This most revealing part of this study is the inconclusive and controversial nature of the academic literature in this field. Essentially, no literature evaluating behavior detection in totality is available; the majority of the literature focuses on lie detection in an interview setting, or deception detecting with similar experiment conditions. Additionally, this study finds the academic literature in this field to be too dependent on studies using only trivial lies and unmotivated lie tellers as experiment conditions and test participants. Conclusions about SPOT should not be drawn from academic research relying on these conditions.  While this field of study collectively acknowledges the limitations of the experiment conditions, more research in the field of high-stakes lies and deception detection in an airport environment is needed to make conclusive claims about TSA SPOT.</w:t>
      </w:r>
      <w:r w:rsidRPr="00B91818">
        <w:rPr>
          <w:rStyle w:val="StyleUnderline"/>
        </w:rPr>
        <w:t xml:space="preserve"> </w:t>
      </w:r>
      <w:r w:rsidRPr="00B91818">
        <w:rPr>
          <w:sz w:val="16"/>
        </w:rPr>
        <w:t>Areas in which the literature is in general agreement are: 1) verbal and non-verbal cues to deception do exist, 2) no “Pinocchio’s nose” telltale indicator of deception exists, 3) deception can be easier or more difficult to detect depending on the skill of the liar, 4) high-stakes lies may be easier to detect than trivial lies due to the powerful emotions associated with a motivated lie, 5) cues to deception may be more evident during personal lies, and 6) lie catchers can be trained to elicit indicators from liars by increasing their cognitive load</w:t>
      </w:r>
      <w:r w:rsidRPr="00B91818">
        <w:rPr>
          <w:rStyle w:val="StyleUnderline"/>
        </w:rPr>
        <w:t>.</w:t>
      </w:r>
      <w:r w:rsidRPr="00B91818">
        <w:rPr>
          <w:sz w:val="16"/>
        </w:rPr>
        <w:t xml:space="preserve">  </w:t>
      </w:r>
      <w:r w:rsidRPr="00B91818">
        <w:rPr>
          <w:rStyle w:val="StyleUnderline"/>
        </w:rPr>
        <w:t xml:space="preserve">This study concludes that SPOT is a valuable layer of aviation security, but needs to be evolving with the academic research and enhancing their capabilities as more is learned about the science. </w:t>
      </w:r>
      <w:r w:rsidRPr="00B91818">
        <w:rPr>
          <w:sz w:val="16"/>
        </w:rPr>
        <w:t xml:space="preserve">The GAO, OIG, and now this thesis, have analyzed SPOT with similar findings. The strategic shifts recommended in this thesis align with the TSA’s current efforts to become a more effective and efficient organization, and are intended to address the strategic gaps of the program. The TSA should consider major changes to SPOT to improve the security value and provide credibility and defensibility to this misunderstood program. </w:t>
      </w:r>
      <w:r w:rsidRPr="00B91818">
        <w:rPr>
          <w:rStyle w:val="StyleUnderline"/>
        </w:rPr>
        <w:t>A summary of the recommendations is provided as follows.  • Establish an operational baseline performance metric for existing BDOs using arrests/prohibited item to referral ratio.  • Develop hiring criteria based on a study of psychometric and other attributes of high performing BDOs.  • Place additional hiring emphasis on candidates possessing program-enhancing characteristics, such as language skills and cultural competency/background.  • Conduct all SPOT training at FLETC using established procedures.  • Revise SPOT curriculum to include explanation of TSA authority, cultural, political, and socioeconomic variables that affect a person’s behavior, and how personal biases affect response to those variables. • Offer advanced training classes in areas that will add value at the checkpoint, as well as offer career advancement opportunities for the BDOs (by collecting and demonstrating proficiency in advanced training areas).  • Collaborate with agencies training spy craft or undercover techniques to test BDOs covertly or overtly.</w:t>
      </w:r>
      <w:r w:rsidRPr="00B91818">
        <w:rPr>
          <w:sz w:val="16"/>
        </w:rPr>
        <w:t xml:space="preserve">  </w:t>
      </w:r>
      <w:r w:rsidRPr="00B91818">
        <w:rPr>
          <w:rStyle w:val="StyleUnderline"/>
        </w:rPr>
        <w:t>It is imperative that the TSA continue to develop the SPOT program to maintain a threat agnostic and unpredictable layer difficult for adversaries to “game</w:t>
      </w:r>
      <w:r w:rsidRPr="00B91818">
        <w:rPr>
          <w:sz w:val="16"/>
        </w:rPr>
        <w:t xml:space="preserve">.” </w:t>
      </w:r>
    </w:p>
    <w:p w:rsidR="00356BC3" w:rsidRPr="00B91818" w:rsidRDefault="00356BC3" w:rsidP="00356BC3">
      <w:pPr>
        <w:rPr>
          <w:sz w:val="16"/>
        </w:rPr>
      </w:pPr>
    </w:p>
    <w:p w:rsidR="00356BC3" w:rsidRDefault="00356BC3" w:rsidP="00356BC3"/>
    <w:p w:rsidR="00356BC3" w:rsidRDefault="00356BC3" w:rsidP="00356BC3"/>
    <w:p w:rsidR="00356BC3" w:rsidRDefault="00356BC3" w:rsidP="00356BC3">
      <w:pPr>
        <w:pStyle w:val="Heading3"/>
      </w:pPr>
      <w:bookmarkStart w:id="69" w:name="_Toc424259144"/>
      <w:r>
        <w:lastRenderedPageBreak/>
        <w:t>Solvency – Hiring Reforms</w:t>
      </w:r>
      <w:bookmarkEnd w:id="69"/>
    </w:p>
    <w:p w:rsidR="00356BC3" w:rsidRPr="00756AD2" w:rsidRDefault="00356BC3" w:rsidP="00356BC3"/>
    <w:p w:rsidR="00356BC3" w:rsidRDefault="00356BC3" w:rsidP="00AF1BF7">
      <w:pPr>
        <w:pStyle w:val="Heading4"/>
      </w:pPr>
      <w:r>
        <w:t>New hiring criteria would make BPR more successful in detecting and stopping terrorist threats</w:t>
      </w:r>
    </w:p>
    <w:p w:rsidR="00356BC3" w:rsidRPr="00867568" w:rsidRDefault="00356BC3" w:rsidP="00356BC3"/>
    <w:p w:rsidR="00356BC3" w:rsidRPr="00B91818" w:rsidRDefault="00356BC3" w:rsidP="00356BC3">
      <w:pPr>
        <w:rPr>
          <w:rStyle w:val="StyleStyleBold12pt"/>
          <w:b w:val="0"/>
        </w:rPr>
      </w:pPr>
      <w:r w:rsidRPr="00B91818">
        <w:rPr>
          <w:rStyle w:val="StyleStyleBold12pt"/>
        </w:rPr>
        <w:t>Cotton</w:t>
      </w:r>
      <w:r>
        <w:rPr>
          <w:rStyle w:val="StyleStyleBold12pt"/>
        </w:rPr>
        <w:t xml:space="preserve"> 15</w:t>
      </w:r>
      <w:r w:rsidRPr="00B91818">
        <w:rPr>
          <w:rStyle w:val="StyleStyleBold12pt"/>
        </w:rPr>
        <w:t xml:space="preserve"> </w:t>
      </w:r>
      <w:r>
        <w:rPr>
          <w:rStyle w:val="StyleStyleBold12pt"/>
          <w:b w:val="0"/>
        </w:rPr>
        <w:t>(</w:t>
      </w:r>
      <w:r w:rsidRPr="00B91818">
        <w:rPr>
          <w:rStyle w:val="StyleStyleBold12pt"/>
          <w:b w:val="0"/>
        </w:rPr>
        <w:t>Transportation Security Specialist</w:t>
      </w:r>
      <w:r>
        <w:rPr>
          <w:rStyle w:val="StyleStyleBold12pt"/>
          <w:b w:val="0"/>
        </w:rPr>
        <w:t>)</w:t>
      </w:r>
    </w:p>
    <w:p w:rsidR="00356BC3" w:rsidRPr="00B91818" w:rsidRDefault="00356BC3" w:rsidP="00356BC3">
      <w:pPr>
        <w:rPr>
          <w:i/>
        </w:rPr>
      </w:pPr>
      <w:r>
        <w:t>(</w:t>
      </w:r>
      <w:r w:rsidRPr="00B91818">
        <w:t>Brent A</w:t>
      </w:r>
      <w:r>
        <w:t>.,</w:t>
      </w:r>
      <w:r w:rsidRPr="00B91818">
        <w:t xml:space="preserve"> March 2015</w:t>
      </w:r>
      <w:r>
        <w:t>, “</w:t>
      </w:r>
      <w:r w:rsidRPr="00B91818">
        <w:t>STRATEGIC IMPROVEMENTS TO TSA SPOT PROGRAM</w:t>
      </w:r>
      <w:r>
        <w:t xml:space="preserve">,” </w:t>
      </w:r>
      <w:r w:rsidRPr="00B91818">
        <w:rPr>
          <w:i/>
        </w:rPr>
        <w:t>NAVAL POSTGRADUATE SCHOOL</w:t>
      </w:r>
      <w:r>
        <w:rPr>
          <w:i/>
        </w:rPr>
        <w:t>)</w:t>
      </w:r>
    </w:p>
    <w:p w:rsidR="00356BC3" w:rsidRPr="00B91818" w:rsidRDefault="00356BC3" w:rsidP="00356BC3">
      <w:pPr>
        <w:rPr>
          <w:rStyle w:val="StyleStyleBold12pt"/>
        </w:rPr>
      </w:pPr>
    </w:p>
    <w:p w:rsidR="00356BC3" w:rsidRDefault="00356BC3" w:rsidP="00356BC3">
      <w:r w:rsidRPr="00756AD2">
        <w:rPr>
          <w:rStyle w:val="StyleUnderline"/>
        </w:rPr>
        <w:t>A key to the success of the TSA’s controversial SPOT program is to ensure that the workforce is comprised of the best possible candidates, ideally with aptitude for the task</w:t>
      </w:r>
      <w:r w:rsidRPr="001E2226">
        <w:rPr>
          <w:u w:val="single"/>
        </w:rPr>
        <w:t>.</w:t>
      </w:r>
      <w:r w:rsidRPr="001E2226">
        <w:rPr>
          <w:sz w:val="16"/>
        </w:rPr>
        <w:t xml:space="preserve"> A 2008 study on deception detection noted that the average person is slightly better than random at identifying when a person is lying or trying to deceive.93 However, </w:t>
      </w:r>
      <w:r w:rsidRPr="001E2226">
        <w:rPr>
          <w:rStyle w:val="StyleUnderline"/>
        </w:rPr>
        <w:t>the study also identified several groups that were much better at detecting deception than the average person. The groups included therapists, Secret Service agents, and other law enforcement types. The Secret Service agents were among the highest performing, presumably because of their training on scanning large crowds for non-verbal cues</w:t>
      </w:r>
      <w:r w:rsidRPr="001E2226">
        <w:rPr>
          <w:sz w:val="16"/>
        </w:rPr>
        <w:t xml:space="preserve"> (similar to a BDO’s function at an airport), </w:t>
      </w:r>
      <w:r w:rsidRPr="001E2226">
        <w:rPr>
          <w:rStyle w:val="StyleUnderline"/>
        </w:rPr>
        <w:t>and the low frequency of uncovering a plot or perpetrator</w:t>
      </w:r>
      <w:r w:rsidRPr="001E2226">
        <w:rPr>
          <w:sz w:val="16"/>
        </w:rPr>
        <w:t xml:space="preserve"> (not predisposed to assuming a crime has been committed).94 Although other types of law enforcement did well, the commonality of frequently dealing with criminals may predispose them to a higher instance of type 1 errors (false positives). The study also noted that certain individuals had a “genius level” aptitude for detecting deception, which indicated the need to identify their common characteristics and use them to develop specific core competencies to be used as BDO qualifications.95  </w:t>
      </w:r>
      <w:r w:rsidRPr="001E2226">
        <w:rPr>
          <w:rStyle w:val="StyleUnderline"/>
        </w:rPr>
        <w:t>The TSA should conduct human factors aptitude research to include psychometric testing</w:t>
      </w:r>
      <w:r w:rsidRPr="001E2226">
        <w:rPr>
          <w:sz w:val="16"/>
        </w:rPr>
        <w:t xml:space="preserve"> (using industry recognized methods, such as Myers-Briggs or similar) </w:t>
      </w:r>
      <w:r w:rsidRPr="001E2226">
        <w:rPr>
          <w:rStyle w:val="StyleUnderline"/>
        </w:rPr>
        <w:t>to determine which traits occur most frequently in highly skilled behavior assessment officers (not limited to the TSA BDOs, but should include officers from other government agencies or industries using similar techniques).</w:t>
      </w:r>
      <w:r w:rsidRPr="001E2226">
        <w:rPr>
          <w:sz w:val="16"/>
        </w:rPr>
        <w:t xml:space="preserve"> For example, a Meyers-Briggs assessment measures psychological preferences in the form of four dichotomies: extraversion/introversion, sensing/intuition, thinking/feeling, and judging/perceiving to come up with a personality type.96 As an experiment, </w:t>
      </w:r>
      <w:r w:rsidRPr="001E2226">
        <w:rPr>
          <w:rStyle w:val="StyleUnderline"/>
        </w:rPr>
        <w:t>the TSA’s human factors branch could select high performing BDOs</w:t>
      </w:r>
      <w:r w:rsidRPr="001E2226">
        <w:rPr>
          <w:sz w:val="16"/>
        </w:rPr>
        <w:t xml:space="preserve"> (using some form of logical performance data as criteria, such as referral to arrest ratio</w:t>
      </w:r>
      <w:r w:rsidRPr="001E2226">
        <w:rPr>
          <w:rStyle w:val="StyleUnderline"/>
        </w:rPr>
        <w:t>) and administer the Meyers Briggs to determine what patterns are consistent in the psychological predispositions of high performing BDOs. If patterns emerge</w:t>
      </w:r>
      <w:r w:rsidRPr="001E2226">
        <w:rPr>
          <w:sz w:val="16"/>
        </w:rPr>
        <w:t xml:space="preserve"> (such as strong marks toward sensing versus intuition, or thinking versus feeling), </w:t>
      </w:r>
      <w:r w:rsidRPr="001E2226">
        <w:rPr>
          <w:rStyle w:val="StyleUnderline"/>
        </w:rPr>
        <w:t xml:space="preserve">then the TSA can incorporate them into hiring criteria, or use it as a basis for further research or even custom aptitude test development. </w:t>
      </w:r>
      <w:r w:rsidRPr="001E2226">
        <w:rPr>
          <w:sz w:val="16"/>
        </w:rPr>
        <w:t xml:space="preserve">Additionally, a 2012 study in the Journal of Forensic Psychiatry and Psychology notes that research suggests certain characteristics, such as age, profession/experience, and handedness/hemispheric dominance, can play a role in deception detection aptitude.97 Attempting to find the most appropriate candidate for a job is not a new concept. The Department of Defense uses their armed forces vocational aptitude battery (ASVAB) to determine the vocational aptitude for new military recruits.98 While a basic aptitude test, the TSA should consider a similar model to find the best possible candidates for SPOT. </w:t>
      </w:r>
      <w:r w:rsidRPr="001E2226">
        <w:rPr>
          <w:rStyle w:val="StyleUnderline"/>
        </w:rPr>
        <w:t xml:space="preserve">Candidate selection is a key element for the effectiveness and consistency of the program moving forward, and finding candidates with appropriate aptitude should be a priority for the TSA. Hiring best qualified/prepared applicants based on psychometric assessment of aptitude and scientifically proven core competencies also provide much needed defensibility and credibility to the program, which is a major shift in strategic hiring practices for the TSA, </w:t>
      </w:r>
      <w:r w:rsidRPr="001E2226">
        <w:rPr>
          <w:sz w:val="16"/>
        </w:rPr>
        <w:t>and will likely be met with many hurdles, including union pushback</w:t>
      </w:r>
      <w:r>
        <w:rPr>
          <w:sz w:val="16"/>
        </w:rPr>
        <w:t>.</w:t>
      </w:r>
      <w:r>
        <w:t xml:space="preserve"> </w:t>
      </w:r>
    </w:p>
    <w:p w:rsidR="00356BC3" w:rsidRDefault="00356BC3" w:rsidP="00356BC3"/>
    <w:p w:rsidR="00356BC3" w:rsidRDefault="00356BC3" w:rsidP="00356BC3">
      <w:pPr>
        <w:rPr>
          <w:sz w:val="16"/>
        </w:rPr>
      </w:pPr>
    </w:p>
    <w:p w:rsidR="00356BC3" w:rsidRDefault="00356BC3" w:rsidP="00356BC3">
      <w:pPr>
        <w:rPr>
          <w:sz w:val="16"/>
        </w:rPr>
      </w:pPr>
    </w:p>
    <w:p w:rsidR="009A29F0" w:rsidRDefault="009A29F0" w:rsidP="009A29F0">
      <w:pPr>
        <w:pStyle w:val="Heading3"/>
      </w:pPr>
      <w:bookmarkStart w:id="70" w:name="_Toc424259145"/>
      <w:r>
        <w:lastRenderedPageBreak/>
        <w:t>Solvency – Hiring Reforms</w:t>
      </w:r>
      <w:bookmarkEnd w:id="70"/>
      <w:r>
        <w:t xml:space="preserve"> </w:t>
      </w:r>
    </w:p>
    <w:p w:rsidR="009A29F0" w:rsidRPr="00AD0C2A" w:rsidRDefault="009A29F0" w:rsidP="009A29F0"/>
    <w:p w:rsidR="009A29F0" w:rsidRDefault="009A29F0" w:rsidP="00AF1BF7">
      <w:pPr>
        <w:pStyle w:val="Heading4"/>
      </w:pPr>
      <w:r w:rsidRPr="0055535F">
        <w:t>Only the revisions through application of the psychometr</w:t>
      </w:r>
      <w:r>
        <w:t>ic assessment of aptitude and sc</w:t>
      </w:r>
      <w:r w:rsidRPr="0055535F">
        <w:t>ientifically proven core competencies to the candidates is the only way to maintain the security of TSA</w:t>
      </w:r>
    </w:p>
    <w:p w:rsidR="009A29F0" w:rsidRPr="009A29F0" w:rsidRDefault="009A29F0" w:rsidP="009A29F0"/>
    <w:p w:rsidR="009A29F0" w:rsidRPr="0055535F" w:rsidRDefault="009A29F0" w:rsidP="009A29F0">
      <w:pPr>
        <w:widowControl w:val="0"/>
        <w:autoSpaceDE w:val="0"/>
        <w:autoSpaceDN w:val="0"/>
        <w:adjustRightInd w:val="0"/>
        <w:spacing w:after="240"/>
        <w:rPr>
          <w:rStyle w:val="StyleStyleBold12pt"/>
          <w:rFonts w:cs="Times"/>
          <w:b w:val="0"/>
          <w:i/>
        </w:rPr>
      </w:pPr>
      <w:r w:rsidRPr="0055535F">
        <w:rPr>
          <w:rStyle w:val="StyleStyleBold12pt"/>
        </w:rPr>
        <w:t xml:space="preserve">Cotton, </w:t>
      </w:r>
      <w:r w:rsidRPr="0055535F">
        <w:rPr>
          <w:rStyle w:val="StyleStyleBold12pt"/>
          <w:b w:val="0"/>
        </w:rPr>
        <w:t>20</w:t>
      </w:r>
      <w:r w:rsidRPr="0055535F">
        <w:rPr>
          <w:rStyle w:val="StyleStyleBold12pt"/>
        </w:rPr>
        <w:t>15</w:t>
      </w:r>
      <w:r w:rsidRPr="0055535F">
        <w:rPr>
          <w:rStyle w:val="StyleStyleBold12pt"/>
          <w:b w:val="0"/>
        </w:rPr>
        <w:t xml:space="preserve"> (Brent A, </w:t>
      </w:r>
      <w:r w:rsidRPr="0055535F">
        <w:t>Transportation Security Specialist, Transportation Security Administration, Arlington, VA</w:t>
      </w:r>
      <w:r w:rsidRPr="0055535F">
        <w:rPr>
          <w:rFonts w:ascii="MS Gothic" w:eastAsia="MS Gothic" w:hAnsi="MS Gothic" w:cs="MS Gothic" w:hint="eastAsia"/>
        </w:rPr>
        <w:t> </w:t>
      </w:r>
      <w:r w:rsidRPr="0055535F">
        <w:t>B.S., University of West Florida, “</w:t>
      </w:r>
      <w:r w:rsidRPr="0055535F">
        <w:rPr>
          <w:i/>
        </w:rPr>
        <w:t xml:space="preserve">STRATEGIC IMPROVEMENTS TO TSA SPOT PROGRAM,” March 2015) </w:t>
      </w:r>
    </w:p>
    <w:p w:rsidR="009A29F0" w:rsidRPr="00AD0C2A" w:rsidRDefault="009A29F0" w:rsidP="009A29F0">
      <w:pPr>
        <w:rPr>
          <w:rStyle w:val="StyleUnderline"/>
        </w:rPr>
      </w:pPr>
      <w:r w:rsidRPr="00AD0C2A">
        <w:rPr>
          <w:rStyle w:val="StyleUnderline"/>
        </w:rPr>
        <w:t>The TSA should conduct human factors aptitude research to include psychometric testing</w:t>
      </w:r>
      <w:r w:rsidRPr="0055535F">
        <w:rPr>
          <w:sz w:val="16"/>
        </w:rPr>
        <w:t xml:space="preserve"> (using industry recognized methods, such as Myers-Briggs or similar) </w:t>
      </w:r>
      <w:r w:rsidRPr="00AD0C2A">
        <w:rPr>
          <w:rStyle w:val="StyleUnderline"/>
        </w:rPr>
        <w:t>to determine which traits occur most frequently in highly skilled behavior assessment officers (not limited to the TSA BDOs, but should include officers from other government agencies or industries using similar techniques</w:t>
      </w:r>
      <w:r w:rsidRPr="0055535F">
        <w:rPr>
          <w:sz w:val="16"/>
        </w:rPr>
        <w:t xml:space="preserve">). For example, a Meyers-Briggs assessment measures psychological preferences in the form of four dichotomies: extraversion/introversion, sensing/intuition, thinking/feeling, and judging/perceiving to come up with a personality type.96 As an experiment, </w:t>
      </w:r>
      <w:r w:rsidRPr="00AD0C2A">
        <w:rPr>
          <w:rStyle w:val="StyleUnderline"/>
        </w:rPr>
        <w:t>the TSA’s human factors branch could select high performing BDOs (using some form of logical performance data as criteria</w:t>
      </w:r>
      <w:r w:rsidRPr="0055535F">
        <w:rPr>
          <w:sz w:val="16"/>
        </w:rPr>
        <w:t xml:space="preserve">, such as referral to arrest ratio) and administer the Meyers Briggs to determine what patterns are consistent in the psychological predispositions of high performing BDOs. If patterns emerge (such as strong marks toward sensing versus intuition, or thinking versus feeling), then the TSA can incorporate them into hiring criteria, or use it as a basis for further research or even custom aptitude test development. Additionally, a </w:t>
      </w:r>
      <w:r w:rsidRPr="00AD0C2A">
        <w:rPr>
          <w:rStyle w:val="StyleUnderline"/>
        </w:rPr>
        <w:t>2012 study in the Journal of Forensic Psychiatry and Psychology</w:t>
      </w:r>
      <w:r w:rsidRPr="0055535F">
        <w:rPr>
          <w:sz w:val="16"/>
        </w:rPr>
        <w:t xml:space="preserve"> notes that research </w:t>
      </w:r>
      <w:r w:rsidRPr="00AD0C2A">
        <w:rPr>
          <w:rStyle w:val="StyleUnderline"/>
        </w:rPr>
        <w:t>suggests certain characteristics, such as age, profession/experience, and handedness/hemispheric dominance, can play a role in deception detection aptitude</w:t>
      </w:r>
      <w:r w:rsidRPr="0055535F">
        <w:rPr>
          <w:sz w:val="16"/>
        </w:rPr>
        <w:t xml:space="preserve">.97 Attempting to find the most appropriate candidate for a job is not a new concept. The Department of Defense uses their armed forces vocational aptitude battery (ASVAB) to determine the vocational aptitude for new military recruits.98 While a basic aptitude test, the </w:t>
      </w:r>
      <w:r w:rsidRPr="00AD0C2A">
        <w:rPr>
          <w:rStyle w:val="StyleUnderline"/>
        </w:rPr>
        <w:t>TSA should consider a similar model to find the best possible candidates for SPOT. Candidate selection is a key element for the effectiveness and consistency of the program moving forward, and finding candidates with appropriate aptitude should be a priority for the TSA</w:t>
      </w:r>
      <w:r w:rsidRPr="0055535F">
        <w:rPr>
          <w:sz w:val="16"/>
        </w:rPr>
        <w:t xml:space="preserve">. </w:t>
      </w:r>
      <w:r w:rsidRPr="00AD0C2A">
        <w:rPr>
          <w:rStyle w:val="StyleUnderline"/>
        </w:rPr>
        <w:t>Hiring best</w:t>
      </w:r>
      <w:r w:rsidRPr="0055535F">
        <w:rPr>
          <w:sz w:val="16"/>
        </w:rPr>
        <w:t xml:space="preserve"> qualified/prepared </w:t>
      </w:r>
      <w:r w:rsidRPr="00AD0C2A">
        <w:rPr>
          <w:rStyle w:val="StyleUnderline"/>
        </w:rPr>
        <w:t>applicants</w:t>
      </w:r>
      <w:r w:rsidRPr="0055535F">
        <w:rPr>
          <w:sz w:val="16"/>
        </w:rPr>
        <w:t xml:space="preserve"> based on psychometric assessment of aptitude and scientifically proven core competencies also </w:t>
      </w:r>
      <w:r w:rsidRPr="00AD0C2A">
        <w:rPr>
          <w:rStyle w:val="StyleUnderline"/>
        </w:rPr>
        <w:t>provide much needed defensibility and credibility to the program, which is a major shift in strategic hiring practices for the TSA</w:t>
      </w:r>
      <w:r w:rsidRPr="0055535F">
        <w:rPr>
          <w:sz w:val="16"/>
        </w:rPr>
        <w:t xml:space="preserve">, and will likely be met with many hurdles, including union pushback. However, the </w:t>
      </w:r>
      <w:r w:rsidRPr="00AD0C2A">
        <w:rPr>
          <w:rStyle w:val="StyleUnderline"/>
        </w:rPr>
        <w:t xml:space="preserve">TSA must be committed to solving the hard problems if it wants to maintain this layer of security. </w:t>
      </w:r>
    </w:p>
    <w:p w:rsidR="009A29F0" w:rsidRDefault="009A29F0" w:rsidP="009A29F0"/>
    <w:p w:rsidR="009A29F0" w:rsidRDefault="009A29F0" w:rsidP="009A29F0"/>
    <w:p w:rsidR="00356BC3" w:rsidRDefault="00356BC3" w:rsidP="00356BC3">
      <w:pPr>
        <w:pStyle w:val="Heading3"/>
      </w:pPr>
      <w:bookmarkStart w:id="71" w:name="_Toc424259146"/>
      <w:r>
        <w:lastRenderedPageBreak/>
        <w:t>Solvency – Training</w:t>
      </w:r>
      <w:bookmarkEnd w:id="71"/>
      <w:r>
        <w:t xml:space="preserve"> </w:t>
      </w:r>
    </w:p>
    <w:p w:rsidR="00356BC3" w:rsidRPr="00AE4B8A" w:rsidRDefault="00356BC3" w:rsidP="00356BC3"/>
    <w:p w:rsidR="00356BC3" w:rsidRPr="0055535F" w:rsidRDefault="00356BC3" w:rsidP="00AF1BF7">
      <w:pPr>
        <w:pStyle w:val="Heading4"/>
      </w:pPr>
      <w:r w:rsidRPr="0055535F">
        <w:t>Merge of the TSA developed BDOs with FLETC solves for laundry lists of impacts</w:t>
      </w:r>
    </w:p>
    <w:p w:rsidR="00356BC3" w:rsidRPr="0055535F" w:rsidRDefault="00356BC3" w:rsidP="00356BC3">
      <w:pPr>
        <w:widowControl w:val="0"/>
        <w:autoSpaceDE w:val="0"/>
        <w:autoSpaceDN w:val="0"/>
        <w:adjustRightInd w:val="0"/>
        <w:spacing w:after="240"/>
        <w:rPr>
          <w:i/>
        </w:rPr>
      </w:pPr>
      <w:r w:rsidRPr="0055535F">
        <w:rPr>
          <w:rStyle w:val="StyleStyleBold12pt"/>
        </w:rPr>
        <w:t xml:space="preserve">Cotton, </w:t>
      </w:r>
      <w:r w:rsidRPr="0055535F">
        <w:rPr>
          <w:rStyle w:val="StyleStyleBold12pt"/>
          <w:b w:val="0"/>
        </w:rPr>
        <w:t>20</w:t>
      </w:r>
      <w:r w:rsidRPr="0055535F">
        <w:rPr>
          <w:rStyle w:val="StyleStyleBold12pt"/>
        </w:rPr>
        <w:t>15</w:t>
      </w:r>
      <w:r w:rsidRPr="0055535F">
        <w:rPr>
          <w:rStyle w:val="StyleStyleBold12pt"/>
          <w:b w:val="0"/>
        </w:rPr>
        <w:t xml:space="preserve"> (Brent A, </w:t>
      </w:r>
      <w:r w:rsidRPr="0055535F">
        <w:t>Transportation Security Specialist, Transportation Security Administration, Arlington, VA</w:t>
      </w:r>
      <w:r w:rsidRPr="0055535F">
        <w:rPr>
          <w:rFonts w:ascii="MS Gothic" w:eastAsia="MS Gothic" w:hAnsi="MS Gothic" w:cs="MS Gothic" w:hint="eastAsia"/>
        </w:rPr>
        <w:t> </w:t>
      </w:r>
      <w:r w:rsidRPr="0055535F">
        <w:t>B.S., University of West Florida, “</w:t>
      </w:r>
      <w:r w:rsidRPr="0055535F">
        <w:rPr>
          <w:i/>
        </w:rPr>
        <w:t xml:space="preserve">STRATEGIC IMPROVEMENTS TO TSA SPOT PROGRAM,” March 2015) </w:t>
      </w:r>
    </w:p>
    <w:p w:rsidR="00356BC3" w:rsidRDefault="00356BC3" w:rsidP="00356BC3">
      <w:pPr>
        <w:widowControl w:val="0"/>
        <w:autoSpaceDE w:val="0"/>
        <w:autoSpaceDN w:val="0"/>
        <w:adjustRightInd w:val="0"/>
        <w:spacing w:after="240"/>
        <w:rPr>
          <w:sz w:val="16"/>
        </w:rPr>
      </w:pPr>
      <w:r w:rsidRPr="00AE4B8A">
        <w:rPr>
          <w:sz w:val="16"/>
        </w:rPr>
        <w:t xml:space="preserve">According to TSA Deputy Administrator John Halinski, the </w:t>
      </w:r>
      <w:r w:rsidRPr="00AE4B8A">
        <w:rPr>
          <w:rStyle w:val="StyleUnderline"/>
        </w:rPr>
        <w:t xml:space="preserve">TSA is in the process of centralizing most of their training into the Office of Training and Workforce Engagement (OTWE) to maintain and enhance the capabilities of TSA employees while providing a consistent training experience.102 To accomplish this goal, in April 2012, the TSA established a training presence at DHS’s FLETC </w:t>
      </w:r>
      <w:r w:rsidRPr="00AE4B8A">
        <w:rPr>
          <w:sz w:val="16"/>
        </w:rPr>
        <w:t xml:space="preserve">in Glynco, Georgia. Although a component of the DHS, FLETC is an inter-agency training organization that has trained more than 1,000,000 law enforcement officers from 91 different government agencies or partner organizations.103 FLETC’s approach to instruction is to maintain “a mix of permanent, detailed, and recently retired staff (to) provide an appropriate balance of training expertise, recent operational experience, and fresh insight from the field.”104 Not surprisingly, </w:t>
      </w:r>
      <w:r w:rsidRPr="00AE4B8A">
        <w:rPr>
          <w:rStyle w:val="StyleUnderline"/>
        </w:rPr>
        <w:t>FLETC maintains a behavioral science division responsible for designing and administering courses in the many aspects of human behavior.</w:t>
      </w:r>
      <w:r w:rsidRPr="00AE4B8A">
        <w:rPr>
          <w:sz w:val="16"/>
        </w:rPr>
        <w:t xml:space="preserve"> One of the principal topics it addresses is interview skills for criminal investigators and law enforcement officers. Of the topics covered in these classes, </w:t>
      </w:r>
      <w:r w:rsidRPr="00AE4B8A">
        <w:rPr>
          <w:rStyle w:val="StyleUnderline"/>
        </w:rPr>
        <w:t>several would be directly applicable to the BDO position including interviewing strength and weakness forum, eye accessing cues and behavioral baselines, question types to elicit admissions, subject elimination interviews (ruling out a threat), and cognitive interviews</w:t>
      </w:r>
      <w:r w:rsidRPr="00AE4B8A">
        <w:rPr>
          <w:sz w:val="16"/>
        </w:rPr>
        <w:t xml:space="preserve">. While it will require dedication to collaboration, </w:t>
      </w:r>
      <w:r w:rsidRPr="00AE4B8A">
        <w:rPr>
          <w:rStyle w:val="StyleUnderline"/>
        </w:rPr>
        <w:t>it fits perfectly into the TSA training strategy of providing a consistent professional experience to all TSA employees</w:t>
      </w:r>
      <w:r w:rsidRPr="00AE4B8A">
        <w:rPr>
          <w:sz w:val="16"/>
        </w:rPr>
        <w:t xml:space="preserve">. The TSA will need to consider whether the entire training can be done at FLETC, or if it will still need a small course focused on CONOPS to be taught locally. Either way, the </w:t>
      </w:r>
      <w:r w:rsidRPr="00AE4B8A">
        <w:rPr>
          <w:rStyle w:val="StyleUnderline"/>
        </w:rPr>
        <w:t>TSA can address some of the GAO and OIG’s valid complaints regarding underperforming instructors and inconsistent BDO performance across the country. Additionally, the TSA will be able to leverage existing instructional design and instructor expertise on the topic while potentially building a new course that may be desirable to other agencies or countries. This strategic shift has other intangible benefits as well, such as creating an esprit de corps and sense of camaraderie amongst the workforce</w:t>
      </w:r>
      <w:r w:rsidRPr="00AE4B8A">
        <w:rPr>
          <w:sz w:val="16"/>
        </w:rPr>
        <w:t xml:space="preserve">. It is no coincidence that the members of the armed forces have all attended a “basic training” after which their sense of accomplishment bonds them together and creates a sense of pride. </w:t>
      </w:r>
      <w:r w:rsidRPr="00AE4B8A">
        <w:rPr>
          <w:rStyle w:val="StyleUnderline"/>
        </w:rPr>
        <w:t>The TSA can improve the effectiveness of the program by providing a more consistent training experience administered by professional instructors and practitioners at a highly respected educational institution</w:t>
      </w:r>
      <w:r w:rsidRPr="00AE4B8A">
        <w:rPr>
          <w:sz w:val="16"/>
        </w:rPr>
        <w:t xml:space="preserve">. Leveraging the expertise and reputation of FLETC’s 40-year law enforcement training heritage also provides credibility and defensibility to the program, as FLETC’s credentials have never been in question. Additionally, the </w:t>
      </w:r>
      <w:r w:rsidRPr="00AE4B8A">
        <w:rPr>
          <w:rStyle w:val="StyleUnderline"/>
        </w:rPr>
        <w:t xml:space="preserve">TSA may be able to re-focus existing BDO instructors by assigning them the lower-skill tasks of providing local update training or facilitating continuing education as necessary. </w:t>
      </w:r>
      <w:r w:rsidRPr="00AE4B8A">
        <w:rPr>
          <w:sz w:val="16"/>
        </w:rPr>
        <w:t xml:space="preserve">While a major strategic shift for the SPOT program, </w:t>
      </w:r>
      <w:r w:rsidRPr="00AE4B8A">
        <w:rPr>
          <w:rStyle w:val="StyleUnderline"/>
        </w:rPr>
        <w:t xml:space="preserve">it coincides perfectly with the agencies new effort to centralize training for consistency, </w:t>
      </w:r>
      <w:r w:rsidRPr="00AE4B8A">
        <w:rPr>
          <w:sz w:val="16"/>
        </w:rPr>
        <w:t xml:space="preserve">while leveraging existing government resources. </w:t>
      </w:r>
    </w:p>
    <w:p w:rsidR="00356BC3" w:rsidRDefault="00356BC3" w:rsidP="00356BC3">
      <w:pPr>
        <w:widowControl w:val="0"/>
        <w:autoSpaceDE w:val="0"/>
        <w:autoSpaceDN w:val="0"/>
        <w:adjustRightInd w:val="0"/>
        <w:spacing w:after="240"/>
        <w:rPr>
          <w:sz w:val="16"/>
        </w:rPr>
      </w:pPr>
    </w:p>
    <w:p w:rsidR="00356BC3" w:rsidRDefault="00356BC3" w:rsidP="00356BC3">
      <w:pPr>
        <w:widowControl w:val="0"/>
        <w:autoSpaceDE w:val="0"/>
        <w:autoSpaceDN w:val="0"/>
        <w:adjustRightInd w:val="0"/>
        <w:spacing w:after="240"/>
        <w:rPr>
          <w:sz w:val="16"/>
        </w:rPr>
      </w:pPr>
    </w:p>
    <w:p w:rsidR="009A29F0" w:rsidRDefault="009A29F0" w:rsidP="009A29F0">
      <w:pPr>
        <w:pStyle w:val="Heading3"/>
      </w:pPr>
      <w:bookmarkStart w:id="72" w:name="_Toc424259147"/>
      <w:r>
        <w:lastRenderedPageBreak/>
        <w:t>Solvency – Training</w:t>
      </w:r>
      <w:bookmarkEnd w:id="72"/>
      <w:r>
        <w:t xml:space="preserve">  </w:t>
      </w:r>
    </w:p>
    <w:p w:rsidR="009A29F0" w:rsidRPr="003B5BD1" w:rsidRDefault="009A29F0" w:rsidP="009A29F0"/>
    <w:p w:rsidR="009A29F0" w:rsidRDefault="009A29F0" w:rsidP="00AF1BF7">
      <w:pPr>
        <w:pStyle w:val="Heading4"/>
      </w:pPr>
      <w:r w:rsidRPr="0055535F">
        <w:t>Reformations of the BDO’s basic training understanding how cultural, political, and socioeconomic variables provide the strong baseline for TSA.</w:t>
      </w:r>
    </w:p>
    <w:p w:rsidR="009A29F0" w:rsidRPr="009A29F0" w:rsidRDefault="009A29F0" w:rsidP="009A29F0"/>
    <w:p w:rsidR="009A29F0" w:rsidRDefault="009A29F0" w:rsidP="009A29F0">
      <w:pPr>
        <w:rPr>
          <w:rStyle w:val="StyleStyleBold12pt"/>
          <w:b w:val="0"/>
        </w:rPr>
      </w:pPr>
      <w:r w:rsidRPr="0055535F">
        <w:rPr>
          <w:rStyle w:val="StyleStyleBold12pt"/>
        </w:rPr>
        <w:t xml:space="preserve">Cotton, 2015 </w:t>
      </w:r>
      <w:r w:rsidRPr="0055535F">
        <w:rPr>
          <w:rStyle w:val="StyleStyleBold12pt"/>
          <w:b w:val="0"/>
        </w:rPr>
        <w:t>(Brent A, Transportation Security Specialist, Transportation Security Administration, Arlington, VA</w:t>
      </w:r>
      <w:r w:rsidRPr="0055535F">
        <w:rPr>
          <w:rStyle w:val="StyleStyleBold12pt"/>
          <w:rFonts w:ascii="MS Gothic" w:eastAsia="MS Gothic" w:hAnsi="MS Gothic" w:cs="MS Gothic" w:hint="eastAsia"/>
          <w:b w:val="0"/>
        </w:rPr>
        <w:t> </w:t>
      </w:r>
      <w:r w:rsidRPr="0055535F">
        <w:rPr>
          <w:rStyle w:val="StyleStyleBold12pt"/>
          <w:b w:val="0"/>
        </w:rPr>
        <w:t xml:space="preserve">B.S., University of West Florida, “STRATEGIC IMPROVEMENTS TO TSA SPOT PROGRAM,” March 2015) </w:t>
      </w:r>
    </w:p>
    <w:p w:rsidR="009A29F0" w:rsidRPr="0055535F" w:rsidRDefault="009A29F0" w:rsidP="009A29F0">
      <w:pPr>
        <w:rPr>
          <w:rStyle w:val="StyleStyleBold12pt"/>
        </w:rPr>
      </w:pPr>
    </w:p>
    <w:p w:rsidR="009A29F0" w:rsidRPr="009A29F0" w:rsidRDefault="009A29F0" w:rsidP="009A29F0">
      <w:pPr>
        <w:rPr>
          <w:sz w:val="16"/>
        </w:rPr>
      </w:pPr>
      <w:r w:rsidRPr="003B5BD1">
        <w:rPr>
          <w:rStyle w:val="StyleUnderline"/>
        </w:rPr>
        <w:t>Understanding how cultural, political, and socioeconomic variables impact passengers’ appearance, behavior, and response to questioning, should be a major focus of SPOT training</w:t>
      </w:r>
      <w:r w:rsidRPr="009A29F0">
        <w:rPr>
          <w:sz w:val="16"/>
        </w:rPr>
        <w:t xml:space="preserve">. While the </w:t>
      </w:r>
      <w:r w:rsidRPr="003B5BD1">
        <w:rPr>
          <w:rStyle w:val="StyleUnderline"/>
        </w:rPr>
        <w:t>BDOs will learn through experience over time what the specific cultures and reactions are at their airport, a strong baseline in cultural competency would be beneficial</w:t>
      </w:r>
      <w:r w:rsidRPr="009A29F0">
        <w:rPr>
          <w:sz w:val="16"/>
        </w:rPr>
        <w:t xml:space="preserve">. One way to identify the differences between people and their behaviors is to understand the similarities. As an example of improving training content, the </w:t>
      </w:r>
      <w:r w:rsidRPr="003B5BD1">
        <w:rPr>
          <w:rStyle w:val="StyleUnderline"/>
        </w:rPr>
        <w:t>BDOs curriculum could focus on basic physiological/psychological elements</w:t>
      </w:r>
      <w:r w:rsidRPr="009A29F0">
        <w:rPr>
          <w:sz w:val="16"/>
        </w:rPr>
        <w:t>, such as the six universal emotions as described by Dr. Paul Ekman. Dr. Ekman contends that all cultures respond similarly to the same basic human emotions, with the big six being anger, happiness, surprise, disgust, sadness, and fear (see Figure 5).</w:t>
      </w:r>
      <w:r w:rsidRPr="003B5BD1">
        <w:rPr>
          <w:rStyle w:val="StyleUnderline"/>
        </w:rPr>
        <w:t>105 An understanding of what all cultures have in common provides a valuable baseline for performing BDO duties.</w:t>
      </w:r>
      <w:r w:rsidRPr="009A29F0">
        <w:rPr>
          <w:sz w:val="16"/>
        </w:rPr>
        <w:t xml:space="preserve"> </w:t>
      </w:r>
    </w:p>
    <w:p w:rsidR="009A29F0" w:rsidRDefault="009A29F0" w:rsidP="009A29F0"/>
    <w:p w:rsidR="009A29F0" w:rsidRDefault="009A29F0" w:rsidP="009A29F0">
      <w:pPr>
        <w:pStyle w:val="Heading3"/>
      </w:pPr>
      <w:bookmarkStart w:id="73" w:name="_Toc424259148"/>
      <w:r>
        <w:lastRenderedPageBreak/>
        <w:t>A2: Case is a DA</w:t>
      </w:r>
      <w:bookmarkEnd w:id="73"/>
    </w:p>
    <w:p w:rsidR="009A29F0" w:rsidRDefault="009A29F0" w:rsidP="009A29F0"/>
    <w:p w:rsidR="009A29F0" w:rsidRDefault="009A29F0" w:rsidP="00AF1BF7">
      <w:pPr>
        <w:pStyle w:val="Heading4"/>
      </w:pPr>
      <w:r>
        <w:t xml:space="preserve">Behavior Pattern Recognition models have been proven effective internationally – the issue is HOW the TSA implements the program. Reforms solve. </w:t>
      </w:r>
    </w:p>
    <w:p w:rsidR="009A29F0" w:rsidRPr="00AD0C2A" w:rsidRDefault="009A29F0" w:rsidP="009A29F0"/>
    <w:p w:rsidR="009A29F0" w:rsidRDefault="009A29F0" w:rsidP="009A29F0">
      <w:r w:rsidRPr="00893228">
        <w:rPr>
          <w:rStyle w:val="StyleStyleBold12pt"/>
        </w:rPr>
        <w:t>Zumwalt, 2013</w:t>
      </w:r>
      <w:r>
        <w:t xml:space="preserve"> [James, Lt. Col., U.S. Marines, retired, “Outside view: Putting TSA’s SPOT program on the spot, </w:t>
      </w:r>
      <w:hyperlink r:id="rId54" w:history="1">
        <w:r w:rsidRPr="00681FAC">
          <w:rPr>
            <w:rStyle w:val="Hyperlink"/>
          </w:rPr>
          <w:t>http://www.upi.com/Top_News/Analysis/Outside-View/2013/07/23/Outside-View-Putting-TSAs-SPOT-program-on-the-spot/31441374552240/</w:t>
        </w:r>
      </w:hyperlink>
      <w:r>
        <w:t>]</w:t>
      </w:r>
    </w:p>
    <w:p w:rsidR="009A29F0" w:rsidRPr="00893228" w:rsidRDefault="009A29F0" w:rsidP="009A29F0"/>
    <w:p w:rsidR="009A29F0" w:rsidRPr="00AD0C2A" w:rsidRDefault="009A29F0" w:rsidP="009A29F0">
      <w:pPr>
        <w:rPr>
          <w:sz w:val="16"/>
        </w:rPr>
      </w:pPr>
      <w:r w:rsidRPr="00893228">
        <w:rPr>
          <w:rStyle w:val="StyleUnderline"/>
        </w:rPr>
        <w:t>The Israeli aviation security model has been so successful that in the last 50 years, no terrorist has successfully hijacked or bombed an Israeli aircraft or a foreign aircraft departing from Israel</w:t>
      </w:r>
      <w:r w:rsidRPr="00AD0C2A">
        <w:rPr>
          <w:sz w:val="16"/>
        </w:rPr>
        <w:t xml:space="preserve">. The 1986 Hindawi incident reveals how the Israeli security method trains personnel to weigh a range of factors so, even when telltale behavior isn't visible -- i.e., a bomb planted on an unwitting passenger -- detection is still possible. Nezar Hindawi, a Jordanian terrorist working for the Syrian government, took Anne-Marie Murphy -- an Irish housemaid -- as a lover. She became pregnant; he disappeared. Five months later, he suddenly reappeared, professing his love and desire to marry her. He told her to catch the next El Al flight to Tel Aviv, where his parents eagerly awaited her arrival. When a surprised but pleased Murphy said she needed to pack, Hindawi handed her a small bag for the trip, explaining he would follow on the next flight but she needed to depart quickly for hers. Murphy raced off to London's Heathrow airport. Her single carry-on bag was X-rayed and she was motioned on to El Al. (Despite domestic security, El Al always performs its own.) There, Murphy was asked questions for which her answers immediately raised concerns. Despite an uneventful X-ray of her carry-on bag, it was opened and a secret pocket discovered. Cut open, it held 3.3 pounds of the plastic explosive Semtex but no detonator. Re-examining the bag's contents, a small handheld calculator was found, an altimeter detonator hidden inside to effect a sympathetic detonation of the Semtex. Murphy's naivete could have cost 375 lives had it not been for alert security. Questions put to her included: Where she was going (responding, "To visit the Holy Land") and where she would stay (responding, "Hilton hotel"). Trained to focus on inconsistencies, security couldn't resolve, among other things, why a 5-month pregnant women would travel to Israel on vacation with a single carry-on bag and on a non-existent hotel she identified. </w:t>
      </w:r>
      <w:r w:rsidRPr="00893228">
        <w:rPr>
          <w:rStyle w:val="StyleUnderline"/>
        </w:rPr>
        <w:t>Such security's success lies in interacting with all passengers -- asking pertinent questions -- to identify irresolvable issues and whether a passenger poses a threat</w:t>
      </w:r>
      <w:r w:rsidRPr="00AD0C2A">
        <w:rPr>
          <w:sz w:val="16"/>
        </w:rPr>
        <w:t xml:space="preserve">. It is a process fine-tuned over the years, easily integrated into current international and domestic aviation security systems. It requires empowering trained employees to make decisions based not solely on automatic government regulations but individual passenger assessments. </w:t>
      </w:r>
      <w:r w:rsidRPr="00893228">
        <w:rPr>
          <w:rStyle w:val="StyleUnderline"/>
        </w:rPr>
        <w:t>TSA's SPOT program, in force for five years, was recently criticized</w:t>
      </w:r>
      <w:r w:rsidRPr="00AD0C2A">
        <w:rPr>
          <w:sz w:val="16"/>
        </w:rPr>
        <w:t xml:space="preserve"> by the U.S. Department of Homeland Security's Inspector General for lacking an objective and strategic plan. A billion dollars spent to date to train 5 percent of TSA's workforce has yet to "ensure that passengers are screened objectively or show that SPOT is cost effective or worthy of expansion." U.S. Rep. Bennie G. Thompson, D-Miss., has put SPOT on the spot, seeking to prevent the waste of any more tax dollars for failing to improve aviation security. </w:t>
      </w:r>
      <w:r w:rsidRPr="00AD0C2A">
        <w:rPr>
          <w:rStyle w:val="StyleUnderline"/>
        </w:rPr>
        <w:t>TSA has made some smart moves. It added to its course roster threat-oriented training focusing on security questioning and passenger threat assessment. This approach is important because it encourages decision-making based on a professional evaluation of the behavior, the story and the situation, regardless of the risk population to which the passenger belongs</w:t>
      </w:r>
      <w:r w:rsidRPr="00AD0C2A">
        <w:rPr>
          <w:sz w:val="16"/>
        </w:rPr>
        <w:t xml:space="preserve"> (old, young, frequent traveler or first-time traveler). "Chameleon Associates (which provides this training) represents the kind of approach and methods TSA, once created, should have immediately implemented," says Arik Arad, a leading aviation security specialist who consults with government and private aviation stakeholders. </w:t>
      </w:r>
      <w:r w:rsidRPr="00893228">
        <w:rPr>
          <w:rStyle w:val="StyleUnderline"/>
        </w:rPr>
        <w:t>If only wielded effectively, SPOT could be "spot on" in improving aviation security.</w:t>
      </w:r>
      <w:r>
        <w:rPr>
          <w:rStyle w:val="StyleUnderline"/>
        </w:rPr>
        <w:t xml:space="preserve"> </w:t>
      </w:r>
      <w:r w:rsidRPr="00893228">
        <w:rPr>
          <w:rStyle w:val="StyleUnderline"/>
        </w:rPr>
        <w:t>Right now, TSA appears lost in a process not fully understood, evidenced by claims of racial profiling. If performed correctly, SPOT isn't profiling suspects by race but conducting threat categorization to identify potential terrorists</w:t>
      </w:r>
      <w:r w:rsidRPr="00AD0C2A">
        <w:rPr>
          <w:sz w:val="16"/>
        </w:rPr>
        <w:t xml:space="preserve">. </w:t>
      </w:r>
      <w:r w:rsidRPr="00893228">
        <w:rPr>
          <w:rStyle w:val="StyleUnderline"/>
        </w:rPr>
        <w:t>SPOT is a methodology focusing on all passengers</w:t>
      </w:r>
      <w:r w:rsidRPr="00AD0C2A">
        <w:rPr>
          <w:sz w:val="16"/>
        </w:rPr>
        <w:t xml:space="preserve"> -- from point of airport roadside curb entry all the way to the boarding gate. </w:t>
      </w:r>
      <w:r w:rsidRPr="00893228">
        <w:rPr>
          <w:rStyle w:val="StyleUnderline"/>
        </w:rPr>
        <w:t>Through interaction and security-related questions, passengers are identified for further screening to ensure a threat posed is dealt with effectively and respectfully -- ensuring unresolved passenger issues don't result in "criminal" treatment</w:t>
      </w:r>
      <w:r w:rsidRPr="00AD0C2A">
        <w:rPr>
          <w:sz w:val="16"/>
        </w:rPr>
        <w:t xml:space="preserve">. Thus, </w:t>
      </w:r>
      <w:r w:rsidRPr="00AD0C2A">
        <w:rPr>
          <w:rStyle w:val="StyleUnderline"/>
        </w:rPr>
        <w:t>anyone harboring ill intent is effectively dealt with before boarding the plane. An effective SPOT program incorporates two security elements, predictive screening and threat categorization identification, into the passenger check-in process -- minimizing intrusive and timely screening procedures and increasing interaction with each and every passenger.</w:t>
      </w:r>
      <w:r w:rsidRPr="00AD0C2A">
        <w:rPr>
          <w:sz w:val="16"/>
        </w:rPr>
        <w:t xml:space="preserve"> </w:t>
      </w:r>
      <w:r w:rsidRPr="00893228">
        <w:rPr>
          <w:rStyle w:val="StyleUnderline"/>
        </w:rPr>
        <w:t>Understanding and correctly identifying behavioral concerns is key to successful and efficient aviation security</w:t>
      </w:r>
      <w:r w:rsidRPr="00AD0C2A">
        <w:rPr>
          <w:sz w:val="16"/>
        </w:rPr>
        <w:t xml:space="preserve">. TSA's Friday announcement of the threat posed by new "underwear bomber" technology makes this particularly urgent. </w:t>
      </w:r>
      <w:r w:rsidRPr="00893228">
        <w:rPr>
          <w:rStyle w:val="StyleUnderline"/>
        </w:rPr>
        <w:t>There is a danger in eliminating the SPOT program, which actually only requires fine-tuning, to make it more effective.</w:t>
      </w:r>
      <w:r w:rsidRPr="00AD0C2A">
        <w:rPr>
          <w:sz w:val="16"/>
        </w:rPr>
        <w:t xml:space="preserve"> TSA may want to talk to behavioral "duty experts" about doing so.</w:t>
      </w:r>
    </w:p>
    <w:p w:rsidR="009A29F0" w:rsidRPr="00356BC3" w:rsidRDefault="009A29F0" w:rsidP="009A29F0"/>
    <w:p w:rsidR="000212E8" w:rsidRPr="00F2746C" w:rsidRDefault="00F2746C" w:rsidP="00F2746C">
      <w:pPr>
        <w:pStyle w:val="Heading3"/>
      </w:pPr>
      <w:bookmarkStart w:id="74" w:name="_Toc424259149"/>
      <w:r>
        <w:lastRenderedPageBreak/>
        <w:t xml:space="preserve">A2: </w:t>
      </w:r>
      <w:r w:rsidR="009A29F0">
        <w:t>BPR Inherently Flawed</w:t>
      </w:r>
      <w:bookmarkEnd w:id="74"/>
    </w:p>
    <w:p w:rsidR="000212E8" w:rsidRPr="001E42A5" w:rsidRDefault="000212E8" w:rsidP="000212E8"/>
    <w:p w:rsidR="000212E8" w:rsidRDefault="000212E8" w:rsidP="00AF1BF7">
      <w:pPr>
        <w:pStyle w:val="Heading4"/>
      </w:pPr>
      <w:r>
        <w:t>Advantages to SPOT o/w – here are 6 reasons why</w:t>
      </w:r>
    </w:p>
    <w:p w:rsidR="00F2746C" w:rsidRPr="00F2746C" w:rsidRDefault="00F2746C" w:rsidP="00F2746C"/>
    <w:p w:rsidR="000212E8" w:rsidRDefault="000212E8" w:rsidP="000212E8">
      <w:r w:rsidRPr="00551A29">
        <w:rPr>
          <w:rStyle w:val="StyleStyleBold12pt"/>
        </w:rPr>
        <w:t>Florence and Friedman ’09</w:t>
      </w:r>
      <w:r>
        <w:t xml:space="preserve"> [</w:t>
      </w:r>
      <w:r w:rsidRPr="00551A29">
        <w:t>Justin Florence</w:t>
      </w:r>
      <w:r>
        <w:t xml:space="preserve"> – Associate in O’Melveny &amp; Myers LLP - J.D. @Yale Law School  - M.A Harvard University, </w:t>
      </w:r>
      <w:r w:rsidRPr="00551A29">
        <w:t>Robert Friedman</w:t>
      </w:r>
      <w:r>
        <w:t xml:space="preserve"> – Associate in Venable LLP – J.D. Georgetown University,</w:t>
      </w:r>
      <w:r>
        <w:rPr>
          <w:rFonts w:ascii="Cambria Math" w:hAnsi="Cambria Math" w:cs="Cambria Math"/>
        </w:rPr>
        <w:t xml:space="preserve"> </w:t>
      </w:r>
      <w:r w:rsidRPr="00551A29">
        <w:t>12/27/2009</w:t>
      </w:r>
      <w:r>
        <w:t>, “</w:t>
      </w:r>
      <w:r w:rsidRPr="00551A29">
        <w:t>PROFILES IN TERROR: A LEGAL FRAMEWORK FOR</w:t>
      </w:r>
      <w:r>
        <w:t xml:space="preserve"> </w:t>
      </w:r>
      <w:r w:rsidRPr="00551A29">
        <w:t>THE BEHAVIORAL PROFILING PARADIGM</w:t>
      </w:r>
      <w:r>
        <w:t>,”</w:t>
      </w:r>
      <w:r w:rsidRPr="00551A29">
        <w:t xml:space="preserve"> </w:t>
      </w:r>
      <w:hyperlink r:id="rId55" w:history="1">
        <w:r w:rsidRPr="00244F96">
          <w:rPr>
            <w:rStyle w:val="Hyperlink"/>
          </w:rPr>
          <w:t>http://www.georgemasonlawreview.org/wp-content/uploads/2014/03/17-2_FlorenceandFriedman.pdf</w:t>
        </w:r>
      </w:hyperlink>
      <w:r>
        <w:t>]</w:t>
      </w:r>
    </w:p>
    <w:p w:rsidR="00F2746C" w:rsidRDefault="00F2746C" w:rsidP="000212E8"/>
    <w:p w:rsidR="000212E8" w:rsidRPr="0066548D" w:rsidRDefault="000212E8" w:rsidP="000212E8">
      <w:pPr>
        <w:rPr>
          <w:sz w:val="14"/>
        </w:rPr>
      </w:pPr>
      <w:r w:rsidRPr="0066548D">
        <w:rPr>
          <w:rStyle w:val="StyleUnderline"/>
        </w:rPr>
        <w:t>First</w:t>
      </w:r>
      <w:r w:rsidRPr="0066548D">
        <w:rPr>
          <w:sz w:val="14"/>
        </w:rPr>
        <w:t xml:space="preserve">, and most fundamentally, </w:t>
      </w:r>
      <w:r w:rsidRPr="0066548D">
        <w:rPr>
          <w:rStyle w:val="StyleUnderline"/>
        </w:rPr>
        <w:t>behavioral profiling provides an additional layer of security and another opportunity for homeland security officials to identify potential threats</w:t>
      </w:r>
      <w:r w:rsidRPr="0066548D">
        <w:rPr>
          <w:sz w:val="14"/>
        </w:rPr>
        <w:t>. That is to say, the appropriate question is not whether behavioral profiling is superior to other layers of security–– such as hardened cockpit doors, baggage screening, and metal detectors–– but rather, whether it enhances security when used in addition to those programs. S</w:t>
      </w:r>
      <w:r w:rsidRPr="0066548D">
        <w:rPr>
          <w:rStyle w:val="StyleUnderline"/>
        </w:rPr>
        <w:t>econd</w:t>
      </w:r>
      <w:r w:rsidRPr="0066548D">
        <w:rPr>
          <w:sz w:val="14"/>
        </w:rPr>
        <w:t xml:space="preserve">, a core lesson of 9/11 is that it is </w:t>
      </w:r>
      <w:r w:rsidRPr="0066548D">
        <w:rPr>
          <w:rStyle w:val="StyleUnderline"/>
        </w:rPr>
        <w:t>people, not particular tools, weapons, or objects that pose the greatest threat</w:t>
      </w:r>
      <w:r w:rsidRPr="0066548D">
        <w:rPr>
          <w:sz w:val="14"/>
        </w:rPr>
        <w:t>. The simple box-cutters used as weapons by the 9/11 hijackers are no longer allowed through security, but surely cunning terrorists can devise suitable alternatives if they wish to perpetrate violence on an airplane. Whether through plastic knives, liquid explosives, or blunt objects, it seems unlikely that screening objects alone can eliminate the risk of terrorism. As a TSA spokesman put it, “[s]omewhere out there the needle in the haystack is a bad guy. If our behavior detection officer’s [sic] give us better odds of finding that needle, we’re going to use every tool we can while protecting the rights and privacy of passengers.”70 Behavioral profiling is not the only aviation security tactic that focuses on people––watchlists serve the same function. But again, behavioral profiling can be used in addition to watchlists, and, given the numerous problems with watchlists,71 behavioral profiling may well be more effective. At a minimum, behavioral profiling focuses on the actual individual in question, not just a name</w:t>
      </w:r>
      <w:r w:rsidRPr="00CC389B">
        <w:rPr>
          <w:rStyle w:val="StyleUnderline"/>
        </w:rPr>
        <w:t>. Third, compared to subjecting all passengers to high scrutiny (as the Israeli model does), targeted behavioral profiling along the lines of SPOT is a more efficient use of resources</w:t>
      </w:r>
      <w:r w:rsidRPr="0066548D">
        <w:rPr>
          <w:sz w:val="14"/>
        </w:rPr>
        <w:t xml:space="preserve">. SPOT allows TSA officials to focus only on particular individuals for more intensive questioning, maximizing the effectiveness of available resources. </w:t>
      </w:r>
      <w:r w:rsidRPr="0066548D">
        <w:rPr>
          <w:rStyle w:val="StyleUnderline"/>
        </w:rPr>
        <w:t>Fourth, and similarly, behavioral profiling is far less burdensome and invasive for individuals than would be a questioning of every single traveler</w:t>
      </w:r>
      <w:r w:rsidRPr="0066548D">
        <w:rPr>
          <w:sz w:val="14"/>
        </w:rPr>
        <w:t xml:space="preserve">, as in the Israeli model.72 If the United States were to adopt that approach, passengers would face lengthy delays and be forced to reveal extensive information about themselves. From the standpoint of passenger convenience and air travel expediency, the SPOT program seems to benefit from two important attributes. Because SPOT is based on visually observable behavioral cues, </w:t>
      </w:r>
      <w:r w:rsidRPr="00CC389B">
        <w:rPr>
          <w:rStyle w:val="StyleUnderline"/>
        </w:rPr>
        <w:t>the program is executed through non-intrusive means and effective implementation does not require conducting physical searches</w:t>
      </w:r>
      <w:r w:rsidRPr="0066548D">
        <w:rPr>
          <w:sz w:val="14"/>
        </w:rPr>
        <w:t xml:space="preserve">. And unlike mandatory baggage screening procedures which apply to all passengers and create delays, long lines, and increased hassle, enforcing SPOT does not necessitate stopping every passenger who walks through the airport. For an air travel population that already registers a strong distaste for TSA and the burdens of aviation security, the less intrusive the passenger impact, the more likely the public will tolerate a security measure.73 Moreover, in passing a law to implement the recommendations of the 9/11 Commission, Congress included a provision directing TSA to reduce the average security-related delays in airports to less than ten minutes–– which certainly could not be achieved were every passenger interviewed.74 </w:t>
      </w:r>
      <w:r w:rsidRPr="00CC389B">
        <w:rPr>
          <w:rStyle w:val="StyleUnderline"/>
        </w:rPr>
        <w:t>Fifth, behavioral profiling need not involve any explicit racial or ethnic profiling</w:t>
      </w:r>
      <w:r w:rsidRPr="0066548D">
        <w:rPr>
          <w:sz w:val="14"/>
        </w:rPr>
        <w:t xml:space="preserve">. This has several advantages. It has a security value, in that it does not permit an individual to evade detection merely because he or she does not have a racial or ethnic appearance that seems to signal a terrorist. Law enforcement experts generally contend that observing an individual’s behavior is far more valuable than profiling based on race or ethnicity alone.75 Further, this type of profiling is likely to improve public support for and confidence in the program, by lending it additional legitimacy. Sixth, </w:t>
      </w:r>
      <w:r w:rsidRPr="00CC389B">
        <w:rPr>
          <w:rStyle w:val="StyleUnderline"/>
        </w:rPr>
        <w:t>anecdotal evidence suggests behavioral profiling can yield results</w:t>
      </w:r>
      <w:r w:rsidRPr="0066548D">
        <w:rPr>
          <w:sz w:val="14"/>
        </w:rPr>
        <w:t>. In a recently publicized incident, a BDO identified five men in a security screening line at Washington D.C.’s Dulles International Airport whose behavior seemed suspicious. TSA immediately notified the Metropolitan Washington Airports Authority Police Department. Subsequent questioning revealed that all five passengers had entered the U.S. illegally and possessed likely-fraudulent identification.76 Some of the publicly available results of SPOT also include: identification of a passenger carrying surveillance photos of high-risk buildings and bridges; interception of a man wearing several layers of clothing with wires extending from his sleeves to a black box he was carrying; and the detection of several passengers who were sitting separately but making clandestine signs to one another, while pretending not to know each other, and who later admitted to being paid $5,000 to travel between airports and observe security.77 And recently</w:t>
      </w:r>
      <w:r w:rsidRPr="0066548D">
        <w:rPr>
          <w:rStyle w:val="StyleUnderline"/>
        </w:rPr>
        <w:t>, a</w:t>
      </w:r>
      <w:r w:rsidRPr="0066548D">
        <w:rPr>
          <w:sz w:val="14"/>
        </w:rPr>
        <w:t xml:space="preserve"> </w:t>
      </w:r>
      <w:r w:rsidRPr="00CC389B">
        <w:rPr>
          <w:rStyle w:val="StyleUnderline"/>
        </w:rPr>
        <w:t>Jamaica-bound passenger aroused the suspicion of BDOs</w:t>
      </w:r>
      <w:r w:rsidRPr="0066548D">
        <w:rPr>
          <w:sz w:val="14"/>
        </w:rPr>
        <w:t>,</w:t>
      </w:r>
      <w:r w:rsidRPr="0066548D">
        <w:rPr>
          <w:rStyle w:val="StyleUnderline"/>
        </w:rPr>
        <w:t xml:space="preserve"> who</w:t>
      </w:r>
      <w:r w:rsidRPr="0066548D">
        <w:rPr>
          <w:sz w:val="14"/>
        </w:rPr>
        <w:t xml:space="preserve">, working in conjunction with the Orlando Police Department, the Orange County Bomb Squad, and the Federal Bureau of Investigation, </w:t>
      </w:r>
      <w:r w:rsidRPr="00CC389B">
        <w:rPr>
          <w:rStyle w:val="StyleUnderline"/>
        </w:rPr>
        <w:t>uncovered everything needed to make a bomb in the passenger’s checked bag</w:t>
      </w:r>
      <w:r w:rsidRPr="0066548D">
        <w:rPr>
          <w:sz w:val="14"/>
        </w:rPr>
        <w:t xml:space="preserve">.78 In sum, </w:t>
      </w:r>
      <w:r w:rsidRPr="00CC389B">
        <w:rPr>
          <w:rStyle w:val="StyleUnderline"/>
        </w:rPr>
        <w:t>behavioral profiling has the potential to provide more effective security, at a lower cost, with less disruption of innocent people, than other counter-terrorism screening techniques</w:t>
      </w:r>
      <w:r w:rsidRPr="0066548D">
        <w:rPr>
          <w:sz w:val="14"/>
        </w:rPr>
        <w:t xml:space="preserve">. As new research into human behavior develops alongside emerging technologies, security officials will have the power and ability to profile more people in more places in more different ways. </w:t>
      </w:r>
      <w:r w:rsidRPr="00CC389B">
        <w:rPr>
          <w:rStyle w:val="StyleUnderline"/>
        </w:rPr>
        <w:t>The behavioral profiling paradigm offers the promise of better security alongside more liberty and less hassle for travelers.</w:t>
      </w:r>
    </w:p>
    <w:p w:rsidR="009A29F0" w:rsidRPr="00AE4B8A" w:rsidRDefault="009A29F0" w:rsidP="009A29F0">
      <w:pPr>
        <w:pStyle w:val="Heading3"/>
      </w:pPr>
      <w:bookmarkStart w:id="75" w:name="_Toc424259150"/>
      <w:r>
        <w:lastRenderedPageBreak/>
        <w:t>A2: No Solve Crime/Terrorism NB</w:t>
      </w:r>
      <w:bookmarkEnd w:id="75"/>
    </w:p>
    <w:p w:rsidR="009A29F0" w:rsidRPr="00AE4B8A" w:rsidRDefault="009A29F0" w:rsidP="00AF1BF7">
      <w:pPr>
        <w:pStyle w:val="Heading4"/>
      </w:pPr>
      <w:r w:rsidRPr="00AE4B8A">
        <w:t>TSA Reform is Key to Effective Security Measures</w:t>
      </w:r>
    </w:p>
    <w:p w:rsidR="009A29F0" w:rsidRPr="00EF67E9" w:rsidRDefault="009A29F0" w:rsidP="009A29F0">
      <w:pPr>
        <w:rPr>
          <w:rStyle w:val="StyleStyleBold12pt"/>
          <w:b w:val="0"/>
          <w:sz w:val="16"/>
        </w:rPr>
      </w:pPr>
      <w:r w:rsidRPr="00EF67E9">
        <w:rPr>
          <w:rStyle w:val="StyleStyleBold12pt"/>
        </w:rPr>
        <w:t>Kaplan 09</w:t>
      </w:r>
      <w:r w:rsidRPr="00EF67E9">
        <w:rPr>
          <w:rStyle w:val="StyleStyleBold12pt"/>
          <w:b w:val="0"/>
          <w:sz w:val="16"/>
        </w:rPr>
        <w:t>(</w:t>
      </w:r>
      <w:r w:rsidRPr="00EF67E9">
        <w:rPr>
          <w:sz w:val="16"/>
        </w:rPr>
        <w:t xml:space="preserve"> Eben, “Target for Terrorists: Post 9/11 Aviation Security”, Sept 7, 2006, Council on Foreign Relations, </w:t>
      </w:r>
      <w:hyperlink r:id="rId56" w:history="1">
        <w:r w:rsidRPr="00EF67E9">
          <w:rPr>
            <w:sz w:val="16"/>
          </w:rPr>
          <w:t>http://www.cfr.org/border-and-port-security/targets-terrorists-post-911-aviation-security/p11397</w:t>
        </w:r>
      </w:hyperlink>
      <w:r w:rsidRPr="00EF67E9">
        <w:rPr>
          <w:sz w:val="16"/>
        </w:rPr>
        <w:t>)</w:t>
      </w:r>
    </w:p>
    <w:p w:rsidR="009A29F0" w:rsidRPr="008C4968" w:rsidRDefault="009A29F0" w:rsidP="009A29F0">
      <w:pPr>
        <w:rPr>
          <w:sz w:val="16"/>
        </w:rPr>
      </w:pPr>
      <w:r w:rsidRPr="008C4968">
        <w:rPr>
          <w:sz w:val="16"/>
        </w:rPr>
        <w:t xml:space="preserve"> </w:t>
      </w:r>
      <w:r w:rsidRPr="009B6357">
        <w:rPr>
          <w:rStyle w:val="StyleUnderline"/>
        </w:rPr>
        <w:t>Some</w:t>
      </w:r>
      <w:r w:rsidRPr="008C4968">
        <w:rPr>
          <w:sz w:val="16"/>
        </w:rPr>
        <w:t xml:space="preserve"> critics </w:t>
      </w:r>
      <w:r w:rsidRPr="009B6357">
        <w:rPr>
          <w:rStyle w:val="StyleUnderline"/>
        </w:rPr>
        <w:t>say that by focusing so heavily on screening passengers, security officials have left aircraft vulnerable to attack in other areas</w:t>
      </w:r>
      <w:r w:rsidRPr="008C4968">
        <w:rPr>
          <w:sz w:val="16"/>
        </w:rPr>
        <w:t xml:space="preserve">. Foremost among these, experts say, is air cargo security. In addition to carrying travelers’ baggage, the lower deck of many airliners holds a sizeable amount of airfreight. </w:t>
      </w:r>
      <w:r w:rsidRPr="009B6357">
        <w:rPr>
          <w:rStyle w:val="StyleUnderline"/>
        </w:rPr>
        <w:t>Though 100 percent of passengers’ checked luggage is required to be screened</w:t>
      </w:r>
      <w:r w:rsidRPr="008C4968">
        <w:rPr>
          <w:sz w:val="16"/>
        </w:rPr>
        <w:t xml:space="preserve"> for explosives, according to a </w:t>
      </w:r>
      <w:hyperlink r:id="rId57" w:tgtFrame="_blank" w:history="1">
        <w:r w:rsidRPr="008C4968">
          <w:rPr>
            <w:sz w:val="16"/>
          </w:rPr>
          <w:t>Congressional Research Service report (PDF)</w:t>
        </w:r>
      </w:hyperlink>
      <w:r w:rsidRPr="008C4968">
        <w:rPr>
          <w:sz w:val="16"/>
        </w:rPr>
        <w:t xml:space="preserve">, </w:t>
      </w:r>
      <w:r w:rsidRPr="009B6357">
        <w:rPr>
          <w:rStyle w:val="StyleUnderline"/>
        </w:rPr>
        <w:t>only a small portion of the air cargo is ever inspected</w:t>
      </w:r>
      <w:r w:rsidRPr="008C4968">
        <w:rPr>
          <w:sz w:val="16"/>
        </w:rPr>
        <w:t>.</w:t>
      </w:r>
      <w:r w:rsidRPr="008C4968">
        <w:rPr>
          <w:sz w:val="12"/>
        </w:rPr>
        <w:t>¶</w:t>
      </w:r>
      <w:r w:rsidRPr="008C4968">
        <w:rPr>
          <w:sz w:val="16"/>
        </w:rPr>
        <w:t xml:space="preserve"> </w:t>
      </w:r>
      <w:r w:rsidRPr="009B6357">
        <w:rPr>
          <w:rStyle w:val="StyleUnderline"/>
        </w:rPr>
        <w:t>Others criticize the ease with which airline and airport employees bypass security checkpoints when entering secure areas.</w:t>
      </w:r>
      <w:r w:rsidRPr="008C4968">
        <w:rPr>
          <w:sz w:val="16"/>
        </w:rPr>
        <w:t xml:space="preserve"> Some experts have called for the use of biometric identification for such access. </w:t>
      </w:r>
      <w:r w:rsidRPr="009B6357">
        <w:rPr>
          <w:rStyle w:val="StyleUnderline"/>
        </w:rPr>
        <w:t>There are also concerns over the potential of an attack by terrorists using a shoulder-fired anti-aircraft missile</w:t>
      </w:r>
      <w:r w:rsidRPr="008C4968">
        <w:rPr>
          <w:sz w:val="16"/>
        </w:rPr>
        <w:t xml:space="preserve">: In 2002 terrorists fired such a missile at an Israeli charter jet as it took off from Mombasa, Kenya. </w:t>
      </w:r>
      <w:r w:rsidRPr="009B6357">
        <w:rPr>
          <w:rStyle w:val="StyleUnderline"/>
        </w:rPr>
        <w:t>The Department of Homeland Security has commissioned prototypes of anti-missile systems but it remains unclear when, if ever, such systems will be implemented</w:t>
      </w:r>
      <w:r w:rsidRPr="008C4968">
        <w:rPr>
          <w:sz w:val="16"/>
        </w:rPr>
        <w:t xml:space="preserve">. </w:t>
      </w:r>
      <w:r w:rsidRPr="008C4968">
        <w:rPr>
          <w:sz w:val="12"/>
        </w:rPr>
        <w:t>¶</w:t>
      </w:r>
      <w:r w:rsidRPr="008C4968">
        <w:rPr>
          <w:sz w:val="16"/>
        </w:rPr>
        <w:t xml:space="preserve"> Despite the heightened focus on passenger screening, it too remains a magnet for criticism. At a hearing of the House Committee on Transportation and Infrastructure, John Mica (R-FL), chairman of the Subcommittee on Aviation, lamented, "</w:t>
      </w:r>
      <w:r w:rsidRPr="009B6357">
        <w:rPr>
          <w:rStyle w:val="StyleUnderline"/>
        </w:rPr>
        <w:t xml:space="preserve">The TSA’s current baggage screening system continues to show </w:t>
      </w:r>
      <w:hyperlink r:id="rId58" w:tgtFrame="_blank" w:history="1">
        <w:r w:rsidRPr="009B6357">
          <w:rPr>
            <w:rStyle w:val="StyleUnderline"/>
          </w:rPr>
          <w:t>no ability to adapt or keep pace</w:t>
        </w:r>
      </w:hyperlink>
      <w:r w:rsidRPr="009B6357">
        <w:rPr>
          <w:rStyle w:val="StyleUnderline"/>
        </w:rPr>
        <w:t xml:space="preserve"> with the ever-changing demands of the aviation industry</w:t>
      </w:r>
      <w:r w:rsidRPr="008C4968">
        <w:rPr>
          <w:sz w:val="16"/>
        </w:rPr>
        <w:t xml:space="preserve">. At the same time that the patchwork system is getting bogged down by its own inefficiencies, </w:t>
      </w:r>
      <w:r w:rsidRPr="009B6357">
        <w:rPr>
          <w:rStyle w:val="StyleUnderline"/>
        </w:rPr>
        <w:t>there is growing evidence that it does not even afford us more effective security screening</w:t>
      </w:r>
      <w:r w:rsidRPr="008C4968">
        <w:rPr>
          <w:sz w:val="16"/>
        </w:rPr>
        <w:t xml:space="preserve">." More advanced technologies could improve screening procedures, but the deployment of new devices has been slow. </w:t>
      </w:r>
      <w:r w:rsidRPr="008C4968">
        <w:rPr>
          <w:sz w:val="12"/>
        </w:rPr>
        <w:t>¶</w:t>
      </w:r>
      <w:r w:rsidRPr="008C4968">
        <w:rPr>
          <w:sz w:val="16"/>
        </w:rPr>
        <w:t xml:space="preserve"> As for </w:t>
      </w:r>
      <w:r w:rsidRPr="009B6357">
        <w:rPr>
          <w:rStyle w:val="StyleUnderline"/>
        </w:rPr>
        <w:t>prescreening passengers</w:t>
      </w:r>
      <w:r w:rsidRPr="008C4968">
        <w:rPr>
          <w:sz w:val="16"/>
        </w:rPr>
        <w:t>, Shanks says, "</w:t>
      </w:r>
      <w:r w:rsidRPr="009B6357">
        <w:rPr>
          <w:rStyle w:val="StyleUnderline"/>
        </w:rPr>
        <w:t>In principle it’s a good idea</w:t>
      </w:r>
      <w:r w:rsidRPr="008C4968">
        <w:rPr>
          <w:sz w:val="16"/>
        </w:rPr>
        <w:t xml:space="preserve">, but in practice </w:t>
      </w:r>
      <w:r w:rsidRPr="009B6357">
        <w:rPr>
          <w:rStyle w:val="StyleUnderline"/>
        </w:rPr>
        <w:t>it doesn’t always turn out that way</w:t>
      </w:r>
      <w:r w:rsidRPr="008C4968">
        <w:rPr>
          <w:sz w:val="16"/>
        </w:rPr>
        <w:t xml:space="preserve">." The watch lists compared with passenger manifests are just lists of names. Ordinary passengers with names similar to ones on the list have at times been stopped, and Shanks says </w:t>
      </w:r>
      <w:r w:rsidRPr="009B6357">
        <w:rPr>
          <w:rStyle w:val="StyleUnderline"/>
        </w:rPr>
        <w:t>there’s little to stop a terrorist from creating a false identity</w:t>
      </w:r>
      <w:r w:rsidRPr="008C4968">
        <w:rPr>
          <w:sz w:val="16"/>
        </w:rPr>
        <w:t xml:space="preserve">. Homeland Security Secretary Michael Chertoff seems to agree. In an August 29 Washington Post op-ed, he </w:t>
      </w:r>
      <w:hyperlink r:id="rId59" w:tgtFrame="_blank" w:history="1">
        <w:r w:rsidRPr="008C4968">
          <w:rPr>
            <w:sz w:val="16"/>
          </w:rPr>
          <w:t>called for screening measures</w:t>
        </w:r>
      </w:hyperlink>
      <w:r w:rsidRPr="008C4968">
        <w:rPr>
          <w:sz w:val="16"/>
        </w:rPr>
        <w:t xml:space="preserve"> that would allow U.S. officials access to such data as passengers’ cell phone numbers.</w:t>
      </w:r>
      <w:r w:rsidRPr="008C4968">
        <w:rPr>
          <w:sz w:val="12"/>
        </w:rPr>
        <w:t>¶</w:t>
      </w:r>
      <w:r w:rsidRPr="008C4968">
        <w:rPr>
          <w:sz w:val="16"/>
        </w:rPr>
        <w:t xml:space="preserve"> One approach, called behavior pattern recognition (BPR), uses behavior clues to identify potential terrorists during passenger screening. Rafi Ron, former director of security at Tel Aviv’s Ben Gurion airport and now a security consultant working with the TSA to implement BPR programs at U.S. airports, </w:t>
      </w:r>
      <w:r w:rsidRPr="009B6357">
        <w:rPr>
          <w:rStyle w:val="StyleUnderline"/>
        </w:rPr>
        <w:t>says if BPR is widely implemented it will "add a very important security layer to our aviation [system].</w:t>
      </w:r>
      <w:r w:rsidRPr="008C4968">
        <w:rPr>
          <w:sz w:val="16"/>
        </w:rPr>
        <w:t xml:space="preserve">" The technique involves first identifying passengers exhibiting suspicious behavior, such as wearing heavy clothing on a warm day, excessive sweating, or using a pay phone in areas with cell phone reception. </w:t>
      </w:r>
      <w:r w:rsidRPr="00EF67E9">
        <w:rPr>
          <w:rStyle w:val="StyleUnderline"/>
        </w:rPr>
        <w:t>Individuals identified in this way are then selected for targeted interviews with a law enforcement officer who is trained to detect signs that a passenger is concealing something</w:t>
      </w:r>
      <w:r w:rsidRPr="008C4968">
        <w:rPr>
          <w:sz w:val="16"/>
        </w:rPr>
        <w:t xml:space="preserve">. Ron describes these interviews as "friendly conversations;" most are only a few minutes long. The vast majority of the passengers questioned like this are allowed to continue on their travels; </w:t>
      </w:r>
      <w:r w:rsidRPr="00EF67E9">
        <w:rPr>
          <w:rStyle w:val="StyleUnderline"/>
        </w:rPr>
        <w:t xml:space="preserve">the few passengers who arouse an officer’s suspicions are subjected to an hour-long interrogation and search. </w:t>
      </w:r>
      <w:r w:rsidRPr="008C4968">
        <w:rPr>
          <w:sz w:val="16"/>
        </w:rPr>
        <w:t>Naccara, who has used BPR at Logan Airport for three and a half years, says it works "extremely well."</w:t>
      </w:r>
      <w:r w:rsidRPr="008C4968">
        <w:rPr>
          <w:sz w:val="12"/>
        </w:rPr>
        <w:t>¶</w:t>
      </w:r>
      <w:r w:rsidRPr="008C4968">
        <w:rPr>
          <w:sz w:val="16"/>
        </w:rPr>
        <w:t xml:space="preserve"> </w:t>
      </w:r>
      <w:r w:rsidRPr="00EF67E9">
        <w:rPr>
          <w:rStyle w:val="StyleUnderline"/>
        </w:rPr>
        <w:t>The TSA is testing BPR under a program called Screening Passengers by Observation Technique, or SPOT</w:t>
      </w:r>
      <w:r w:rsidRPr="008C4968">
        <w:rPr>
          <w:sz w:val="16"/>
        </w:rPr>
        <w:t xml:space="preserve">. Ron says that while no terrorists have been netted, </w:t>
      </w:r>
      <w:r w:rsidRPr="00EF67E9">
        <w:rPr>
          <w:rStyle w:val="StyleUnderline"/>
        </w:rPr>
        <w:t>several criminals have been arrested</w:t>
      </w:r>
      <w:r w:rsidRPr="008C4968">
        <w:rPr>
          <w:sz w:val="16"/>
        </w:rPr>
        <w:t>. Yet the process is not foolproof: Shoe-bomber Richard Reid was targeted for an interview by a security guard before boarding a flight from Paris to Miami. The conversation aroused the guard’s suspicions, who referred Reid to French law enforcement for further questioning scrutiny. French officials, Ron says, did not properly search Reid, who was wearing a bomb during the entire interrogation.</w:t>
      </w:r>
      <w:r w:rsidRPr="008C4968">
        <w:rPr>
          <w:sz w:val="12"/>
        </w:rPr>
        <w:t>¶</w:t>
      </w:r>
      <w:r w:rsidRPr="008C4968">
        <w:rPr>
          <w:sz w:val="16"/>
        </w:rPr>
        <w:t xml:space="preserve"> Implementing advanced technology has been widely touted as a means of improving airport security. </w:t>
      </w:r>
      <w:r w:rsidRPr="00EF67E9">
        <w:rPr>
          <w:rStyle w:val="StyleUnderline"/>
        </w:rPr>
        <w:t>There are a number of new technologies that may eventually be incorporated into the screening process</w:t>
      </w:r>
      <w:r w:rsidRPr="008C4968">
        <w:rPr>
          <w:sz w:val="16"/>
        </w:rPr>
        <w:t>. These include:</w:t>
      </w:r>
      <w:r w:rsidRPr="008C4968">
        <w:rPr>
          <w:sz w:val="12"/>
        </w:rPr>
        <w:t>¶</w:t>
      </w:r>
      <w:r w:rsidRPr="008C4968">
        <w:rPr>
          <w:sz w:val="16"/>
        </w:rPr>
        <w:t xml:space="preserve"> Backscatter X-rays can trace the contours of a person’s body and reveal any hidden objects, such as non-metallic weapons, plastic explosives, or drugs. </w:t>
      </w:r>
      <w:r w:rsidRPr="00EF67E9">
        <w:rPr>
          <w:rStyle w:val="StyleUnderline"/>
        </w:rPr>
        <w:t>Some critics argue these devices reveal too much and are an invasion of privacy</w:t>
      </w:r>
      <w:r w:rsidRPr="008C4968">
        <w:rPr>
          <w:sz w:val="16"/>
        </w:rPr>
        <w:t>, though filters can be added to protect a passengers’ modesty.</w:t>
      </w:r>
      <w:r w:rsidRPr="008C4968">
        <w:rPr>
          <w:sz w:val="12"/>
        </w:rPr>
        <w:t>¶</w:t>
      </w:r>
      <w:r w:rsidRPr="008C4968">
        <w:rPr>
          <w:sz w:val="16"/>
        </w:rPr>
        <w:t xml:space="preserve"> </w:t>
      </w:r>
      <w:r w:rsidRPr="00EF67E9">
        <w:rPr>
          <w:rStyle w:val="StyleUnderline"/>
        </w:rPr>
        <w:t>Trace-detection portals or “puffers” can be used to detect explosive residue on a passenger by blowing small bursts of air at the person being screened</w:t>
      </w:r>
      <w:r w:rsidRPr="008C4968">
        <w:rPr>
          <w:sz w:val="16"/>
        </w:rPr>
        <w:t>. These puffs are designed to dislodge molecules from a person’s body or clothing, and the air is sucked into a filter and analyzed for suspicious substances. The same method may be used on luggage.</w:t>
      </w:r>
      <w:r w:rsidRPr="008C4968">
        <w:rPr>
          <w:sz w:val="12"/>
        </w:rPr>
        <w:t>¶</w:t>
      </w:r>
      <w:r w:rsidRPr="008C4968">
        <w:rPr>
          <w:sz w:val="16"/>
        </w:rPr>
        <w:t xml:space="preserve"> Quadrupole Resonance Scanning is a way of identifying materials packed in passengers’ baggage. A scanner bombards a passenger’s suitcase with radio waves and examines the wavelengths of the energy emitted by the contents of the bag. This method has been used to detect some 10,000 different substances. </w:t>
      </w:r>
      <w:r w:rsidRPr="008C4968">
        <w:rPr>
          <w:sz w:val="12"/>
        </w:rPr>
        <w:t>¶</w:t>
      </w:r>
      <w:r w:rsidRPr="008C4968">
        <w:rPr>
          <w:sz w:val="16"/>
        </w:rPr>
        <w:t xml:space="preserve"> Polygraphs, or lie detectors, as they often called, have long been used in other settings, but in 2006, the </w:t>
      </w:r>
      <w:r w:rsidRPr="00EF67E9">
        <w:rPr>
          <w:rStyle w:val="StyleUnderline"/>
        </w:rPr>
        <w:t xml:space="preserve">TSA began testing a polygraph-like system for passenger screening. In this new system, passengers enter a booth, place one hand on a sensor, and answer a series of questions on a touch screen. The sensor measures such things as blood pressure, pulse, and sweat levels, </w:t>
      </w:r>
      <w:r w:rsidRPr="008C4968">
        <w:rPr>
          <w:sz w:val="16"/>
        </w:rPr>
        <w:lastRenderedPageBreak/>
        <w:t xml:space="preserve">analyzing them to determine if the person is lying. </w:t>
      </w:r>
      <w:r w:rsidRPr="008C4968">
        <w:rPr>
          <w:sz w:val="12"/>
        </w:rPr>
        <w:t>¶</w:t>
      </w:r>
      <w:r w:rsidRPr="008C4968">
        <w:rPr>
          <w:sz w:val="16"/>
        </w:rPr>
        <w:t xml:space="preserve"> While </w:t>
      </w:r>
      <w:r w:rsidRPr="00EF67E9">
        <w:rPr>
          <w:rStyle w:val="StyleUnderline"/>
        </w:rPr>
        <w:t>improved techniques and advanced technology can certainly help to make air travel safer</w:t>
      </w:r>
      <w:r w:rsidRPr="008C4968">
        <w:rPr>
          <w:sz w:val="16"/>
        </w:rPr>
        <w:t>, there is no magic bullet. "There will always be vulnerabilities," Naccara says, "We should never be satisfied; we should always be looking for improvements."</w:t>
      </w:r>
      <w:r w:rsidRPr="008C4968">
        <w:rPr>
          <w:sz w:val="12"/>
        </w:rPr>
        <w:t>¶</w:t>
      </w:r>
      <w:r w:rsidRPr="008C4968">
        <w:rPr>
          <w:sz w:val="16"/>
        </w:rPr>
        <w:t xml:space="preserve"> Do other countries have the same security measures as the United States?</w:t>
      </w:r>
      <w:r w:rsidRPr="008C4968">
        <w:rPr>
          <w:sz w:val="12"/>
        </w:rPr>
        <w:t>¶</w:t>
      </w:r>
      <w:r w:rsidRPr="008C4968">
        <w:rPr>
          <w:sz w:val="16"/>
        </w:rPr>
        <w:t xml:space="preserve"> No. Specific security measures vary from country to country. General standards for minimum security measures are dictated by the </w:t>
      </w:r>
      <w:hyperlink r:id="rId60" w:tgtFrame="_blank" w:history="1">
        <w:r w:rsidRPr="008C4968">
          <w:rPr>
            <w:sz w:val="16"/>
          </w:rPr>
          <w:t>International Civil Aviation Organization (ICAO)</w:t>
        </w:r>
      </w:hyperlink>
      <w:r w:rsidRPr="008C4968">
        <w:rPr>
          <w:sz w:val="16"/>
        </w:rPr>
        <w:t>, but those standards are not always met. Even if foreign airports are screening 100 percent of passengers’ baggage, as the ICAO requires, Shanks says, “Other countries may be using technology that is not the best.” This might explain how in August 2006, a U.S. college student boarded a plane in Argentina with explosive powder and a stick of dynamite in his checked bag.</w:t>
      </w:r>
      <w:r w:rsidRPr="008C4968">
        <w:rPr>
          <w:sz w:val="12"/>
        </w:rPr>
        <w:t>¶</w:t>
      </w:r>
      <w:r w:rsidRPr="008C4968">
        <w:rPr>
          <w:sz w:val="16"/>
        </w:rPr>
        <w:t xml:space="preserve"> Some countries have security measures that surpass those of the United States. Tel Aviv’s airport is widely regarded as the safest in the world. There, airport officials interview every single passenger using the same BPR techniques that are currently being tested in the United States. </w:t>
      </w:r>
      <w:r w:rsidRPr="00EF67E9">
        <w:rPr>
          <w:rStyle w:val="StyleUnderline"/>
        </w:rPr>
        <w:t>Interviewing 100 percent of the passengers</w:t>
      </w:r>
      <w:r w:rsidRPr="008C4968">
        <w:rPr>
          <w:sz w:val="16"/>
        </w:rPr>
        <w:t>, Ron says, "</w:t>
      </w:r>
      <w:r w:rsidRPr="00EF67E9">
        <w:rPr>
          <w:rStyle w:val="StyleUnderline"/>
        </w:rPr>
        <w:t>has proven to be more effective than any other aviation security measure,"</w:t>
      </w:r>
      <w:r w:rsidRPr="008C4968">
        <w:rPr>
          <w:sz w:val="16"/>
        </w:rPr>
        <w:t xml:space="preserve"> but cultural and legal obstacles have prevented implementation of such a program in the United States.</w:t>
      </w:r>
      <w:r w:rsidRPr="008C4968">
        <w:rPr>
          <w:sz w:val="12"/>
        </w:rPr>
        <w:t>¶</w:t>
      </w:r>
    </w:p>
    <w:p w:rsidR="009A29F0" w:rsidRDefault="009A29F0" w:rsidP="009A29F0"/>
    <w:p w:rsidR="009A29F0" w:rsidRDefault="009A29F0" w:rsidP="009A29F0">
      <w:pPr>
        <w:pStyle w:val="Heading3"/>
      </w:pPr>
      <w:bookmarkStart w:id="76" w:name="_Toc424259151"/>
      <w:r>
        <w:lastRenderedPageBreak/>
        <w:t>A2: No Solve Crime/Terrorism</w:t>
      </w:r>
      <w:bookmarkEnd w:id="76"/>
      <w:r>
        <w:t xml:space="preserve"> </w:t>
      </w:r>
    </w:p>
    <w:p w:rsidR="009A29F0" w:rsidRPr="00CB1C02" w:rsidRDefault="009A29F0" w:rsidP="009A29F0"/>
    <w:p w:rsidR="009A29F0" w:rsidRDefault="009A29F0" w:rsidP="00AF1BF7">
      <w:pPr>
        <w:pStyle w:val="Heading4"/>
      </w:pPr>
      <w:r>
        <w:t>Effectiveness cannot be measured on number of terrorists caught</w:t>
      </w:r>
    </w:p>
    <w:p w:rsidR="009A29F0" w:rsidRPr="009A29F0" w:rsidRDefault="009A29F0" w:rsidP="009A29F0"/>
    <w:p w:rsidR="009A29F0" w:rsidRDefault="009A29F0" w:rsidP="009A29F0">
      <w:pPr>
        <w:rPr>
          <w:sz w:val="16"/>
        </w:rPr>
      </w:pPr>
      <w:r w:rsidRPr="00B91818">
        <w:rPr>
          <w:rStyle w:val="StyleStyleBold12pt"/>
        </w:rPr>
        <w:t>Cotton</w:t>
      </w:r>
      <w:r>
        <w:rPr>
          <w:rStyle w:val="StyleStyleBold12pt"/>
        </w:rPr>
        <w:t xml:space="preserve"> 15</w:t>
      </w:r>
      <w:r w:rsidRPr="00B91818">
        <w:rPr>
          <w:rStyle w:val="StyleStyleBold12pt"/>
        </w:rPr>
        <w:t xml:space="preserve"> </w:t>
      </w:r>
      <w:r>
        <w:rPr>
          <w:rStyle w:val="StyleStyleBold12pt"/>
          <w:b w:val="0"/>
        </w:rPr>
        <w:t>(</w:t>
      </w:r>
      <w:r w:rsidRPr="00B91818">
        <w:rPr>
          <w:rStyle w:val="StyleStyleBold12pt"/>
          <w:b w:val="0"/>
        </w:rPr>
        <w:t>Transportation Security Specialist</w:t>
      </w:r>
      <w:r>
        <w:rPr>
          <w:rStyle w:val="StyleStyleBold12pt"/>
          <w:b w:val="0"/>
        </w:rPr>
        <w:t xml:space="preserve">) </w:t>
      </w:r>
      <w:r w:rsidRPr="00804E18">
        <w:rPr>
          <w:sz w:val="16"/>
        </w:rPr>
        <w:t xml:space="preserve">(Brent A., March 2015, “STRATEGIC IMPROVEMENTS TO TSA SPOT PROGRAM,” </w:t>
      </w:r>
      <w:r w:rsidRPr="00804E18">
        <w:rPr>
          <w:i/>
          <w:sz w:val="16"/>
        </w:rPr>
        <w:t xml:space="preserve">NAVAL POSTGRADUATE SCHOOL) </w:t>
      </w:r>
      <w:r w:rsidRPr="00804E18">
        <w:rPr>
          <w:sz w:val="16"/>
        </w:rPr>
        <w:t>SPOT = Screening Passengers by Observation Techniques</w:t>
      </w:r>
    </w:p>
    <w:p w:rsidR="009A29F0" w:rsidRPr="0001648C" w:rsidRDefault="009A29F0" w:rsidP="009A29F0">
      <w:pPr>
        <w:rPr>
          <w:sz w:val="16"/>
        </w:rPr>
      </w:pPr>
    </w:p>
    <w:p w:rsidR="009A29F0" w:rsidRPr="0001648C" w:rsidRDefault="009A29F0" w:rsidP="009A29F0">
      <w:pPr>
        <w:rPr>
          <w:sz w:val="16"/>
        </w:rPr>
      </w:pPr>
      <w:r w:rsidRPr="0001648C">
        <w:rPr>
          <w:sz w:val="16"/>
        </w:rPr>
        <w:t xml:space="preserve">The GAO notes that </w:t>
      </w:r>
      <w:r w:rsidRPr="0001648C">
        <w:rPr>
          <w:rStyle w:val="StyleUnderline"/>
        </w:rPr>
        <w:t>the SPOT program has not caught a single terrorist, which indicates that the program is not an effective anti-terrorist tactic. As a simple bullet point, the claim is certainly accurate,</w:t>
      </w:r>
      <w:r w:rsidRPr="0001648C">
        <w:rPr>
          <w:sz w:val="16"/>
        </w:rPr>
        <w:t xml:space="preserve"> </w:t>
      </w:r>
      <w:r w:rsidRPr="0001648C">
        <w:rPr>
          <w:rStyle w:val="StyleUnderline"/>
        </w:rPr>
        <w:t>but taken in context may not be indicative of a lack of effectiveness</w:t>
      </w:r>
      <w:r w:rsidRPr="0001648C">
        <w:rPr>
          <w:sz w:val="16"/>
        </w:rPr>
        <w:t xml:space="preserve">. </w:t>
      </w:r>
      <w:r w:rsidRPr="0001648C">
        <w:rPr>
          <w:rStyle w:val="StyleUnderline"/>
        </w:rPr>
        <w:t>No known plots or attack attempts against domestic aviation have occurred since 9/11, which means no relevant data is available from which to draw conclusions about the effectiveness of any aviation countermeasure or program.</w:t>
      </w:r>
      <w:r w:rsidRPr="0001648C">
        <w:rPr>
          <w:sz w:val="16"/>
        </w:rPr>
        <w:t xml:space="preserve"> Additionally, all TSA security programs (and most other domestic anti-terrorism programs) are operating in the same environment. Given the low frequency of terrorist attacks originating in the United States,</w:t>
      </w:r>
      <w:r w:rsidRPr="0001648C">
        <w:rPr>
          <w:rStyle w:val="StyleUnderline"/>
        </w:rPr>
        <w:t>success cannot be measured by the number of terrorists captured</w:t>
      </w:r>
      <w:r w:rsidRPr="0001648C">
        <w:rPr>
          <w:sz w:val="16"/>
        </w:rPr>
        <w:t xml:space="preserve">. By this logic, the United States should also stop inspecting luggage and persons at the airport and borders, </w:t>
      </w:r>
      <w:r w:rsidRPr="0001648C">
        <w:rPr>
          <w:rStyle w:val="StyleUnderline"/>
        </w:rPr>
        <w:t>since no terrorists have been captured using these methods</w:t>
      </w:r>
      <w:r w:rsidRPr="0001648C">
        <w:rPr>
          <w:sz w:val="16"/>
        </w:rPr>
        <w:t xml:space="preserve">. The logic used by the GAO is akin to saying that a designated hitter in a baseball game is ineffective because he got zero hits in the game. It may be true that he did not get a single hit, but that data point is not sufficient to draw conclusions about his performance. To assess his effectiveness, it is also essential to know how many at bats the hitter attempted. In both cases (SPOT and the baseball player) the data alone does not provide sufficient backing from which to draw conclusions about effectiveness. </w:t>
      </w:r>
      <w:r w:rsidRPr="0001648C">
        <w:rPr>
          <w:rStyle w:val="StyleUnderline"/>
        </w:rPr>
        <w:t xml:space="preserve">The low frequency of terrorist attacks </w:t>
      </w:r>
      <w:r w:rsidRPr="0001648C">
        <w:rPr>
          <w:sz w:val="16"/>
        </w:rPr>
        <w:t>(</w:t>
      </w:r>
      <w:r w:rsidRPr="0001648C">
        <w:rPr>
          <w:rStyle w:val="StyleUnderline"/>
        </w:rPr>
        <w:t>or lack of data</w:t>
      </w:r>
      <w:r w:rsidRPr="0001648C">
        <w:rPr>
          <w:sz w:val="16"/>
        </w:rPr>
        <w:t>) makes it difficult for either the GAO or TSA (</w:t>
      </w:r>
      <w:r w:rsidRPr="0001648C">
        <w:rPr>
          <w:rStyle w:val="StyleUnderline"/>
        </w:rPr>
        <w:t>really all of the DHS</w:t>
      </w:r>
      <w:r w:rsidRPr="0001648C">
        <w:rPr>
          <w:sz w:val="16"/>
        </w:rPr>
        <w:t xml:space="preserve">) </w:t>
      </w:r>
      <w:r w:rsidRPr="0001648C">
        <w:rPr>
          <w:rStyle w:val="StyleUnderline"/>
        </w:rPr>
        <w:t>to understand the effectiveness of anti-terrorist programs</w:t>
      </w:r>
      <w:r w:rsidRPr="0001648C">
        <w:rPr>
          <w:sz w:val="16"/>
        </w:rPr>
        <w:t xml:space="preserve">. However, </w:t>
      </w:r>
      <w:r w:rsidRPr="0001648C">
        <w:rPr>
          <w:rStyle w:val="StyleUnderline"/>
        </w:rPr>
        <w:t>it may be that SPOT and other security programs are providing an intangible level of deterrence</w:t>
      </w:r>
      <w:r w:rsidRPr="0001648C">
        <w:rPr>
          <w:sz w:val="16"/>
        </w:rPr>
        <w:t xml:space="preserve">, </w:t>
      </w:r>
      <w:r w:rsidRPr="0001648C">
        <w:rPr>
          <w:rStyle w:val="StyleUnderline"/>
        </w:rPr>
        <w:t>which makes aviation an unattractive terrorism target due to the adversaries’ reduced likelihood of success</w:t>
      </w:r>
      <w:r w:rsidRPr="0001648C">
        <w:rPr>
          <w:sz w:val="16"/>
        </w:rPr>
        <w:t xml:space="preserve">, </w:t>
      </w:r>
      <w:r w:rsidRPr="0001648C">
        <w:rPr>
          <w:rStyle w:val="StyleUnderline"/>
        </w:rPr>
        <w:t>whether real or perceived</w:t>
      </w:r>
      <w:r w:rsidRPr="0001648C">
        <w:rPr>
          <w:sz w:val="16"/>
        </w:rPr>
        <w:t>.</w:t>
      </w:r>
    </w:p>
    <w:p w:rsidR="009A29F0" w:rsidRDefault="009A29F0" w:rsidP="009A29F0">
      <w:pPr>
        <w:widowControl w:val="0"/>
        <w:autoSpaceDE w:val="0"/>
        <w:autoSpaceDN w:val="0"/>
        <w:adjustRightInd w:val="0"/>
        <w:spacing w:after="240"/>
        <w:rPr>
          <w:sz w:val="16"/>
        </w:rPr>
      </w:pPr>
    </w:p>
    <w:p w:rsidR="009A29F0" w:rsidRDefault="009A29F0" w:rsidP="009A29F0">
      <w:pPr>
        <w:pStyle w:val="Heading3"/>
      </w:pPr>
      <w:bookmarkStart w:id="77" w:name="_Toc424259152"/>
      <w:r>
        <w:lastRenderedPageBreak/>
        <w:t>A2: Statistics Prove BPR Useless</w:t>
      </w:r>
      <w:bookmarkEnd w:id="77"/>
    </w:p>
    <w:p w:rsidR="009A29F0" w:rsidRPr="00CB1C02" w:rsidRDefault="009A29F0" w:rsidP="009A29F0"/>
    <w:p w:rsidR="009A29F0" w:rsidRDefault="009A29F0" w:rsidP="00AF1BF7">
      <w:pPr>
        <w:pStyle w:val="Heading4"/>
      </w:pPr>
      <w:r>
        <w:t>SPOT only needs more statistics in order to make a successful process</w:t>
      </w:r>
    </w:p>
    <w:p w:rsidR="009A29F0" w:rsidRDefault="009A29F0" w:rsidP="009A29F0">
      <w:pPr>
        <w:rPr>
          <w:sz w:val="16"/>
        </w:rPr>
      </w:pPr>
      <w:r w:rsidRPr="00B91818">
        <w:rPr>
          <w:rStyle w:val="StyleStyleBold12pt"/>
        </w:rPr>
        <w:t>Cotton</w:t>
      </w:r>
      <w:r>
        <w:rPr>
          <w:rStyle w:val="StyleStyleBold12pt"/>
        </w:rPr>
        <w:t xml:space="preserve"> 15</w:t>
      </w:r>
      <w:r w:rsidRPr="00B91818">
        <w:rPr>
          <w:rStyle w:val="StyleStyleBold12pt"/>
        </w:rPr>
        <w:t xml:space="preserve"> </w:t>
      </w:r>
      <w:r>
        <w:rPr>
          <w:rStyle w:val="StyleStyleBold12pt"/>
          <w:b w:val="0"/>
        </w:rPr>
        <w:t>(</w:t>
      </w:r>
      <w:r w:rsidRPr="00B91818">
        <w:rPr>
          <w:rStyle w:val="StyleStyleBold12pt"/>
          <w:b w:val="0"/>
        </w:rPr>
        <w:t>Transportation Security Specialist</w:t>
      </w:r>
      <w:r>
        <w:rPr>
          <w:rStyle w:val="StyleStyleBold12pt"/>
          <w:b w:val="0"/>
        </w:rPr>
        <w:t xml:space="preserve">) </w:t>
      </w:r>
      <w:r w:rsidRPr="00804E18">
        <w:rPr>
          <w:sz w:val="16"/>
        </w:rPr>
        <w:t xml:space="preserve">(Brent A., March 2015, “STRATEGIC IMPROVEMENTS TO TSA SPOT PROGRAM,” </w:t>
      </w:r>
      <w:r w:rsidRPr="00804E18">
        <w:rPr>
          <w:i/>
          <w:sz w:val="16"/>
        </w:rPr>
        <w:t xml:space="preserve">NAVAL POSTGRADUATE SCHOOL) </w:t>
      </w:r>
      <w:r w:rsidRPr="00804E18">
        <w:rPr>
          <w:sz w:val="16"/>
        </w:rPr>
        <w:t>SPOT = Screening Passengers by Observation Techniques</w:t>
      </w:r>
    </w:p>
    <w:p w:rsidR="009A29F0" w:rsidRPr="0014181F" w:rsidRDefault="009A29F0" w:rsidP="009A29F0">
      <w:pPr>
        <w:rPr>
          <w:sz w:val="16"/>
        </w:rPr>
      </w:pPr>
    </w:p>
    <w:p w:rsidR="009A29F0" w:rsidRPr="00CB1C02" w:rsidRDefault="009A29F0" w:rsidP="009A29F0">
      <w:pPr>
        <w:rPr>
          <w:sz w:val="16"/>
        </w:rPr>
      </w:pPr>
      <w:r w:rsidRPr="0014181F">
        <w:rPr>
          <w:rStyle w:val="StyleUnderline"/>
        </w:rPr>
        <w:t>A combination of claims that SPOT needs to 1</w:t>
      </w:r>
      <w:r w:rsidRPr="00CB1C02">
        <w:rPr>
          <w:sz w:val="16"/>
        </w:rPr>
        <w:t xml:space="preserve">) </w:t>
      </w:r>
      <w:r w:rsidRPr="0014181F">
        <w:rPr>
          <w:rStyle w:val="StyleUnderline"/>
        </w:rPr>
        <w:t>establish a method to measure performance of the BDOs</w:t>
      </w:r>
      <w:r w:rsidRPr="00CB1C02">
        <w:rPr>
          <w:sz w:val="16"/>
        </w:rPr>
        <w:t xml:space="preserve">, and 2) </w:t>
      </w:r>
      <w:r w:rsidRPr="0014181F">
        <w:rPr>
          <w:rStyle w:val="StyleUnderline"/>
        </w:rPr>
        <w:t>establish data input controls to ensure the accuracy of data</w:t>
      </w:r>
      <w:r w:rsidRPr="00CB1C02">
        <w:rPr>
          <w:sz w:val="16"/>
        </w:rPr>
        <w:t xml:space="preserve">, </w:t>
      </w:r>
      <w:r w:rsidRPr="0014181F">
        <w:rPr>
          <w:rStyle w:val="StyleUnderline"/>
        </w:rPr>
        <w:t>which leads this study to conclude that SPOT has a strategic metric issue</w:t>
      </w:r>
      <w:r w:rsidRPr="00CB1C02">
        <w:rPr>
          <w:sz w:val="16"/>
        </w:rPr>
        <w:t xml:space="preserve">. </w:t>
      </w:r>
      <w:r w:rsidRPr="0014181F">
        <w:rPr>
          <w:rStyle w:val="StyleUnderline"/>
        </w:rPr>
        <w:t>Collecting data with sufficient accuracy can be easily addressed operationally</w:t>
      </w:r>
      <w:r w:rsidRPr="00CB1C02">
        <w:rPr>
          <w:sz w:val="16"/>
        </w:rPr>
        <w:t xml:space="preserve">, </w:t>
      </w:r>
      <w:r w:rsidRPr="0014181F">
        <w:rPr>
          <w:rStyle w:val="StyleUnderline"/>
        </w:rPr>
        <w:t>but must be done before any data can be used and analyzed to indicate effectiveness</w:t>
      </w:r>
      <w:r w:rsidRPr="00CB1C02">
        <w:rPr>
          <w:sz w:val="16"/>
        </w:rPr>
        <w:t xml:space="preserve">. However, </w:t>
      </w:r>
      <w:r w:rsidRPr="0014181F">
        <w:rPr>
          <w:rStyle w:val="StyleUnderline"/>
        </w:rPr>
        <w:t>the larger problem is that SPOT needs to establish metrics that</w:t>
      </w:r>
      <w:r w:rsidRPr="00CB1C02">
        <w:rPr>
          <w:sz w:val="16"/>
        </w:rPr>
        <w:t xml:space="preserve">, when analyzed, </w:t>
      </w:r>
      <w:r w:rsidRPr="0014181F">
        <w:rPr>
          <w:rStyle w:val="StyleUnderline"/>
        </w:rPr>
        <w:t>would be indicative of performance</w:t>
      </w:r>
      <w:r w:rsidRPr="00CB1C02">
        <w:rPr>
          <w:sz w:val="16"/>
        </w:rPr>
        <w:t xml:space="preserve">. </w:t>
      </w:r>
      <w:r w:rsidRPr="0014181F">
        <w:rPr>
          <w:rStyle w:val="StyleUnderline"/>
        </w:rPr>
        <w:t>The lack of fidelity into SPOT performance has led the GAO to</w:t>
      </w:r>
      <w:r>
        <w:rPr>
          <w:rStyle w:val="StyleUnderline"/>
        </w:rPr>
        <w:t xml:space="preserve"> </w:t>
      </w:r>
      <w:r w:rsidRPr="0014181F">
        <w:rPr>
          <w:rStyle w:val="StyleUnderline"/>
        </w:rPr>
        <w:t>withhold budget from SPOT</w:t>
      </w:r>
      <w:r w:rsidRPr="00CB1C02">
        <w:rPr>
          <w:sz w:val="16"/>
        </w:rPr>
        <w:t xml:space="preserve">, but worse than that, suggests that the TSA may not actually know how effective the program is. The TSA can demonstrate that SPOT regularly identifies criminals at the checkpoint, those intending to commit or in the act of committing a crime, such as smuggling, kidnapping, human trafficking, child pornography, etc. (see Figure 3). It is indicative of some success since persons engaged in high-stakes deception will react predictably to the fear of discovery. Unfortunately, </w:t>
      </w:r>
      <w:r w:rsidRPr="0014181F">
        <w:rPr>
          <w:rStyle w:val="StyleUnderline"/>
        </w:rPr>
        <w:t>it is not possible to obtain a true P</w:t>
      </w:r>
      <w:r w:rsidRPr="00CB1C02">
        <w:rPr>
          <w:sz w:val="16"/>
        </w:rPr>
        <w:t>(d) (</w:t>
      </w:r>
      <w:r w:rsidRPr="0014181F">
        <w:rPr>
          <w:rStyle w:val="StyleUnderline"/>
        </w:rPr>
        <w:t>using criminal identification as proxy data</w:t>
      </w:r>
      <w:r w:rsidRPr="00CB1C02">
        <w:rPr>
          <w:sz w:val="16"/>
        </w:rPr>
        <w:t xml:space="preserve">) because it is not possible to also know how many persons actively engaged in criminal or deceptive behavior have passed through the system without being caught. </w:t>
      </w:r>
      <w:r w:rsidRPr="0014181F">
        <w:rPr>
          <w:rStyle w:val="StyleUnderline"/>
        </w:rPr>
        <w:t>It is impossible to prove the negative</w:t>
      </w:r>
      <w:r w:rsidRPr="00CB1C02">
        <w:rPr>
          <w:sz w:val="16"/>
        </w:rPr>
        <w:t xml:space="preserve">, </w:t>
      </w:r>
      <w:r w:rsidRPr="0014181F">
        <w:rPr>
          <w:rStyle w:val="StyleUnderline"/>
        </w:rPr>
        <w:t>which makes it impossible to obtain a true P</w:t>
      </w:r>
      <w:r w:rsidRPr="00CB1C02">
        <w:rPr>
          <w:sz w:val="16"/>
        </w:rPr>
        <w:t>(d), and complicates the analysis for both the GAO and TSA. Suggestions on how to understand and begin measuring effectiveness are included in Chapter V.</w:t>
      </w:r>
    </w:p>
    <w:p w:rsidR="009A29F0" w:rsidRDefault="009A29F0" w:rsidP="009A29F0"/>
    <w:p w:rsidR="00756AD2" w:rsidRDefault="00756AD2" w:rsidP="00756AD2">
      <w:pPr>
        <w:pStyle w:val="Heading3"/>
      </w:pPr>
      <w:bookmarkStart w:id="78" w:name="_Toc424259153"/>
      <w:r>
        <w:lastRenderedPageBreak/>
        <w:t>NB: Ptx</w:t>
      </w:r>
      <w:bookmarkEnd w:id="78"/>
      <w:r>
        <w:t xml:space="preserve"> </w:t>
      </w:r>
    </w:p>
    <w:p w:rsidR="00756AD2" w:rsidRDefault="00756AD2" w:rsidP="00F004C5"/>
    <w:p w:rsidR="00756AD2" w:rsidRDefault="00756AD2" w:rsidP="00AF1BF7">
      <w:pPr>
        <w:pStyle w:val="Heading4"/>
      </w:pPr>
      <w:r>
        <w:t>Reform popular – elimination not</w:t>
      </w:r>
    </w:p>
    <w:p w:rsidR="00756AD2" w:rsidRPr="00756AD2" w:rsidRDefault="00756AD2" w:rsidP="00756AD2"/>
    <w:p w:rsidR="00756AD2" w:rsidRDefault="00756AD2" w:rsidP="00756AD2">
      <w:r w:rsidRPr="00B51784">
        <w:rPr>
          <w:rStyle w:val="StyleStyleBold12pt"/>
        </w:rPr>
        <w:t>Port, 2012</w:t>
      </w:r>
      <w:r w:rsidRPr="00B51784">
        <w:t xml:space="preserve"> [</w:t>
      </w:r>
      <w:r>
        <w:t xml:space="preserve">Rob, </w:t>
      </w:r>
      <w:r w:rsidRPr="00B51784">
        <w:t xml:space="preserve">editor of SayAnythingBlog.com. In 2011 he was a finalist for the Watch Dog of the Year from the Sam Adams Alliance and winner of the Americans For Prosperity Award for Online Excellence. In 2013 the Washington Post named SAB one of the nation's top state-based political blogs, and named Rob one of the state's best political reporters, “We Don’t Need to Reform the TSA, We Need To Get Rid of the TSA, </w:t>
      </w:r>
      <w:hyperlink r:id="rId61" w:anchor="authorInfo" w:history="1">
        <w:r w:rsidRPr="00681FAC">
          <w:rPr>
            <w:rStyle w:val="Hyperlink"/>
          </w:rPr>
          <w:t>https://sayanythingblog.com/entry/we-dont-need-to-reform-the-tsa-we-need-to-get-rid-of-the-tsa/#authorInfo</w:t>
        </w:r>
      </w:hyperlink>
      <w:r w:rsidRPr="00B51784">
        <w:t>]</w:t>
      </w:r>
    </w:p>
    <w:p w:rsidR="00756AD2" w:rsidRPr="00B51784" w:rsidRDefault="00756AD2" w:rsidP="00756AD2"/>
    <w:p w:rsidR="00756AD2" w:rsidRPr="00756AD2" w:rsidRDefault="00756AD2" w:rsidP="00756AD2">
      <w:pPr>
        <w:rPr>
          <w:sz w:val="16"/>
        </w:rPr>
      </w:pPr>
      <w:r w:rsidRPr="00BC24F6">
        <w:rPr>
          <w:rStyle w:val="StyleUnderline"/>
        </w:rPr>
        <w:t>According to </w:t>
      </w:r>
      <w:hyperlink r:id="rId62" w:history="1">
        <w:r w:rsidRPr="00BC24F6">
          <w:rPr>
            <w:rStyle w:val="StyleUnderline"/>
          </w:rPr>
          <w:t>Politico</w:t>
        </w:r>
      </w:hyperlink>
      <w:r w:rsidRPr="00BC24F6">
        <w:rPr>
          <w:rStyle w:val="StyleUnderline"/>
        </w:rPr>
        <w:t>, political ire aimed at the rubber-gloved freedom fondlers at the TSA runs the gamut from libertarian-leaning Republicans to liberal Democrats</w:t>
      </w:r>
      <w:r w:rsidRPr="00756AD2">
        <w:rPr>
          <w:sz w:val="16"/>
        </w:rPr>
        <w:t xml:space="preserve">. It seems like just about everybody is upset with the TSA, and political ideology has nothing to do with it. So </w:t>
      </w:r>
      <w:r w:rsidRPr="00BC24F6">
        <w:rPr>
          <w:rStyle w:val="StyleUnderline"/>
        </w:rPr>
        <w:t>in an environment like that you’d think the TSA would be headed for the chopping block, but you’d be wrong. There are a lot of plans to reform the TSa</w:t>
      </w:r>
      <w:r w:rsidRPr="00756AD2">
        <w:rPr>
          <w:sz w:val="16"/>
        </w:rPr>
        <w:t xml:space="preserve">. Republican Rep. Marsha Blackburn wants to stop the TSA from wearing uniforms that make them look like police officers. Democrat Senator Chuck Schumer wants to fund “passenger advocates” who would act as liaisons between travelers and TSA agents. Republican Rep. Paul Broun wants the head of the TSA to resign. And there are a myriad of calls for studies into how the TSA does its job, not to mention the health hazards of the scanners used by the agency. </w:t>
      </w:r>
      <w:r w:rsidRPr="00BC24F6">
        <w:rPr>
          <w:rStyle w:val="StyleUnderline"/>
        </w:rPr>
        <w:t xml:space="preserve">But one thing nobody is talking about is eliminating the agency altogether. Why? Probably because after a decade in existence, there are simply too many special interests making a good living from the TSA. Whether it’s labor unions gaining many dues-paying members from among the ranks of the federal TSA employees or contractors raking in big bucks to supply the TSA with their security equipment, </w:t>
      </w:r>
      <w:r w:rsidRPr="00BC24F6">
        <w:rPr>
          <w:rStyle w:val="Emphasis"/>
        </w:rPr>
        <w:t>it all adds up to a lot of political clout</w:t>
      </w:r>
      <w:r w:rsidRPr="00756AD2">
        <w:rPr>
          <w:sz w:val="16"/>
        </w:rPr>
        <w:t>.</w:t>
      </w:r>
    </w:p>
    <w:p w:rsidR="00756AD2" w:rsidRDefault="00756AD2" w:rsidP="00756AD2"/>
    <w:p w:rsidR="00756AD2" w:rsidRDefault="00756AD2" w:rsidP="00756AD2"/>
    <w:p w:rsidR="009A29F0" w:rsidRPr="00AD0C2A" w:rsidRDefault="009A29F0" w:rsidP="009A29F0">
      <w:pPr>
        <w:pStyle w:val="Heading2"/>
      </w:pPr>
      <w:bookmarkStart w:id="79" w:name="_Toc424259154"/>
      <w:r>
        <w:lastRenderedPageBreak/>
        <w:t>AFF</w:t>
      </w:r>
      <w:bookmarkEnd w:id="79"/>
    </w:p>
    <w:p w:rsidR="004D5A23" w:rsidRDefault="004D5A23" w:rsidP="004D5A23">
      <w:pPr>
        <w:pStyle w:val="Heading3"/>
      </w:pPr>
      <w:bookmarkStart w:id="80" w:name="_Toc424259155"/>
      <w:r>
        <w:lastRenderedPageBreak/>
        <w:t>Case is a DA</w:t>
      </w:r>
      <w:bookmarkEnd w:id="80"/>
    </w:p>
    <w:p w:rsidR="004D5A23" w:rsidRPr="00F2746C" w:rsidRDefault="004D5A23" w:rsidP="004D5A23"/>
    <w:p w:rsidR="004D5A23" w:rsidRDefault="004D5A23" w:rsidP="00AF1BF7">
      <w:pPr>
        <w:pStyle w:val="Heading4"/>
      </w:pPr>
      <w:r>
        <w:t>BDO’s harbor unconscious bias against minorities which translates to a more insidious form of racial profiling - psychoanalysis and empirics prove that bias is inescapable.</w:t>
      </w:r>
    </w:p>
    <w:p w:rsidR="004D5A23" w:rsidRPr="00F2746C" w:rsidRDefault="004D5A23" w:rsidP="004D5A23"/>
    <w:p w:rsidR="004D5A23" w:rsidRDefault="004D5A23" w:rsidP="004D5A23">
      <w:r w:rsidRPr="00551A29">
        <w:rPr>
          <w:rStyle w:val="StyleStyleBold12pt"/>
        </w:rPr>
        <w:t>Florence and Friedman ’09</w:t>
      </w:r>
      <w:r>
        <w:t xml:space="preserve"> [</w:t>
      </w:r>
      <w:r w:rsidRPr="00551A29">
        <w:t>Justin Florence</w:t>
      </w:r>
      <w:r>
        <w:t xml:space="preserve"> – Associate in O’Melveny &amp; Myers LLP - J.D. @Yale Law School  - M.A Harvard University, </w:t>
      </w:r>
      <w:r w:rsidRPr="00551A29">
        <w:t>Robert Friedman</w:t>
      </w:r>
      <w:r>
        <w:t xml:space="preserve"> – Associate in Venable LLP – J.D. Georgetown University,</w:t>
      </w:r>
      <w:r>
        <w:rPr>
          <w:rFonts w:ascii="Cambria Math" w:hAnsi="Cambria Math" w:cs="Cambria Math"/>
        </w:rPr>
        <w:t xml:space="preserve"> </w:t>
      </w:r>
      <w:r w:rsidRPr="00551A29">
        <w:t>12/27/2009</w:t>
      </w:r>
      <w:r>
        <w:t>, “</w:t>
      </w:r>
      <w:r w:rsidRPr="00551A29">
        <w:t>PROFILES IN TERROR: A LEGAL FRAMEWORK FOR</w:t>
      </w:r>
      <w:r>
        <w:t xml:space="preserve"> </w:t>
      </w:r>
      <w:r w:rsidRPr="00551A29">
        <w:t>THE BEHAVIORAL PROFILING PARADIGM</w:t>
      </w:r>
      <w:r>
        <w:t>,”</w:t>
      </w:r>
      <w:r w:rsidRPr="00551A29">
        <w:t xml:space="preserve"> </w:t>
      </w:r>
      <w:hyperlink r:id="rId63" w:history="1">
        <w:r w:rsidRPr="00244F96">
          <w:rPr>
            <w:rStyle w:val="Hyperlink"/>
          </w:rPr>
          <w:t>http://www.georgemasonlawreview.org/wp-content/uploads/2014/03/17-2_FlorenceandFriedman.pdf</w:t>
        </w:r>
      </w:hyperlink>
      <w:r>
        <w:t>]</w:t>
      </w:r>
    </w:p>
    <w:p w:rsidR="004D5A23" w:rsidRDefault="004D5A23" w:rsidP="004D5A23">
      <w:pPr>
        <w:rPr>
          <w:rStyle w:val="StyleUnderline"/>
        </w:rPr>
      </w:pPr>
    </w:p>
    <w:p w:rsidR="004D5A23" w:rsidRPr="00A16E29" w:rsidRDefault="004D5A23" w:rsidP="004D5A23">
      <w:pPr>
        <w:rPr>
          <w:rStyle w:val="StyleUnderline"/>
          <w:sz w:val="16"/>
          <w:u w:val="none"/>
        </w:rPr>
      </w:pPr>
      <w:r w:rsidRPr="00A16E29">
        <w:rPr>
          <w:rStyle w:val="StyleUnderline"/>
        </w:rPr>
        <w:t>What has long been suspected anecdotally, and posited as a matter of psychoanalytical theory,100 is now supported by a substantial body of empirical evidence.</w:t>
      </w:r>
      <w:r w:rsidRPr="00A16E29">
        <w:rPr>
          <w:sz w:val="16"/>
        </w:rPr>
        <w:t xml:space="preserve"> </w:t>
      </w:r>
      <w:r w:rsidRPr="00A16E29">
        <w:rPr>
          <w:rStyle w:val="StyleUnderline"/>
        </w:rPr>
        <w:t>The Implicit Association Test</w:t>
      </w:r>
      <w:r w:rsidRPr="00A16E29">
        <w:rPr>
          <w:sz w:val="16"/>
        </w:rPr>
        <w:t xml:space="preserve"> (“IAT”) was developed by Dr. Anthony Greenwald in 1994, working out of the University of Washington. The IAT is “designed to examine which words or concepts are strongly paired in peoples’ minds.”101 For example, in the early years of the test, Greenwald used stereotypically white-sounding names, such as Adam and Chip, and stereotypically black-sounding names, such as Alonzo and Jamel. He grouped these terms with pleasant words such as “dream,” “heaven,” and “candy” and unpleasant words such as “evil,” “poison,” and “devil.” Given a random list of these words, the task of grouping the white-sounding names with pleasant words and the black-sounding names with unpleasant words was relatively simple. However, grouping the black-sounding names with pleasant words and the white-sounding names with unpleasant words was more difficult and took more time.102 And because it takes more time for the mind to connect concepts it perceives as incompatible, researchers have observed that the time differential can be quantified to measure implicit attitudes.103 </w:t>
      </w:r>
      <w:r w:rsidRPr="00A16E29">
        <w:rPr>
          <w:rStyle w:val="StyleUnderline"/>
        </w:rPr>
        <w:t>The IAT’s general methodology can be adapted to measure a wide variety of group-trait associations that underlie diverse attitudes and stereotypes</w:t>
      </w:r>
      <w:r w:rsidRPr="00A16E29">
        <w:rPr>
          <w:sz w:val="16"/>
        </w:rPr>
        <w:t xml:space="preserve">.104 For example, </w:t>
      </w:r>
      <w:r w:rsidRPr="00A16E29">
        <w:rPr>
          <w:rStyle w:val="StyleUnderline"/>
        </w:rPr>
        <w:t>psychologist Robert Livingston conducted a study in which volunteers were told that a woman had been assaulte</w:t>
      </w:r>
      <w:r w:rsidRPr="00A16E29">
        <w:rPr>
          <w:sz w:val="16"/>
        </w:rPr>
        <w:t xml:space="preserve">d and suffered a concussion which required several stitches. </w:t>
      </w:r>
      <w:r w:rsidRPr="00A16E29">
        <w:rPr>
          <w:rStyle w:val="StyleUnderline"/>
        </w:rPr>
        <w:t>In half the subjects, the perpetrator was said to be “David Edmonds from Canada”</w:t>
      </w:r>
      <w:r w:rsidRPr="00A16E29">
        <w:rPr>
          <w:sz w:val="16"/>
        </w:rPr>
        <w:t xml:space="preserve"> </w:t>
      </w:r>
      <w:r w:rsidRPr="00A16E29">
        <w:rPr>
          <w:rStyle w:val="StyleUnderline"/>
        </w:rPr>
        <w:t>and the other half were told the attacker was “Juan Luis Martinez from Mexico.”</w:t>
      </w:r>
      <w:r w:rsidRPr="00A16E29">
        <w:rPr>
          <w:sz w:val="16"/>
        </w:rPr>
        <w:t xml:space="preserve">105 The volunteers were asked an appropriate length of time to sentence the attacker to prison, and </w:t>
      </w:r>
      <w:r w:rsidRPr="00A16E29">
        <w:rPr>
          <w:rStyle w:val="StyleUnderline"/>
        </w:rPr>
        <w:t>the IAT tended to predict a longer sentence for the Mexican</w:t>
      </w:r>
      <w:r w:rsidRPr="00A16E29">
        <w:rPr>
          <w:sz w:val="16"/>
        </w:rPr>
        <w:t xml:space="preserve">.106 Research conducted in connection to IATs reveals how unconscious bias might play out in the profiling paradigm. </w:t>
      </w:r>
      <w:r w:rsidRPr="00A16E29">
        <w:rPr>
          <w:rStyle w:val="StyleUnderline"/>
        </w:rPr>
        <w:t xml:space="preserve">Harvard University operates a website that aggregates tens of thousands of IATs taken </w:t>
      </w:r>
      <w:r w:rsidRPr="00A16E29">
        <w:rPr>
          <w:sz w:val="16"/>
        </w:rPr>
        <w:t xml:space="preserve">anonymously by subjects </w:t>
      </w:r>
      <w:r w:rsidRPr="00A16E29">
        <w:rPr>
          <w:rStyle w:val="StyleUnderline"/>
        </w:rPr>
        <w:t>online</w:t>
      </w:r>
      <w:r w:rsidRPr="00A16E29">
        <w:rPr>
          <w:sz w:val="16"/>
        </w:rPr>
        <w:t xml:space="preserve">. </w:t>
      </w:r>
      <w:r w:rsidRPr="00A16E29">
        <w:rPr>
          <w:rStyle w:val="StyleUnderline"/>
        </w:rPr>
        <w:t>One analysis indicated that more than two-thirds of nonArab, non-Muslim volunteers displayed implicit bias against Arab Muslims</w:t>
      </w:r>
      <w:r w:rsidRPr="00A16E29">
        <w:rPr>
          <w:sz w:val="16"/>
        </w:rPr>
        <w:t xml:space="preserve">.107 While it is difficult to conclude with any degree of certainty whether </w:t>
      </w:r>
      <w:r w:rsidRPr="00A16E29">
        <w:rPr>
          <w:rStyle w:val="StyleUnderline"/>
        </w:rPr>
        <w:t>BDOs harbor stereotypical views</w:t>
      </w:r>
      <w:r w:rsidRPr="00A16E29">
        <w:rPr>
          <w:sz w:val="16"/>
        </w:rPr>
        <w:t xml:space="preserve"> of air travelers, if their attitudes track the nation at large and hew to the views of the average American, then </w:t>
      </w:r>
      <w:r w:rsidRPr="00A16E29">
        <w:rPr>
          <w:rStyle w:val="StyleUnderline"/>
        </w:rPr>
        <w:t>there is a good chance that some unconscious bias is present.</w:t>
      </w:r>
      <w:r w:rsidRPr="00A16E29">
        <w:rPr>
          <w:sz w:val="16"/>
        </w:rPr>
        <w:t xml:space="preserve"> Even before 9/11, some viewed Arab Americans and Muslims as likely terrorist suspects.108 And the events of 9/11 and its aftermath only solidified this stereotypical view in the eyes of some Americans.109 Finally, many have suggested that the</w:t>
      </w:r>
      <w:r w:rsidRPr="00A16E29">
        <w:rPr>
          <w:rStyle w:val="StyleUnderline"/>
        </w:rPr>
        <w:t xml:space="preserve"> media contributes to the development of these cultural stereotypes</w:t>
      </w:r>
      <w:r w:rsidRPr="00A16E29">
        <w:rPr>
          <w:sz w:val="16"/>
        </w:rPr>
        <w:t xml:space="preserve"> by regularly printing newspaper headlines </w:t>
      </w:r>
      <w:r w:rsidRPr="00A16E29">
        <w:rPr>
          <w:rStyle w:val="StyleUnderline"/>
        </w:rPr>
        <w:t>with words such as “Islam” and “Muslim” next to words like “fanatic,” “fundamentalist,” “militant,” “terrorist,” and “violence.”</w:t>
      </w:r>
      <w:r w:rsidRPr="00A16E29">
        <w:rPr>
          <w:sz w:val="16"/>
        </w:rPr>
        <w:t xml:space="preserve">110 If </w:t>
      </w:r>
      <w:r w:rsidRPr="00A16E29">
        <w:rPr>
          <w:rStyle w:val="StyleUnderline"/>
        </w:rPr>
        <w:t>federal officials</w:t>
      </w:r>
      <w:r w:rsidRPr="00A16E29">
        <w:rPr>
          <w:sz w:val="16"/>
        </w:rPr>
        <w:t xml:space="preserve"> are constantly on the look-out for behavior that illustrates characteristics related to terrorism, danger, and criminality, while at the same time harboring unconscious bias, they </w:t>
      </w:r>
      <w:r w:rsidRPr="00A16E29">
        <w:rPr>
          <w:rStyle w:val="StyleUnderline"/>
        </w:rPr>
        <w:t>are more likely to make a decision about who to stop that is based on their (perhaps unconscious) stereotypes instead of a rational decision based on purportedly empirically-based criteria.</w:t>
      </w:r>
    </w:p>
    <w:p w:rsidR="004D5A23" w:rsidRDefault="004D5A23" w:rsidP="004D5A23"/>
    <w:p w:rsidR="004D5A23" w:rsidRDefault="004D5A23" w:rsidP="004D5A23">
      <w:pPr>
        <w:pStyle w:val="Heading3"/>
      </w:pPr>
      <w:bookmarkStart w:id="81" w:name="_Toc424259156"/>
      <w:r>
        <w:lastRenderedPageBreak/>
        <w:t>No Solve Crime/Terrorism NB</w:t>
      </w:r>
      <w:bookmarkEnd w:id="81"/>
    </w:p>
    <w:p w:rsidR="004D5A23" w:rsidRPr="004D5A23" w:rsidRDefault="004D5A23" w:rsidP="004D5A23"/>
    <w:p w:rsidR="004D5A23" w:rsidRDefault="004D5A23" w:rsidP="00AF1BF7">
      <w:pPr>
        <w:pStyle w:val="Heading4"/>
      </w:pPr>
      <w:r>
        <w:t xml:space="preserve">Special interest groups inflate threats to justify TSA programs </w:t>
      </w:r>
    </w:p>
    <w:p w:rsidR="004D5A23" w:rsidRPr="004D5A23" w:rsidRDefault="004D5A23" w:rsidP="004D5A23"/>
    <w:p w:rsidR="004D5A23" w:rsidRDefault="004D5A23" w:rsidP="004D5A23">
      <w:pPr>
        <w:rPr>
          <w:sz w:val="16"/>
        </w:rPr>
      </w:pPr>
      <w:r w:rsidRPr="006C1447">
        <w:rPr>
          <w:rStyle w:val="StyleStyleBold12pt"/>
        </w:rPr>
        <w:t>Port 12</w:t>
      </w:r>
      <w:r w:rsidRPr="006C1447">
        <w:rPr>
          <w:sz w:val="16"/>
        </w:rPr>
        <w:t xml:space="preserve">, Editor (Rob, “We Don’t Need To Reform The TSA, We Need To Get Rid Of The TSA,” April 29, </w:t>
      </w:r>
      <w:r w:rsidRPr="006C1447">
        <w:rPr>
          <w:i/>
          <w:sz w:val="16"/>
        </w:rPr>
        <w:t>SayAnythingBlog</w:t>
      </w:r>
      <w:r w:rsidRPr="006C1447">
        <w:rPr>
          <w:sz w:val="16"/>
        </w:rPr>
        <w:t xml:space="preserve">, </w:t>
      </w:r>
      <w:hyperlink r:id="rId64" w:history="1">
        <w:r w:rsidRPr="00681FAC">
          <w:rPr>
            <w:rStyle w:val="Hyperlink"/>
            <w:sz w:val="16"/>
          </w:rPr>
          <w:t>https://sayanythingblog.com/entry/we-dont-need-to-reform-the-tsa-we-need-to-get-rid-of-the-tsa/</w:t>
        </w:r>
      </w:hyperlink>
      <w:r w:rsidRPr="006C1447">
        <w:rPr>
          <w:sz w:val="16"/>
        </w:rPr>
        <w:t>)</w:t>
      </w:r>
    </w:p>
    <w:p w:rsidR="004D5A23" w:rsidRPr="006C1447" w:rsidRDefault="004D5A23" w:rsidP="004D5A23">
      <w:pPr>
        <w:rPr>
          <w:sz w:val="16"/>
        </w:rPr>
      </w:pPr>
    </w:p>
    <w:p w:rsidR="004D5A23" w:rsidRPr="006C1447" w:rsidRDefault="004D5A23" w:rsidP="004D5A23">
      <w:pPr>
        <w:rPr>
          <w:rStyle w:val="StyleUnderline"/>
        </w:rPr>
      </w:pPr>
      <w:r w:rsidRPr="006C1447">
        <w:rPr>
          <w:sz w:val="16"/>
        </w:rPr>
        <w:t xml:space="preserve">According to Politico, political ire aimed at the rubber-gloved freedom fondlers at the TSA runs the gamut from libertarian-leaning Republicans to liberal Democrats. It seems like just about </w:t>
      </w:r>
      <w:r w:rsidRPr="006C1447">
        <w:rPr>
          <w:rStyle w:val="StyleUnderline"/>
        </w:rPr>
        <w:t xml:space="preserve">everybody is upset with the TSA, and political ideology has nothing to do with it. So in an environment like that you’d think the TSA would be headed for the chopping block, but you’d be wrong. </w:t>
      </w:r>
      <w:r w:rsidRPr="006C1447">
        <w:rPr>
          <w:sz w:val="16"/>
        </w:rPr>
        <w:t xml:space="preserve">There are a lot of plans to reform the TSa. Republican Rep. Marsha Blackburn wants to stop the TSA from wearing uniforms that make them look like police officers. Democrat Senator Chuck Schumer wants to fund “passenger advocates” who would act as liaisons between travelers and TSA agents. Republican Rep. Paul Broun wants the head of the TSA to resign. And there are a myriad of calls for studies into how the TSA does its job, not to mention the health hazards of the scanners used by the agency. </w:t>
      </w:r>
      <w:r w:rsidRPr="006C1447">
        <w:rPr>
          <w:rStyle w:val="StyleUnderline"/>
        </w:rPr>
        <w:t xml:space="preserve">But one thing nobody is talking about is eliminating the agency altogether. Why? Probably because after a decade in existence, there are simply too many special interests making a good living from the TSA. </w:t>
      </w:r>
      <w:r w:rsidRPr="006C1447">
        <w:rPr>
          <w:sz w:val="16"/>
        </w:rPr>
        <w:t xml:space="preserve">Whether it’s labor unions gaining many dues-paying members from among the ranks of the federal TSA employees or contractors raking in big bucks to supply the TSA with their security equipment, it all adds up to a lot of political clout. </w:t>
      </w:r>
      <w:r w:rsidRPr="006C1447">
        <w:rPr>
          <w:rStyle w:val="StyleUnderline"/>
        </w:rPr>
        <w:t>There never was a good case for the TSA. It was created in the security hysteria following the 9/11 attacks under the assumption that a single federal bureaucracy would do a better job of airport security than the private contractors who were doing it previously</w:t>
      </w:r>
      <w:r w:rsidRPr="006C1447">
        <w:rPr>
          <w:sz w:val="16"/>
        </w:rPr>
        <w:t xml:space="preserve">. Yet since its inception, all the TSA seems to have accomplished is the irritation of a vast swath of the American public. We have a cavalcade of domestic law enforcement and intelligence agencies whose job it is to detect and thwart terror attacks. </w:t>
      </w:r>
      <w:r w:rsidRPr="006C1447">
        <w:rPr>
          <w:rStyle w:val="StyleUnderline"/>
        </w:rPr>
        <w:t>The TSA’s job, really, is just to provide a baseline of security at the airports to catch the obvious things and the crazy lone actors who are almost impossible for intelligence/law enforcement types to preempt. And the private sector can do that job adequately, and without needing to violate the privacy rights of every citizen boarding an airplane.</w:t>
      </w:r>
    </w:p>
    <w:p w:rsidR="004D5A23" w:rsidRDefault="004D5A23" w:rsidP="004D5A23"/>
    <w:p w:rsidR="00CB1C02" w:rsidRDefault="00CB1C02" w:rsidP="00CB1C02">
      <w:pPr>
        <w:pStyle w:val="Heading3"/>
      </w:pPr>
      <w:bookmarkStart w:id="82" w:name="_Toc424259157"/>
      <w:r>
        <w:lastRenderedPageBreak/>
        <w:t xml:space="preserve">No </w:t>
      </w:r>
      <w:r w:rsidR="009A29F0">
        <w:t>Solve Crime/Terrorism NB</w:t>
      </w:r>
      <w:bookmarkEnd w:id="82"/>
      <w:r>
        <w:t xml:space="preserve"> </w:t>
      </w:r>
    </w:p>
    <w:p w:rsidR="00CB1C02" w:rsidRPr="00F2746C" w:rsidRDefault="00CB1C02" w:rsidP="00CB1C02"/>
    <w:p w:rsidR="00CB1C02" w:rsidRDefault="00CB1C02" w:rsidP="00AF1BF7">
      <w:pPr>
        <w:pStyle w:val="Heading4"/>
        <w:rPr>
          <w:rStyle w:val="StyleStyleBold12pt"/>
          <w:b/>
        </w:rPr>
      </w:pPr>
      <w:r w:rsidRPr="00BF02DB">
        <w:rPr>
          <w:rStyle w:val="StyleStyleBold12pt"/>
          <w:b/>
        </w:rPr>
        <w:t xml:space="preserve">Facial Action Coding System (FACS) fails terribly for multiple reasons – 1) facial expressions belie inner feelings – 2) there are infinite different expressions – 3) FACS is useless outside of laboratory </w:t>
      </w:r>
    </w:p>
    <w:p w:rsidR="00CB1C02" w:rsidRPr="00F2746C" w:rsidRDefault="00CB1C02" w:rsidP="00CB1C02"/>
    <w:p w:rsidR="00CB1C02" w:rsidRDefault="00CB1C02" w:rsidP="00CB1C02">
      <w:r w:rsidRPr="00551A29">
        <w:rPr>
          <w:rStyle w:val="StyleStyleBold12pt"/>
        </w:rPr>
        <w:t>Florence and Friedman ’09</w:t>
      </w:r>
      <w:r>
        <w:t xml:space="preserve"> [</w:t>
      </w:r>
      <w:r w:rsidRPr="00551A29">
        <w:t>Justin Florence</w:t>
      </w:r>
      <w:r>
        <w:t xml:space="preserve"> – Associate in O’Melveny &amp; Myers LLP - J.D. @Yale Law School  - M.A Harvard University, </w:t>
      </w:r>
      <w:r w:rsidRPr="00551A29">
        <w:t>Robert Friedman</w:t>
      </w:r>
      <w:r>
        <w:t xml:space="preserve"> – Associate in Venable LLP – J.D. Georgetown University,</w:t>
      </w:r>
      <w:r>
        <w:rPr>
          <w:rFonts w:ascii="Cambria Math" w:hAnsi="Cambria Math" w:cs="Cambria Math"/>
        </w:rPr>
        <w:t xml:space="preserve"> </w:t>
      </w:r>
      <w:r w:rsidRPr="00551A29">
        <w:t>12/27/2009</w:t>
      </w:r>
      <w:r>
        <w:t>, “</w:t>
      </w:r>
      <w:r w:rsidRPr="00551A29">
        <w:t>PROFILES IN TERROR: A LEGAL FRAMEWORK FOR</w:t>
      </w:r>
      <w:r>
        <w:t xml:space="preserve"> </w:t>
      </w:r>
      <w:r w:rsidRPr="00551A29">
        <w:t>THE BEHAVIORAL PROFILING PARADIGM</w:t>
      </w:r>
      <w:r>
        <w:t>,”</w:t>
      </w:r>
      <w:r w:rsidRPr="00551A29">
        <w:t xml:space="preserve"> </w:t>
      </w:r>
      <w:hyperlink r:id="rId65" w:history="1">
        <w:r w:rsidRPr="00244F96">
          <w:rPr>
            <w:rStyle w:val="Hyperlink"/>
          </w:rPr>
          <w:t>http://www.georgemasonlawreview.org/wp-content/uploads/2014/03/17-2_FlorenceandFriedman.pdf</w:t>
        </w:r>
      </w:hyperlink>
      <w:r>
        <w:t xml:space="preserve">] </w:t>
      </w:r>
    </w:p>
    <w:p w:rsidR="00CB1C02" w:rsidRPr="004F023A" w:rsidRDefault="00CB1C02" w:rsidP="00CB1C02"/>
    <w:p w:rsidR="00CB1C02" w:rsidRDefault="00CB1C02" w:rsidP="00CB1C02">
      <w:pPr>
        <w:rPr>
          <w:sz w:val="16"/>
        </w:rPr>
      </w:pPr>
      <w:r w:rsidRPr="00551A29">
        <w:rPr>
          <w:sz w:val="16"/>
        </w:rPr>
        <w:t xml:space="preserve">Ekman and Friesen’s work has been criticized on several grounds. First, and </w:t>
      </w:r>
      <w:r w:rsidRPr="00551A29">
        <w:rPr>
          <w:rStyle w:val="StyleUnderline"/>
        </w:rPr>
        <w:t>most fundamentally, some suggest that expressions do not reflect the inner feelings of the expresser</w:t>
      </w:r>
      <w:r w:rsidRPr="00551A29">
        <w:rPr>
          <w:sz w:val="16"/>
        </w:rPr>
        <w:t>.28 Instead of forecasting emotions in the person exhibiting a particular expression, these scholars argue that “[e]xpressions evolved to elicit behaviors from others.”29 Thus, “</w:t>
      </w:r>
      <w:r w:rsidRPr="00551A29">
        <w:rPr>
          <w:rStyle w:val="StyleUnderline"/>
        </w:rPr>
        <w:t>a smile may encourage people to approach while a scowl may impel them to stay clear, and a pout may elicit words of sympathy and reassurance</w:t>
      </w:r>
      <w:r w:rsidRPr="00551A29">
        <w:rPr>
          <w:sz w:val="16"/>
        </w:rPr>
        <w:t xml:space="preserve">.”30 </w:t>
      </w:r>
      <w:r w:rsidRPr="00551A29">
        <w:rPr>
          <w:rStyle w:val="StyleUnderline"/>
        </w:rPr>
        <w:t>If facial expressions are social</w:t>
      </w:r>
      <w:r w:rsidRPr="00551A29">
        <w:rPr>
          <w:sz w:val="16"/>
        </w:rPr>
        <w:t xml:space="preserve"> </w:t>
      </w:r>
      <w:r w:rsidRPr="00F2746C">
        <w:rPr>
          <w:rStyle w:val="StyleUnderline"/>
        </w:rPr>
        <w:t>cues intended to send signals to other human beings, then a SPOT security program premised on the scientific rationale</w:t>
      </w:r>
      <w:r w:rsidRPr="00551A29">
        <w:rPr>
          <w:sz w:val="16"/>
        </w:rPr>
        <w:t xml:space="preserve"> </w:t>
      </w:r>
      <w:r w:rsidRPr="00551A29">
        <w:rPr>
          <w:rStyle w:val="StyleUnderline"/>
        </w:rPr>
        <w:t>of detecting suppressed emotions––especially a propensity for truthfulness–– would be undermined</w:t>
      </w:r>
      <w:r w:rsidRPr="00551A29">
        <w:rPr>
          <w:sz w:val="16"/>
        </w:rPr>
        <w:t xml:space="preserve">. </w:t>
      </w:r>
      <w:r w:rsidRPr="00551A29">
        <w:rPr>
          <w:rStyle w:val="StyleUnderline"/>
        </w:rPr>
        <w:t xml:space="preserve">A second </w:t>
      </w:r>
      <w:r w:rsidRPr="00551A29">
        <w:rPr>
          <w:sz w:val="16"/>
        </w:rPr>
        <w:t xml:space="preserve">possible </w:t>
      </w:r>
      <w:r w:rsidRPr="00551A29">
        <w:rPr>
          <w:rStyle w:val="StyleUnderline"/>
        </w:rPr>
        <w:t>limitation</w:t>
      </w:r>
      <w:r w:rsidRPr="00551A29">
        <w:rPr>
          <w:sz w:val="16"/>
        </w:rPr>
        <w:t xml:space="preserve"> in Ekman and Friesen’s FACS model is that </w:t>
      </w:r>
      <w:r w:rsidRPr="00551A29">
        <w:rPr>
          <w:rStyle w:val="StyleUnderline"/>
        </w:rPr>
        <w:t>it contains only a subset of all human facial muscle movements and represents merely a recorded portion of the “total repertoire used by a person during his daily life.</w:t>
      </w:r>
      <w:r w:rsidRPr="00551A29">
        <w:rPr>
          <w:sz w:val="16"/>
        </w:rPr>
        <w:t xml:space="preserve">”31 After all, the </w:t>
      </w:r>
      <w:r w:rsidRPr="00551A29">
        <w:rPr>
          <w:rStyle w:val="StyleUnderline"/>
        </w:rPr>
        <w:t>FACS catalogue was created by humans</w:t>
      </w:r>
      <w:r w:rsidRPr="00551A29">
        <w:rPr>
          <w:sz w:val="16"/>
        </w:rPr>
        <w:t xml:space="preserve">, and researchers can only score those expressions that have actually been observed. Therefore, it is possible that the facial expressions accompanying </w:t>
      </w:r>
      <w:r w:rsidRPr="00551A29">
        <w:rPr>
          <w:rStyle w:val="StyleUnderline"/>
        </w:rPr>
        <w:t>a terrorist’s response to a BDO query might not register under the FACS coding framework</w:t>
      </w:r>
      <w:r w:rsidRPr="00551A29">
        <w:rPr>
          <w:sz w:val="16"/>
        </w:rPr>
        <w:t xml:space="preserve"> and would tell security personnel nothing about that person’s emotions. Moreover, even if the facial expression has been coded, </w:t>
      </w:r>
      <w:r w:rsidRPr="00551A29">
        <w:rPr>
          <w:rStyle w:val="StyleUnderline"/>
        </w:rPr>
        <w:t>humans differ greatly in the manner in which they process emotions:</w:t>
      </w:r>
      <w:r w:rsidRPr="00551A29">
        <w:rPr>
          <w:sz w:val="16"/>
        </w:rPr>
        <w:t xml:space="preserve"> the relative speed at which an emotion arises, the level of intensity and duration, and the time an emotion takes to return to its baseline levels.32 </w:t>
      </w:r>
      <w:r w:rsidRPr="00551A29">
        <w:rPr>
          <w:rStyle w:val="StyleUnderline"/>
        </w:rPr>
        <w:t>A third critique</w:t>
      </w:r>
      <w:r w:rsidRPr="00551A29">
        <w:rPr>
          <w:sz w:val="16"/>
        </w:rPr>
        <w:t xml:space="preserve"> of FACS </w:t>
      </w:r>
      <w:r w:rsidRPr="00551A29">
        <w:rPr>
          <w:rStyle w:val="StyleUnderline"/>
        </w:rPr>
        <w:t>concerns whether it can be used effectively outside of the laboratory environment</w:t>
      </w:r>
      <w:r w:rsidRPr="00551A29">
        <w:rPr>
          <w:sz w:val="16"/>
        </w:rPr>
        <w:t xml:space="preserve">. Ekman and Friesen’s laboratory research relied on recorded interviews and the replaying and scrutinizing of videotapes in slow motion. </w:t>
      </w:r>
      <w:r w:rsidRPr="00551A29">
        <w:rPr>
          <w:rStyle w:val="StyleUnderline"/>
        </w:rPr>
        <w:t>Whether the accuracy of decoding facial expressions for deception cues can be effectively transferred from the laboratory setting to the real-time chaos and commotion of fast-paced American airports is an open question.</w:t>
      </w:r>
      <w:r w:rsidRPr="00551A29">
        <w:rPr>
          <w:sz w:val="16"/>
        </w:rPr>
        <w:t xml:space="preserve"> And whether the skillful and expert detection abilities of scientists trained in the art of emotion recognition can be replicated by BDOs, who receive fairly limited substantive training, is equally uncertain. </w:t>
      </w:r>
      <w:r w:rsidRPr="00551A29">
        <w:rPr>
          <w:rStyle w:val="StyleUnderline"/>
        </w:rPr>
        <w:t>Ekman himself acknowledged some uncertainties about the translation of FACS from the lab to the airport</w:t>
      </w:r>
      <w:r w:rsidRPr="00551A29">
        <w:rPr>
          <w:sz w:val="16"/>
        </w:rPr>
        <w:t>.33 There are, for example, significant difference between the two environments when it comes to the potential for background noise and interruption. Because a person seeking to suppress an emotional response can typically do so one-twenty-fifth of a second after an emotion initially appears, observers who blink or are distracted may fail to see it.3</w:t>
      </w:r>
    </w:p>
    <w:p w:rsidR="00CB1C02" w:rsidRDefault="00CB1C02" w:rsidP="00CB1C02">
      <w:pPr>
        <w:rPr>
          <w:sz w:val="16"/>
        </w:rPr>
      </w:pPr>
    </w:p>
    <w:p w:rsidR="00AF1BF7" w:rsidRDefault="00AF1BF7" w:rsidP="00AF1BF7">
      <w:pPr>
        <w:pStyle w:val="Heading3"/>
      </w:pPr>
      <w:bookmarkStart w:id="83" w:name="_Toc424259158"/>
      <w:r>
        <w:lastRenderedPageBreak/>
        <w:t>No NB – not popular</w:t>
      </w:r>
      <w:bookmarkEnd w:id="83"/>
      <w:r>
        <w:t xml:space="preserve"> </w:t>
      </w:r>
    </w:p>
    <w:p w:rsidR="00AF1BF7" w:rsidRPr="00756AD2" w:rsidRDefault="00AF1BF7" w:rsidP="00AF1BF7"/>
    <w:p w:rsidR="00AF1BF7" w:rsidRDefault="00AF1BF7" w:rsidP="00AF1BF7">
      <w:pPr>
        <w:pStyle w:val="Heading4"/>
      </w:pPr>
      <w:r>
        <w:t>Reforms are unpopular – public wants major curtailment</w:t>
      </w:r>
    </w:p>
    <w:p w:rsidR="00AF1BF7" w:rsidRPr="00756AD2" w:rsidRDefault="00AF1BF7" w:rsidP="00AF1BF7"/>
    <w:p w:rsidR="00AF1BF7" w:rsidRDefault="00AF1BF7" w:rsidP="00AF1BF7">
      <w:r w:rsidRPr="00AC7483">
        <w:rPr>
          <w:rStyle w:val="StyleStyleBold12pt"/>
        </w:rPr>
        <w:t>Dick, 2013</w:t>
      </w:r>
      <w:r>
        <w:t xml:space="preserve"> [Adam, Ron Paul Institute, House ‘Improves’ TSA Instead of Ending It, </w:t>
      </w:r>
      <w:hyperlink r:id="rId66" w:history="1">
        <w:r w:rsidRPr="00681FAC">
          <w:rPr>
            <w:rStyle w:val="Hyperlink"/>
          </w:rPr>
          <w:t>http://www.ronpaulinstitute.org/archives/congress-alert/2013/december/02/house-improves-tsa-instead-of-ending-it.aspx</w:t>
        </w:r>
      </w:hyperlink>
      <w:r>
        <w:t>]</w:t>
      </w:r>
    </w:p>
    <w:p w:rsidR="00AF1BF7" w:rsidRDefault="00AF1BF7" w:rsidP="00AF1BF7"/>
    <w:p w:rsidR="00AF1BF7" w:rsidRDefault="00AF1BF7" w:rsidP="00AF1BF7">
      <w:pPr>
        <w:rPr>
          <w:rStyle w:val="StyleUnderline"/>
        </w:rPr>
      </w:pPr>
      <w:r w:rsidRPr="00756AD2">
        <w:rPr>
          <w:sz w:val="16"/>
        </w:rPr>
        <w:t xml:space="preserve">Following another Thanksgiving travel period with the Transportation Security Administration subjecting travelers to </w:t>
      </w:r>
      <w:hyperlink r:id="rId67" w:history="1">
        <w:r w:rsidRPr="00756AD2">
          <w:rPr>
            <w:sz w:val="16"/>
          </w:rPr>
          <w:t>infuriating</w:t>
        </w:r>
      </w:hyperlink>
      <w:r w:rsidRPr="00756AD2">
        <w:rPr>
          <w:sz w:val="16"/>
        </w:rPr>
        <w:t xml:space="preserve"> harassment, </w:t>
      </w:r>
      <w:r w:rsidRPr="00AC7483">
        <w:rPr>
          <w:rStyle w:val="StyleUnderline"/>
        </w:rPr>
        <w:t>the House of Representatives leadership has scheduled for House floor consideration Tuesday three bills that will tinker with the TSA while allowing the harassment to continue</w:t>
      </w:r>
      <w:r w:rsidRPr="00756AD2">
        <w:rPr>
          <w:sz w:val="16"/>
        </w:rPr>
        <w:t>. The three bills are the TSA Loose Change Act (</w:t>
      </w:r>
      <w:hyperlink r:id="rId68" w:history="1">
        <w:r w:rsidRPr="00756AD2">
          <w:rPr>
            <w:sz w:val="16"/>
          </w:rPr>
          <w:t>HR 1095</w:t>
        </w:r>
      </w:hyperlink>
      <w:r w:rsidRPr="00756AD2">
        <w:rPr>
          <w:sz w:val="16"/>
        </w:rPr>
        <w:t>), the Transportation Security Acquisition Reform Act (</w:t>
      </w:r>
      <w:hyperlink r:id="rId69" w:history="1">
        <w:r w:rsidRPr="00756AD2">
          <w:rPr>
            <w:sz w:val="16"/>
          </w:rPr>
          <w:t>HR 2719</w:t>
        </w:r>
      </w:hyperlink>
      <w:r w:rsidRPr="00756AD2">
        <w:rPr>
          <w:sz w:val="16"/>
        </w:rPr>
        <w:t>), and the Aviation Security Stakeholder Participation Act (</w:t>
      </w:r>
      <w:hyperlink r:id="rId70" w:history="1">
        <w:r w:rsidRPr="00756AD2">
          <w:rPr>
            <w:sz w:val="16"/>
          </w:rPr>
          <w:t>HR 1204</w:t>
        </w:r>
      </w:hyperlink>
      <w:r w:rsidRPr="00756AD2">
        <w:rPr>
          <w:sz w:val="16"/>
        </w:rPr>
        <w:t xml:space="preserve">) </w:t>
      </w:r>
      <w:r w:rsidRPr="00AC7483">
        <w:rPr>
          <w:rStyle w:val="StyleUnderline"/>
        </w:rPr>
        <w:t>All three bills are scheduled for consideration under suspension of the rules—a process generally reserved for noncontroversial legislation. Because bills considered under suspension of the rules are not subject to amendments on the House floor, the House Republican and Democrat leadership have enured there will be no debate or vote on amendments that would end or significantly restrict the TSA harassment</w:t>
      </w:r>
      <w:r w:rsidRPr="00756AD2">
        <w:rPr>
          <w:sz w:val="16"/>
        </w:rPr>
        <w:t xml:space="preserve">. Up first on the House's suspension schedule is HR 1095. The bill directs the TSA to start transferring money left behind at TSA checkpoints to nonprofit organizations that operate places for military members and their families to rest and recuperate at United States airports. HR 1095 arguably provides an improvement over the current law that allows the TSA to use the money for its own operations. But, the bill does nothing to reduce the TSA's main source of money—US government allocations. Also, by throwing some "loose change"—about a half million dollars a year according the the House Homeland Security Committee </w:t>
      </w:r>
      <w:hyperlink r:id="rId71" w:history="1">
        <w:r w:rsidRPr="00756AD2">
          <w:rPr>
            <w:sz w:val="16"/>
          </w:rPr>
          <w:t>report</w:t>
        </w:r>
      </w:hyperlink>
      <w:r w:rsidRPr="00756AD2">
        <w:rPr>
          <w:sz w:val="16"/>
        </w:rPr>
        <w:t xml:space="preserve"> on the bill—to nonprofit organizations, the legislation risks creating a new special interest supporting maintaining and expanding the TSA harassment. The committee report notes that the bill's requirements have been written such that the United Service Organizations (USO) is the only nonprofit currently qualified to receive the money. Next up, HR 2719 directs the TSA to take actions including developing and regularly updating a "strategic multiyear technology acquisition plan," making reports to House and Senate committees regarding certain technology acquisition intentions, creating "baseline requirements" for technology acquisitions, and using equipment in the TSA's inventory before acquiring more of the equipment. </w:t>
      </w:r>
      <w:r w:rsidRPr="00AC7483">
        <w:rPr>
          <w:rStyle w:val="StyleUnderline"/>
        </w:rPr>
        <w:t>HR 2719 does nothing to restrict the TSA's daily agenda of detaining, questioning, and searching people for no cause whatsoever, much less the probable cause required under the Fourth Amendment of the US Constitution</w:t>
      </w:r>
      <w:r w:rsidRPr="00756AD2">
        <w:rPr>
          <w:sz w:val="16"/>
        </w:rPr>
        <w:t xml:space="preserve">. Neither does the bill limit the TSA's regular seizures of people's property. Rather, HR 2719 attempts to ensure the TSA employs technology more efficiently while engaging in these constitutional violations. Finally, HR 1204 offers a classic legislative solution: it creates a committee. In particular, the bill creates an Aviation Security Advisory Committee and at least four subcommittees that will consult with and deliver periodic reports to the TSA. If the committee HR 1204 creates were charged with developing plans for reducing the activities of the TSA or increasing respect for individual rights, some good may come from the legislation. Unfortunately, the bill instead directs the committee to develop, at the TSA's request, recommendations for improvements in aviation security. Further, the TSA would appoint every member of the committee. The bill appears to advance the kind of bureaucracy-building exercise you typically see in growing government agencies. </w:t>
      </w:r>
      <w:r w:rsidRPr="00AC7483">
        <w:rPr>
          <w:rStyle w:val="StyleUnderline"/>
        </w:rPr>
        <w:t>Congress earns its low approval rating through legislative schedules like this</w:t>
      </w:r>
      <w:r w:rsidRPr="00756AD2">
        <w:rPr>
          <w:sz w:val="16"/>
        </w:rPr>
        <w:t xml:space="preserve">. With many Americans having just experienced their Thanksgiving TSA harassment and dreading another round at Christmas, </w:t>
      </w:r>
      <w:r w:rsidRPr="00AC7483">
        <w:rPr>
          <w:rStyle w:val="StyleUnderline"/>
        </w:rPr>
        <w:t>cheers would sound across America if the House passed legislation terminating or, at least, greatly restricting the TSA assaults on our rights. Instead, the House's bipartisan leadership is demonstrating its allegiance to the TSA and the agency's abusive activities.</w:t>
      </w:r>
    </w:p>
    <w:p w:rsidR="00AF1BF7" w:rsidRDefault="00AF1BF7" w:rsidP="00AF1BF7"/>
    <w:p w:rsidR="00AE4B8A" w:rsidRDefault="002301C9" w:rsidP="002301C9">
      <w:pPr>
        <w:pStyle w:val="Heading1"/>
      </w:pPr>
      <w:bookmarkStart w:id="84" w:name="_Toc424259159"/>
      <w:r>
        <w:lastRenderedPageBreak/>
        <w:t>Welfare</w:t>
      </w:r>
      <w:bookmarkEnd w:id="84"/>
    </w:p>
    <w:p w:rsidR="002301C9" w:rsidRDefault="002301C9" w:rsidP="002301C9"/>
    <w:p w:rsidR="002301C9" w:rsidRDefault="002301C9" w:rsidP="002301C9"/>
    <w:p w:rsidR="00AF1BF7" w:rsidRDefault="00AF1BF7" w:rsidP="00AF1BF7">
      <w:pPr>
        <w:pStyle w:val="Heading2"/>
      </w:pPr>
      <w:bookmarkStart w:id="85" w:name="_Toc424259160"/>
      <w:r>
        <w:lastRenderedPageBreak/>
        <w:t>States CP</w:t>
      </w:r>
      <w:bookmarkEnd w:id="85"/>
    </w:p>
    <w:p w:rsidR="00AF1BF7" w:rsidRPr="004F7C97" w:rsidRDefault="00AF1BF7" w:rsidP="00AF1BF7">
      <w:pPr>
        <w:pStyle w:val="Heading3"/>
      </w:pPr>
      <w:bookmarkStart w:id="86" w:name="_Toc424259161"/>
      <w:r>
        <w:lastRenderedPageBreak/>
        <w:t>1NC</w:t>
      </w:r>
      <w:bookmarkEnd w:id="86"/>
    </w:p>
    <w:p w:rsidR="00AF1BF7" w:rsidRPr="00CD0B08" w:rsidRDefault="00AF1BF7" w:rsidP="00AF1BF7"/>
    <w:p w:rsidR="00AF1BF7" w:rsidRDefault="00AF1BF7" w:rsidP="00AF1BF7">
      <w:pPr>
        <w:pStyle w:val="Heading4"/>
      </w:pPr>
      <w:r>
        <w:t>Text: The fifty states of the United States should eliminate their surveillance of recipients of mean-tested public benefits.</w:t>
      </w:r>
    </w:p>
    <w:p w:rsidR="00AF1BF7" w:rsidRDefault="00AF1BF7" w:rsidP="00AF1BF7"/>
    <w:p w:rsidR="00AF1BF7" w:rsidRDefault="00AF1BF7" w:rsidP="00AF1BF7">
      <w:pPr>
        <w:pStyle w:val="Heading4"/>
      </w:pPr>
      <w:r>
        <w:t>State-designed welfare programs spill upwards – 1996 reform proves</w:t>
      </w:r>
    </w:p>
    <w:p w:rsidR="00AF1BF7" w:rsidRDefault="00AF1BF7" w:rsidP="00AF1BF7">
      <w:r w:rsidRPr="00EB7446">
        <w:rPr>
          <w:rStyle w:val="StyleStyleBold12pt"/>
        </w:rPr>
        <w:t>O’Connor, 2004</w:t>
      </w:r>
      <w:r>
        <w:t xml:space="preserve"> (Brendan, “A Political History of the American Welfare System: When Ideas Have Consequences,” Rowman &amp; Littlefield, p. 112)</w:t>
      </w:r>
    </w:p>
    <w:p w:rsidR="00AF1BF7" w:rsidRPr="00EB7446" w:rsidRDefault="00AF1BF7" w:rsidP="00AF1BF7"/>
    <w:p w:rsidR="00AF1BF7" w:rsidRPr="00AF1BF7" w:rsidRDefault="00AF1BF7" w:rsidP="00AF1BF7">
      <w:pPr>
        <w:rPr>
          <w:sz w:val="16"/>
        </w:rPr>
      </w:pPr>
      <w:r w:rsidRPr="00AF1BF7">
        <w:rPr>
          <w:sz w:val="16"/>
        </w:rPr>
        <w:t xml:space="preserve">Using the immediate pre-Reagan period as a baseline, a 1985 Urban Institute Report found the following reductions in social spending during Reagan’s first term: AFCD, 14.5 perfect; food stamps, 13.8 percent; social service and community service block grants, 23.5 perfect and 37.1 percent, respectively; while spending for general employment training was cut by 38.6 percent (Greenberg, 1985: 191-192). These cuts represented a major arrest in the welfare spending trends that had developed since the establishment of the great society programs. </w:t>
      </w:r>
      <w:r w:rsidRPr="00C51048">
        <w:rPr>
          <w:rStyle w:val="StyleUnderline"/>
        </w:rPr>
        <w:t>Although Reagan could not abolish any of the major welfare programs, his administration changed the face of the American welfare system.</w:t>
      </w:r>
      <w:r w:rsidRPr="00AF1BF7">
        <w:rPr>
          <w:sz w:val="16"/>
        </w:rPr>
        <w:t xml:space="preserve"> It halted the expansion of welfare services, cut expenditures, and </w:t>
      </w:r>
      <w:r w:rsidRPr="00C51048">
        <w:rPr>
          <w:rStyle w:val="StyleUnderline"/>
        </w:rPr>
        <w:t>through Reagan’s “New Federalism,</w:t>
      </w:r>
      <w:r>
        <w:rPr>
          <w:rStyle w:val="StyleUnderline"/>
        </w:rPr>
        <w:t xml:space="preserve">” it decentralized power </w:t>
      </w:r>
      <w:r w:rsidRPr="00C51048">
        <w:rPr>
          <w:rStyle w:val="StyleUnderline"/>
        </w:rPr>
        <w:t>t</w:t>
      </w:r>
      <w:r>
        <w:rPr>
          <w:rStyle w:val="StyleUnderline"/>
        </w:rPr>
        <w:t>o</w:t>
      </w:r>
      <w:r w:rsidRPr="00C51048">
        <w:rPr>
          <w:rStyle w:val="StyleUnderline"/>
        </w:rPr>
        <w:t xml:space="preserve"> the fifty states in a number of areas. This decentralization of decision making about welfare policy and administration was a necessary forerunner to subsequent</w:t>
      </w:r>
      <w:r w:rsidRPr="00AF1BF7">
        <w:rPr>
          <w:sz w:val="16"/>
        </w:rPr>
        <w:t xml:space="preserve"> significant </w:t>
      </w:r>
      <w:r w:rsidRPr="00C51048">
        <w:rPr>
          <w:rStyle w:val="StyleUnderline"/>
        </w:rPr>
        <w:t>retrenchments. It allowed for the development of the welfare waiver programs under which states like Wisconsin and Mississippi developed new programs that represented significant departures from the federal welfare system. These pilot programs, in turn, became the basis for a new welfare system adopted in 1996</w:t>
      </w:r>
      <w:r w:rsidRPr="00AF1BF7">
        <w:rPr>
          <w:sz w:val="16"/>
        </w:rPr>
        <w:t xml:space="preserve"> (Cammisa, 1998: 106).</w:t>
      </w:r>
    </w:p>
    <w:p w:rsidR="00AF1BF7" w:rsidRDefault="00AF1BF7" w:rsidP="00AF1BF7">
      <w:pPr>
        <w:pStyle w:val="Heading3"/>
      </w:pPr>
      <w:bookmarkStart w:id="87" w:name="_Toc424259162"/>
      <w:r>
        <w:lastRenderedPageBreak/>
        <w:t>Solvency</w:t>
      </w:r>
      <w:bookmarkEnd w:id="87"/>
    </w:p>
    <w:p w:rsidR="00AF1BF7" w:rsidRDefault="00AF1BF7" w:rsidP="00AF1BF7"/>
    <w:p w:rsidR="00AF1BF7" w:rsidRDefault="00AF1BF7" w:rsidP="00AF1BF7">
      <w:pPr>
        <w:pStyle w:val="Heading4"/>
      </w:pPr>
      <w:r>
        <w:t>States solve better – more attuned to local constituents’ needs</w:t>
      </w:r>
    </w:p>
    <w:p w:rsidR="00AF1BF7" w:rsidRPr="00AF1BF7" w:rsidRDefault="00AF1BF7" w:rsidP="00AF1BF7"/>
    <w:p w:rsidR="00AF1BF7" w:rsidRPr="001E7006" w:rsidRDefault="00AF1BF7" w:rsidP="00AF1BF7">
      <w:pPr>
        <w:rPr>
          <w:sz w:val="16"/>
        </w:rPr>
      </w:pPr>
      <w:r w:rsidRPr="001E7006">
        <w:rPr>
          <w:rStyle w:val="StyleStyleBold12pt"/>
        </w:rPr>
        <w:t>Carleson 03</w:t>
      </w:r>
      <w:r w:rsidRPr="001E7006">
        <w:rPr>
          <w:sz w:val="16"/>
        </w:rPr>
        <w:t xml:space="preserve">, senior fellow at the Free Congress Foundation for Education and Research. He served Ronald Reagan as welfare director for the State of California. (Robert B, “States Handled Welfare Reform, So Why Not Use Them Again,” March 3, </w:t>
      </w:r>
      <w:r w:rsidRPr="001E7006">
        <w:rPr>
          <w:i/>
          <w:sz w:val="16"/>
        </w:rPr>
        <w:t xml:space="preserve">humanevents.com, </w:t>
      </w:r>
      <w:r w:rsidRPr="001E7006">
        <w:rPr>
          <w:sz w:val="16"/>
        </w:rPr>
        <w:t>http://humanevents.com/2003/03/03/states-handled-welfare-reform-so-why-not-use-them-again/)</w:t>
      </w:r>
    </w:p>
    <w:p w:rsidR="00AF1BF7" w:rsidRPr="0024333C" w:rsidRDefault="00AF1BF7" w:rsidP="00AF1BF7">
      <w:pPr>
        <w:rPr>
          <w:b/>
          <w:u w:val="single"/>
        </w:rPr>
      </w:pPr>
      <w:r w:rsidRPr="00706808">
        <w:rPr>
          <w:sz w:val="16"/>
        </w:rPr>
        <w:t xml:space="preserve">The Congress is about to reauthorize for at least five more years the hugely successful welfare reform of 1996 with some useful changes proposed by President Bush. When it was about to be enacted in 1996 its opponents such as Sen. Daniel Patrick Moynihan (D.-N.Y.) and the Urban Institute predicted that “. . . within a year there will be a million children starving in the streets,” and that states will “. . . race to the bottom.” We who were proposing the historic reform challenged our opponents to name the governor, legislators, and states that would send their poor children to the streets to starve. Well, it is nearly seven years later and children are not starving in the streets, the nation’s family welfare rolls have been cut in half and most mothers are supporting themselves and their children. </w:t>
      </w:r>
      <w:r w:rsidRPr="00706808">
        <w:rPr>
          <w:rStyle w:val="StyleUnderline"/>
        </w:rPr>
        <w:t>The states have proven that they can do the job if given the responsibility</w:t>
      </w:r>
      <w:r w:rsidRPr="00706808">
        <w:rPr>
          <w:sz w:val="16"/>
        </w:rPr>
        <w:t xml:space="preserve">. No other country in the world has as its basis a government that was established by independent states and has grown by adding states with the same authority as the original 13. Each state has a chief executive, and a legislature elected by its citizens and a court system responsible to its people. </w:t>
      </w:r>
      <w:r w:rsidRPr="00706808">
        <w:rPr>
          <w:rStyle w:val="StyleUnderline"/>
        </w:rPr>
        <w:t>They have power to raise taxes and pass all laws not in conflict with the Constitution. They are close to the people and are in a much better position to determine need, enforce work requirements, and determine disability.</w:t>
      </w:r>
      <w:r w:rsidRPr="00706808">
        <w:rPr>
          <w:sz w:val="16"/>
        </w:rPr>
        <w:t xml:space="preserve"> </w:t>
      </w:r>
      <w:r w:rsidRPr="00706808">
        <w:rPr>
          <w:rStyle w:val="StyleUnderline"/>
        </w:rPr>
        <w:t xml:space="preserve">So let’s use them to follow up on family welfare reform by giving them the authority, responsibility and financial incentive to reform the other major welfare programs. </w:t>
      </w:r>
      <w:r w:rsidRPr="00706808">
        <w:rPr>
          <w:sz w:val="16"/>
        </w:rPr>
        <w:t xml:space="preserve">These programs are: Medicaid, food stamps, and the Supplemental Security Income Program for the Disabled (SSID). All are open-ended entitlement programs and contain much waste fraud and abuse. Solution for Medicaid Medicaid should not be confused with Medicare. Medicaid provides health care for welfare families and for persons who are on welfare because of their age or disability and have little or no income. Medicare is a health care insurance program for the employed or retired after they reach the age of 65 or become disabled. They have contributed to Medicare throughout their working life with mandatory withholdings from their wages. Medicare is administered by the federal government. Medicaid is administered by the states and paid for by an open-ended federal-state matching program. The governors are screaming for increased federal matching for Medicaid spending. This would be the worst way to go. </w:t>
      </w:r>
      <w:r w:rsidRPr="00706808">
        <w:rPr>
          <w:rStyle w:val="StyleUnderline"/>
        </w:rPr>
        <w:t>Federal matching simply causes more, not less, state spending since the more the state spends the more federal money flows in. The solution, as with family welfare, is to replace Medicaid with finite block grants to the states so that the states will have a financial incentive to ensure that waste is reduced or eliminated</w:t>
      </w:r>
      <w:r w:rsidRPr="00706808">
        <w:rPr>
          <w:sz w:val="16"/>
        </w:rPr>
        <w:t xml:space="preserve">. Federal mandates should be removed or reduced to give states the ability to design systems to meet their individual needs. The money they save will stay in the state as a reserve against bad times or be used for other necessary state health needs. Controlling Food Stamps The food stamp program is worse. The federal government pays the full cost of food stamps and the states administer the program, paying half of the administrative costs. There is no incentive to eliminate fraud and abuse, since all the money saved is federal money and it costs the state money to administer anti-fraud and waste programs. In addition the federal government sets eligibility standards and benefit levels that may not be synchronized with state standards for their family cash welfare programs. The food industry strongly defends the food stamp program, but we can continue to print the food stamps. Instead of being an open-ended entitlement program for individuals, it should be replaced with finite block grants of stamps to the states, with eligibility and benefit requirements set by the state as they do now with family welfare. </w:t>
      </w:r>
      <w:r w:rsidRPr="00706808">
        <w:rPr>
          <w:rStyle w:val="StyleUnderline"/>
        </w:rPr>
        <w:t>Instead of sending a check, the federal government can deposit a truckload of food stamps each month in the state and let the state decide how to distribute them</w:t>
      </w:r>
      <w:r w:rsidRPr="00706808">
        <w:rPr>
          <w:sz w:val="16"/>
        </w:rPr>
        <w:t xml:space="preserve">. The savings from the fraud and abuse that is eliminated stays within the state, giving the state a strong incentive to see that the stamps go only to those who need them. Ending SSID Fraud The third program to be reformed as we did with the family welfare program is SSID (Supplemental Security Income Program for the Disabled). This is the program for people who are too disabled to work and have little or no income. In 1971 when I was welfare director for Gov. Reagan in California, the states still administered this program. I found that throughout California non-disabled people were being admitted to the welfare rolls as disabled. It was particularly bad in the Haight- Ashbury District of San Francisco where long-haired hippy doctors were issuing papers declaring their hippy friends disabled. We started a complete review of the cases throughout the state and cleaned the rolls. In 1973, however, </w:t>
      </w:r>
      <w:r w:rsidRPr="00706808">
        <w:rPr>
          <w:rStyle w:val="StyleUnderline"/>
        </w:rPr>
        <w:t>the Nixon Administration moved SSID from state to federal administration with some states adding supplements to the federal grants. Knowing when someone is actually disabled and the degree of disability is difficult at best, but certainly cannot be done accurately at the national level.</w:t>
      </w:r>
      <w:r w:rsidRPr="00706808">
        <w:rPr>
          <w:sz w:val="16"/>
        </w:rPr>
        <w:t xml:space="preserve"> </w:t>
      </w:r>
      <w:r w:rsidRPr="00706808">
        <w:rPr>
          <w:rStyle w:val="StyleUnderline"/>
        </w:rPr>
        <w:t xml:space="preserve">The requirement is that disability must be expected to last for at least a year, but in many instances disability ends and the persons remain on the rolls. </w:t>
      </w:r>
      <w:r w:rsidRPr="00706808">
        <w:rPr>
          <w:sz w:val="16"/>
        </w:rPr>
        <w:t xml:space="preserve">It has been reported that, indeed, some states have been moving their family welfare recipients to the federal disability rolls when in fact the people are not truly incapable of supporting themselves. In addition, SSID recipients are automatically eligible for Medicaid, for which the states are financially obligated to pay half the cost. The states were handling this program quite well until it was removed from them in 1973, and it should be block-granted to them, just as was done with family welfare. Much of the fraud and abuse can be detected and eliminated by the states and their counties, which are much closer to the people than the federal government. The money saved can stay within the state to be used for other pressing needs for disabled people. . We have proven that </w:t>
      </w:r>
      <w:r w:rsidRPr="00706808">
        <w:rPr>
          <w:rStyle w:val="StyleUnderline"/>
        </w:rPr>
        <w:t>by ending the individual entitlement nature of family welfare and replacing it with finite block grants the states have been responsible</w:t>
      </w:r>
      <w:r w:rsidRPr="00706808">
        <w:rPr>
          <w:sz w:val="16"/>
        </w:rPr>
        <w:t xml:space="preserve"> </w:t>
      </w:r>
      <w:r w:rsidRPr="00706808">
        <w:rPr>
          <w:rStyle w:val="StyleUnderline"/>
        </w:rPr>
        <w:t>and rolls have plummeted and thousands of families are self supporting.</w:t>
      </w:r>
      <w:r w:rsidRPr="00706808">
        <w:rPr>
          <w:sz w:val="16"/>
        </w:rPr>
        <w:t xml:space="preserve"> The dire predictions of opponents of welfare reform that the states would “rush to the bottom” and that a million children would be starving in the streets did </w:t>
      </w:r>
      <w:r w:rsidRPr="00706808">
        <w:rPr>
          <w:sz w:val="16"/>
        </w:rPr>
        <w:lastRenderedPageBreak/>
        <w:t xml:space="preserve">not happen because states are responsible and care about the welfare of their people. Now that that argument is over, we should build on this success by doing the same with the three remaining welfare entitlement programs. </w:t>
      </w:r>
      <w:r w:rsidRPr="00706808">
        <w:rPr>
          <w:rStyle w:val="StyleUnderline"/>
        </w:rPr>
        <w:t>It could be made voluntary for each state, but states that do not take it should receive no additional federal funding.</w:t>
      </w:r>
      <w:r w:rsidRPr="00706808">
        <w:rPr>
          <w:sz w:val="16"/>
        </w:rPr>
        <w:t xml:space="preserve"> </w:t>
      </w:r>
      <w:r w:rsidRPr="00706808">
        <w:rPr>
          <w:rStyle w:val="StyleUnderline"/>
        </w:rPr>
        <w:t>Any governors or state legislators who do not accept the challenge would be sending a message to its voters that they are afraid to accept the responsibility. I am sure that other citizens more willing and able to do so would contest them in the next election.</w:t>
      </w:r>
    </w:p>
    <w:p w:rsidR="00AF1BF7" w:rsidRPr="0024333C" w:rsidRDefault="00AF1BF7" w:rsidP="00AF1BF7"/>
    <w:p w:rsidR="00AF1BF7" w:rsidRDefault="00AF1BF7" w:rsidP="00AF1BF7">
      <w:pPr>
        <w:pStyle w:val="Heading4"/>
      </w:pPr>
      <w:r>
        <w:t>States avoid the compromises inevitable in Congress</w:t>
      </w:r>
    </w:p>
    <w:p w:rsidR="00AF1BF7" w:rsidRPr="00823203" w:rsidRDefault="00AF1BF7" w:rsidP="00AF1BF7">
      <w:pPr>
        <w:rPr>
          <w:shd w:val="clear" w:color="auto" w:fill="FFFFFF"/>
        </w:rPr>
      </w:pPr>
      <w:r w:rsidRPr="00BE33CE">
        <w:rPr>
          <w:rStyle w:val="StyleStyleBold12pt"/>
        </w:rPr>
        <w:t>Tracinski</w:t>
      </w:r>
      <w:r w:rsidRPr="007209D2">
        <w:rPr>
          <w:rStyle w:val="StyleStyleBold12pt"/>
        </w:rPr>
        <w:t xml:space="preserve"> </w:t>
      </w:r>
      <w:r w:rsidRPr="00BE33CE">
        <w:rPr>
          <w:rStyle w:val="StyleStyleBold12pt"/>
        </w:rPr>
        <w:t xml:space="preserve">2015 </w:t>
      </w:r>
      <w:r>
        <w:rPr>
          <w:rStyle w:val="StyleStyleBold12pt"/>
        </w:rPr>
        <w:t>(</w:t>
      </w:r>
      <w:r w:rsidRPr="00823203">
        <w:rPr>
          <w:shd w:val="clear" w:color="auto" w:fill="FFFFFF"/>
        </w:rPr>
        <w:t>senior writer at The Federalist. He studied philosophy at the University of Chicago and for more than 20 years has written about politics, markets, and foreign policy</w:t>
      </w:r>
      <w:r>
        <w:rPr>
          <w:shd w:val="clear" w:color="auto" w:fill="FFFFFF"/>
        </w:rPr>
        <w:t>)</w:t>
      </w:r>
    </w:p>
    <w:p w:rsidR="00AF1BF7" w:rsidRPr="00823203" w:rsidRDefault="00AF1BF7" w:rsidP="00AF1BF7">
      <w:pPr>
        <w:rPr>
          <w:i/>
        </w:rPr>
      </w:pPr>
      <w:r>
        <w:rPr>
          <w:rStyle w:val="StyleStyleBold12pt"/>
          <w:sz w:val="22"/>
        </w:rPr>
        <w:t>(Robert, 6/</w:t>
      </w:r>
      <w:r w:rsidRPr="007733DD">
        <w:rPr>
          <w:rStyle w:val="StyleStyleBold12pt"/>
          <w:sz w:val="22"/>
        </w:rPr>
        <w:t>1</w:t>
      </w:r>
      <w:r>
        <w:rPr>
          <w:rStyle w:val="StyleStyleBold12pt"/>
          <w:sz w:val="22"/>
        </w:rPr>
        <w:t>/15</w:t>
      </w:r>
      <w:r w:rsidRPr="007733DD">
        <w:rPr>
          <w:rStyle w:val="StyleStyleBold12pt"/>
          <w:sz w:val="22"/>
        </w:rPr>
        <w:t xml:space="preserve">, </w:t>
      </w:r>
      <w:r>
        <w:rPr>
          <w:rStyle w:val="StyleStyleBold12pt"/>
          <w:sz w:val="22"/>
        </w:rPr>
        <w:t>“</w:t>
      </w:r>
      <w:hyperlink r:id="rId72" w:tooltip="7 Way To Roll Back The Welfare State" w:history="1">
        <w:r w:rsidRPr="007733DD">
          <w:t>7 Way To Roll Back The Welfare State</w:t>
        </w:r>
      </w:hyperlink>
      <w:r>
        <w:t xml:space="preserve">,” </w:t>
      </w:r>
      <w:r>
        <w:rPr>
          <w:i/>
        </w:rPr>
        <w:t xml:space="preserve">The Federalist, </w:t>
      </w:r>
      <w:hyperlink r:id="rId73" w:history="1">
        <w:r w:rsidRPr="003817D1">
          <w:rPr>
            <w:rStyle w:val="Hyperlink"/>
            <w:i/>
          </w:rPr>
          <w:t>http://thefederalist.com/2015/06/01/7-way-to-roll-back-the-welfare-state/</w:t>
        </w:r>
      </w:hyperlink>
      <w:r>
        <w:rPr>
          <w:i/>
        </w:rPr>
        <w:t>)</w:t>
      </w:r>
    </w:p>
    <w:p w:rsidR="00AF1BF7" w:rsidRDefault="00AF1BF7" w:rsidP="00AF1BF7">
      <w:pPr>
        <w:rPr>
          <w:rStyle w:val="StyleUnderline"/>
        </w:rPr>
      </w:pPr>
      <w:r w:rsidRPr="00823203">
        <w:rPr>
          <w:rStyle w:val="StyleUnderline"/>
        </w:rPr>
        <w:t>Part of the reason we have such a bloated welfare state is because every decision in Congress has to be a compromise</w:t>
      </w:r>
      <w:r w:rsidRPr="00823203">
        <w:rPr>
          <w:rFonts w:asciiTheme="minorHAnsi" w:hAnsiTheme="minorHAnsi"/>
          <w:sz w:val="16"/>
        </w:rPr>
        <w:t xml:space="preserve"> between “blue state” politicians who want more and more and more government and “red state” politicians who usually claim they want less. </w:t>
      </w:r>
      <w:r w:rsidRPr="00823203">
        <w:rPr>
          <w:rStyle w:val="StyleUnderline"/>
        </w:rPr>
        <w:t xml:space="preserve">Hence my </w:t>
      </w:r>
      <w:r w:rsidRPr="00823203">
        <w:rPr>
          <w:sz w:val="16"/>
        </w:rPr>
        <w:t xml:space="preserve">modest </w:t>
      </w:r>
      <w:r w:rsidRPr="00823203">
        <w:rPr>
          <w:rStyle w:val="StyleUnderline"/>
        </w:rPr>
        <w:t>proposal that</w:t>
      </w:r>
      <w:r w:rsidRPr="00823203">
        <w:rPr>
          <w:rFonts w:asciiTheme="minorHAnsi" w:hAnsiTheme="minorHAnsi"/>
          <w:sz w:val="16"/>
        </w:rPr>
        <w:t xml:space="preserve"> </w:t>
      </w:r>
      <w:r w:rsidRPr="00823203">
        <w:rPr>
          <w:rStyle w:val="StyleUnderline"/>
        </w:rPr>
        <w:t>we kick these decisions back down to the state level, which is where they were always intended to be</w:t>
      </w:r>
      <w:r w:rsidRPr="00823203">
        <w:rPr>
          <w:rFonts w:asciiTheme="minorHAnsi" w:hAnsiTheme="minorHAnsi"/>
          <w:sz w:val="16"/>
        </w:rPr>
        <w:t xml:space="preserve">. This is not a foolproof solution, because we’ll still occasionally get local handouts like ObamaCow. But </w:t>
      </w:r>
      <w:r w:rsidRPr="00823203">
        <w:rPr>
          <w:rStyle w:val="StyleUnderline"/>
        </w:rPr>
        <w:t>the general idea is that we can let New York and California set up more generous welfare states—if they want to pay for them</w:t>
      </w:r>
      <w:r w:rsidRPr="00823203">
        <w:rPr>
          <w:rFonts w:asciiTheme="minorHAnsi" w:hAnsiTheme="minorHAnsi"/>
          <w:sz w:val="16"/>
        </w:rPr>
        <w:t xml:space="preserve">. And they should let the hinterland scale back welfare. </w:t>
      </w:r>
      <w:r w:rsidRPr="00823203">
        <w:rPr>
          <w:rStyle w:val="StyleUnderline"/>
        </w:rPr>
        <w:t xml:space="preserve">Then the states can compete to see whose approach is more successful </w:t>
      </w:r>
      <w:r w:rsidRPr="00823203">
        <w:rPr>
          <w:sz w:val="16"/>
        </w:rPr>
        <w:t>and how many people vote with their feet for the small government model</w:t>
      </w:r>
      <w:r w:rsidRPr="00823203">
        <w:rPr>
          <w:rFonts w:asciiTheme="minorHAnsi" w:hAnsiTheme="minorHAnsi"/>
          <w:sz w:val="16"/>
        </w:rPr>
        <w:t xml:space="preserve">. Even now, </w:t>
      </w:r>
      <w:r w:rsidRPr="00823203">
        <w:rPr>
          <w:rStyle w:val="StyleUnderline"/>
        </w:rPr>
        <w:t>the results on this are encouraging, with low</w:t>
      </w:r>
      <w:r w:rsidRPr="00823203">
        <w:rPr>
          <w:rStyle w:val="StyleUnderline"/>
          <w:rFonts w:ascii="Cambria Math" w:hAnsi="Cambria Math" w:cs="Cambria Math"/>
        </w:rPr>
        <w:t>‐</w:t>
      </w:r>
      <w:r w:rsidRPr="00823203">
        <w:rPr>
          <w:rStyle w:val="StyleUnderline"/>
        </w:rPr>
        <w:t>tax, low</w:t>
      </w:r>
      <w:r w:rsidRPr="00823203">
        <w:rPr>
          <w:rStyle w:val="StyleUnderline"/>
          <w:rFonts w:ascii="Cambria Math" w:hAnsi="Cambria Math" w:cs="Cambria Math"/>
        </w:rPr>
        <w:t>‐</w:t>
      </w:r>
      <w:r w:rsidRPr="00823203">
        <w:rPr>
          <w:rStyle w:val="StyleUnderline"/>
        </w:rPr>
        <w:t xml:space="preserve">regulation states experiencing huge increases in population. </w:t>
      </w:r>
    </w:p>
    <w:p w:rsidR="00AF1BF7" w:rsidRDefault="00AF1BF7" w:rsidP="00AF1BF7">
      <w:pPr>
        <w:rPr>
          <w:rStyle w:val="StyleUnderline"/>
        </w:rPr>
      </w:pPr>
    </w:p>
    <w:p w:rsidR="00AF1BF7" w:rsidRDefault="00AF1BF7" w:rsidP="00AF1BF7">
      <w:pPr>
        <w:pStyle w:val="Heading4"/>
      </w:pPr>
      <w:r>
        <w:t>In the absence of reform, federal welfare will collapse</w:t>
      </w:r>
    </w:p>
    <w:p w:rsidR="00AF1BF7" w:rsidRPr="00557266" w:rsidRDefault="00AF1BF7" w:rsidP="00AF1BF7">
      <w:pPr>
        <w:rPr>
          <w:rFonts w:asciiTheme="minorHAnsi" w:hAnsiTheme="minorHAnsi"/>
          <w:sz w:val="16"/>
          <w:szCs w:val="16"/>
        </w:rPr>
      </w:pPr>
      <w:r w:rsidRPr="00557266">
        <w:rPr>
          <w:rStyle w:val="StyleStyleBold12pt"/>
        </w:rPr>
        <w:t>Mitchell, 2013</w:t>
      </w:r>
      <w:r w:rsidRPr="00557266">
        <w:rPr>
          <w:rFonts w:asciiTheme="minorHAnsi" w:hAnsiTheme="minorHAnsi"/>
        </w:rPr>
        <w:t xml:space="preserve"> </w:t>
      </w:r>
      <w:r w:rsidRPr="00557266">
        <w:rPr>
          <w:rFonts w:asciiTheme="minorHAnsi" w:hAnsiTheme="minorHAnsi"/>
          <w:sz w:val="16"/>
          <w:szCs w:val="16"/>
        </w:rPr>
        <w:t>Dan Mitchell, Ph.D (in economics), is a Senior Fellow at the Cato Institute who specializes in fis</w:t>
      </w:r>
      <w:r w:rsidRPr="00557266">
        <w:rPr>
          <w:rFonts w:asciiTheme="minorHAnsi" w:hAnsiTheme="minorHAnsi"/>
          <w:color w:val="222222"/>
          <w:sz w:val="16"/>
          <w:szCs w:val="16"/>
          <w:shd w:val="clear" w:color="auto" w:fill="FFFFFF"/>
        </w:rPr>
        <w:t xml:space="preserve">cal policy, particularly tax reform, international tax competition, and the economic burden of government spending. He also serves on the editorial board of the </w:t>
      </w:r>
      <w:r w:rsidRPr="00557266">
        <w:rPr>
          <w:rFonts w:asciiTheme="minorHAnsi" w:hAnsiTheme="minorHAnsi"/>
          <w:i/>
          <w:iCs/>
          <w:color w:val="222222"/>
          <w:sz w:val="16"/>
          <w:szCs w:val="16"/>
          <w:bdr w:val="none" w:sz="0" w:space="0" w:color="auto" w:frame="1"/>
          <w:shd w:val="clear" w:color="auto" w:fill="FFFFFF"/>
        </w:rPr>
        <w:t xml:space="preserve">Cayman Financial Review. </w:t>
      </w:r>
      <w:r w:rsidRPr="00557266">
        <w:rPr>
          <w:rFonts w:asciiTheme="minorHAnsi" w:hAnsiTheme="minorHAnsi"/>
          <w:iCs/>
          <w:color w:val="222222"/>
          <w:sz w:val="16"/>
          <w:szCs w:val="16"/>
          <w:bdr w:val="none" w:sz="0" w:space="0" w:color="auto" w:frame="1"/>
          <w:shd w:val="clear" w:color="auto" w:fill="FFFFFF"/>
        </w:rPr>
        <w:t xml:space="preserve">(Dan Mitchell, “Decentralization and Federalism Is the Libertarian Way to Determine Whether a Basic Income Is Practical or Desirable”, 12/18/13, </w:t>
      </w:r>
      <w:r w:rsidRPr="00557266">
        <w:rPr>
          <w:rFonts w:asciiTheme="minorHAnsi" w:hAnsiTheme="minorHAnsi"/>
          <w:i/>
          <w:iCs/>
          <w:color w:val="222222"/>
          <w:sz w:val="16"/>
          <w:szCs w:val="16"/>
          <w:bdr w:val="none" w:sz="0" w:space="0" w:color="auto" w:frame="1"/>
          <w:shd w:val="clear" w:color="auto" w:fill="FFFFFF"/>
        </w:rPr>
        <w:t xml:space="preserve">December Columns, </w:t>
      </w:r>
      <w:r w:rsidRPr="00557266">
        <w:rPr>
          <w:rFonts w:asciiTheme="minorHAnsi" w:hAnsiTheme="minorHAnsi"/>
          <w:iCs/>
          <w:color w:val="222222"/>
          <w:sz w:val="16"/>
          <w:szCs w:val="16"/>
          <w:bdr w:val="none" w:sz="0" w:space="0" w:color="auto" w:frame="1"/>
          <w:shd w:val="clear" w:color="auto" w:fill="FFFFFF"/>
        </w:rPr>
        <w:t>http://www.libertarianism.org/people/dan-mitchell)//ER</w:t>
      </w:r>
    </w:p>
    <w:p w:rsidR="00AF1BF7" w:rsidRDefault="00AF1BF7" w:rsidP="00AF1BF7">
      <w:pPr>
        <w:rPr>
          <w:sz w:val="14"/>
        </w:rPr>
      </w:pPr>
      <w:r w:rsidRPr="00AE7E13">
        <w:rPr>
          <w:sz w:val="14"/>
        </w:rPr>
        <w:t xml:space="preserve">Mitchell argues against a national basic income, suggesting instead that </w:t>
      </w:r>
      <w:r w:rsidRPr="004F01A7">
        <w:rPr>
          <w:rStyle w:val="StyleUnderline"/>
        </w:rPr>
        <w:t xml:space="preserve">federalism may provide a better solution to the problems of the current welfare state. </w:t>
      </w:r>
      <w:r w:rsidRPr="00AE7E13">
        <w:rPr>
          <w:sz w:val="14"/>
        </w:rPr>
        <w:t xml:space="preserve">Some libertarians argue that </w:t>
      </w:r>
      <w:r w:rsidRPr="004F01A7">
        <w:rPr>
          <w:rStyle w:val="StyleUnderline"/>
        </w:rPr>
        <w:t>the state should provide a minimum basic income, mainly because this approach would be preferable to the costly and bureaucratic amalgamation of redistribution programs that currently exist</w:t>
      </w:r>
      <w:r w:rsidRPr="00AE7E13">
        <w:rPr>
          <w:sz w:val="14"/>
        </w:rPr>
        <w:t>. It’s hard to disagree with</w:t>
      </w:r>
      <w:r w:rsidRPr="008B7BAE">
        <w:rPr>
          <w:rStyle w:val="Emphasis"/>
        </w:rPr>
        <w:t xml:space="preserve"> the</w:t>
      </w:r>
      <w:r w:rsidRPr="00AE7E13">
        <w:rPr>
          <w:sz w:val="14"/>
        </w:rPr>
        <w:t xml:space="preserve"> notion that the </w:t>
      </w:r>
      <w:r w:rsidRPr="008B7BAE">
        <w:rPr>
          <w:rStyle w:val="Emphasis"/>
        </w:rPr>
        <w:t>current system is a failure</w:t>
      </w:r>
      <w:r w:rsidRPr="00AE7E13">
        <w:rPr>
          <w:sz w:val="14"/>
        </w:rPr>
        <w:t>. The Cato Institute’s Michael Tannerhas produced a searing indictment (</w:t>
      </w:r>
      <w:hyperlink r:id="rId74" w:history="1">
        <w:r w:rsidRPr="00AE7E13">
          <w:rPr>
            <w:rStyle w:val="Hyperlink"/>
            <w:sz w:val="14"/>
          </w:rPr>
          <w:t>http://object.cato.org/sites/cato.org/files/pubs/pdf/PA694.pdf</w:t>
        </w:r>
      </w:hyperlink>
      <w:r w:rsidRPr="00AE7E13">
        <w:rPr>
          <w:sz w:val="14"/>
        </w:rPr>
        <w:t xml:space="preserve">) of the modern welfare state, pointing out that </w:t>
      </w:r>
      <w:r w:rsidRPr="008B7BAE">
        <w:rPr>
          <w:rStyle w:val="Emphasis"/>
        </w:rPr>
        <w:t>more than $1trillion is spent every year on redistribution programs</w:t>
      </w:r>
      <w:r w:rsidRPr="004F01A7">
        <w:rPr>
          <w:rStyle w:val="StyleUnderline"/>
        </w:rPr>
        <w:t xml:space="preserve"> for the ostensible purpose of alleviating economic hardship, </w:t>
      </w:r>
      <w:r w:rsidRPr="002C1736">
        <w:rPr>
          <w:rStyle w:val="StyleUnderline"/>
        </w:rPr>
        <w:t>yet (or more likely</w:t>
      </w:r>
      <w:r w:rsidRPr="00AE7E13">
        <w:rPr>
          <w:sz w:val="14"/>
        </w:rPr>
        <w:t xml:space="preserve"> </w:t>
      </w:r>
      <w:r w:rsidRPr="008B7BAE">
        <w:rPr>
          <w:rStyle w:val="Emphasis"/>
        </w:rPr>
        <w:t>as a result)the poverty rate is at an all-time high</w:t>
      </w:r>
      <w:r w:rsidRPr="004F01A7">
        <w:rPr>
          <w:rStyle w:val="StyleUnderline"/>
        </w:rPr>
        <w:t>. Perhaps one reason poverty remains high is that such programs make leisure more attractive than work,</w:t>
      </w:r>
      <w:r w:rsidRPr="00AE7E13">
        <w:rPr>
          <w:sz w:val="14"/>
        </w:rPr>
        <w:t xml:space="preserve"> as painstakingly illustrated (http://danieljmitchell.wordpress.com/2013/08/20/mirror-mirror-on-the-wall-which-states-provide-the-most-handouts-of-all/)inastudyproducedbyTannerandCharlesHughes.DECEMBER18,2013COLUMNS Moreover, </w:t>
      </w:r>
      <w:r w:rsidRPr="002C1736">
        <w:rPr>
          <w:rStyle w:val="Emphasis"/>
        </w:rPr>
        <w:t>welfare programs create very high implicit marginal tax rates</w:t>
      </w:r>
      <w:r w:rsidRPr="00AE7E13">
        <w:rPr>
          <w:sz w:val="14"/>
        </w:rPr>
        <w:t xml:space="preserve"> (</w:t>
      </w:r>
      <w:hyperlink r:id="rId75" w:history="1">
        <w:r w:rsidRPr="00AE7E13">
          <w:rPr>
            <w:rStyle w:val="Hyperlink"/>
            <w:sz w:val="14"/>
          </w:rPr>
          <w:t>http://danieljmitchell.wordpress.com/2012/07/13/a-picture-of-how-redistribution-programs-trap-the-less-fortunate-in-lives-of-dependency/</w:t>
        </w:r>
      </w:hyperlink>
      <w:r w:rsidRPr="00AE7E13">
        <w:rPr>
          <w:sz w:val="14"/>
        </w:rPr>
        <w:t xml:space="preserve">), </w:t>
      </w:r>
      <w:r w:rsidRPr="002C1736">
        <w:rPr>
          <w:rStyle w:val="StyleUnderline"/>
        </w:rPr>
        <w:t xml:space="preserve">making it very difficult for poor people to improve their living standards </w:t>
      </w:r>
      <w:r w:rsidRPr="00E64A79">
        <w:rPr>
          <w:rStyle w:val="StyleUnderline"/>
        </w:rPr>
        <w:t>by engaging in additional productive behavior</w:t>
      </w:r>
      <w:r w:rsidRPr="00AE7E13">
        <w:rPr>
          <w:sz w:val="14"/>
        </w:rPr>
        <w:t xml:space="preserve">. </w:t>
      </w:r>
      <w:r w:rsidRPr="002C1736">
        <w:rPr>
          <w:rStyle w:val="Emphasis"/>
        </w:rPr>
        <w:t>It’s almost as if the system was designed to create permanent dependency</w:t>
      </w:r>
      <w:r w:rsidRPr="00AE7E13">
        <w:rPr>
          <w:sz w:val="14"/>
        </w:rPr>
        <w:t>. So it’s very understandable that well-meaning folks want to dismantle the current approach and try something new. The basic income certainly has the merit of being a big, bold idea. And advocates of the basic income can cite some very iconic libertarian figures who support at least some version of their approach, including Milton Friedman (</w:t>
      </w:r>
      <w:hyperlink r:id="rId76" w:history="1">
        <w:r w:rsidRPr="00AE7E13">
          <w:rPr>
            <w:rStyle w:val="Hyperlink"/>
            <w:sz w:val="14"/>
          </w:rPr>
          <w:t>http://www.amazon.com/Capitalism-Freedom-Fortieth-Anniversary-Edition/dp/0226264211</w:t>
        </w:r>
      </w:hyperlink>
      <w:r w:rsidRPr="00AE7E13">
        <w:rPr>
          <w:sz w:val="14"/>
        </w:rPr>
        <w:t>), Friedrich Hayek(</w:t>
      </w:r>
      <w:hyperlink r:id="rId77" w:history="1">
        <w:r w:rsidRPr="00AE7E13">
          <w:rPr>
            <w:rStyle w:val="Hyperlink"/>
            <w:sz w:val="14"/>
          </w:rPr>
          <w:t>http://www.amazon.com/Law-Legislation-Liberty-Volume-Political/dp/0226320901),and</w:t>
        </w:r>
      </w:hyperlink>
      <w:r w:rsidRPr="00AE7E13">
        <w:rPr>
          <w:sz w:val="14"/>
        </w:rPr>
        <w:t xml:space="preserve"> Charles Murray(</w:t>
      </w:r>
      <w:hyperlink r:id="rId78" w:history="1">
        <w:r w:rsidRPr="00AE7E13">
          <w:rPr>
            <w:rStyle w:val="Hyperlink"/>
            <w:sz w:val="14"/>
          </w:rPr>
          <w:t>http://www.amazon.com/In-Our-Hands-Replace-Welfare/dp/0844742236).But</w:t>
        </w:r>
      </w:hyperlink>
      <w:r w:rsidRPr="00AE7E13">
        <w:rPr>
          <w:sz w:val="14"/>
        </w:rPr>
        <w:t xml:space="preserve"> if we’re going to launch a very difficult battle to radically reshape well-entrenched bureaucracies and long-standing policies in DC, it seems reasonable to ask whether there might be a better road to Rome. There are several very practical and compelling reasons to be skeptical about the basic income proposal. The first concern is that </w:t>
      </w:r>
      <w:r w:rsidRPr="002C1736">
        <w:rPr>
          <w:rStyle w:val="Emphasis"/>
        </w:rPr>
        <w:t>a guaranteed basic income may simply replace one form of government-financed dependency for another.</w:t>
      </w:r>
      <w:r w:rsidRPr="00AE7E13">
        <w:rPr>
          <w:sz w:val="14"/>
        </w:rPr>
        <w:t xml:space="preserve"> </w:t>
      </w:r>
      <w:r w:rsidRPr="00837616">
        <w:rPr>
          <w:rStyle w:val="StyleUnderline"/>
        </w:rPr>
        <w:t xml:space="preserve">An economy’s output is a function of the quality and quantity of labor and capital that are productively deployed. </w:t>
      </w:r>
      <w:r w:rsidRPr="00F2342F">
        <w:rPr>
          <w:rStyle w:val="Emphasis"/>
        </w:rPr>
        <w:t>That’</w:t>
      </w:r>
      <w:r w:rsidRPr="00837616">
        <w:rPr>
          <w:rStyle w:val="StyleUnderline"/>
        </w:rPr>
        <w:t xml:space="preserve">s an argument for reducing the size of welfare state in order to encourage more work. </w:t>
      </w:r>
      <w:r w:rsidRPr="002C1736">
        <w:rPr>
          <w:rStyle w:val="StyleUnderline"/>
        </w:rPr>
        <w:t>But it’s</w:t>
      </w:r>
      <w:r w:rsidRPr="00837616">
        <w:rPr>
          <w:rStyle w:val="Emphasis"/>
        </w:rPr>
        <w:t xml:space="preserve"> no</w:t>
      </w:r>
      <w:r w:rsidRPr="00AE7E13">
        <w:rPr>
          <w:sz w:val="14"/>
        </w:rPr>
        <w:t xml:space="preserve">t an </w:t>
      </w:r>
      <w:r w:rsidRPr="00837616">
        <w:rPr>
          <w:rStyle w:val="Emphasis"/>
        </w:rPr>
        <w:t xml:space="preserve">argument for creating a lump-sum form of redistribution. </w:t>
      </w:r>
      <w:r w:rsidRPr="00AE7E13">
        <w:rPr>
          <w:sz w:val="14"/>
        </w:rPr>
        <w:lastRenderedPageBreak/>
        <w:t xml:space="preserve">That being said, </w:t>
      </w:r>
      <w:r w:rsidRPr="00837616">
        <w:rPr>
          <w:rStyle w:val="StyleUnderline"/>
        </w:rPr>
        <w:t xml:space="preserve">a well-designed basic income presumably will not have the punitive implicit tax rates on those who decide to engage in productive behavior. </w:t>
      </w:r>
      <w:r w:rsidRPr="00AE7E13">
        <w:rPr>
          <w:sz w:val="14"/>
        </w:rPr>
        <w:t xml:space="preserve">Moreover, the army of bureaucrats who monitor and over see the current system wouldn’t be necessary (though skeptics understandably wonder whether politicians actually would shrink the federal work force even if redistribution programs were axed). The second concern revolves around the question of durability. More specifically, </w:t>
      </w:r>
      <w:r w:rsidRPr="00E00010">
        <w:rPr>
          <w:rStyle w:val="StyleUnderline"/>
        </w:rPr>
        <w:t>there’s no guarantee that politicians in the future won’t re-create the current panoply of programs that the basic income is supposed to replace.</w:t>
      </w:r>
      <w:r w:rsidRPr="00AE7E13">
        <w:rPr>
          <w:sz w:val="14"/>
        </w:rPr>
        <w:t xml:space="preserve"> The </w:t>
      </w:r>
      <w:r w:rsidRPr="00F2342F">
        <w:rPr>
          <w:rStyle w:val="StyleUnderline"/>
        </w:rPr>
        <w:t>political incentives</w:t>
      </w:r>
      <w:r w:rsidRPr="00E00010">
        <w:rPr>
          <w:rStyle w:val="StyleUnderline"/>
        </w:rPr>
        <w:t xml:space="preserve"> that existed when those programs were first created</w:t>
      </w:r>
      <w:r w:rsidRPr="00AE7E13">
        <w:rPr>
          <w:sz w:val="14"/>
        </w:rPr>
        <w:t xml:space="preserve">, after all, presumably </w:t>
      </w:r>
      <w:r w:rsidRPr="00F2342F">
        <w:rPr>
          <w:rStyle w:val="StyleUnderline"/>
        </w:rPr>
        <w:t>would remain in a world where people get a pre-determined amount of cash from the government</w:t>
      </w:r>
      <w:r w:rsidRPr="00AE7E13">
        <w:rPr>
          <w:sz w:val="14"/>
        </w:rPr>
        <w:t xml:space="preserve">. This is largely speculative, to be sure. Interest groups would have an incentive to lobby for the creation of new programs with targeted beneficiaries. But perhaps the general public would understand that </w:t>
      </w:r>
      <w:r w:rsidRPr="00E00010">
        <w:rPr>
          <w:rStyle w:val="Emphasis"/>
        </w:rPr>
        <w:t>even one new handout would be the first step on a slippery slope leading back to something akin to the current system</w:t>
      </w:r>
      <w:r w:rsidRPr="00AE7E13">
        <w:rPr>
          <w:sz w:val="14"/>
        </w:rPr>
        <w:t>. A third concern is that the basic income may become overly generous, particularly in a fiscal system where a relatively small slice of the population pays an overwhelming share of the tax burden. In that kind of regime, there would be an incentive for a majority of voters to increase the amount of redistribution. It’s unknown whether this would happen. Simply stated, the few experiments that might teach us about incentives with a system of basic income have been too limited to draw any firm conclusions. For those who want to review that literature, Jim Manzi (</w:t>
      </w:r>
      <w:hyperlink r:id="rId79" w:anchor="!)has" w:history="1">
        <w:r w:rsidRPr="00AE7E13">
          <w:rPr>
            <w:rStyle w:val="Hyperlink"/>
            <w:sz w:val="14"/>
          </w:rPr>
          <w:t>http://www.nationalreview.com/corner/259761/against-negative-income-tax-jim-manzi#!)has</w:t>
        </w:r>
      </w:hyperlink>
      <w:r w:rsidRPr="00AE7E13">
        <w:rPr>
          <w:sz w:val="14"/>
        </w:rPr>
        <w:t xml:space="preserve"> a good summary showing less-than-robust evidence for a basic income and Megan McArdle (</w:t>
      </w:r>
      <w:hyperlink r:id="rId80" w:history="1">
        <w:r w:rsidRPr="00AE7E13">
          <w:rPr>
            <w:rStyle w:val="Hyperlink"/>
            <w:sz w:val="14"/>
          </w:rPr>
          <w:t>http://www.bloomberg.com/news/2013-12-04/four-reasons-a-guaranteed-income-won-t-work.html)raises</w:t>
        </w:r>
      </w:hyperlink>
      <w:r w:rsidRPr="00AE7E13">
        <w:rPr>
          <w:sz w:val="14"/>
        </w:rPr>
        <w:t xml:space="preserve"> some very practical objections to the concept. Proponents of the basic income surely would respond by arguing that voters would understand that they were taxing themselves and thus be reluctant to make the basic income too large. The final concern, at least for many libertarians, is that </w:t>
      </w:r>
      <w:r w:rsidRPr="00F2342F">
        <w:rPr>
          <w:rStyle w:val="Emphasis"/>
        </w:rPr>
        <w:t>the federal government shouldn’t be in the business of redistributing income</w:t>
      </w:r>
      <w:r w:rsidRPr="00382245">
        <w:rPr>
          <w:rStyle w:val="StyleUnderline"/>
        </w:rPr>
        <w:t>.</w:t>
      </w:r>
      <w:r w:rsidRPr="00AE7E13">
        <w:rPr>
          <w:sz w:val="14"/>
        </w:rPr>
        <w:t xml:space="preserve"> The Constitution, for instance, does not list food stamps, welfare, housing subsidies, or Medicaid as enumerated powers of Congress in Article I, Section VIII. Supporters of the basic income surely would respond by stating that it’s too late to make that argument. Limits on the role of government largely evaporated during the 1930s and it’s pointless–even though perhaps intellectually satisfying–to make such arguments today.</w:t>
      </w:r>
    </w:p>
    <w:p w:rsidR="00AF1BF7" w:rsidRPr="00823203" w:rsidRDefault="00AF1BF7" w:rsidP="00AF1BF7">
      <w:pPr>
        <w:rPr>
          <w:rStyle w:val="StyleUnderline"/>
        </w:rPr>
      </w:pPr>
    </w:p>
    <w:p w:rsidR="00AF1BF7" w:rsidRDefault="00AF1BF7" w:rsidP="00AF1BF7">
      <w:pPr>
        <w:pStyle w:val="Heading3"/>
      </w:pPr>
      <w:bookmarkStart w:id="88" w:name="_Toc424259163"/>
      <w:r>
        <w:lastRenderedPageBreak/>
        <w:t>A2 States Cause Poverty</w:t>
      </w:r>
      <w:bookmarkEnd w:id="88"/>
    </w:p>
    <w:p w:rsidR="00AF1BF7" w:rsidRDefault="00AF1BF7" w:rsidP="00AF1BF7"/>
    <w:p w:rsidR="00AF1BF7" w:rsidRDefault="00AF1BF7" w:rsidP="00AF1BF7">
      <w:pPr>
        <w:pStyle w:val="Heading4"/>
      </w:pPr>
      <w:r>
        <w:t>Federalism creates variety in state policies--spurs innovation in welfare systems</w:t>
      </w:r>
    </w:p>
    <w:p w:rsidR="00AF1BF7" w:rsidRPr="00557266" w:rsidRDefault="00AF1BF7" w:rsidP="00AF1BF7">
      <w:pPr>
        <w:rPr>
          <w:rFonts w:asciiTheme="minorHAnsi" w:hAnsiTheme="minorHAnsi"/>
          <w:sz w:val="16"/>
          <w:szCs w:val="16"/>
        </w:rPr>
      </w:pPr>
      <w:r w:rsidRPr="00557266">
        <w:rPr>
          <w:rStyle w:val="StyleStyleBold12pt"/>
        </w:rPr>
        <w:t>Mitchell, 2013</w:t>
      </w:r>
      <w:r w:rsidRPr="00557266">
        <w:rPr>
          <w:rFonts w:asciiTheme="minorHAnsi" w:hAnsiTheme="minorHAnsi"/>
        </w:rPr>
        <w:t xml:space="preserve"> </w:t>
      </w:r>
      <w:r w:rsidRPr="00557266">
        <w:rPr>
          <w:rFonts w:asciiTheme="minorHAnsi" w:hAnsiTheme="minorHAnsi"/>
          <w:sz w:val="16"/>
          <w:szCs w:val="16"/>
        </w:rPr>
        <w:t>Dan Mitchell, Ph.D (in economics), is a Senior Fellow at the Cato Institute who specializes in fis</w:t>
      </w:r>
      <w:r w:rsidRPr="00557266">
        <w:rPr>
          <w:rFonts w:asciiTheme="minorHAnsi" w:hAnsiTheme="minorHAnsi"/>
          <w:color w:val="222222"/>
          <w:sz w:val="16"/>
          <w:szCs w:val="16"/>
          <w:shd w:val="clear" w:color="auto" w:fill="FFFFFF"/>
        </w:rPr>
        <w:t xml:space="preserve">cal policy, particularly tax reform, international tax competition, and the economic burden of government spending. He also serves on the editorial board of the </w:t>
      </w:r>
      <w:r w:rsidRPr="00557266">
        <w:rPr>
          <w:rFonts w:asciiTheme="minorHAnsi" w:hAnsiTheme="minorHAnsi"/>
          <w:i/>
          <w:iCs/>
          <w:color w:val="222222"/>
          <w:sz w:val="16"/>
          <w:szCs w:val="16"/>
          <w:bdr w:val="none" w:sz="0" w:space="0" w:color="auto" w:frame="1"/>
          <w:shd w:val="clear" w:color="auto" w:fill="FFFFFF"/>
        </w:rPr>
        <w:t xml:space="preserve">Cayman Financial Review. </w:t>
      </w:r>
      <w:r w:rsidRPr="00557266">
        <w:rPr>
          <w:rFonts w:asciiTheme="minorHAnsi" w:hAnsiTheme="minorHAnsi"/>
          <w:iCs/>
          <w:color w:val="222222"/>
          <w:sz w:val="16"/>
          <w:szCs w:val="16"/>
          <w:bdr w:val="none" w:sz="0" w:space="0" w:color="auto" w:frame="1"/>
          <w:shd w:val="clear" w:color="auto" w:fill="FFFFFF"/>
        </w:rPr>
        <w:t xml:space="preserve">(Dan Mitchell, “Decentralization and Federalism Is the Libertarian Way to Determine Whether a Basic Income Is Practical or Desirable”, 12/18/13, </w:t>
      </w:r>
      <w:r w:rsidRPr="00557266">
        <w:rPr>
          <w:rFonts w:asciiTheme="minorHAnsi" w:hAnsiTheme="minorHAnsi"/>
          <w:i/>
          <w:iCs/>
          <w:color w:val="222222"/>
          <w:sz w:val="16"/>
          <w:szCs w:val="16"/>
          <w:bdr w:val="none" w:sz="0" w:space="0" w:color="auto" w:frame="1"/>
          <w:shd w:val="clear" w:color="auto" w:fill="FFFFFF"/>
        </w:rPr>
        <w:t xml:space="preserve">December Columns, </w:t>
      </w:r>
      <w:r w:rsidRPr="00557266">
        <w:rPr>
          <w:rFonts w:asciiTheme="minorHAnsi" w:hAnsiTheme="minorHAnsi"/>
          <w:iCs/>
          <w:color w:val="222222"/>
          <w:sz w:val="16"/>
          <w:szCs w:val="16"/>
          <w:bdr w:val="none" w:sz="0" w:space="0" w:color="auto" w:frame="1"/>
          <w:shd w:val="clear" w:color="auto" w:fill="FFFFFF"/>
        </w:rPr>
        <w:t>http://www.libertarianism.org/people/dan-mitchell)//ER</w:t>
      </w:r>
    </w:p>
    <w:p w:rsidR="00AF1BF7" w:rsidRPr="001720B9" w:rsidRDefault="00AF1BF7" w:rsidP="00AF1BF7">
      <w:pPr>
        <w:rPr>
          <w:rStyle w:val="Emphasis"/>
        </w:rPr>
      </w:pPr>
      <w:r w:rsidRPr="00A65806">
        <w:rPr>
          <w:sz w:val="16"/>
        </w:rPr>
        <w:t xml:space="preserve">The bottom line for advocates is that anything would be better than the current system, so why not try something new? They’re right, but there’s actually a better way of approaching the issue. </w:t>
      </w:r>
      <w:r w:rsidRPr="00F2342F">
        <w:rPr>
          <w:rStyle w:val="StyleUnderline"/>
        </w:rPr>
        <w:t>Why not take all income</w:t>
      </w:r>
      <w:r w:rsidRPr="00A65806">
        <w:rPr>
          <w:sz w:val="16"/>
        </w:rPr>
        <w:t>-</w:t>
      </w:r>
      <w:r w:rsidRPr="00F2342F">
        <w:rPr>
          <w:rStyle w:val="StyleUnderline"/>
        </w:rPr>
        <w:t>redistribution programs,</w:t>
      </w:r>
      <w:r w:rsidRPr="001720B9">
        <w:rPr>
          <w:rStyle w:val="StyleUnderline"/>
        </w:rPr>
        <w:t xml:space="preserve"> put them into a single block grant</w:t>
      </w:r>
      <w:r w:rsidRPr="00A65806">
        <w:rPr>
          <w:sz w:val="16"/>
        </w:rPr>
        <w:t>,</w:t>
      </w:r>
      <w:r w:rsidRPr="00382245">
        <w:rPr>
          <w:rStyle w:val="Emphasis"/>
        </w:rPr>
        <w:t xml:space="preserve"> </w:t>
      </w:r>
      <w:r w:rsidRPr="00F2342F">
        <w:rPr>
          <w:rStyle w:val="StyleUnderline"/>
        </w:rPr>
        <w:t>and</w:t>
      </w:r>
      <w:r w:rsidRPr="001720B9">
        <w:rPr>
          <w:rStyle w:val="StyleUnderline"/>
        </w:rPr>
        <w:t xml:space="preserve"> then</w:t>
      </w:r>
      <w:r w:rsidRPr="00382245">
        <w:rPr>
          <w:rStyle w:val="Emphasis"/>
        </w:rPr>
        <w:t xml:space="preserve"> transfer </w:t>
      </w:r>
      <w:r w:rsidRPr="00F2342F">
        <w:rPr>
          <w:rStyle w:val="StyleUnderline"/>
        </w:rPr>
        <w:t>the</w:t>
      </w:r>
      <w:r w:rsidRPr="00382245">
        <w:rPr>
          <w:rStyle w:val="Emphasis"/>
        </w:rPr>
        <w:t xml:space="preserve"> money–and responsibility–to state governments</w:t>
      </w:r>
      <w:r w:rsidRPr="00A65806">
        <w:rPr>
          <w:sz w:val="16"/>
        </w:rPr>
        <w:t xml:space="preserve">? In an ideal world, the block grant would gradually diminish so that states would be responsible for both the collection and disbursement of all monies related to welfare. But that’s a secondary issue. </w:t>
      </w:r>
      <w:r w:rsidRPr="00382245">
        <w:rPr>
          <w:rStyle w:val="Emphasis"/>
        </w:rPr>
        <w:t xml:space="preserve">The </w:t>
      </w:r>
      <w:r w:rsidRPr="00F2342F">
        <w:rPr>
          <w:rStyle w:val="StyleUnderline"/>
        </w:rPr>
        <w:t>main</w:t>
      </w:r>
      <w:r w:rsidRPr="00382245">
        <w:rPr>
          <w:rStyle w:val="Emphasis"/>
        </w:rPr>
        <w:t xml:space="preserve"> benefit of this federalist approach is that you stop the Washington-driven expansion of the welfare state and you trigger the creation of 50 separate experiments on how best to provide a safety net.</w:t>
      </w:r>
      <w:r w:rsidRPr="00A65806">
        <w:rPr>
          <w:sz w:val="16"/>
        </w:rPr>
        <w:t xml:space="preserve"> Some </w:t>
      </w:r>
      <w:r w:rsidRPr="00382245">
        <w:rPr>
          <w:rStyle w:val="StyleUnderline"/>
        </w:rPr>
        <w:t xml:space="preserve">states </w:t>
      </w:r>
      <w:r w:rsidRPr="00A65806">
        <w:rPr>
          <w:sz w:val="16"/>
        </w:rPr>
        <w:t xml:space="preserve">might choose a basic income. Others might retain something very similar to the current system. Others might try a workfare-based approach, while some </w:t>
      </w:r>
      <w:r w:rsidRPr="00382245">
        <w:rPr>
          <w:rStyle w:val="StyleUnderline"/>
        </w:rPr>
        <w:t>could dream up new ideas that wouldn’t stand a chance in a one-size-fits-all system run out of Washington, DC.</w:t>
      </w:r>
      <w:r w:rsidRPr="00A65806">
        <w:rPr>
          <w:sz w:val="16"/>
        </w:rPr>
        <w:t xml:space="preserve"> </w:t>
      </w:r>
      <w:r w:rsidRPr="004D5EF4">
        <w:rPr>
          <w:rStyle w:val="Emphasis"/>
        </w:rPr>
        <w:t>And as states adopted different systems, they could learn from each other about what works and what doesn’t work</w:t>
      </w:r>
      <w:r w:rsidRPr="00A65806">
        <w:rPr>
          <w:sz w:val="16"/>
        </w:rPr>
        <w:t>. And since it’s easier to influence decisions that are closer to home</w:t>
      </w:r>
      <w:r w:rsidRPr="004D5EF4">
        <w:rPr>
          <w:rStyle w:val="StyleUnderline"/>
        </w:rPr>
        <w:t>, taxpayers at the state level almost certainly would have more ability to impact what happens with their money</w:t>
      </w:r>
      <w:r w:rsidRPr="00A65806">
        <w:rPr>
          <w:sz w:val="16"/>
        </w:rPr>
        <w:t xml:space="preserve">. Moreover, </w:t>
      </w:r>
      <w:r w:rsidRPr="004D5EF4">
        <w:rPr>
          <w:rStyle w:val="StyleUnderline"/>
        </w:rPr>
        <w:t>there’s</w:t>
      </w:r>
      <w:r w:rsidRPr="00A65806">
        <w:rPr>
          <w:sz w:val="16"/>
        </w:rPr>
        <w:t xml:space="preserve"> actually some </w:t>
      </w:r>
      <w:r w:rsidRPr="004D5EF4">
        <w:rPr>
          <w:rStyle w:val="StyleUnderline"/>
        </w:rPr>
        <w:t>evidence that this approach is practical</w:t>
      </w:r>
      <w:r w:rsidRPr="00A65806">
        <w:rPr>
          <w:sz w:val="16"/>
        </w:rPr>
        <w:t xml:space="preserve">. </w:t>
      </w:r>
      <w:r w:rsidRPr="00AE7E13">
        <w:rPr>
          <w:rStyle w:val="Emphasis"/>
        </w:rPr>
        <w:t>The 1996 welfare reform</w:t>
      </w:r>
      <w:r w:rsidRPr="00A65806">
        <w:rPr>
          <w:sz w:val="16"/>
        </w:rPr>
        <w:t xml:space="preserve"> legislation isn’t a perfect analogy, but the core feature of that law was the</w:t>
      </w:r>
      <w:r w:rsidRPr="004D5EF4">
        <w:rPr>
          <w:rStyle w:val="StyleUnderline"/>
        </w:rPr>
        <w:t xml:space="preserve"> </w:t>
      </w:r>
      <w:r w:rsidRPr="00A65806">
        <w:rPr>
          <w:sz w:val="16"/>
        </w:rPr>
        <w:t xml:space="preserve">elimination of a national entitlement and the </w:t>
      </w:r>
      <w:r w:rsidRPr="002A2E48">
        <w:rPr>
          <w:rStyle w:val="Emphasis"/>
        </w:rPr>
        <w:t>provision</w:t>
      </w:r>
      <w:r w:rsidRPr="004D5EF4">
        <w:rPr>
          <w:rStyle w:val="StyleUnderline"/>
        </w:rPr>
        <w:t xml:space="preserve"> of a block grant </w:t>
      </w:r>
      <w:r w:rsidRPr="00031317">
        <w:rPr>
          <w:rStyle w:val="Emphasis"/>
        </w:rPr>
        <w:t>s</w:t>
      </w:r>
      <w:r w:rsidRPr="002A2E48">
        <w:rPr>
          <w:rStyle w:val="Emphasis"/>
        </w:rPr>
        <w:t>o that states could decide</w:t>
      </w:r>
      <w:r w:rsidRPr="00A65806">
        <w:rPr>
          <w:sz w:val="16"/>
        </w:rPr>
        <w:t xml:space="preserve"> (with some strings attached) </w:t>
      </w:r>
      <w:r w:rsidRPr="002A2E48">
        <w:rPr>
          <w:rStyle w:val="Emphasis"/>
        </w:rPr>
        <w:t>how to deal with poverty</w:t>
      </w:r>
      <w:r w:rsidRPr="00A65806">
        <w:rPr>
          <w:sz w:val="16"/>
        </w:rPr>
        <w:t xml:space="preserve">. By most measures, the 1996 reform </w:t>
      </w:r>
      <w:r w:rsidRPr="002A2E48">
        <w:rPr>
          <w:rStyle w:val="Emphasis"/>
        </w:rPr>
        <w:t>was a success</w:t>
      </w:r>
      <w:r w:rsidRPr="00A65806">
        <w:rPr>
          <w:sz w:val="16"/>
        </w:rPr>
        <w:t>, with Ron Haskins of the Brookings Institution explaining (</w:t>
      </w:r>
      <w:hyperlink r:id="rId81" w:history="1">
        <w:r w:rsidRPr="00A65806">
          <w:rPr>
            <w:rStyle w:val="Hyperlink"/>
            <w:sz w:val="16"/>
          </w:rPr>
          <w:t>http://www.brookings.edu/research/testimony/2006/07/19welfare-haskins) that</w:t>
        </w:r>
      </w:hyperlink>
      <w:r w:rsidRPr="00A65806">
        <w:rPr>
          <w:sz w:val="16"/>
        </w:rPr>
        <w:t xml:space="preserve"> </w:t>
      </w:r>
      <w:r w:rsidRPr="00235C0C">
        <w:rPr>
          <w:rStyle w:val="StyleUnderline"/>
        </w:rPr>
        <w:t>it resulted in lower levels of welfare dependency and reductions in child poverty.</w:t>
      </w:r>
      <w:r w:rsidRPr="00A65806">
        <w:rPr>
          <w:sz w:val="16"/>
        </w:rPr>
        <w:t xml:space="preserve"> This isn’t to say the 1996 law was ideal. </w:t>
      </w:r>
      <w:r w:rsidRPr="00AE7E13">
        <w:rPr>
          <w:rStyle w:val="StyleUnderline"/>
        </w:rPr>
        <w:t>The advantage of a comprehensive federalist approach is that policy experts can push states to experiment with different policies.</w:t>
      </w:r>
      <w:r w:rsidRPr="00235C0C">
        <w:rPr>
          <w:rStyle w:val="StyleUnderline"/>
        </w:rPr>
        <w:t xml:space="preserve"> </w:t>
      </w:r>
      <w:r w:rsidRPr="00B04854">
        <w:rPr>
          <w:rStyle w:val="StyleUnderline"/>
        </w:rPr>
        <w:t xml:space="preserve">And given </w:t>
      </w:r>
      <w:r w:rsidRPr="008B7BAE">
        <w:rPr>
          <w:rStyle w:val="StyleUnderline"/>
        </w:rPr>
        <w:t>the vast</w:t>
      </w:r>
      <w:r w:rsidRPr="00B04854">
        <w:rPr>
          <w:rStyle w:val="StyleUnderline"/>
        </w:rPr>
        <w:t xml:space="preserve"> differences between </w:t>
      </w:r>
      <w:r w:rsidRPr="00A65806">
        <w:rPr>
          <w:sz w:val="16"/>
        </w:rPr>
        <w:t>various</w:t>
      </w:r>
      <w:r w:rsidRPr="00B04854">
        <w:rPr>
          <w:rStyle w:val="StyleUnderline"/>
        </w:rPr>
        <w:t xml:space="preserve"> American states, it’s </w:t>
      </w:r>
      <w:r w:rsidRPr="00A65806">
        <w:rPr>
          <w:sz w:val="16"/>
        </w:rPr>
        <w:t>almost</w:t>
      </w:r>
      <w:r w:rsidRPr="00B04854">
        <w:rPr>
          <w:rStyle w:val="StyleUnderline"/>
        </w:rPr>
        <w:t xml:space="preserve"> guaranteed that there will be lots of diversity</w:t>
      </w:r>
      <w:r w:rsidRPr="00A65806">
        <w:rPr>
          <w:sz w:val="16"/>
        </w:rPr>
        <w:t xml:space="preserve">. LIBERTARIANISM.org(/) This </w:t>
      </w:r>
      <w:r w:rsidRPr="001720B9">
        <w:rPr>
          <w:rStyle w:val="Emphasis"/>
        </w:rPr>
        <w:t xml:space="preserve">diversity </w:t>
      </w:r>
      <w:r w:rsidRPr="00AE7E13">
        <w:rPr>
          <w:rStyle w:val="StyleUnderline"/>
        </w:rPr>
        <w:t>not only</w:t>
      </w:r>
      <w:r w:rsidRPr="001720B9">
        <w:rPr>
          <w:rStyle w:val="Emphasis"/>
        </w:rPr>
        <w:t xml:space="preserve"> will inform policymakers about what works and what doesn’t work</w:t>
      </w:r>
      <w:r w:rsidRPr="00B04854">
        <w:rPr>
          <w:rStyle w:val="StyleUnderline"/>
        </w:rPr>
        <w:t xml:space="preserve">. It also will </w:t>
      </w:r>
      <w:r w:rsidRPr="00A65806">
        <w:rPr>
          <w:sz w:val="16"/>
        </w:rPr>
        <w:t>satisfy the libertarian desire to</w:t>
      </w:r>
      <w:r w:rsidRPr="00B04854">
        <w:rPr>
          <w:rStyle w:val="StyleUnderline"/>
        </w:rPr>
        <w:t xml:space="preserve"> get Washington out of the business of income distribution, </w:t>
      </w:r>
      <w:r w:rsidRPr="001720B9">
        <w:rPr>
          <w:rStyle w:val="Emphasis"/>
        </w:rPr>
        <w:t xml:space="preserve">while </w:t>
      </w:r>
      <w:r w:rsidRPr="00A65806">
        <w:rPr>
          <w:sz w:val="16"/>
        </w:rPr>
        <w:t xml:space="preserve">presumably </w:t>
      </w:r>
      <w:r w:rsidRPr="001720B9">
        <w:rPr>
          <w:rStyle w:val="Emphasis"/>
        </w:rPr>
        <w:t>producing a system that</w:t>
      </w:r>
      <w:r w:rsidRPr="00B04854">
        <w:rPr>
          <w:rStyle w:val="StyleUnderline"/>
        </w:rPr>
        <w:t xml:space="preserve"> actually </w:t>
      </w:r>
      <w:r w:rsidRPr="001720B9">
        <w:rPr>
          <w:rStyle w:val="Emphasis"/>
        </w:rPr>
        <w:t>does a better job of helping the less fortunate escape government dependency</w:t>
      </w:r>
      <w:r w:rsidRPr="00B04854">
        <w:rPr>
          <w:rStyle w:val="StyleUnderline"/>
        </w:rPr>
        <w:t xml:space="preserve">. </w:t>
      </w:r>
      <w:r w:rsidRPr="00A65806">
        <w:rPr>
          <w:sz w:val="16"/>
        </w:rPr>
        <w:t>In other words,</w:t>
      </w:r>
      <w:r w:rsidRPr="00B04854">
        <w:rPr>
          <w:rStyle w:val="StyleUnderline"/>
        </w:rPr>
        <w:t xml:space="preserve"> </w:t>
      </w:r>
      <w:r w:rsidRPr="001720B9">
        <w:rPr>
          <w:rStyle w:val="Emphasis"/>
        </w:rPr>
        <w:t>all the advantages of the basic income plan without the potential system-wide downsides</w:t>
      </w:r>
    </w:p>
    <w:p w:rsidR="00AF1BF7" w:rsidRPr="00883E62" w:rsidRDefault="00AF1BF7" w:rsidP="00AF1BF7"/>
    <w:p w:rsidR="00AF1BF7" w:rsidRDefault="00AF1BF7" w:rsidP="00AF1BF7">
      <w:pPr>
        <w:pStyle w:val="Heading3"/>
      </w:pPr>
      <w:bookmarkStart w:id="89" w:name="_Toc424259164"/>
      <w:r>
        <w:lastRenderedPageBreak/>
        <w:t>A2 Theory</w:t>
      </w:r>
      <w:bookmarkEnd w:id="89"/>
    </w:p>
    <w:p w:rsidR="00AF1BF7" w:rsidRDefault="00AF1BF7" w:rsidP="00AF1BF7"/>
    <w:p w:rsidR="00AF1BF7" w:rsidRDefault="00AF1BF7" w:rsidP="00AF1BF7">
      <w:pPr>
        <w:pStyle w:val="Heading4"/>
      </w:pPr>
      <w:r>
        <w:t>It’s real-world – fifty state policies is comparatively better than one federal policy</w:t>
      </w:r>
    </w:p>
    <w:p w:rsidR="00AF1BF7" w:rsidRPr="00AF1BF7" w:rsidRDefault="00AF1BF7" w:rsidP="00AF1BF7"/>
    <w:p w:rsidR="00AF1BF7" w:rsidRDefault="00AF1BF7" w:rsidP="00AF1BF7">
      <w:pPr>
        <w:rPr>
          <w:sz w:val="16"/>
        </w:rPr>
      </w:pPr>
      <w:r w:rsidRPr="00763646">
        <w:rPr>
          <w:rStyle w:val="StyleStyleBold12pt"/>
        </w:rPr>
        <w:t>Mitchell 13</w:t>
      </w:r>
      <w:r w:rsidRPr="00763646">
        <w:rPr>
          <w:sz w:val="16"/>
        </w:rPr>
        <w:t xml:space="preserve">, top expert on tax reform and supply-side tax policy at the Cato Institute (Daniel J, “Instead of a Government-Guaranteed Income, How About a Plan to End the Washington Welfare State?” December 21, </w:t>
      </w:r>
      <w:r w:rsidRPr="00763646">
        <w:rPr>
          <w:i/>
          <w:sz w:val="16"/>
        </w:rPr>
        <w:t>finance.townhall.com</w:t>
      </w:r>
      <w:r w:rsidRPr="00763646">
        <w:rPr>
          <w:sz w:val="16"/>
        </w:rPr>
        <w:t xml:space="preserve">, </w:t>
      </w:r>
      <w:hyperlink r:id="rId82" w:history="1">
        <w:r w:rsidRPr="00F447DB">
          <w:rPr>
            <w:rStyle w:val="Hyperlink"/>
            <w:sz w:val="16"/>
          </w:rPr>
          <w:t>http://finance.townhall.com/columnists/danieljmitchell/2013/12/21/instead-of-a-governmentguaranteed-income-how-about-a-plan-to-end-the-washington-welfare-state-n1766795/page/full</w:t>
        </w:r>
      </w:hyperlink>
      <w:r w:rsidRPr="00763646">
        <w:rPr>
          <w:sz w:val="16"/>
        </w:rPr>
        <w:t xml:space="preserve">) </w:t>
      </w:r>
    </w:p>
    <w:p w:rsidR="00AF1BF7" w:rsidRPr="00053A69" w:rsidRDefault="00AF1BF7" w:rsidP="00AF1BF7">
      <w:pPr>
        <w:rPr>
          <w:sz w:val="16"/>
        </w:rPr>
      </w:pPr>
      <w:r w:rsidRPr="000F7684">
        <w:rPr>
          <w:sz w:val="16"/>
        </w:rPr>
        <w:t xml:space="preserve">I agree, but only sort of. I like the idea of radical reform, but I think there’s a better road to Rome. It’s called </w:t>
      </w:r>
      <w:r w:rsidRPr="00763646">
        <w:rPr>
          <w:rStyle w:val="StyleUnderline"/>
        </w:rPr>
        <w:t>federalism</w:t>
      </w:r>
      <w:r w:rsidRPr="000F7684">
        <w:rPr>
          <w:sz w:val="16"/>
        </w:rPr>
        <w:t xml:space="preserve">. The bottom line for advocates </w:t>
      </w:r>
      <w:r w:rsidRPr="00763646">
        <w:rPr>
          <w:rStyle w:val="StyleUnderline"/>
        </w:rPr>
        <w:t>is</w:t>
      </w:r>
      <w:r w:rsidRPr="000F7684">
        <w:rPr>
          <w:sz w:val="16"/>
        </w:rPr>
        <w:t xml:space="preserve"> that anything would be better than the current system, so why not try something new? They’re right, but there’s actually </w:t>
      </w:r>
      <w:r w:rsidRPr="00763646">
        <w:rPr>
          <w:rStyle w:val="StyleUnderline"/>
        </w:rPr>
        <w:t>a better way of approaching the issue. Why not take all income-redistribution programs, put them into a single block grant, and then transfer the money – and responsibility – to state governments?</w:t>
      </w:r>
      <w:r w:rsidRPr="000F7684">
        <w:rPr>
          <w:sz w:val="16"/>
        </w:rPr>
        <w:t xml:space="preserve"> Here’s my argument for decentralization and federalism. In an ideal world, </w:t>
      </w:r>
      <w:r w:rsidRPr="00763646">
        <w:rPr>
          <w:rStyle w:val="StyleUnderline"/>
        </w:rPr>
        <w:t>the block grant would gradually diminish so that states would be responsible for both the collection and disbursement of all monies related to welfare</w:t>
      </w:r>
      <w:r w:rsidRPr="000F7684">
        <w:rPr>
          <w:sz w:val="16"/>
        </w:rPr>
        <w:t xml:space="preserve">. But that’s a secondary issue. The main benefit of </w:t>
      </w:r>
      <w:r w:rsidRPr="00763646">
        <w:rPr>
          <w:rStyle w:val="StyleUnderline"/>
        </w:rPr>
        <w:t>this federalist approach is that you stop the Washington-driven expansion of the welfare state and you trigger the creation of 50 separate experiments on how best to provide a safety net.</w:t>
      </w:r>
      <w:r w:rsidRPr="000F7684">
        <w:rPr>
          <w:sz w:val="16"/>
        </w:rPr>
        <w:t xml:space="preserve"> Some states might choose a basic income. Others might retain something very similar to the current system. Others might try a workfare-based approach, while some could dream up new ideas that wouldn’t stand a chance in a one-size-fits-all system run out of Washington, DC. And as states adopted different systems, they could learn from each other about what works and what doesn’t work. And </w:t>
      </w:r>
      <w:r w:rsidRPr="00763646">
        <w:rPr>
          <w:rStyle w:val="StyleUnderline"/>
        </w:rPr>
        <w:t>since it’s easier to influence decisions that are closer to home, taxpayers at the state level almost certainly would have more ability to impact what happens with their money.</w:t>
      </w:r>
      <w:r w:rsidRPr="000F7684">
        <w:rPr>
          <w:sz w:val="16"/>
        </w:rPr>
        <w:t xml:space="preserve"> </w:t>
      </w:r>
    </w:p>
    <w:p w:rsidR="00AF1BF7" w:rsidRDefault="00AF1BF7" w:rsidP="00AF1BF7">
      <w:pPr>
        <w:pStyle w:val="Heading2"/>
      </w:pPr>
      <w:bookmarkStart w:id="90" w:name="_Toc424259165"/>
      <w:r>
        <w:lastRenderedPageBreak/>
        <w:t>Federalism DA</w:t>
      </w:r>
      <w:bookmarkEnd w:id="90"/>
    </w:p>
    <w:p w:rsidR="00AF1BF7" w:rsidRDefault="00AF1BF7" w:rsidP="00AF1BF7">
      <w:pPr>
        <w:pStyle w:val="Heading3"/>
      </w:pPr>
      <w:bookmarkStart w:id="91" w:name="_Toc424259166"/>
      <w:r>
        <w:lastRenderedPageBreak/>
        <w:t>1NC</w:t>
      </w:r>
      <w:bookmarkEnd w:id="91"/>
    </w:p>
    <w:p w:rsidR="00AF1BF7" w:rsidRDefault="00AF1BF7" w:rsidP="00AF1BF7"/>
    <w:p w:rsidR="00AF1BF7" w:rsidRPr="00DA6FAF" w:rsidRDefault="00AF1BF7" w:rsidP="00AF1BF7">
      <w:pPr>
        <w:pStyle w:val="Heading4"/>
      </w:pPr>
      <w:r>
        <w:t>Welfare is the lynchpin of federalism</w:t>
      </w:r>
    </w:p>
    <w:p w:rsidR="00AF1BF7" w:rsidRPr="00335706" w:rsidRDefault="00AF1BF7" w:rsidP="00AF1BF7">
      <w:r w:rsidRPr="004D7E24">
        <w:rPr>
          <w:rStyle w:val="StyleStyleBold12pt"/>
        </w:rPr>
        <w:t>Forenza</w:t>
      </w:r>
      <w:r>
        <w:rPr>
          <w:rStyle w:val="StyleStyleBold12pt"/>
        </w:rPr>
        <w:t>,</w:t>
      </w:r>
      <w:r w:rsidRPr="004D7E24">
        <w:rPr>
          <w:rStyle w:val="StyleStyleBold12pt"/>
        </w:rPr>
        <w:t xml:space="preserve"> </w:t>
      </w:r>
      <w:r>
        <w:rPr>
          <w:rStyle w:val="StyleStyleBold12pt"/>
        </w:rPr>
        <w:t>‘</w:t>
      </w:r>
      <w:r w:rsidRPr="004D7E24">
        <w:rPr>
          <w:rStyle w:val="StyleStyleBold12pt"/>
        </w:rPr>
        <w:t>14</w:t>
      </w:r>
      <w:r>
        <w:t xml:space="preserve"> </w:t>
      </w:r>
      <w:r w:rsidRPr="004D7E24">
        <w:t>[Brad Forenza – MSSW - Ph.D. - is an assistant professor at Montclair State University, where his research foci include social policy, civil society, and youth development, October-15-2014</w:t>
      </w:r>
      <w:r>
        <w:t xml:space="preserve">, “Federalism and Social Welfare Policy--The Case Study of TANF,” </w:t>
      </w:r>
      <w:r w:rsidRPr="004D7E24">
        <w:rPr>
          <w:i/>
        </w:rPr>
        <w:t>The New Social Worke</w:t>
      </w:r>
      <w:r w:rsidRPr="004D7E24">
        <w:t>r, http://www.socialworker.com/feature-articles/practice/Federalism_and_Social_Welfare_Policy--The_Case_Study_of_TANF/]</w:t>
      </w:r>
    </w:p>
    <w:p w:rsidR="00AF1BF7" w:rsidRDefault="00AF1BF7" w:rsidP="00AF1BF7">
      <w:pPr>
        <w:rPr>
          <w:rStyle w:val="StyleUnderline"/>
        </w:rPr>
      </w:pPr>
      <w:r w:rsidRPr="0020503A">
        <w:rPr>
          <w:sz w:val="14"/>
        </w:rPr>
        <w:t xml:space="preserve">Temporary Assistance for Needy Families </w:t>
      </w:r>
      <w:r w:rsidRPr="00C20413">
        <w:rPr>
          <w:rStyle w:val="StyleUnderline"/>
        </w:rPr>
        <w:t>(TANF) exemplifies a block grant program, whereby funding for a generalized purpose is provided through the federal government but the specificity and distribution of services happens locally</w:t>
      </w:r>
      <w:r w:rsidRPr="0020503A">
        <w:rPr>
          <w:sz w:val="14"/>
        </w:rPr>
        <w:t xml:space="preserve">. This federal-state partnership is an important one for social workers to understand, as many social policies (community development, housing, mental health, and others) are implemented similarly. The current debate about gun control—national pressure for anti-gun laws versus the pro-gun values of focal states—also illustrates the woes of federalism. Should the federal government carry the burden of addressing, imposing, and regulating social welfare and civil rights policies so that all constituents encounter them equally, or should policies be enacted and adopted on a state-by-state basis to address local needs? The former extreme is vulnerable to critiques of fascism, while the latter extreme suggests a loosely affiliated union of 50 sovereign territories. To that end, this article examines issues of federalism raised by the TANF block grant program. TANF Background TANF is a cash assistance program for poor families with dependent children. Its predecessor, the Aid to Families with Dependent Children (AFDC) program, was part of President Franklin Delano Roosevelt’s Social Security Act of 1935. The original intent of AFDC was to protect widows from poverty. Two-parent families and families with out-of-wedlock children were excluded. Over time, though, AFDC enrollment became less stringent. In 1960, there were almost one million AFDC beneficiaries; by 1996, there were almost five million (USDHHS, 2009). Similarly, the percentage of poor women receiving AFDC jumped from 5% in 1962 to 36% in 1994 (Casciano &amp; Massey, 2008). In the waning years of the 20th century, AFDC’s vitality as an entitlement program was a political hotbed. </w:t>
      </w:r>
      <w:r w:rsidRPr="00D41766">
        <w:rPr>
          <w:rStyle w:val="StyleUnderline"/>
        </w:rPr>
        <w:t>As the liberal candidate for President, Bill Clinton (1992) announced his intention to “end welfare as we know it.” Four years later—with the aid of a conservative Congress—Clinton signed the Personal Responsibility and Work Opportunity Act (PRWORA) into law. The act abolished AFDC and established TANF as the new program for poor families (colloquially, both programs are often referred to as “welfare”). Perhaps the most significant difference between AFDC and TANF is the inclusion of time limits for TANF utilization; similarly, federal guidelines include a “welfare-to-work” component that was not part of AFDC</w:t>
      </w:r>
      <w:r w:rsidRPr="0020503A">
        <w:rPr>
          <w:sz w:val="14"/>
        </w:rPr>
        <w:t xml:space="preserve">. Under TANF, adult beneficiaries must segue from TANF to employment in a time specified by the implementing state or risk termination of their funding. Since its inception, from a “numbers only” perspective, TANF has been successful in moving families off the public welfare rolls. According to data from the U.S. Department of Health and Human Services (2009), national enrollment in TANF dropped from almost five million in 1997 to less than two million in 2006. Less is known, however, about how families have fared in the absence of TANF. Federalism and TANF Less is also known about how uniform or streamlined the TANF program is across all 50 states. We assume that, since it is implemented locally, programmatic elements (like time limits, eligibility, and work requirements) will be inconsistent from state to state. The U.S. Administration for Children and Families (2009) notes that TANF has four main goals: (1) to reduce the dependency of needy parents by promoting job preparedness, work, and marriage, (2) to prevent out-of-wedlock pregnancies, (3) to encourage the formation and maintenance of two-parent families, and (4) to assist needy families so that children can be cared for in their own homes. </w:t>
      </w:r>
      <w:r w:rsidRPr="00C20413">
        <w:rPr>
          <w:rStyle w:val="StyleUnderline"/>
        </w:rPr>
        <w:t>How states actualize these broad federal guidelines will vary according to local trends and politics.</w:t>
      </w:r>
      <w:r w:rsidRPr="0020503A">
        <w:rPr>
          <w:sz w:val="14"/>
        </w:rPr>
        <w:t xml:space="preserve"> Here, we examine TANF trends in three states: Mississippi, Indiana, and New Jersey, which were chosen because of their placement on the income spectrum (low, medium, and high income, respectively). According to data from the U.S. Census Bureau (2011), Mississippi is the least wealthy (AKA “poorest”) state in our nation. Its average median household income for 2007-2011 was $38,718 per year, which is $14,044 below the median income of the entire United States ($52,762). 21.6% of Mississippi’s population—more than one fifth—is said to be living in poverty. From a population perspective, Mississippi is also the smallest of focal states (2,984,926 residents). Ohio’s income profile is, by and large, on par with the nation. Its median household income was $48,071, which falls just $4,691 shy of the median national income. 14.8% of Ohio residents live below poverty levels. Finally, the Census identifies New Jersey as among the wealthiest states. At $71,180, New Jersey’s median household income was $18,418 more than the nation’s. 9.4% of its entire population was said to live in poverty. As evidenced by these brief statistics, there is an inverse relationship between the median household income of a state and its percentage of constituents in poverty: as median household income increases, the percentage of individuals living in poverty decreases. Equality and Adequacy </w:t>
      </w:r>
      <w:r w:rsidRPr="00C20413">
        <w:rPr>
          <w:rStyle w:val="StyleUnderline"/>
        </w:rPr>
        <w:t>A benefit of implementing a policy federally (like the Old Age Insurance component of Social Security) is that it is implemented with fidelity and uniformity throughout all 50 states</w:t>
      </w:r>
      <w:r w:rsidRPr="004D7E24">
        <w:rPr>
          <w:rStyle w:val="StyleUnderline"/>
        </w:rPr>
        <w:t>. In a block grant schema, states can tailor programs to meet local needs, which is a strength in itself, though policies will be experienced differently across state lines</w:t>
      </w:r>
      <w:r w:rsidRPr="0020503A">
        <w:rPr>
          <w:sz w:val="14"/>
        </w:rPr>
        <w:t xml:space="preserve">. Our three focal states (Mississippi, Ohio, and New Jersey) all allow a family to receive TANF for a lifetime maximum of 60 months (five years); however, there are permutations in other aspects of implementation. For example: Mississippi does not extend the benefit to qualified aliens; Ohio does not have a provision to address the special needs of pregnant women; New Jersey has not increased its maximum monthly benefit since 1996 (USDHHS, 2012). </w:t>
      </w:r>
      <w:r w:rsidRPr="0020503A">
        <w:rPr>
          <w:rStyle w:val="StyleUnderline"/>
        </w:rPr>
        <w:t>In a block grant schema, the ways in which states will “reduce the dependency of needy parents by promoting job preparedness, work, and marriage,” will depend on the character and politics of each stat</w:t>
      </w:r>
      <w:r w:rsidRPr="0020503A">
        <w:rPr>
          <w:sz w:val="14"/>
        </w:rPr>
        <w:t xml:space="preserve">e, </w:t>
      </w:r>
      <w:r w:rsidRPr="0020503A">
        <w:rPr>
          <w:rStyle w:val="StyleUnderline"/>
        </w:rPr>
        <w:t>so equality (uniform treatment of eligible people) is a perennial concern</w:t>
      </w:r>
      <w:r w:rsidRPr="0020503A">
        <w:rPr>
          <w:sz w:val="14"/>
        </w:rPr>
        <w:t xml:space="preserve">. Whereas one state may deemphasize the promotion of two-parent families, another may overemphasize funding for childcare. </w:t>
      </w:r>
      <w:r w:rsidRPr="0020503A">
        <w:rPr>
          <w:rStyle w:val="StyleUnderline"/>
        </w:rPr>
        <w:t>Because block grants allow states to set guidelines that are consistent with local trends, however, the economics of focal states can factor heavily into eligibility criteria</w:t>
      </w:r>
      <w:r w:rsidRPr="0020503A">
        <w:rPr>
          <w:sz w:val="14"/>
        </w:rPr>
        <w:t xml:space="preserve"> (this is less true for a policy like the federal minimum wage, in which Mississippi employers may be forced to pay more for hourly work and New Jersey employers may be permitted to pay less than market rate, in the absence of a state minimum wage law). To this end, </w:t>
      </w:r>
      <w:r w:rsidRPr="0020503A">
        <w:rPr>
          <w:rStyle w:val="StyleUnderline"/>
        </w:rPr>
        <w:t xml:space="preserve">beneficiaries of block grants like TANF may not benefit equally from state to state, although what is considered adequate—or “in sync”—with a state’s economy will receive local </w:t>
      </w:r>
      <w:r w:rsidRPr="0020503A">
        <w:rPr>
          <w:rStyle w:val="StyleUnderline"/>
        </w:rPr>
        <w:lastRenderedPageBreak/>
        <w:t xml:space="preserve">considerations. </w:t>
      </w:r>
      <w:r w:rsidRPr="0020503A">
        <w:rPr>
          <w:sz w:val="14"/>
        </w:rPr>
        <w:t xml:space="preserve">The opposite may be true for categorical grants, which would set a national precedent to be implemented equally across state lines. However, some states may wind up paying more and others less, in such a schema. For example: initial eligibility thresholds in each of our focal states can be set according to local economic trends. For this reason, Mississippi’s threshold is appropriately lower than Ohio’s and New Jersey’s. This is also true for the maximum amount of earnings a TANF beneficiary can receive while still maintaining enrollment (USDHHS, 2012). Conclusion Bill Clinton took office 20 years ago, in 1993. TANF is the actualization of his 1992 campaign promise to “end welfare as we know it.” In addition to the Patient Protection and Affordable Care Act of 2010 (AKA “Obamacare”), </w:t>
      </w:r>
      <w:r w:rsidRPr="0020503A">
        <w:rPr>
          <w:rStyle w:val="StyleUnderline"/>
        </w:rPr>
        <w:t>TANF is—perhaps—the most potent illustration of contemporary social welfare. Its block grant schema/federal-state partnership approach recognizes our country’s obligation to help vulnerable constituencies in a way that is tailored (and politically f</w:t>
      </w:r>
      <w:r>
        <w:rPr>
          <w:rStyle w:val="StyleUnderline"/>
        </w:rPr>
        <w:t>easible) to address local needs.</w:t>
      </w:r>
    </w:p>
    <w:p w:rsidR="00AF1BF7" w:rsidRDefault="00AF1BF7" w:rsidP="00AF1BF7"/>
    <w:p w:rsidR="00AF1BF7" w:rsidRDefault="00AF1BF7" w:rsidP="00AF1BF7">
      <w:pPr>
        <w:pStyle w:val="Heading4"/>
      </w:pPr>
      <w:r w:rsidRPr="00541787">
        <w:t>Cour</w:t>
      </w:r>
      <w:r>
        <w:t>t decisions shift the balance toward the f</w:t>
      </w:r>
      <w:r w:rsidRPr="00541787">
        <w:t xml:space="preserve">ederal government </w:t>
      </w:r>
    </w:p>
    <w:p w:rsidR="00AF1BF7" w:rsidRPr="00AF1BF7" w:rsidRDefault="00AF1BF7" w:rsidP="00AF1BF7"/>
    <w:p w:rsidR="00AF1BF7" w:rsidRPr="00A6618E" w:rsidRDefault="00186BD8" w:rsidP="00AF1BF7">
      <w:pPr>
        <w:rPr>
          <w:rStyle w:val="StyleStyleBold12pt"/>
        </w:rPr>
      </w:pPr>
      <w:hyperlink r:id="rId83" w:history="1">
        <w:r w:rsidR="00AF1BF7" w:rsidRPr="00A6618E">
          <w:rPr>
            <w:rStyle w:val="StyleStyleBold12pt"/>
          </w:rPr>
          <w:t>American Society for Public Administration</w:t>
        </w:r>
      </w:hyperlink>
      <w:r w:rsidR="00AF1BF7">
        <w:rPr>
          <w:rStyle w:val="StyleStyleBold12pt"/>
        </w:rPr>
        <w:t>,</w:t>
      </w:r>
      <w:r w:rsidR="00AF1BF7" w:rsidRPr="00A6618E">
        <w:rPr>
          <w:rStyle w:val="StyleStyleBold12pt"/>
        </w:rPr>
        <w:t xml:space="preserve"> 1985  </w:t>
      </w:r>
    </w:p>
    <w:p w:rsidR="00AF1BF7" w:rsidRPr="00A6618E" w:rsidRDefault="00AF1BF7" w:rsidP="00AF1BF7">
      <w:pPr>
        <w:rPr>
          <w:rFonts w:asciiTheme="minorHAnsi" w:hAnsiTheme="minorHAnsi"/>
        </w:rPr>
      </w:pPr>
      <w:r w:rsidRPr="00A6618E">
        <w:rPr>
          <w:rFonts w:asciiTheme="minorHAnsi" w:hAnsiTheme="minorHAnsi"/>
          <w:i/>
          <w:iCs/>
          <w:color w:val="222222"/>
          <w:sz w:val="20"/>
          <w:szCs w:val="20"/>
          <w:shd w:val="clear" w:color="auto" w:fill="FFFFFF"/>
        </w:rPr>
        <w:t xml:space="preserve">( </w:t>
      </w:r>
      <w:r w:rsidRPr="00A6618E">
        <w:rPr>
          <w:rFonts w:asciiTheme="minorHAnsi" w:hAnsiTheme="minorHAnsi"/>
          <w:iCs/>
          <w:color w:val="222222"/>
          <w:sz w:val="20"/>
          <w:szCs w:val="20"/>
          <w:shd w:val="clear" w:color="auto" w:fill="FFFFFF"/>
        </w:rPr>
        <w:t xml:space="preserve">November 1985, </w:t>
      </w:r>
      <w:r w:rsidRPr="00A6618E">
        <w:rPr>
          <w:rFonts w:asciiTheme="minorHAnsi" w:hAnsiTheme="minorHAnsi"/>
          <w:i/>
          <w:iCs/>
          <w:color w:val="222222"/>
          <w:sz w:val="20"/>
          <w:szCs w:val="20"/>
          <w:shd w:val="clear" w:color="auto" w:fill="FFFFFF"/>
        </w:rPr>
        <w:t>Public Administration Review</w:t>
      </w:r>
      <w:r w:rsidRPr="00A6618E">
        <w:rPr>
          <w:rFonts w:asciiTheme="minorHAnsi" w:hAnsiTheme="minorHAnsi"/>
          <w:color w:val="222222"/>
          <w:sz w:val="20"/>
          <w:szCs w:val="20"/>
          <w:shd w:val="clear" w:color="auto" w:fill="FFFFFF"/>
        </w:rPr>
        <w:t> © 1985 </w:t>
      </w:r>
      <w:hyperlink r:id="rId84" w:history="1">
        <w:r w:rsidRPr="00A6618E">
          <w:rPr>
            <w:rFonts w:asciiTheme="minorHAnsi" w:hAnsiTheme="minorHAnsi"/>
            <w:color w:val="265985"/>
            <w:sz w:val="20"/>
            <w:szCs w:val="20"/>
            <w:u w:val="single"/>
            <w:shd w:val="clear" w:color="auto" w:fill="FFFFFF"/>
          </w:rPr>
          <w:t>American Society for Public Administration</w:t>
        </w:r>
      </w:hyperlink>
      <w:r w:rsidRPr="00A6618E">
        <w:rPr>
          <w:rFonts w:asciiTheme="minorHAnsi" w:hAnsiTheme="minorHAnsi"/>
        </w:rPr>
        <w:t>)</w:t>
      </w:r>
    </w:p>
    <w:p w:rsidR="00AF1BF7" w:rsidRPr="00541787" w:rsidRDefault="00AF1BF7" w:rsidP="00AF1BF7">
      <w:pPr>
        <w:rPr>
          <w:rStyle w:val="StyleUnderline"/>
        </w:rPr>
      </w:pPr>
      <w:r w:rsidRPr="00541787">
        <w:rPr>
          <w:rStyle w:val="StyleUnderline"/>
        </w:rPr>
        <w:t>Decisions of the Supreme Court constantly reshape the contours of federalism and affect the powers and responsibilities of the states.</w:t>
      </w:r>
      <w:r w:rsidRPr="00A6618E">
        <w:rPr>
          <w:rFonts w:asciiTheme="minorHAnsi" w:hAnsiTheme="minorHAnsi"/>
          <w:sz w:val="16"/>
        </w:rPr>
        <w:t xml:space="preserve"> This article examines selected </w:t>
      </w:r>
      <w:r w:rsidRPr="00541787">
        <w:rPr>
          <w:rStyle w:val="StyleUnderline"/>
        </w:rPr>
        <w:t>Supreme Court decisions in four areas in which consideration of any federalism may arise: imposing national standards, reviewing state criminal decisions, reconciling state and federal law, and limiting national power.</w:t>
      </w:r>
      <w:r w:rsidRPr="00A6618E">
        <w:rPr>
          <w:rFonts w:asciiTheme="minorHAnsi" w:hAnsiTheme="minorHAnsi"/>
          <w:sz w:val="16"/>
        </w:rPr>
        <w:t xml:space="preserve"> Then it describes the development in the last three years of an effort by an attorneys general to enhance the quality of Supreme Court advocacy by state governments. Finally the article </w:t>
      </w:r>
      <w:r w:rsidRPr="00541787">
        <w:rPr>
          <w:rStyle w:val="StyleUnderline"/>
        </w:rPr>
        <w:t>suggests</w:t>
      </w:r>
      <w:r w:rsidRPr="00A6618E">
        <w:rPr>
          <w:rFonts w:asciiTheme="minorHAnsi" w:hAnsiTheme="minorHAnsi"/>
          <w:sz w:val="16"/>
        </w:rPr>
        <w:t xml:space="preserve"> some lessons that states can learn from the courts decisions and </w:t>
      </w:r>
      <w:r w:rsidRPr="00541787">
        <w:rPr>
          <w:rStyle w:val="StyleUnderline"/>
        </w:rPr>
        <w:t>steps they can take to improve the effective representation of their interests in the federalist systems</w:t>
      </w:r>
      <w:r>
        <w:rPr>
          <w:rStyle w:val="StyleUnderline"/>
        </w:rPr>
        <w:t>.</w:t>
      </w:r>
    </w:p>
    <w:p w:rsidR="00AF1BF7" w:rsidRPr="00335706" w:rsidRDefault="00AF1BF7" w:rsidP="00AF1BF7"/>
    <w:p w:rsidR="00AF1BF7" w:rsidRDefault="00AF1BF7" w:rsidP="00AF1BF7">
      <w:pPr>
        <w:pStyle w:val="Heading4"/>
      </w:pPr>
      <w:r w:rsidRPr="00206262">
        <w:t>Fede</w:t>
      </w:r>
      <w:r>
        <w:t>ralism solves war – it guards against majority rule</w:t>
      </w:r>
    </w:p>
    <w:p w:rsidR="00AF1BF7" w:rsidRPr="00AF1BF7" w:rsidRDefault="00AF1BF7" w:rsidP="00AF1BF7"/>
    <w:p w:rsidR="00AF1BF7" w:rsidRPr="00206262" w:rsidRDefault="00AF1BF7" w:rsidP="00AF1BF7">
      <w:pPr>
        <w:rPr>
          <w:b/>
          <w:u w:val="single"/>
        </w:rPr>
      </w:pPr>
      <w:r w:rsidRPr="00206262">
        <w:rPr>
          <w:rStyle w:val="StyleUnderline"/>
        </w:rPr>
        <w:t>Fallon 13</w:t>
      </w:r>
      <w:r w:rsidRPr="00206262">
        <w:t xml:space="preserve"> </w:t>
      </w:r>
      <w:r w:rsidRPr="00A6618E">
        <w:rPr>
          <w:rStyle w:val="Emphasis"/>
          <w:rFonts w:asciiTheme="minorHAnsi" w:hAnsiTheme="minorHAnsi" w:cs="Helvetica"/>
          <w:b w:val="0"/>
          <w:color w:val="191812"/>
          <w:sz w:val="20"/>
          <w:szCs w:val="20"/>
          <w:u w:val="none"/>
          <w:shd w:val="clear" w:color="auto" w:fill="FFFFFF"/>
        </w:rPr>
        <w:t>(Joan Fallon,</w:t>
      </w:r>
      <w:r w:rsidRPr="00A6618E">
        <w:rPr>
          <w:rFonts w:asciiTheme="minorHAnsi" w:hAnsiTheme="minorHAnsi" w:cs="Helvetica"/>
          <w:i/>
          <w:iCs/>
          <w:color w:val="191812"/>
          <w:sz w:val="27"/>
          <w:szCs w:val="27"/>
          <w:shd w:val="clear" w:color="auto" w:fill="FFFFFF"/>
        </w:rPr>
        <w:t xml:space="preserve"> </w:t>
      </w:r>
      <w:r w:rsidRPr="00A6618E">
        <w:rPr>
          <w:rFonts w:asciiTheme="minorHAnsi" w:hAnsiTheme="minorHAnsi" w:cs="Helvetica"/>
          <w:iCs/>
          <w:color w:val="191812"/>
          <w:szCs w:val="27"/>
          <w:shd w:val="clear" w:color="auto" w:fill="FFFFFF"/>
        </w:rPr>
        <w:t>Director of Communications &amp; Marketing, Keough School of Global Affairs</w:t>
      </w:r>
      <w:r w:rsidRPr="00A6618E">
        <w:rPr>
          <w:rStyle w:val="Strong"/>
          <w:rFonts w:asciiTheme="minorHAnsi" w:hAnsiTheme="minorHAnsi" w:cs="Helvetica"/>
          <w:color w:val="191812"/>
          <w:sz w:val="16"/>
          <w:szCs w:val="20"/>
          <w:shd w:val="clear" w:color="auto" w:fill="FFFFFF"/>
        </w:rPr>
        <w:t xml:space="preserve"> </w:t>
      </w:r>
      <w:r w:rsidRPr="00A6618E">
        <w:rPr>
          <w:rStyle w:val="Strong"/>
          <w:rFonts w:asciiTheme="minorHAnsi" w:hAnsiTheme="minorHAnsi" w:cs="Helvetica"/>
          <w:color w:val="191812"/>
          <w:sz w:val="20"/>
          <w:szCs w:val="20"/>
          <w:shd w:val="clear" w:color="auto" w:fill="FFFFFF"/>
        </w:rPr>
        <w:t>interviewing Peter Wallensteen</w:t>
      </w:r>
      <w:r w:rsidRPr="00A6618E">
        <w:rPr>
          <w:rFonts w:asciiTheme="minorHAnsi" w:hAnsiTheme="minorHAnsi" w:cs="Helvetica"/>
          <w:color w:val="191812"/>
          <w:sz w:val="20"/>
          <w:szCs w:val="20"/>
          <w:shd w:val="clear" w:color="auto" w:fill="FFFFFF"/>
        </w:rPr>
        <w:t>, Starmann Research Professor of Peace Studies and senior professor at Uppsala University in Sweden)</w:t>
      </w:r>
    </w:p>
    <w:p w:rsidR="00AF1BF7" w:rsidRPr="00206262" w:rsidRDefault="00AF1BF7" w:rsidP="00AF1BF7">
      <w:pPr>
        <w:shd w:val="clear" w:color="auto" w:fill="FFFFFF"/>
        <w:rPr>
          <w:rFonts w:asciiTheme="minorHAnsi" w:hAnsiTheme="minorHAnsi"/>
          <w:i/>
        </w:rPr>
      </w:pPr>
      <w:r w:rsidRPr="00A6618E">
        <w:rPr>
          <w:rStyle w:val="date-display-single"/>
          <w:rFonts w:asciiTheme="minorHAnsi" w:hAnsiTheme="minorHAnsi" w:cs="Helvetica"/>
          <w:bCs/>
          <w:sz w:val="20"/>
          <w:szCs w:val="20"/>
        </w:rPr>
        <w:t>(Joan, 11/21/13,</w:t>
      </w:r>
      <w:r w:rsidRPr="00A6618E">
        <w:rPr>
          <w:rFonts w:asciiTheme="minorHAnsi" w:hAnsiTheme="minorHAnsi" w:cs="Helvetica"/>
          <w:sz w:val="20"/>
          <w:szCs w:val="20"/>
        </w:rPr>
        <w:t xml:space="preserve"> “</w:t>
      </w:r>
      <w:r w:rsidRPr="00A6618E">
        <w:rPr>
          <w:rFonts w:asciiTheme="minorHAnsi" w:hAnsiTheme="minorHAnsi"/>
        </w:rPr>
        <w:t>Researchers Examine Role of Federalism in War-Making or</w:t>
      </w:r>
      <w:r w:rsidRPr="00A6618E">
        <w:rPr>
          <w:rFonts w:asciiTheme="minorHAnsi" w:hAnsiTheme="minorHAnsi"/>
          <w:color w:val="093A71"/>
          <w:spacing w:val="-12"/>
          <w:sz w:val="41"/>
          <w:szCs w:val="41"/>
        </w:rPr>
        <w:t xml:space="preserve"> </w:t>
      </w:r>
      <w:r w:rsidRPr="00A6618E">
        <w:rPr>
          <w:rFonts w:asciiTheme="minorHAnsi" w:hAnsiTheme="minorHAnsi"/>
        </w:rPr>
        <w:t xml:space="preserve">Peace-Making,” </w:t>
      </w:r>
      <w:r w:rsidRPr="00A6618E">
        <w:rPr>
          <w:rFonts w:asciiTheme="minorHAnsi" w:hAnsiTheme="minorHAnsi"/>
          <w:i/>
        </w:rPr>
        <w:t xml:space="preserve">University of Notre Dame Kroc Institute for International Peace Studies) </w:t>
      </w:r>
    </w:p>
    <w:p w:rsidR="00AF1BF7" w:rsidRDefault="00AF1BF7" w:rsidP="00AF1BF7">
      <w:pPr>
        <w:rPr>
          <w:rStyle w:val="StyleUnderline"/>
          <w:rFonts w:asciiTheme="minorHAnsi" w:hAnsiTheme="minorHAnsi"/>
        </w:rPr>
      </w:pPr>
      <w:r w:rsidRPr="00A6618E">
        <w:rPr>
          <w:rFonts w:asciiTheme="minorHAnsi" w:hAnsiTheme="minorHAnsi" w:cs="Helvetica"/>
          <w:color w:val="191812"/>
          <w:sz w:val="20"/>
          <w:szCs w:val="20"/>
          <w:shd w:val="clear" w:color="auto" w:fill="FFFFFF"/>
        </w:rPr>
        <w:t xml:space="preserve">In contrast, </w:t>
      </w:r>
      <w:r w:rsidRPr="00A6618E">
        <w:rPr>
          <w:rStyle w:val="StyleUnderline"/>
          <w:rFonts w:asciiTheme="minorHAnsi" w:hAnsiTheme="minorHAnsi"/>
        </w:rPr>
        <w:t>Peter Wallensteen, an expert in international conflict resolution, has long argued in his writing that federalism can be a form of “peace-making,” providing a built-in mechanism for ensuring minority groups are protected from the potential tyranny of the majority and thereby avoiding some wars of secession</w:t>
      </w:r>
      <w:r w:rsidRPr="00A6618E">
        <w:rPr>
          <w:rFonts w:asciiTheme="minorHAnsi" w:hAnsiTheme="minorHAnsi" w:cs="Helvetica"/>
          <w:color w:val="191812"/>
          <w:sz w:val="20"/>
          <w:szCs w:val="20"/>
          <w:shd w:val="clear" w:color="auto" w:fill="FFFFFF"/>
        </w:rPr>
        <w:t>. For example, he said, “India at the time of independence had hundreds of principalities and languages</w:t>
      </w:r>
      <w:r w:rsidRPr="00A6618E">
        <w:rPr>
          <w:rStyle w:val="StyleUnderline"/>
          <w:rFonts w:asciiTheme="minorHAnsi" w:hAnsiTheme="minorHAnsi"/>
        </w:rPr>
        <w:t>. When the constitution was rewritten, each region with a distinct language got its own state with some autonomy — that’s a way to prevent war and keep the unity of the country.”</w:t>
      </w:r>
    </w:p>
    <w:p w:rsidR="00AF1BF7" w:rsidRDefault="00AF1BF7" w:rsidP="00AF1BF7"/>
    <w:p w:rsidR="00AF1BF7" w:rsidRDefault="00AF1BF7" w:rsidP="00AF1BF7">
      <w:pPr>
        <w:pStyle w:val="Heading3"/>
      </w:pPr>
      <w:bookmarkStart w:id="92" w:name="_Toc424259167"/>
      <w:r>
        <w:lastRenderedPageBreak/>
        <w:t>Uniqueness</w:t>
      </w:r>
      <w:bookmarkEnd w:id="92"/>
    </w:p>
    <w:p w:rsidR="00AF1BF7" w:rsidRDefault="00AF1BF7" w:rsidP="00AF1BF7"/>
    <w:p w:rsidR="00AF1BF7" w:rsidRDefault="00AF1BF7" w:rsidP="00AF1BF7">
      <w:pPr>
        <w:pStyle w:val="Heading4"/>
      </w:pPr>
      <w:r>
        <w:t>It’s on the brink now – federal policies are smothering the states</w:t>
      </w:r>
    </w:p>
    <w:p w:rsidR="00AF1BF7" w:rsidRPr="004C5F11" w:rsidRDefault="00AF1BF7" w:rsidP="00AF1BF7">
      <w:pPr>
        <w:rPr>
          <w:sz w:val="16"/>
        </w:rPr>
      </w:pPr>
      <w:r w:rsidRPr="004C5F11">
        <w:rPr>
          <w:rStyle w:val="StyleStyleBold12pt"/>
        </w:rPr>
        <w:t>Public Interest Institute 14</w:t>
      </w:r>
      <w:r w:rsidRPr="004C5F11">
        <w:rPr>
          <w:sz w:val="16"/>
        </w:rPr>
        <w:t xml:space="preserve">, a non-profit, non-partisan, public policy research organization.  The Institute promotes the importance of a free-enterprise economic system and limited government in society based upon individual freedom and liberty. (“A Citizens Introduction to Federalism: Federalism and the Future of Constitutional Government,” September, </w:t>
      </w:r>
      <w:r w:rsidRPr="004C5F11">
        <w:rPr>
          <w:i/>
          <w:sz w:val="16"/>
        </w:rPr>
        <w:t>limitedgovernment.org</w:t>
      </w:r>
      <w:r w:rsidRPr="004C5F11">
        <w:rPr>
          <w:sz w:val="16"/>
        </w:rPr>
        <w:t>, http://www.limitedgovernment.org/ps-14-4-p17.html)</w:t>
      </w:r>
    </w:p>
    <w:p w:rsidR="00AF1BF7" w:rsidRPr="009F6C75" w:rsidRDefault="00AF1BF7" w:rsidP="00AF1BF7">
      <w:pPr>
        <w:rPr>
          <w:sz w:val="12"/>
        </w:rPr>
      </w:pPr>
      <w:r w:rsidRPr="00702BBB">
        <w:rPr>
          <w:sz w:val="12"/>
        </w:rPr>
        <w:t xml:space="preserve">The out-of-control spending in Washington is also influencing the debate on federalism. Chris Edwards, Director of Tax Policy Studies at the Cato Institute, wrote that “aid to the states accounts for 13 percent of spending.”[240] Edwards notes that “it is delivered through more than 1,100 programs for health care, highways, education, housing, and many other things. Medicaid is the largest aid-to-state program.”[241] The consequence of the reckless spending also impacts states: Unlike most states, the federal government is not constrained by a Balanced Budget Amendment and can print money. Unfortunately, a few states have followed the lead of the federal government and racked up billions of dollars of unfunded pension liabilities. In addition, </w:t>
      </w:r>
      <w:r w:rsidRPr="000957D2">
        <w:rPr>
          <w:rStyle w:val="StyleUnderline"/>
        </w:rPr>
        <w:t>many states are now reliant on federal funding in order to balance their budgets. In fact, federal grants make up 35 percent of state revenues on average</w:t>
      </w:r>
      <w:r w:rsidRPr="00702BBB">
        <w:rPr>
          <w:sz w:val="12"/>
        </w:rPr>
        <w:t xml:space="preserve"> (some states approach 50 percent). </w:t>
      </w:r>
      <w:r w:rsidRPr="000957D2">
        <w:rPr>
          <w:rStyle w:val="StyleUnderline"/>
        </w:rPr>
        <w:t>With this amount of federal funds flowing to the states, it is easy to see how states have been forced to take such a subservient role to the federal government</w:t>
      </w:r>
      <w:r w:rsidRPr="00702BBB">
        <w:rPr>
          <w:sz w:val="12"/>
        </w:rPr>
        <w:t>.[242] In addition, the debt crisis and the unfunded entitlement liabilities, unless resolved, will generate national economic problems, just as with the Great Depression or the Great Recession. Poor national economic policy also hurts, states and the current slow economic recovery from the Great Recession demonstrates this by the record number of individuals depending on government assistance programs and the continual high unemployment. This also includes monetary policies from the Federal Reserve that are causing inflation and putting the value of the dollar at risk. President Reagan clearly understood the importance of cutting federal spending and limiting government, which is not only good for federalism, but also for national economic policy. Chris Edwards argues that “</w:t>
      </w:r>
      <w:r w:rsidRPr="000957D2">
        <w:rPr>
          <w:rStyle w:val="StyleUnderline"/>
        </w:rPr>
        <w:t>federal aid is an inefficient way to fund state and local activities</w:t>
      </w:r>
      <w:r w:rsidRPr="00702BBB">
        <w:rPr>
          <w:sz w:val="12"/>
        </w:rPr>
        <w:t xml:space="preserve">”:[243] </w:t>
      </w:r>
      <w:r w:rsidRPr="000957D2">
        <w:rPr>
          <w:rStyle w:val="StyleUnderline"/>
        </w:rPr>
        <w:t>It encourages overspending by the states, comes with complex federal regulations</w:t>
      </w:r>
      <w:r w:rsidRPr="00702BBB">
        <w:rPr>
          <w:sz w:val="12"/>
        </w:rPr>
        <w:t xml:space="preserve"> that stifle innovation, and generates bureaucracies at all levels of government. Americans would have more frugal, transparent, and responsible government if aid programs were eliminated. There are no advantages of funding state and local activities with federal dollars, but there are many disadvantages to the economy and to sound governance.[244] Richard Epstein and Mario Loyola described the impact of federal assistance to the states when they wrote: Federal ‘assistance’ to the states currently accounts for 30 percent of state budgets, on average. Since the early 1980s, the federal government has transferred about 15 percent of its budget to the states, which is almost as much as the federal deficit in an average year. Why does the federal government borrow so much money, only to transfer it to the states? Do the states really need that much help? They don’t. States have their own taxing authority. The real reason for federal ‘assistance’ lies in the conditions that come attached to it, which allow the feds to dictate state policies and even what the states do with large chunks of their own money. The result is a massive increase in real federal control and real federal spending — entirely behind the scenes. States like Texas, Florida, and New Hampshire pride themselves on having no state income tax on individuals. But that is only literally true of the 60 or 70 percent of their budgets that comes from state revenue. With respect to the portion derived from federal sources, Washington in effect imposes a high state income tax, which it collects on their behalf. States have no choice about that. Their only viable option is to accept on bended knee the sovereign’s offer to return their money back, in exchange for their obedience. It’s a fair bet few Americans understand what is really going on behind the façade of federal assistance.[245] </w:t>
      </w:r>
      <w:r w:rsidRPr="000957D2">
        <w:rPr>
          <w:rStyle w:val="StyleUnderline"/>
        </w:rPr>
        <w:t>The states can also do a better job at administering programs such as welfare. One example of this is the war on poverty,</w:t>
      </w:r>
      <w:r w:rsidRPr="00702BBB">
        <w:rPr>
          <w:sz w:val="12"/>
        </w:rPr>
        <w:t xml:space="preserve"> which as noted earlier, President Johnson declared in 1964. Robert Rector, a Senior Fellow at The Heritage Foundation, wrote that the “</w:t>
      </w:r>
      <w:r w:rsidRPr="000957D2">
        <w:rPr>
          <w:rStyle w:val="StyleUnderline"/>
        </w:rPr>
        <w:t>War on Poverty has been a catastrophic failure. After spending more than $20 trillion on Johnson’s war, many Americans are less capable of self-support than when the war began.”</w:t>
      </w:r>
      <w:r w:rsidRPr="00702BBB">
        <w:rPr>
          <w:sz w:val="12"/>
        </w:rPr>
        <w:t xml:space="preserve">[246] Rector stated: </w:t>
      </w:r>
      <w:r w:rsidRPr="000957D2">
        <w:rPr>
          <w:rStyle w:val="StyleUnderline"/>
        </w:rPr>
        <w:t>The federal government runs over 80 means-tested welfare programs that provide cash, food, housing, medical care and targeted social services to poor and low-income Americans.</w:t>
      </w:r>
      <w:r w:rsidRPr="00702BBB">
        <w:rPr>
          <w:sz w:val="12"/>
        </w:rPr>
        <w:t xml:space="preserve"> The government spent $916 billion on these programs in 2012; roughly 100 million Americans receive aid from at least one of them, at an average cost of $9,000 per recipient. (These figures do not include Social Security or Medicare.)[247] It is true that the hardships resulting from the Great Recession have caused more people to become dependent on some form of government assistance because of unemployment or being under-employed, but the evidence remains that </w:t>
      </w:r>
      <w:r w:rsidRPr="000957D2">
        <w:rPr>
          <w:rStyle w:val="StyleUnderline"/>
        </w:rPr>
        <w:t>the massive cost of welfare spending since the Great Society has not helped to solve poverty. Spending more money and initiating more programs on public policy problems at all levels of government does not necessarily mean the problem will be solved.</w:t>
      </w:r>
      <w:r w:rsidRPr="00702BBB">
        <w:rPr>
          <w:sz w:val="12"/>
        </w:rPr>
        <w:t xml:space="preserve"> Welfare, education, and healthcare are prime examples: When the federal government nationalizes an inherently state or local issue, it ensures that whatever policy it produces will fail to solve the problems. </w:t>
      </w:r>
      <w:r w:rsidRPr="000957D2">
        <w:rPr>
          <w:rStyle w:val="StyleUnderline"/>
        </w:rPr>
        <w:t>We know from the welfare reforms in the 1990s that a policy solution in one state may not work well in another state, which demonstrated the importance of states maintaining the flexibility and authority to tackle issues as they saw fit.[248]</w:t>
      </w:r>
      <w:r>
        <w:rPr>
          <w:rStyle w:val="StyleUnderline"/>
        </w:rPr>
        <w:t xml:space="preserve"> </w:t>
      </w:r>
      <w:r w:rsidRPr="00702BBB">
        <w:rPr>
          <w:sz w:val="12"/>
        </w:rPr>
        <w:t xml:space="preserve">Writing in The Atlantic, Richard Epstein and Mario Loyola argue that Americans have “overlooked” the issue of federalism.[249] They argue that “the separation between federal and state government” is “fast disappearing, owing to a relentless expansion of federal power.”[250] As Epstein and Loyola explain: Programs like Medicaid, Common Core, the Clean Air Act, and the federal highway system enjoy popular support because they appear to allow the federal government to accomplish things all Americans want, at least in the short run. But those programs often turn states into mere field offices of the federal government, often against their will, in turn creating a host of structural problems. Federal officials exert enormous influence over state budgets and state regulators, often behind the scenes.[251] Under this “new federalism replaces the ‘laboratories of democracy’ </w:t>
      </w:r>
      <w:r w:rsidRPr="00492FB2">
        <w:rPr>
          <w:rStyle w:val="StyleUnderline"/>
        </w:rPr>
        <w:t>with heavy-handed, one-size-fits all solutions</w:t>
      </w:r>
      <w:r w:rsidRPr="00702BBB">
        <w:rPr>
          <w:sz w:val="12"/>
        </w:rPr>
        <w:t xml:space="preserve">,” argued Epstein and Loyola.[252] The result of this, as President Reagan </w:t>
      </w:r>
      <w:r w:rsidRPr="00492FB2">
        <w:rPr>
          <w:rStyle w:val="StyleUnderline"/>
        </w:rPr>
        <w:t>warned, is that the states are turned into administrative districts of the federal government.</w:t>
      </w:r>
      <w:r>
        <w:rPr>
          <w:rStyle w:val="StyleUnderline"/>
        </w:rPr>
        <w:t xml:space="preserve"> </w:t>
      </w:r>
      <w:r w:rsidRPr="00702BBB">
        <w:rPr>
          <w:sz w:val="12"/>
        </w:rPr>
        <w:t xml:space="preserve">It is often stated that state and local governments are growing in size, and this is certainly true, especially as symbolized by the fiscal crisis many states such as California and Illinois are currently confronting. As Mario Loyola wrote: It is no coincidence that this administrative and fiscal expansion at the state and local level resulted chiefly from an expansion in federal power. With federal and state power overlapping, both federal and state officials developed an enormous incentive to expand government power at both levels. The story was one of collusion among politicians of every party at every level. Federal officials discovered that by deputizing state officials, they could expand their own power just as effectively, while escaping accountability. Meanwhile, under the umbrella of heavy federal regulation, state officials learned to exploit their citizens, and the citizens of other states, chiefly through the formation of government backed monopolies and cartels.[253] Coercion by the federal government forces states to comply with federal intervention into various public policies because they are rewarded. In regard to Common Core, Epstein and Loyola write that “states that comply are rewarded in part from taxes collected in states that buck Common Core — the familiar coercion at the heart of federal grants.”[254] This is one of the dangers of cooperative federalism: </w:t>
      </w:r>
      <w:r w:rsidRPr="00702BBB">
        <w:rPr>
          <w:rStyle w:val="StyleUnderline"/>
        </w:rPr>
        <w:t>Federal conditions shape most state policies, chiefly because they are almost impossible for state officials to resist as a matter of political reality. The blandishment of hard tax dollars, which if rejected will go to other states even if raised from citizens of the refusing state, plus the specter of unfriendly federal regulators stepping in if state regulators refuse to comply, are usually more than enough to force the hands of state officials.</w:t>
      </w:r>
      <w:r w:rsidRPr="00702BBB">
        <w:rPr>
          <w:sz w:val="12"/>
        </w:rPr>
        <w:t>[255]</w:t>
      </w:r>
      <w:r>
        <w:rPr>
          <w:rStyle w:val="StyleUnderline"/>
        </w:rPr>
        <w:t xml:space="preserve"> </w:t>
      </w:r>
    </w:p>
    <w:p w:rsidR="00AF1BF7" w:rsidRDefault="00AF1BF7" w:rsidP="00AF1BF7">
      <w:pPr>
        <w:pStyle w:val="Heading4"/>
      </w:pPr>
      <w:r>
        <w:lastRenderedPageBreak/>
        <w:t>Federal and state governments work together on welfare</w:t>
      </w:r>
    </w:p>
    <w:p w:rsidR="00AF1BF7" w:rsidRPr="00952C89" w:rsidRDefault="00AF1BF7" w:rsidP="00AF1BF7">
      <w:r w:rsidRPr="0044098B">
        <w:rPr>
          <w:rStyle w:val="StyleStyleBold12pt"/>
        </w:rPr>
        <w:t>ElderWeb 14</w:t>
      </w:r>
      <w:r>
        <w:t xml:space="preserve"> (“Federal and State Governments Share Welfare Costs,” </w:t>
      </w:r>
      <w:r>
        <w:rPr>
          <w:i/>
        </w:rPr>
        <w:t>elderweb</w:t>
      </w:r>
      <w:r>
        <w:t>, January 7, http://www.elderweb.com/book/1930-1939/federal-and-state-governments-share-welfare-costs)</w:t>
      </w:r>
    </w:p>
    <w:p w:rsidR="00AF1BF7" w:rsidRPr="008C6DEF" w:rsidRDefault="00AF1BF7" w:rsidP="00AF1BF7">
      <w:pPr>
        <w:rPr>
          <w:sz w:val="16"/>
        </w:rPr>
      </w:pPr>
      <w:r w:rsidRPr="0044098B">
        <w:rPr>
          <w:rStyle w:val="StyleUnderline"/>
        </w:rPr>
        <w:t>The OAA program established the precedent of splitting welfare expenditures between the federal and state governments</w:t>
      </w:r>
      <w:r w:rsidRPr="008C6DEF">
        <w:rPr>
          <w:sz w:val="16"/>
        </w:rPr>
        <w:t xml:space="preserve">, while allowing the states to retain a significant amount of authority and autonomy to set standards, eligibility, </w:t>
      </w:r>
      <w:r w:rsidRPr="0044098B">
        <w:rPr>
          <w:rStyle w:val="StyleUnderline"/>
        </w:rPr>
        <w:t>and payment levels as they desired</w:t>
      </w:r>
      <w:r w:rsidRPr="008C6DEF">
        <w:rPr>
          <w:sz w:val="16"/>
        </w:rPr>
        <w:t xml:space="preserve">. The states, in turn, </w:t>
      </w:r>
      <w:r w:rsidRPr="0044098B">
        <w:rPr>
          <w:rStyle w:val="StyleUnderline"/>
        </w:rPr>
        <w:t>continued to share welfare expenditures with local governments</w:t>
      </w:r>
      <w:r w:rsidRPr="008C6DEF">
        <w:rPr>
          <w:sz w:val="16"/>
        </w:rPr>
        <w:t xml:space="preserve">, which meant that at least two, </w:t>
      </w:r>
      <w:r w:rsidRPr="0044098B">
        <w:rPr>
          <w:rStyle w:val="StyleUnderline"/>
        </w:rPr>
        <w:t>and sometimes three or more</w:t>
      </w:r>
      <w:r w:rsidRPr="008C6DEF">
        <w:rPr>
          <w:sz w:val="16"/>
        </w:rPr>
        <w:t xml:space="preserve">, </w:t>
      </w:r>
      <w:r w:rsidRPr="0044098B">
        <w:rPr>
          <w:rStyle w:val="StyleUnderline"/>
        </w:rPr>
        <w:t>levels of government were involved in the provision of public assistance</w:t>
      </w:r>
      <w:r w:rsidRPr="008C6DEF">
        <w:rPr>
          <w:sz w:val="16"/>
        </w:rPr>
        <w:t xml:space="preserve">, </w:t>
      </w:r>
      <w:r w:rsidRPr="0044098B">
        <w:rPr>
          <w:rStyle w:val="StyleUnderline"/>
        </w:rPr>
        <w:t>a situation which continues to this day</w:t>
      </w:r>
      <w:r w:rsidRPr="008C6DEF">
        <w:rPr>
          <w:sz w:val="16"/>
        </w:rPr>
        <w:t xml:space="preserve">. This division, </w:t>
      </w:r>
      <w:r w:rsidRPr="0044098B">
        <w:rPr>
          <w:rStyle w:val="StyleUnderline"/>
        </w:rPr>
        <w:t>and the conflicting goals of providing a service that the public considers valuable while guarding the purse of the taxpayers</w:t>
      </w:r>
      <w:r w:rsidRPr="008C6DEF">
        <w:rPr>
          <w:sz w:val="16"/>
        </w:rPr>
        <w:t xml:space="preserve">, </w:t>
      </w:r>
      <w:r w:rsidRPr="0044098B">
        <w:rPr>
          <w:rStyle w:val="StyleUnderline"/>
        </w:rPr>
        <w:t>created inter-governmental tensions and rewarded efforts to shift beneficiaries into programs where some other level of government would assume a greater share of the cost</w:t>
      </w:r>
      <w:r w:rsidRPr="008C6DEF">
        <w:rPr>
          <w:sz w:val="16"/>
        </w:rPr>
        <w:t xml:space="preserve">. At the same time, beneficiaries had their own incentives to use or avoid certain types of services, depending on what kind of help they would receive and how burdensome the requirements for receiving it were likely to be. The OAA program was about to demonstrate that "gamesmanship" </w:t>
      </w:r>
      <w:r w:rsidRPr="0044098B">
        <w:rPr>
          <w:rStyle w:val="StyleUnderline"/>
        </w:rPr>
        <w:t>could affect program costs and utilization</w:t>
      </w:r>
      <w:r w:rsidRPr="008C6DEF">
        <w:rPr>
          <w:sz w:val="16"/>
        </w:rPr>
        <w:t>.</w:t>
      </w:r>
    </w:p>
    <w:p w:rsidR="00AF1BF7" w:rsidRDefault="00AF1BF7" w:rsidP="00AF1BF7"/>
    <w:p w:rsidR="008C6DEF" w:rsidRDefault="008C6DEF" w:rsidP="00AF1BF7"/>
    <w:p w:rsidR="008C6DEF" w:rsidRDefault="008C6DEF" w:rsidP="008C6DEF">
      <w:pPr>
        <w:pStyle w:val="Heading4"/>
      </w:pPr>
      <w:r>
        <w:t xml:space="preserve">Federalism is on a brink – upcoming court decisions will shape future of the country </w:t>
      </w:r>
    </w:p>
    <w:p w:rsidR="008C6DEF" w:rsidRPr="00C00AA6" w:rsidRDefault="008C6DEF" w:rsidP="008C6DEF">
      <w:pPr>
        <w:rPr>
          <w:rStyle w:val="StyleStyleBold12pt"/>
          <w:b w:val="0"/>
          <w:sz w:val="16"/>
        </w:rPr>
      </w:pPr>
      <w:r w:rsidRPr="00C00AA6">
        <w:rPr>
          <w:rStyle w:val="StyleStyleBold12pt"/>
        </w:rPr>
        <w:t>Friedman and Lithwik 12</w:t>
      </w:r>
      <w:r w:rsidRPr="00C00AA6">
        <w:rPr>
          <w:rStyle w:val="StyleStyleBold12pt"/>
          <w:b w:val="0"/>
          <w:sz w:val="16"/>
        </w:rPr>
        <w:t>( Barry and Dahlia, Barry: Professor at Law at NYU and author of Will of the People,Dahlia: Writer for Slate “The Supreme Court Discovers Federalism Just in Time for the Election”, Slate, 2012, http://www.slate.com/articles/news_and_politics/jurisprudence/2011/12/the_supreme_court_rediscovers_federalism_just_in_time_for_2012_election_.single.html)</w:t>
      </w:r>
    </w:p>
    <w:p w:rsidR="008C6DEF" w:rsidRDefault="008C6DEF" w:rsidP="008C6DEF">
      <w:pPr>
        <w:rPr>
          <w:sz w:val="16"/>
        </w:rPr>
      </w:pPr>
    </w:p>
    <w:p w:rsidR="008C6DEF" w:rsidRPr="00C00AA6" w:rsidRDefault="008C6DEF" w:rsidP="008C6DEF">
      <w:pPr>
        <w:rPr>
          <w:sz w:val="16"/>
        </w:rPr>
      </w:pPr>
      <w:r w:rsidRPr="00C00AA6">
        <w:rPr>
          <w:sz w:val="16"/>
        </w:rPr>
        <w:t>They say you are always fighting the last war. Perhaps the one place where that’s not the case is at the Supreme Court, where the justices are suddenly poised to fight the next one. When the court announced this week that it would hear a major Texas voting rights case, then took on the dispute over whether four provisions of SB1070—the draconian Arizona immigration law —</w:t>
      </w:r>
      <w:r w:rsidRPr="00D112BC">
        <w:rPr>
          <w:rStyle w:val="StyleUnderline"/>
        </w:rPr>
        <w:t>it positioned itself at the forefront on a new constitutional fight about federalism and states’ rights</w:t>
      </w:r>
      <w:r w:rsidRPr="00C00AA6">
        <w:rPr>
          <w:sz w:val="16"/>
        </w:rPr>
        <w:t xml:space="preserve">. Throw in the justices’ decision to determine the constitutionality of President Obama’s health care overhaul, and you are looking at a trifecta of cases that </w:t>
      </w:r>
      <w:hyperlink r:id="rId85" w:tgtFrame="_blank" w:history="1">
        <w:r w:rsidRPr="00C00AA6">
          <w:rPr>
            <w:sz w:val="16"/>
          </w:rPr>
          <w:t>will put the court into the spotlight</w:t>
        </w:r>
      </w:hyperlink>
      <w:r w:rsidRPr="00C00AA6">
        <w:rPr>
          <w:sz w:val="16"/>
        </w:rPr>
        <w:t xml:space="preserve"> only weeks before the political conventions open this summer.</w:t>
      </w:r>
      <w:r w:rsidRPr="00C00AA6">
        <w:rPr>
          <w:sz w:val="12"/>
        </w:rPr>
        <w:t>¶</w:t>
      </w:r>
      <w:r w:rsidRPr="00C00AA6">
        <w:rPr>
          <w:sz w:val="16"/>
        </w:rPr>
        <w:t xml:space="preserve"> But it’s worth pointing out that while the nine members of the court have now been inserted (or found themselves injected) into an election year in ways we haven’t seen since the New Deal, it is not with the sort of hot-button issues that have made the court a political football for decades. Even though the GOP nominees will continue to rail against the elitist godless unelected social engineers at the high court, the pending cases raise none of their signature issues. That means that as we debate the role of the courts in America next November, instead of the stale culture war sound bites that have made the court </w:t>
      </w:r>
      <w:hyperlink r:id="rId86" w:tgtFrame="_blank" w:history="1">
        <w:r w:rsidRPr="00C00AA6">
          <w:rPr>
            <w:sz w:val="16"/>
          </w:rPr>
          <w:t>a voting issue for the past 25 years</w:t>
        </w:r>
      </w:hyperlink>
      <w:r w:rsidRPr="00C00AA6">
        <w:rPr>
          <w:sz w:val="16"/>
        </w:rPr>
        <w:t>, it will be the concerns of Occupy Wall Street and the Tea Party that frame the way Americans think and talk about the court.</w:t>
      </w:r>
      <w:r w:rsidRPr="00C00AA6">
        <w:rPr>
          <w:sz w:val="12"/>
        </w:rPr>
        <w:t>¶</w:t>
      </w:r>
      <w:r w:rsidRPr="00C00AA6">
        <w:rPr>
          <w:sz w:val="16"/>
        </w:rPr>
        <w:t xml:space="preserve"> Ever since the heyday of the Warren Court, the justices have been batting down accusations that they are unelected culture warriors, and so far this election cycle has been no different: With the exception of Mitt Romney, </w:t>
      </w:r>
      <w:r w:rsidRPr="00D112BC">
        <w:rPr>
          <w:rStyle w:val="StyleUnderline"/>
        </w:rPr>
        <w:t xml:space="preserve">every major GOP presidential hopeful has attempted to make the Supreme Court an election issue with proposals ranging from simply canceling the 9th Circuit Court of Appeals to hauling </w:t>
      </w:r>
      <w:hyperlink r:id="rId87" w:tgtFrame="_blank" w:history="1">
        <w:r w:rsidRPr="00D112BC">
          <w:rPr>
            <w:rStyle w:val="StyleUnderline"/>
          </w:rPr>
          <w:t>federal judges before Congress to explain their legal rulings</w:t>
        </w:r>
      </w:hyperlink>
      <w:r w:rsidRPr="00C00AA6">
        <w:rPr>
          <w:sz w:val="16"/>
        </w:rPr>
        <w:t xml:space="preserve">. </w:t>
      </w:r>
      <w:hyperlink r:id="rId88" w:tgtFrame="_blank" w:history="1">
        <w:r w:rsidRPr="00C00AA6">
          <w:rPr>
            <w:sz w:val="16"/>
          </w:rPr>
          <w:t>Rick Perry made news last week</w:t>
        </w:r>
      </w:hyperlink>
      <w:r w:rsidRPr="00C00AA6">
        <w:rPr>
          <w:sz w:val="16"/>
        </w:rPr>
        <w:t xml:space="preserve"> for an impromptu rant against the “eight unelected judges” (plus one extra called Montemayor) who barred prayer in schools. In recent weeks, </w:t>
      </w:r>
      <w:hyperlink r:id="rId89" w:tgtFrame="_blank" w:history="1">
        <w:r w:rsidRPr="00C00AA6">
          <w:rPr>
            <w:sz w:val="16"/>
          </w:rPr>
          <w:t>Newt Gingrich has announced that</w:t>
        </w:r>
      </w:hyperlink>
      <w:r w:rsidRPr="00C00AA6">
        <w:rPr>
          <w:sz w:val="16"/>
        </w:rPr>
        <w:t xml:space="preserve"> “on the issue of God and American public life, the courts have been historically wrong at least since the 1940s" and </w:t>
      </w:r>
      <w:hyperlink r:id="rId90" w:tgtFrame="_blank" w:history="1">
        <w:r w:rsidRPr="00C00AA6">
          <w:rPr>
            <w:sz w:val="16"/>
          </w:rPr>
          <w:t>pledged to</w:t>
        </w:r>
      </w:hyperlink>
      <w:r w:rsidRPr="00C00AA6">
        <w:rPr>
          <w:sz w:val="16"/>
        </w:rPr>
        <w:t xml:space="preserve"> limit court jurisdiction to hear cases about public prayer. And Michele Bachmann has promised to provoke </w:t>
      </w:r>
      <w:hyperlink r:id="rId91" w:tgtFrame="_blank" w:history="1">
        <w:r w:rsidRPr="00C00AA6">
          <w:rPr>
            <w:sz w:val="16"/>
          </w:rPr>
          <w:t>a constitutional crisis with the Supreme Court</w:t>
        </w:r>
      </w:hyperlink>
      <w:r w:rsidRPr="00C00AA6">
        <w:rPr>
          <w:sz w:val="16"/>
        </w:rPr>
        <w:t xml:space="preserve"> over abortion rights. This is all mostly just boilerplate, and strange to boot: Can’t the GOP candidates count their votes on the court? Conservatives have been campaigning against a wholly imaginary “liberal activist” Supreme Court for decades now. Suddenly, in light of the new cases, all that is irrelevant. The GOP nominees are fighting the last war while the court is already on to the next one.</w:t>
      </w:r>
      <w:r w:rsidRPr="00C00AA6">
        <w:rPr>
          <w:sz w:val="12"/>
        </w:rPr>
        <w:t>¶</w:t>
      </w:r>
      <w:r w:rsidRPr="00C00AA6">
        <w:rPr>
          <w:sz w:val="16"/>
        </w:rPr>
        <w:t xml:space="preserve"> </w:t>
      </w:r>
      <w:r w:rsidRPr="00D112BC">
        <w:rPr>
          <w:rStyle w:val="Emphasis"/>
        </w:rPr>
        <w:t>Each of the three blockbuster cases the court has agreed to hear raises questions of federalism</w:t>
      </w:r>
      <w:r w:rsidRPr="00C00AA6">
        <w:rPr>
          <w:sz w:val="16"/>
        </w:rPr>
        <w:t xml:space="preserve">: </w:t>
      </w:r>
      <w:r w:rsidRPr="00C00AA6">
        <w:rPr>
          <w:rFonts w:asciiTheme="majorHAnsi" w:eastAsiaTheme="majorEastAsia" w:hAnsiTheme="majorHAnsi" w:cstheme="majorBidi"/>
          <w:b/>
          <w:bCs/>
          <w:iCs/>
          <w:sz w:val="16"/>
        </w:rPr>
        <w:t>Where does state authority end and federal power begin, and who allocates that division?</w:t>
      </w:r>
      <w:r w:rsidRPr="00C00AA6">
        <w:rPr>
          <w:sz w:val="16"/>
        </w:rPr>
        <w:t xml:space="preserve"> The reason the Texas Legislature had to submit its redistricting plan to the courts (or the federal government) for review is because under the Voting Rights Act, Southern states with a history of racial discrimination must seek approval before enacting new election laws. </w:t>
      </w:r>
      <w:r w:rsidRPr="00D112BC">
        <w:rPr>
          <w:rStyle w:val="StyleUnderline"/>
        </w:rPr>
        <w:t>The question for the court is whether local governments or the federal courts are better situated to assess new election rules</w:t>
      </w:r>
      <w:r w:rsidRPr="00C00AA6">
        <w:rPr>
          <w:sz w:val="16"/>
        </w:rPr>
        <w:t xml:space="preserve">. The central issue in the Arizona immigration case is that while the Constitution gives Congress the power to set a "uniform rule of naturalization," Arizona felt that the feds either wouldn’t or couldn’t create and enforce adequate immigration laws. Indeed Arizona </w:t>
      </w:r>
      <w:hyperlink r:id="rId92" w:tgtFrame="_blank" w:history="1">
        <w:r w:rsidRPr="00C00AA6">
          <w:rPr>
            <w:sz w:val="16"/>
          </w:rPr>
          <w:t>Gov. Jan Brewer described</w:t>
        </w:r>
        <w:r w:rsidRPr="00C00AA6">
          <w:rPr>
            <w:rStyle w:val="StyleUnderline"/>
            <w:sz w:val="16"/>
          </w:rPr>
          <w:t xml:space="preserve"> this</w:t>
        </w:r>
        <w:r w:rsidRPr="00C00AA6">
          <w:rPr>
            <w:sz w:val="16"/>
          </w:rPr>
          <w:t xml:space="preserve"> </w:t>
        </w:r>
        <w:r w:rsidRPr="00C00AA6">
          <w:rPr>
            <w:rStyle w:val="StyleUnderline"/>
            <w:sz w:val="16"/>
          </w:rPr>
          <w:t>case</w:t>
        </w:r>
      </w:hyperlink>
      <w:r w:rsidRPr="00C00AA6">
        <w:rPr>
          <w:sz w:val="16"/>
        </w:rPr>
        <w:t xml:space="preserve"> as a dispute “</w:t>
      </w:r>
      <w:r w:rsidRPr="00D112BC">
        <w:rPr>
          <w:rStyle w:val="Emphasis"/>
        </w:rPr>
        <w:t>about the fundamental principles of federalism under which every state has a right to defend its people</w:t>
      </w:r>
      <w:r w:rsidRPr="00C00AA6">
        <w:rPr>
          <w:sz w:val="16"/>
        </w:rPr>
        <w:t>." And of course the health care reform case is, in large part, about whether the federal government can require individuals to purchase health insurance; something state governments may do under their broader police powers. In sum, the court is hearing three political cases about the allocation of political powers at a moment in which Americans on both sides of the political spectrum have come to distrust government solutions to any problems.</w:t>
      </w:r>
      <w:r w:rsidRPr="00C00AA6">
        <w:rPr>
          <w:sz w:val="12"/>
        </w:rPr>
        <w:t>¶</w:t>
      </w:r>
      <w:r w:rsidRPr="00C00AA6">
        <w:rPr>
          <w:sz w:val="16"/>
        </w:rPr>
        <w:t xml:space="preserve"> These </w:t>
      </w:r>
      <w:r w:rsidRPr="00C00AA6">
        <w:rPr>
          <w:rStyle w:val="StyleUnderline"/>
        </w:rPr>
        <w:t>new states’ rights claims make the stalled-out federalism revolution of the Rehnquist Court era look like a cakewalk</w:t>
      </w:r>
      <w:r w:rsidRPr="00C00AA6">
        <w:rPr>
          <w:sz w:val="16"/>
        </w:rPr>
        <w:t xml:space="preserve">. </w:t>
      </w:r>
      <w:r w:rsidRPr="00C00AA6">
        <w:rPr>
          <w:rStyle w:val="StyleUnderline"/>
        </w:rPr>
        <w:t>Federalism questions</w:t>
      </w:r>
      <w:r w:rsidRPr="00C00AA6">
        <w:rPr>
          <w:sz w:val="16"/>
        </w:rPr>
        <w:t xml:space="preserve"> have wracked the nation since the start of the Republic. They peaked during the Civil War and again during the civil rights era, but </w:t>
      </w:r>
      <w:r w:rsidRPr="00C00AA6">
        <w:rPr>
          <w:rStyle w:val="StyleUnderline"/>
        </w:rPr>
        <w:t>have always been with us.</w:t>
      </w:r>
      <w:r w:rsidRPr="00C00AA6">
        <w:rPr>
          <w:sz w:val="16"/>
        </w:rPr>
        <w:t xml:space="preserve"> And not uncommonly, </w:t>
      </w:r>
      <w:r w:rsidRPr="00C00AA6">
        <w:rPr>
          <w:rStyle w:val="StyleUnderline"/>
        </w:rPr>
        <w:t xml:space="preserve">the courts have followed the public </w:t>
      </w:r>
      <w:r w:rsidRPr="00C00AA6">
        <w:rPr>
          <w:rStyle w:val="StyleUnderline"/>
        </w:rPr>
        <w:lastRenderedPageBreak/>
        <w:t>mood as to whether state or federal governments were best suited to solving various problems at different times.</w:t>
      </w:r>
      <w:r w:rsidRPr="00C00AA6">
        <w:rPr>
          <w:sz w:val="12"/>
        </w:rPr>
        <w:t>¶</w:t>
      </w:r>
      <w:r w:rsidRPr="00C00AA6">
        <w:rPr>
          <w:sz w:val="16"/>
        </w:rPr>
        <w:t xml:space="preserve"> When the Rehnquist Court flexed its own states rights muscles, the legal and ideological left went nuts over the court’s supposed radicalism, but most of these cases were peanuts compared to what’s on the table now. </w:t>
      </w:r>
      <w:r w:rsidRPr="00C00AA6">
        <w:rPr>
          <w:rStyle w:val="StyleUnderline"/>
        </w:rPr>
        <w:t>United States v. Lopez</w:t>
      </w:r>
      <w:r w:rsidRPr="00C00AA6">
        <w:rPr>
          <w:sz w:val="16"/>
        </w:rPr>
        <w:t xml:space="preserve"> said the federal government couldn’t ban possession of guns near schools. Guess what? The federal government wasn’t really doing anything about guns near schools, </w:t>
      </w:r>
      <w:r w:rsidRPr="00C00AA6">
        <w:rPr>
          <w:rStyle w:val="StyleUnderline"/>
        </w:rPr>
        <w:t>most states had their own laws, and adding a federal crime stood in the way of letting states address the problem their own way.</w:t>
      </w:r>
      <w:r w:rsidRPr="00C00AA6">
        <w:rPr>
          <w:sz w:val="16"/>
        </w:rPr>
        <w:t xml:space="preserve"> United States v. Morrison said Congress could not make violence against women a federal crime. Guess what? This legislation, too, was largely symbolic (federal cases were nearly nonexistent); symbols matter of course, but still this sort of violence fell squarely at the heart of what states do on a daily basis. And those 11th Amendment decisions—you’ll be excused if you </w:t>
      </w:r>
      <w:hyperlink r:id="rId93" w:tgtFrame="_blank" w:history="1">
        <w:r w:rsidRPr="00C00AA6">
          <w:rPr>
            <w:sz w:val="16"/>
          </w:rPr>
          <w:t>don’t remember them or couldn’t figure out what the hell they were about anyway</w:t>
        </w:r>
      </w:hyperlink>
      <w:r w:rsidRPr="00C00AA6">
        <w:rPr>
          <w:sz w:val="16"/>
        </w:rPr>
        <w:t>—raised questions about the ability to enforce federal law against states, but states had been immune from money damages in private federal lawsuits for years. Besides, nothing kept the federal government from going after the states itself. When, in South Dakota v. Dole, the court had a real issue in front of it, a doozy of an issue—can the federal government get states to do its bidding by using money as a hook—the Fearsome Federalism Five (excepting Justice Sandra Day O’Connor) crumbled like a stale cookie.</w:t>
      </w:r>
      <w:r w:rsidRPr="00C00AA6">
        <w:rPr>
          <w:sz w:val="12"/>
        </w:rPr>
        <w:t>¶</w:t>
      </w:r>
      <w:r w:rsidRPr="00C00AA6">
        <w:rPr>
          <w:sz w:val="16"/>
        </w:rPr>
        <w:t xml:space="preserve"> </w:t>
      </w:r>
      <w:r w:rsidRPr="00C00AA6">
        <w:rPr>
          <w:rStyle w:val="StyleUnderline"/>
        </w:rPr>
        <w:t>Compared with the federalism issues once faced by the Rehnquist Court,</w:t>
      </w:r>
      <w:r w:rsidRPr="00C00AA6">
        <w:rPr>
          <w:sz w:val="16"/>
        </w:rPr>
        <w:t xml:space="preserve"> </w:t>
      </w:r>
      <w:r w:rsidRPr="00C00AA6">
        <w:rPr>
          <w:rStyle w:val="Emphasis"/>
        </w:rPr>
        <w:t>this stuff coming down the pike now is serious business</w:t>
      </w:r>
      <w:r w:rsidRPr="00C00AA6">
        <w:rPr>
          <w:sz w:val="16"/>
        </w:rPr>
        <w:t xml:space="preserve">. When the court agreed to weigh in on redistricting, immigration and health care, it announced that the new national obsession with how government works, and which level of government is best suited to address what problems, will be fought out in the highest court, as well as on the streets. But oh what a fight it will be. </w:t>
      </w:r>
      <w:r w:rsidRPr="00C00AA6">
        <w:rPr>
          <w:rStyle w:val="StyleUnderline"/>
        </w:rPr>
        <w:t>Unlike the symbolic laws of the 1980s and 1990s, this</w:t>
      </w:r>
      <w:r w:rsidRPr="00C00AA6">
        <w:rPr>
          <w:sz w:val="16"/>
        </w:rPr>
        <w:t xml:space="preserve"> stuff </w:t>
      </w:r>
      <w:r w:rsidRPr="00C00AA6">
        <w:rPr>
          <w:rStyle w:val="StyleUnderline"/>
        </w:rPr>
        <w:t>matters hugely to people’s everyday lives: Will we have national health care? Can states pick and choose who will be subject to law enforcement and tossed out of the country? Will courts draw election districts or the state legislature—especially when real seats in the House of Representatives are at stake?</w:t>
      </w:r>
      <w:r w:rsidRPr="00C00AA6">
        <w:rPr>
          <w:rStyle w:val="StyleUnderline"/>
          <w:b w:val="0"/>
          <w:sz w:val="12"/>
        </w:rPr>
        <w:t>¶</w:t>
      </w:r>
      <w:r w:rsidRPr="00C00AA6">
        <w:rPr>
          <w:sz w:val="16"/>
        </w:rPr>
        <w:t xml:space="preserve"> Complicating matters, federalism cases have always made for fickle friends. They put people in an awkward spot: Either choose some rule regarding state (versus federal) power and apply it no matter what issue is at stake, or pick an outcome you like on any given issue, then assign governmental power. The former looks principled but creates dissonant outcomes; the latter makes federalism look like a dog’s breakfast. This problem became clear during the failed Rehnquist federalism revolution when the choice was between states’ rights or drugs. California legalized medical marijuana. John Ashcroft said no way. If one took the rhetoric of the federalism revolution seriously, this was an easy case: Why shouldn’t California get to choose its own drug policy? But Fearsome Federalism Five’s charter members Antonin Scalia and Anthony Kennedy hopped off the ship of state’s rights very quickly when toking pot was the issue. Sic transit federalism.</w:t>
      </w:r>
      <w:r w:rsidRPr="00C00AA6">
        <w:rPr>
          <w:sz w:val="12"/>
        </w:rPr>
        <w:t>¶</w:t>
      </w:r>
      <w:r w:rsidRPr="00C00AA6">
        <w:rPr>
          <w:sz w:val="16"/>
        </w:rPr>
        <w:t xml:space="preserve"> The new states rights cases are bound to trip over the culture war in ways that make things messy both for the justices and for those—like the gaggle of GOP candidates—who will be quick to judge them. You’re a states’ righter, you say? Great, let’s wipe out Obamacare, permit Arizona do whatever it wants with people who look Hispanic, and allow Texas to elect whomever it wants without federal court supervision. Um, but if the federal government can’t regulate a multibillion dollar economy in health care and health insurance, why should it get to adopt the Defense of Marriage Act? If states get to decide how to treat their residents, why can’t they opt for gay marriage? </w:t>
      </w:r>
      <w:r w:rsidRPr="00C00AA6">
        <w:rPr>
          <w:sz w:val="12"/>
        </w:rPr>
        <w:t>¶</w:t>
      </w:r>
      <w:r w:rsidRPr="00C00AA6">
        <w:rPr>
          <w:sz w:val="16"/>
        </w:rPr>
        <w:t xml:space="preserve"> The Roberts Court has barely begun to be a “court” at all, if doing so means standing up for some set of clear principles. It’s been generally pro-business, and campaign finance has been contentious, but by and large things have been quiet (unless you are a criminal defendant—and then you really are taking it on the chin). The remainder of this term may prove defining. We will certainly get to see, in the coming months, whether, as </w:t>
      </w:r>
      <w:hyperlink r:id="rId94" w:anchor="ixzz1gSHXROER" w:tgtFrame="_blank" w:history="1">
        <w:r w:rsidRPr="00C00AA6">
          <w:rPr>
            <w:sz w:val="16"/>
          </w:rPr>
          <w:t>Charles Pierce suggested</w:t>
        </w:r>
      </w:hyperlink>
      <w:r w:rsidRPr="00C00AA6">
        <w:rPr>
          <w:sz w:val="16"/>
        </w:rPr>
        <w:t>, “this particular court's majority would like to leave a permanent stamp on the law, and I think that rejiggering the balance between state and federal powers back to where it was before the New Deal would be the kind of thing that would appeal to it.”</w:t>
      </w:r>
      <w:r w:rsidRPr="00C00AA6">
        <w:rPr>
          <w:sz w:val="12"/>
        </w:rPr>
        <w:t>¶</w:t>
      </w:r>
      <w:r w:rsidRPr="00C00AA6">
        <w:rPr>
          <w:sz w:val="16"/>
        </w:rPr>
        <w:t xml:space="preserve"> Whatever happens, it’s fair to say that the court against which the current crop of Republicans are furiously campaigning is not the court that will make headlines this spring. While the Supreme Court didn’t time these cases to arrive on the eve of a hotly contested presidential election, the fact that the court is poised to flex its federalism muscles at precisely the moment that the Tea Party has organized itself around the principle of states’ rights, and Occupy Wall Street has raised fundamental questions about government accountability, is a marvelous coincidence. The court isn’t just up to its neck in election-year politics. It is also hearing cases that raise issues more salient and more immediately relevant to voters on both sides of the aisle than the worn-out culture war clichés politicians have been shadow-boxing for decades.</w:t>
      </w:r>
    </w:p>
    <w:p w:rsidR="008C6DEF" w:rsidRPr="00FD017D" w:rsidRDefault="008C6DEF" w:rsidP="00AF1BF7"/>
    <w:p w:rsidR="00AF1BF7" w:rsidRDefault="00AF1BF7" w:rsidP="00AF1BF7">
      <w:pPr>
        <w:pStyle w:val="Heading3"/>
      </w:pPr>
      <w:bookmarkStart w:id="93" w:name="_Toc424259168"/>
      <w:r>
        <w:lastRenderedPageBreak/>
        <w:t>A2 Obamacare</w:t>
      </w:r>
      <w:bookmarkEnd w:id="93"/>
    </w:p>
    <w:p w:rsidR="00AF1BF7" w:rsidRDefault="00AF1BF7" w:rsidP="00AF1BF7"/>
    <w:p w:rsidR="00AF1BF7" w:rsidRDefault="00AF1BF7" w:rsidP="00AF1BF7">
      <w:pPr>
        <w:pStyle w:val="Heading4"/>
      </w:pPr>
      <w:r>
        <w:t>Obamacare doesn’t thump – recent ruling supports states’ rights</w:t>
      </w:r>
    </w:p>
    <w:p w:rsidR="00AF1BF7" w:rsidRPr="0051501A" w:rsidRDefault="00AF1BF7" w:rsidP="00AF1BF7">
      <w:pPr>
        <w:rPr>
          <w:rStyle w:val="StyleStyleBold12pt"/>
          <w:b w:val="0"/>
          <w:sz w:val="16"/>
        </w:rPr>
      </w:pPr>
      <w:r>
        <w:rPr>
          <w:rStyle w:val="StyleStyleBold12pt"/>
        </w:rPr>
        <w:t>Wall Street Journal</w:t>
      </w:r>
      <w:r w:rsidRPr="0051501A">
        <w:rPr>
          <w:rStyle w:val="StyleStyleBold12pt"/>
        </w:rPr>
        <w:t xml:space="preserve"> 15</w:t>
      </w:r>
      <w:r w:rsidRPr="0051501A">
        <w:rPr>
          <w:rStyle w:val="StyleStyleBold12pt"/>
          <w:sz w:val="16"/>
        </w:rPr>
        <w:t>(“Federalism and Obamacare” March 4, 2015, Wall Street Journal, http://www.wsj.com/articles/federalism-and-obamacare-1425513815)</w:t>
      </w:r>
    </w:p>
    <w:p w:rsidR="00AF1BF7" w:rsidRDefault="00AF1BF7" w:rsidP="00AF1BF7">
      <w:pPr>
        <w:rPr>
          <w:rStyle w:val="StyleUnderline"/>
        </w:rPr>
      </w:pPr>
    </w:p>
    <w:p w:rsidR="00AF1BF7" w:rsidRDefault="00AF1BF7" w:rsidP="00AF1BF7">
      <w:pPr>
        <w:rPr>
          <w:rFonts w:ascii="Times" w:hAnsi="Times"/>
          <w:color w:val="333333"/>
          <w:sz w:val="12"/>
        </w:rPr>
      </w:pPr>
      <w:r w:rsidRPr="009D6863">
        <w:rPr>
          <w:rStyle w:val="StyleUnderline"/>
        </w:rPr>
        <w:t xml:space="preserve">A </w:t>
      </w:r>
      <w:r w:rsidRPr="009D6863">
        <w:rPr>
          <w:rStyle w:val="Emphasis"/>
        </w:rPr>
        <w:t>closely divided</w:t>
      </w:r>
      <w:r w:rsidRPr="009D6863">
        <w:rPr>
          <w:rStyle w:val="StyleUnderline"/>
        </w:rPr>
        <w:t xml:space="preserve"> Supreme Court heard arguments in the challenge to ObamaCare’s illegal subsidies on Wednesda</w:t>
      </w:r>
      <w:r>
        <w:rPr>
          <w:rStyle w:val="StyleUnderline"/>
        </w:rPr>
        <w:t>q</w:t>
      </w:r>
      <w:r w:rsidRPr="009D6863">
        <w:rPr>
          <w:rStyle w:val="StyleUnderline"/>
        </w:rPr>
        <w:t>y, and the session spun off in an unexpected and provocative direction</w:t>
      </w:r>
      <w:r w:rsidRPr="0051501A">
        <w:rPr>
          <w:sz w:val="16"/>
        </w:rPr>
        <w:t xml:space="preserve">: </w:t>
      </w:r>
      <w:r w:rsidRPr="009D6863">
        <w:rPr>
          <w:rStyle w:val="StyleUnderline"/>
        </w:rPr>
        <w:t>To wit, several Justices suggested that the Affordable Care Act as drafted would unconstitutionally coerce the states</w:t>
      </w:r>
      <w:r w:rsidRPr="0051501A">
        <w:rPr>
          <w:sz w:val="16"/>
        </w:rPr>
        <w:t>.</w:t>
      </w:r>
      <w:r w:rsidRPr="0051501A">
        <w:rPr>
          <w:sz w:val="12"/>
        </w:rPr>
        <w:t>¶</w:t>
      </w:r>
      <w:r w:rsidRPr="0051501A">
        <w:rPr>
          <w:sz w:val="16"/>
        </w:rPr>
        <w:t xml:space="preserve"> </w:t>
      </w:r>
      <w:r w:rsidRPr="009D6863">
        <w:rPr>
          <w:rStyle w:val="StyleUnderline"/>
        </w:rPr>
        <w:t>King v. Burwell turns on the statute’s plain text limiting health subsidies to those insurance exchanges established by the states</w:t>
      </w:r>
      <w:r w:rsidRPr="0051501A">
        <w:rPr>
          <w:sz w:val="16"/>
        </w:rPr>
        <w:t xml:space="preserve">, rather than the 36 run by the federal government as fallbacks. This condition for federal dollars was meant as an incentive for Governors to participate in ObamaCare, which is the normal framework whenever </w:t>
      </w:r>
      <w:r w:rsidRPr="009D6863">
        <w:rPr>
          <w:rStyle w:val="StyleUnderline"/>
        </w:rPr>
        <w:t>Washington wants to enlist the states to act on its behalf under cooperative federalism, from Medicaid to highway funding to clean-air laws.</w:t>
      </w:r>
      <w:r w:rsidRPr="0051501A">
        <w:rPr>
          <w:sz w:val="12"/>
        </w:rPr>
        <w:t>¶</w:t>
      </w:r>
      <w:r w:rsidRPr="0051501A">
        <w:rPr>
          <w:sz w:val="16"/>
        </w:rPr>
        <w:t xml:space="preserve"> But Justices Anthony Kennedy, </w:t>
      </w:r>
      <w:hyperlink r:id="rId95" w:history="1">
        <w:r w:rsidRPr="0051501A">
          <w:rPr>
            <w:sz w:val="16"/>
          </w:rPr>
          <w:t>Elena Kagan</w:t>
        </w:r>
      </w:hyperlink>
      <w:r w:rsidRPr="0051501A">
        <w:rPr>
          <w:sz w:val="16"/>
        </w:rPr>
        <w:t xml:space="preserve"> and others wondered if this arrangement crosses over from Congress merely attempting to influence state decisions into using spending and regulation to compel these sovereigns to join ObamaCare. “</w:t>
      </w:r>
      <w:r w:rsidRPr="009D6863">
        <w:rPr>
          <w:rStyle w:val="StyleUnderline"/>
        </w:rPr>
        <w:t>From the standpoint of the dynamics of federalism . . . there’s a serious constitutional problem if we adopt your argument</w:t>
      </w:r>
      <w:r w:rsidRPr="0051501A">
        <w:rPr>
          <w:sz w:val="16"/>
        </w:rPr>
        <w:t>,” Justice Kennedy told plaintiffs counsel Michael Carvin.</w:t>
      </w:r>
      <w:r w:rsidRPr="0051501A">
        <w:rPr>
          <w:sz w:val="12"/>
        </w:rPr>
        <w:t>¶</w:t>
      </w:r>
      <w:r w:rsidRPr="0051501A">
        <w:rPr>
          <w:sz w:val="16"/>
        </w:rPr>
        <w:t xml:space="preserve"> The brief version of this contention is that the Affordable Care Act’s rules and mandates artificially increase the cost of health insurance in the name of social equity and income redistribution. The subsidies are meant in part to offset this intrusion into the market. Without the subsidies, consumers would be exposed to the full cost of Obama Care’s political agenda and fewer would buy overpriced health plans as a result. Insurers could go into a “death spiral” in which premiums keep climbing but still don’t cover claims.</w:t>
      </w:r>
      <w:r w:rsidRPr="0051501A">
        <w:rPr>
          <w:sz w:val="12"/>
        </w:rPr>
        <w:t>¶</w:t>
      </w:r>
      <w:r w:rsidRPr="0051501A">
        <w:rPr>
          <w:sz w:val="16"/>
        </w:rPr>
        <w:t xml:space="preserve"> The Kaiser Family Foundation estimates consumer out-of-pocket spending would jump 256% on average without subsidies. In other words, under this theory, </w:t>
      </w:r>
      <w:r>
        <w:rPr>
          <w:rStyle w:val="StyleUnderline"/>
        </w:rPr>
        <w:t xml:space="preserve">Governors must choose between </w:t>
      </w:r>
      <w:r w:rsidRPr="0023781E">
        <w:rPr>
          <w:rStyle w:val="StyleUnderline"/>
        </w:rPr>
        <w:t>cooperating with ObamaCare or destroying their insurance markets.</w:t>
      </w:r>
      <w:r w:rsidRPr="0051501A">
        <w:rPr>
          <w:rStyle w:val="StyleUnderline"/>
          <w:b w:val="0"/>
          <w:sz w:val="12"/>
        </w:rPr>
        <w:t>¶</w:t>
      </w:r>
      <w:r w:rsidRPr="0023781E">
        <w:rPr>
          <w:rStyle w:val="StyleUnderline"/>
        </w:rPr>
        <w:t xml:space="preserve"> The Obama Administration has never explicitly made this case</w:t>
      </w:r>
      <w:r w:rsidRPr="0051501A">
        <w:rPr>
          <w:sz w:val="16"/>
        </w:rPr>
        <w:t xml:space="preserve"> (that would be awkward). But the point has been developed by liberals likeAbbe Gluck of Yale Law and deserves elaboration. One problem is that coercion precedents like South Dakota v. Dole(1987) involve situations in which the states were given an initial choice to cooperate, or not. Then the federal government later sought to fundamentally change the terms of a longstanding bargain by threatening to withhold spending, take it or leave it. For this reason</w:t>
      </w:r>
      <w:r w:rsidRPr="0023781E">
        <w:rPr>
          <w:rStyle w:val="StyleUnderline"/>
        </w:rPr>
        <w:t>, in a 7-2 ObamaCare decision from 2012, the High Court ruled that states could not be forced to expand Medicaid</w:t>
      </w:r>
      <w:r w:rsidRPr="0051501A">
        <w:rPr>
          <w:sz w:val="16"/>
        </w:rPr>
        <w:t>.</w:t>
      </w:r>
      <w:r w:rsidRPr="0051501A">
        <w:rPr>
          <w:sz w:val="12"/>
        </w:rPr>
        <w:t>¶</w:t>
      </w:r>
      <w:r w:rsidRPr="0051501A">
        <w:rPr>
          <w:sz w:val="16"/>
        </w:rPr>
        <w:t xml:space="preserve"> </w:t>
      </w:r>
      <w:r w:rsidRPr="0023781E">
        <w:rPr>
          <w:rStyle w:val="StyleUnderline"/>
        </w:rPr>
        <w:t xml:space="preserve">That is not the same as this case. If Governors decline to establish an exchange, their citizens are not entitled to benefits, but that is not coercion. </w:t>
      </w:r>
      <w:r w:rsidRPr="0051501A">
        <w:rPr>
          <w:sz w:val="16"/>
        </w:rPr>
        <w:t>That is the very trade-off that is supposed to encourage states to participate. If the subsidies will flow no matter what, few if any states would become the partners the Administration wanted.</w:t>
      </w:r>
      <w:r w:rsidRPr="0051501A">
        <w:rPr>
          <w:sz w:val="12"/>
        </w:rPr>
        <w:t>¶</w:t>
      </w:r>
      <w:r w:rsidRPr="0051501A">
        <w:rPr>
          <w:sz w:val="16"/>
        </w:rPr>
        <w:t xml:space="preserve"> </w:t>
      </w:r>
      <w:r w:rsidRPr="00FC23E6">
        <w:rPr>
          <w:rStyle w:val="StyleUnderline"/>
        </w:rPr>
        <w:t>More to the point, federalism is supposed to protect political accountability.</w:t>
      </w:r>
      <w:r w:rsidRPr="0051501A">
        <w:rPr>
          <w:sz w:val="16"/>
        </w:rPr>
        <w:t xml:space="preserve"> Two-thirds of the states made an informed decision to rebuff ObamaCare, but if voters prefer otherwise, they can elect new Governors who won’t</w:t>
      </w:r>
      <w:r w:rsidRPr="00FC23E6">
        <w:rPr>
          <w:rStyle w:val="StyleUnderline"/>
        </w:rPr>
        <w:t>. If federal subsidies flow no matter what, then states aren’t presented with a real choice</w:t>
      </w:r>
      <w:r w:rsidRPr="0051501A">
        <w:rPr>
          <w:sz w:val="16"/>
        </w:rPr>
        <w:t xml:space="preserve">. </w:t>
      </w:r>
      <w:r w:rsidRPr="00FC23E6">
        <w:rPr>
          <w:rStyle w:val="Emphasis"/>
        </w:rPr>
        <w:t>That isn’t how federalism works in the American system</w:t>
      </w:r>
      <w:r w:rsidRPr="0051501A">
        <w:rPr>
          <w:sz w:val="16"/>
        </w:rPr>
        <w:t xml:space="preserve">. As Justice Kennedy rightly noted, </w:t>
      </w:r>
      <w:r w:rsidRPr="0051501A">
        <w:rPr>
          <w:rStyle w:val="StyleUnderline"/>
        </w:rPr>
        <w:t>the exchange decision was partly “a mechanism for states to show they had concerns about the wisdom and workability of the act in the form that it was passed</w:t>
      </w:r>
      <w:r w:rsidRPr="0051501A">
        <w:rPr>
          <w:sz w:val="16"/>
        </w:rPr>
        <w:t>.”</w:t>
      </w:r>
      <w:r w:rsidRPr="0051501A">
        <w:rPr>
          <w:sz w:val="12"/>
        </w:rPr>
        <w:t>¶</w:t>
      </w:r>
      <w:r w:rsidRPr="0051501A">
        <w:rPr>
          <w:sz w:val="16"/>
        </w:rPr>
        <w:t xml:space="preserve"> As for the insurance markets, it’s healthy that liberals at last appreciate that their own regulations are destructive. Yet in the 1980s and 1990s, eight states including Kentucky, Washington and New York imposed the same rules—without subsidies. In other words, the regulations are supposedly valuable by themselves to achieve liberal policy goals.</w:t>
      </w:r>
      <w:r w:rsidRPr="0051501A">
        <w:rPr>
          <w:sz w:val="12"/>
        </w:rPr>
        <w:t>¶</w:t>
      </w:r>
      <w:r w:rsidRPr="0051501A">
        <w:rPr>
          <w:sz w:val="16"/>
        </w:rPr>
        <w:t xml:space="preserve"> Liberals are invoking faux federalism at this late hour to appeal to Justice Kennedy’s separation-of-powers instincts and persuade the Court to sanction both federal and state subsidies under a doctrine known as “constitutional avoidance.” </w:t>
      </w:r>
      <w:r w:rsidRPr="0051501A">
        <w:rPr>
          <w:rStyle w:val="StyleUnderline"/>
        </w:rPr>
        <w:t>That means the courts abstain from interpreting statutes in ways the produce unconstitutional results</w:t>
      </w:r>
      <w:r w:rsidRPr="0051501A">
        <w:rPr>
          <w:sz w:val="16"/>
        </w:rPr>
        <w:t>.</w:t>
      </w:r>
      <w:r w:rsidRPr="0051501A">
        <w:rPr>
          <w:sz w:val="12"/>
        </w:rPr>
        <w:t>¶</w:t>
      </w:r>
      <w:r w:rsidRPr="0051501A">
        <w:rPr>
          <w:sz w:val="16"/>
        </w:rPr>
        <w:t xml:space="preserve"> </w:t>
      </w:r>
      <w:r w:rsidRPr="0051501A">
        <w:rPr>
          <w:rStyle w:val="StyleUnderline"/>
        </w:rPr>
        <w:t>But they cannot use this doctrine to rewrite laws in which the statutory language is as clear and consistent as the Affordable Care Act on the distinction between federal and state exchanges</w:t>
      </w:r>
      <w:r w:rsidRPr="0051501A">
        <w:rPr>
          <w:sz w:val="16"/>
        </w:rPr>
        <w:t>. The Supreme Court has already rewritten ObamaCare once in order to save it. If the Justices really want to vindicate federalism, they should uphold the law as written and force Congress to confront the consequences of its reckless legislating</w:t>
      </w:r>
      <w:r w:rsidRPr="0051501A">
        <w:rPr>
          <w:rFonts w:ascii="Times" w:hAnsi="Times"/>
          <w:color w:val="333333"/>
          <w:sz w:val="16"/>
        </w:rPr>
        <w:t>.</w:t>
      </w:r>
      <w:r w:rsidRPr="00EF7A4B">
        <w:rPr>
          <w:rFonts w:ascii="Times" w:hAnsi="Times"/>
          <w:color w:val="333333"/>
          <w:sz w:val="12"/>
        </w:rPr>
        <w:t xml:space="preserve">¶ </w:t>
      </w:r>
    </w:p>
    <w:p w:rsidR="00AF1BF7" w:rsidRPr="00784F5E" w:rsidRDefault="00AF1BF7" w:rsidP="00AF1BF7"/>
    <w:p w:rsidR="00AF1BF7" w:rsidRDefault="00AF1BF7" w:rsidP="00AF1BF7">
      <w:pPr>
        <w:pStyle w:val="Heading3"/>
      </w:pPr>
      <w:bookmarkStart w:id="94" w:name="_Toc424259169"/>
      <w:r>
        <w:lastRenderedPageBreak/>
        <w:t>Links</w:t>
      </w:r>
      <w:bookmarkEnd w:id="94"/>
    </w:p>
    <w:p w:rsidR="00AF1BF7" w:rsidRDefault="00AF1BF7" w:rsidP="00AF1BF7"/>
    <w:p w:rsidR="00AF1BF7" w:rsidRDefault="00AF1BF7" w:rsidP="00AF1BF7">
      <w:pPr>
        <w:pStyle w:val="Heading4"/>
      </w:pPr>
      <w:r>
        <w:t>Courts rulings undermine federalism</w:t>
      </w:r>
    </w:p>
    <w:p w:rsidR="00AF1BF7" w:rsidRPr="004321A9" w:rsidRDefault="00AF1BF7" w:rsidP="00AF1BF7">
      <w:pPr>
        <w:rPr>
          <w:sz w:val="16"/>
        </w:rPr>
      </w:pPr>
      <w:r w:rsidRPr="004321A9">
        <w:rPr>
          <w:rStyle w:val="StyleStyleBold12pt"/>
        </w:rPr>
        <w:t>Banks and Blakeman 12</w:t>
      </w:r>
      <w:r w:rsidRPr="004321A9">
        <w:rPr>
          <w:sz w:val="16"/>
        </w:rPr>
        <w:t xml:space="preserve">, Constitutional scholars (Christopher P. and John C, </w:t>
      </w:r>
      <w:r w:rsidRPr="008F04F7">
        <w:rPr>
          <w:sz w:val="16"/>
          <w:u w:val="single"/>
        </w:rPr>
        <w:t>The U.S. Supreme Court and New Federalism: From the Rehnquist to the Roberts Court</w:t>
      </w:r>
      <w:r w:rsidRPr="004321A9">
        <w:rPr>
          <w:sz w:val="16"/>
        </w:rPr>
        <w:t xml:space="preserve">, pg 289, </w:t>
      </w:r>
      <w:r w:rsidRPr="004321A9">
        <w:rPr>
          <w:i/>
          <w:sz w:val="16"/>
        </w:rPr>
        <w:t>Rowman &amp; Littlefield</w:t>
      </w:r>
      <w:r w:rsidRPr="004321A9">
        <w:rPr>
          <w:sz w:val="16"/>
        </w:rPr>
        <w:t>, https://books.google.com/books?id=AhRPf2EMGggC&amp;pg=PA289&amp;lpg=PA289&amp;dq=supreme+court+action+undermines+federalism&amp;source=bl&amp;ots=ttIIJmrk6w&amp;sig=RFCmcHztuNoOBQzIGB4Nj68sDGE&amp;hl=en&amp;sa=X&amp;ved=0CCsQ6AEwAjgKahUKEwic6-XRtM7GAhUUMIgKHZmBDWU#v=onepage&amp;q=supreme%20court%20action%20undermines%20federalism&amp;f=false)</w:t>
      </w:r>
    </w:p>
    <w:p w:rsidR="00AF1BF7" w:rsidRDefault="00AF1BF7" w:rsidP="00AF1BF7">
      <w:pPr>
        <w:rPr>
          <w:rStyle w:val="StyleUnderline"/>
        </w:rPr>
      </w:pPr>
      <w:r w:rsidRPr="0015758C">
        <w:rPr>
          <w:sz w:val="16"/>
        </w:rPr>
        <w:t>But in holding there was implied obstacle preemption, in a 5-4 decision Justice Scalia reasoned litigane consumers must challenge such contracts in an individual capacity, which meant that they could no use a class action to press their claims collectively against the corporate defendant. Allowing them to use a class action or the FAA's saving clause to sue under a state law (via the Discover Bank rule) disfavoring arbitration, Scalia asserted, would create and obstacle that got in the way of achieving Congress's intent to enact a uniform body of law designed to enforce private contract arbitration agreements. In a dissent by Justice Breyer and joined by Justices Ginsburg, Sotomayor, and Kagan, the majority's obstacle reasoning is challenged by invoking the FAA's savings clause and the presumption that Congress does not lightly preempt common law actions. For dissenters, the FAA is fully consistent with, and not an obstacle to, the legislature's intent to let the judiciary enforce contract arbitration agreements that may be illicit.</w:t>
      </w:r>
      <w:r w:rsidRPr="004321A9">
        <w:rPr>
          <w:rStyle w:val="StyleUnderline"/>
        </w:rPr>
        <w:t xml:space="preserve"> Under this view, the Court mistakenly undermines "the legitimacy of a State's action," which in turn violates "the federalist ideal, embodied in specific language in [the FAA], [that] should lead us to uphold the California law, not strike it down."</w:t>
      </w:r>
    </w:p>
    <w:p w:rsidR="00AF1BF7" w:rsidRDefault="00AF1BF7" w:rsidP="00AF1BF7">
      <w:pPr>
        <w:rPr>
          <w:rStyle w:val="StyleUnderline"/>
        </w:rPr>
      </w:pPr>
    </w:p>
    <w:p w:rsidR="00AF1BF7" w:rsidRDefault="00AF1BF7" w:rsidP="00AF1BF7">
      <w:pPr>
        <w:pStyle w:val="Heading4"/>
      </w:pPr>
      <w:r>
        <w:t>The Supreme Court has the power to destroy federalism</w:t>
      </w:r>
    </w:p>
    <w:p w:rsidR="00AF1BF7" w:rsidRPr="00497CF7" w:rsidRDefault="00AF1BF7" w:rsidP="00AF1BF7">
      <w:pPr>
        <w:rPr>
          <w:bCs/>
          <w:sz w:val="16"/>
        </w:rPr>
      </w:pPr>
      <w:r>
        <w:rPr>
          <w:rStyle w:val="StyleStyleBold12pt"/>
        </w:rPr>
        <w:t>Epstein J.D. 04</w:t>
      </w:r>
      <w:r w:rsidRPr="007112ED">
        <w:rPr>
          <w:rStyle w:val="StyleStyleBold12pt"/>
          <w:sz w:val="16"/>
        </w:rPr>
        <w:t>( Lita, Author of “The Complete’s Idiot Guide to the Supreme Court”, InfoPlease, Excerpt of Novel, http://www.infoplease.com/cig/supreme-court/whos-control-the-states-or-federal-government.html)</w:t>
      </w:r>
    </w:p>
    <w:p w:rsidR="00AF1BF7" w:rsidRPr="007112ED" w:rsidRDefault="00AF1BF7" w:rsidP="00AF1BF7">
      <w:pPr>
        <w:rPr>
          <w:sz w:val="16"/>
        </w:rPr>
      </w:pPr>
      <w:r w:rsidRPr="007112ED">
        <w:rPr>
          <w:sz w:val="16"/>
        </w:rPr>
        <w:t xml:space="preserve">Two Constitutional amendments are used when deciding whether states' rights should prevail or if </w:t>
      </w:r>
      <w:r w:rsidRPr="00A22D98">
        <w:rPr>
          <w:rStyle w:val="StyleUnderline"/>
        </w:rPr>
        <w:t xml:space="preserve">a strong federal government is </w:t>
      </w:r>
      <w:r w:rsidRPr="007112ED">
        <w:rPr>
          <w:sz w:val="16"/>
        </w:rPr>
        <w:t xml:space="preserve">more </w:t>
      </w:r>
      <w:r w:rsidRPr="00A22D98">
        <w:rPr>
          <w:rStyle w:val="StyleUnderline"/>
        </w:rPr>
        <w:t>important</w:t>
      </w:r>
      <w:r w:rsidRPr="007112ED">
        <w:rPr>
          <w:sz w:val="16"/>
        </w:rPr>
        <w:t>—the Eleventh Amendment and the Fourteenth Amendment.</w:t>
      </w:r>
      <w:r w:rsidRPr="007112ED">
        <w:rPr>
          <w:sz w:val="12"/>
        </w:rPr>
        <w:t>¶</w:t>
      </w:r>
      <w:r w:rsidRPr="007112ED">
        <w:rPr>
          <w:sz w:val="16"/>
        </w:rPr>
        <w:t xml:space="preserve"> The Eleventh Amendment states, “The Judicial power of the United States shall not be construed to extend to any suit in law or equity, commenced or prosecuted against one of the United States by Citizens of another State, or by Citizens or Subjects of any Foreign State.” This amendment primarily has been used to grant states immunity from being sued.</w:t>
      </w:r>
      <w:r w:rsidRPr="007112ED">
        <w:rPr>
          <w:sz w:val="12"/>
        </w:rPr>
        <w:t>¶</w:t>
      </w:r>
      <w:r w:rsidRPr="007112ED">
        <w:rPr>
          <w:sz w:val="16"/>
        </w:rPr>
        <w:t xml:space="preserve"> The portion of the Fourteenth Amendment that limits the Eleventh Amendment states, “No State shall make or enforce any law which shall abridge the privileges or immunities of citizens of the United States; nor shall any State deprive any person of life, liberty, or property, without due process of law; nor deny to any person within its jurisdiction the equal protection of the laws.”</w:t>
      </w:r>
      <w:r w:rsidRPr="007112ED">
        <w:rPr>
          <w:sz w:val="12"/>
        </w:rPr>
        <w:t>¶</w:t>
      </w:r>
      <w:r w:rsidRPr="007112ED">
        <w:rPr>
          <w:sz w:val="16"/>
        </w:rPr>
        <w:t xml:space="preserve"> </w:t>
      </w:r>
      <w:r w:rsidRPr="00A22D98">
        <w:rPr>
          <w:rStyle w:val="StyleUnderline"/>
        </w:rPr>
        <w:t>All cases in which states' rights is a critical part of the issues to be decided involve</w:t>
      </w:r>
      <w:r w:rsidRPr="007112ED">
        <w:rPr>
          <w:sz w:val="16"/>
        </w:rPr>
        <w:t xml:space="preserve"> at least one and more likely both of these </w:t>
      </w:r>
      <w:r w:rsidRPr="00A22D98">
        <w:rPr>
          <w:rStyle w:val="StyleUnderline"/>
        </w:rPr>
        <w:t>amendments</w:t>
      </w:r>
      <w:r w:rsidRPr="007112ED">
        <w:rPr>
          <w:sz w:val="16"/>
        </w:rPr>
        <w:t xml:space="preserve">. When </w:t>
      </w:r>
      <w:r w:rsidRPr="007435BB">
        <w:rPr>
          <w:rStyle w:val="StyleUnderline"/>
        </w:rPr>
        <w:t>the Supreme Court struck down</w:t>
      </w:r>
      <w:r w:rsidRPr="007112ED">
        <w:rPr>
          <w:sz w:val="16"/>
        </w:rPr>
        <w:t xml:space="preserve"> the gun control law in 1995, states' rights proponents believed the Court had the majority it needed to move more aggressively in support of states' rights.</w:t>
      </w:r>
      <w:r w:rsidRPr="007112ED">
        <w:rPr>
          <w:sz w:val="12"/>
        </w:rPr>
        <w:t>¶</w:t>
      </w:r>
      <w:r w:rsidRPr="007112ED">
        <w:rPr>
          <w:sz w:val="16"/>
        </w:rPr>
        <w:t xml:space="preserve"> They were correct for about eight years and enjoyed watching the court grant states immunity from </w:t>
      </w:r>
      <w:r w:rsidRPr="007435BB">
        <w:rPr>
          <w:rStyle w:val="StyleUnderline"/>
        </w:rPr>
        <w:t>discrimination laws and other federal laws that impinged</w:t>
      </w:r>
      <w:r w:rsidRPr="007112ED">
        <w:rPr>
          <w:sz w:val="16"/>
        </w:rPr>
        <w:t xml:space="preserve"> </w:t>
      </w:r>
      <w:r w:rsidRPr="007435BB">
        <w:rPr>
          <w:rStyle w:val="StyleUnderline"/>
        </w:rPr>
        <w:t>on state sovereignty</w:t>
      </w:r>
      <w:r w:rsidRPr="007112ED">
        <w:rPr>
          <w:sz w:val="16"/>
        </w:rPr>
        <w:t xml:space="preserve">. In fact, in a 2000 policy paper developed by Michael Greve for the American Enterprise Institute he declared: “The Fair Labor Standards Act, a New Deal war horse, was held effectively unenforceable against state governments a year ago. This past year, </w:t>
      </w:r>
      <w:r w:rsidRPr="007435BB">
        <w:rPr>
          <w:rStyle w:val="StyleUnderline"/>
        </w:rPr>
        <w:t>inKimel v. Board of Regents, the Court placed state employers beyond the reach of lawsuits for damages under the Age Discrimination in Employment Act</w:t>
      </w:r>
      <w:r w:rsidRPr="007112ED">
        <w:rPr>
          <w:sz w:val="16"/>
        </w:rPr>
        <w:t xml:space="preserve">. The Family and Medical Leave Act is likewise unenforceable. Next year, in a case that the Supreme Court has already agreed to hear, core provisions of the Americans with Disabilities Act may well meet the same fate. Only </w:t>
      </w:r>
      <w:r w:rsidRPr="007435BB">
        <w:rPr>
          <w:rStyle w:val="StyleUnderline"/>
        </w:rPr>
        <w:t>civil rights statutes at the heart of the Fourteenth Amendment—those dealing with race discrimination—will probably remain intact</w:t>
      </w:r>
      <w:r w:rsidRPr="007112ED">
        <w:rPr>
          <w:sz w:val="16"/>
        </w:rPr>
        <w:t>.”</w:t>
      </w:r>
      <w:r w:rsidRPr="007112ED">
        <w:rPr>
          <w:sz w:val="12"/>
        </w:rPr>
        <w:t>¶</w:t>
      </w:r>
      <w:r w:rsidRPr="007112ED">
        <w:rPr>
          <w:sz w:val="16"/>
        </w:rPr>
        <w:t xml:space="preserve"> His analysis was partially correct. State's were granted immunity from the Americans with Disabilities Act in cases related to hiring practices such as the Board of Trustees of the University of Alabama v. Garrett, Patricia. We'll delve more deeply into that case in </w:t>
      </w:r>
      <w:hyperlink r:id="rId96" w:history="1">
        <w:r w:rsidRPr="007112ED">
          <w:rPr>
            <w:sz w:val="16"/>
          </w:rPr>
          <w:t>Keeping Things Equal</w:t>
        </w:r>
      </w:hyperlink>
      <w:r w:rsidRPr="007112ED">
        <w:rPr>
          <w:sz w:val="16"/>
        </w:rPr>
        <w:t xml:space="preserve">. He was wrong about the Family and Medical Leave Act, which was upheld in a 2003 case Nevada Department of Human Resources v. Hibbs (I'll call it Hibbs for short from this point on), which I'll describe in greater detail in a later section. From the time of the New Deal legislation victory, </w:t>
      </w:r>
      <w:r w:rsidRPr="007435BB">
        <w:rPr>
          <w:rStyle w:val="StyleUnderline"/>
        </w:rPr>
        <w:t xml:space="preserve">the Supreme Court supported Congress's authority to regulate interstate commerce and gave Congress just about free reign to establish federal mandates that </w:t>
      </w:r>
      <w:r w:rsidRPr="007435BB">
        <w:rPr>
          <w:rStyle w:val="Emphasis"/>
        </w:rPr>
        <w:t>states must accept</w:t>
      </w:r>
      <w:r w:rsidRPr="007435BB">
        <w:rPr>
          <w:rStyle w:val="StyleUnderline"/>
        </w:rPr>
        <w:t xml:space="preserve">. </w:t>
      </w:r>
      <w:r w:rsidRPr="007112ED">
        <w:rPr>
          <w:sz w:val="16"/>
        </w:rPr>
        <w:t>Rehnquist's Court decided to challenge that, believing states as sovereign powers don't have to obey some federal mandates.</w:t>
      </w:r>
      <w:r w:rsidRPr="007112ED">
        <w:rPr>
          <w:sz w:val="12"/>
        </w:rPr>
        <w:t>¶</w:t>
      </w:r>
      <w:r w:rsidRPr="007112ED">
        <w:rPr>
          <w:sz w:val="16"/>
        </w:rPr>
        <w:t xml:space="preserve"> Greve wrote that in order for the Supreme Court to continue on its states' rights path it needed a strong constituency for its version of federalism. The only such constituency that Greve could find was what Republican strategist Grover Norquist calls the “Leave-Us-Alone” coalition, which is made up of socially conservative, populist constituencies, such as gun owners, home schoolers and school choice groups, property-rights advocates, and religious organizations.</w:t>
      </w:r>
      <w:r w:rsidRPr="007112ED">
        <w:rPr>
          <w:sz w:val="12"/>
        </w:rPr>
        <w:t>¶</w:t>
      </w:r>
      <w:r w:rsidRPr="007112ED">
        <w:rPr>
          <w:sz w:val="16"/>
        </w:rPr>
        <w:t xml:space="preserve"> Now let's take a look at the case that started the recent state's right trend—U.S.v. Alfonso Lopez.</w:t>
      </w:r>
      <w:r w:rsidRPr="007112ED">
        <w:rPr>
          <w:sz w:val="12"/>
        </w:rPr>
        <w:t>¶</w:t>
      </w:r>
      <w:r w:rsidRPr="007112ED">
        <w:rPr>
          <w:sz w:val="16"/>
        </w:rPr>
        <w:t xml:space="preserve"> </w:t>
      </w:r>
      <w:r w:rsidRPr="007112ED">
        <w:rPr>
          <w:sz w:val="12"/>
        </w:rPr>
        <w:t>¶</w:t>
      </w:r>
      <w:r w:rsidRPr="007112ED">
        <w:rPr>
          <w:sz w:val="16"/>
        </w:rPr>
        <w:t xml:space="preserve"> </w:t>
      </w:r>
    </w:p>
    <w:p w:rsidR="00AF1BF7" w:rsidRDefault="00AF1BF7" w:rsidP="00AF1BF7">
      <w:pPr>
        <w:rPr>
          <w:rStyle w:val="StyleUnderline"/>
        </w:rPr>
      </w:pPr>
    </w:p>
    <w:p w:rsidR="00AF1BF7" w:rsidRDefault="00AF1BF7" w:rsidP="00AF1BF7">
      <w:pPr>
        <w:pStyle w:val="Heading4"/>
        <w:rPr>
          <w:rStyle w:val="StyleStyleBold12pt"/>
          <w:b/>
          <w:iCs w:val="0"/>
        </w:rPr>
      </w:pPr>
      <w:r>
        <w:rPr>
          <w:rStyle w:val="StyleStyleBold12pt"/>
          <w:iCs w:val="0"/>
        </w:rPr>
        <w:t xml:space="preserve">Courts would hurt the balance between State-Federal </w:t>
      </w:r>
      <w:r>
        <w:rPr>
          <w:rFonts w:asciiTheme="minorHAnsi" w:hAnsiTheme="minorHAnsi"/>
        </w:rPr>
        <w:t>governments</w:t>
      </w:r>
    </w:p>
    <w:p w:rsidR="00AF1BF7" w:rsidRPr="002679A3" w:rsidRDefault="00AF1BF7" w:rsidP="00AF1BF7">
      <w:pPr>
        <w:pStyle w:val="lastpar"/>
        <w:shd w:val="clear" w:color="auto" w:fill="FFFFFF"/>
        <w:spacing w:before="0" w:beforeAutospacing="0" w:after="0" w:afterAutospacing="0"/>
        <w:rPr>
          <w:rFonts w:asciiTheme="minorHAnsi" w:hAnsiTheme="minorHAnsi"/>
          <w:iCs/>
          <w:color w:val="000000"/>
          <w:szCs w:val="25"/>
        </w:rPr>
      </w:pPr>
      <w:r w:rsidRPr="002679A3">
        <w:rPr>
          <w:rStyle w:val="StyleStyleBold12pt"/>
        </w:rPr>
        <w:t>Kendall</w:t>
      </w:r>
      <w:r w:rsidRPr="002679A3">
        <w:rPr>
          <w:rFonts w:asciiTheme="minorHAnsi" w:hAnsiTheme="minorHAnsi"/>
        </w:rPr>
        <w:t xml:space="preserve"> </w:t>
      </w:r>
      <w:r w:rsidRPr="002679A3">
        <w:rPr>
          <w:rStyle w:val="StyleStyleBold12pt"/>
        </w:rPr>
        <w:t>04</w:t>
      </w:r>
      <w:r>
        <w:rPr>
          <w:rStyle w:val="StyleStyleBold12pt"/>
        </w:rPr>
        <w:t xml:space="preserve"> -</w:t>
      </w:r>
      <w:r w:rsidRPr="002679A3">
        <w:rPr>
          <w:rFonts w:asciiTheme="minorHAnsi" w:hAnsiTheme="minorHAnsi"/>
          <w:sz w:val="22"/>
        </w:rPr>
        <w:t>executive director of Community Rights</w:t>
      </w:r>
      <w:r w:rsidRPr="002679A3">
        <w:rPr>
          <w:rStyle w:val="apple-converted-space"/>
          <w:rFonts w:asciiTheme="minorHAnsi" w:eastAsiaTheme="majorEastAsia" w:hAnsiTheme="minorHAnsi"/>
          <w:iCs/>
          <w:color w:val="000000"/>
          <w:szCs w:val="25"/>
        </w:rPr>
        <w:t> </w:t>
      </w:r>
    </w:p>
    <w:p w:rsidR="00AF1BF7" w:rsidRPr="002679A3" w:rsidRDefault="00AF1BF7" w:rsidP="00AF1BF7">
      <w:pPr>
        <w:rPr>
          <w:i/>
        </w:rPr>
      </w:pPr>
      <w:r>
        <w:rPr>
          <w:rFonts w:asciiTheme="minorHAnsi" w:hAnsiTheme="minorHAnsi"/>
        </w:rPr>
        <w:t>(</w:t>
      </w:r>
      <w:r w:rsidRPr="002679A3">
        <w:rPr>
          <w:rFonts w:asciiTheme="minorHAnsi" w:hAnsiTheme="minorHAnsi"/>
        </w:rPr>
        <w:t>Douglas</w:t>
      </w:r>
      <w:r>
        <w:rPr>
          <w:rFonts w:asciiTheme="minorHAnsi" w:hAnsiTheme="minorHAnsi"/>
          <w:iCs/>
          <w:sz w:val="25"/>
          <w:szCs w:val="25"/>
        </w:rPr>
        <w:t>,</w:t>
      </w:r>
      <w:r w:rsidRPr="002679A3">
        <w:rPr>
          <w:rFonts w:asciiTheme="minorHAnsi" w:hAnsiTheme="minorHAnsi"/>
          <w:iCs/>
          <w:sz w:val="25"/>
          <w:szCs w:val="25"/>
        </w:rPr>
        <w:t xml:space="preserve"> </w:t>
      </w:r>
      <w:r w:rsidRPr="002679A3">
        <w:rPr>
          <w:rFonts w:asciiTheme="minorHAnsi" w:hAnsiTheme="minorHAnsi"/>
          <w:shd w:val="clear" w:color="auto" w:fill="FFFFFF"/>
        </w:rPr>
        <w:t>11/14/04</w:t>
      </w:r>
      <w:r>
        <w:rPr>
          <w:rFonts w:asciiTheme="minorHAnsi" w:hAnsiTheme="minorHAnsi"/>
          <w:shd w:val="clear" w:color="auto" w:fill="FFFFFF"/>
        </w:rPr>
        <w:t>, “</w:t>
      </w:r>
      <w:r>
        <w:t xml:space="preserve">Ouch! You're Hurting Us: How the Court Is Stifling Innovation at the State Level,” </w:t>
      </w:r>
      <w:r>
        <w:rPr>
          <w:i/>
        </w:rPr>
        <w:t xml:space="preserve">Washington Post, </w:t>
      </w:r>
      <w:r w:rsidRPr="002679A3">
        <w:t>http://www.washingtonpost.com/wp-dyn/articles/A47007-2004Nov12.html</w:t>
      </w:r>
      <w:r>
        <w:t>)</w:t>
      </w:r>
    </w:p>
    <w:p w:rsidR="00AF1BF7" w:rsidRDefault="00AF1BF7" w:rsidP="00AF1BF7">
      <w:pPr>
        <w:pStyle w:val="NormalWeb"/>
        <w:shd w:val="clear" w:color="auto" w:fill="FFFFFF"/>
        <w:spacing w:before="0" w:beforeAutospacing="0"/>
        <w:rPr>
          <w:rFonts w:asciiTheme="minorHAnsi" w:hAnsiTheme="minorHAnsi"/>
          <w:color w:val="000000"/>
          <w:sz w:val="25"/>
          <w:szCs w:val="25"/>
        </w:rPr>
      </w:pPr>
      <w:r w:rsidRPr="002679A3">
        <w:rPr>
          <w:rStyle w:val="StyleUnderline"/>
          <w:rFonts w:asciiTheme="minorHAnsi" w:hAnsiTheme="minorHAnsi"/>
        </w:rPr>
        <w:lastRenderedPageBreak/>
        <w:t>The court is protecting federalism both too much and</w:t>
      </w:r>
      <w:r w:rsidRPr="002679A3">
        <w:rPr>
          <w:rFonts w:asciiTheme="minorHAnsi" w:hAnsiTheme="minorHAnsi"/>
          <w:color w:val="000000"/>
          <w:sz w:val="14"/>
          <w:szCs w:val="25"/>
        </w:rPr>
        <w:t xml:space="preserve"> </w:t>
      </w:r>
      <w:r w:rsidRPr="002679A3">
        <w:rPr>
          <w:rStyle w:val="StyleUnderline"/>
          <w:rFonts w:asciiTheme="minorHAnsi" w:hAnsiTheme="minorHAnsi"/>
        </w:rPr>
        <w:t>too little</w:t>
      </w:r>
      <w:r w:rsidRPr="002679A3">
        <w:rPr>
          <w:rFonts w:asciiTheme="minorHAnsi" w:hAnsiTheme="minorHAnsi"/>
          <w:color w:val="000000"/>
          <w:sz w:val="14"/>
          <w:szCs w:val="25"/>
        </w:rPr>
        <w:t xml:space="preserve"> </w:t>
      </w:r>
      <w:r w:rsidRPr="002679A3">
        <w:rPr>
          <w:rStyle w:val="StyleUnderline"/>
          <w:rFonts w:asciiTheme="minorHAnsi" w:hAnsiTheme="minorHAnsi"/>
        </w:rPr>
        <w:t>-- too much, by striking down federal law where even the states recognize that a federal role is necessary to address a national problem; too little, by limiting state experimentation.</w:t>
      </w:r>
      <w:r>
        <w:rPr>
          <w:rStyle w:val="StyleUnderline"/>
          <w:rFonts w:asciiTheme="minorHAnsi" w:hAnsiTheme="minorHAnsi"/>
        </w:rPr>
        <w:t xml:space="preserve"> </w:t>
      </w:r>
      <w:r w:rsidRPr="002679A3">
        <w:rPr>
          <w:rStyle w:val="StyleUnderline"/>
          <w:rFonts w:asciiTheme="minorHAnsi" w:hAnsiTheme="minorHAnsi"/>
        </w:rPr>
        <w:t>The court's rulings</w:t>
      </w:r>
      <w:r w:rsidRPr="002679A3">
        <w:rPr>
          <w:rFonts w:asciiTheme="minorHAnsi" w:hAnsiTheme="minorHAnsi"/>
          <w:color w:val="000000"/>
          <w:sz w:val="14"/>
          <w:szCs w:val="25"/>
        </w:rPr>
        <w:t xml:space="preserve"> and Congress's ambiguity </w:t>
      </w:r>
      <w:r w:rsidRPr="002679A3">
        <w:rPr>
          <w:rStyle w:val="StyleUnderline"/>
          <w:rFonts w:asciiTheme="minorHAnsi" w:hAnsiTheme="minorHAnsi"/>
        </w:rPr>
        <w:t>are</w:t>
      </w:r>
      <w:r w:rsidRPr="002679A3">
        <w:rPr>
          <w:rFonts w:asciiTheme="minorHAnsi" w:hAnsiTheme="minorHAnsi"/>
          <w:color w:val="000000"/>
          <w:sz w:val="14"/>
          <w:szCs w:val="25"/>
        </w:rPr>
        <w:t xml:space="preserve"> not the only federal government </w:t>
      </w:r>
      <w:r w:rsidRPr="002679A3">
        <w:rPr>
          <w:rStyle w:val="StyleUnderline"/>
          <w:rFonts w:asciiTheme="minorHAnsi" w:hAnsiTheme="minorHAnsi"/>
        </w:rPr>
        <w:t>obstacles to state experimentation</w:t>
      </w:r>
      <w:r w:rsidRPr="002679A3">
        <w:rPr>
          <w:rFonts w:asciiTheme="minorHAnsi" w:hAnsiTheme="minorHAnsi"/>
          <w:color w:val="000000"/>
          <w:sz w:val="14"/>
          <w:szCs w:val="25"/>
        </w:rPr>
        <w:t>. The Bush administration, while claiming to approve of the devolution of authority to the states, supported invalidating the Texas Patients' Bill of Rights, even though Bush backed the legislation when he was governor. This coming term, the administration has told the court that a Texas law that would hold herbicide manufacturers accountable to farmers is also preempted by a federal statute.</w:t>
      </w:r>
      <w:r>
        <w:rPr>
          <w:rFonts w:asciiTheme="minorHAnsi" w:hAnsiTheme="minorHAnsi"/>
          <w:color w:val="000000"/>
          <w:sz w:val="14"/>
          <w:szCs w:val="25"/>
        </w:rPr>
        <w:t xml:space="preserve"> </w:t>
      </w:r>
      <w:r w:rsidRPr="002679A3">
        <w:rPr>
          <w:rFonts w:asciiTheme="minorHAnsi" w:hAnsiTheme="minorHAnsi"/>
          <w:color w:val="000000"/>
          <w:sz w:val="14"/>
          <w:szCs w:val="25"/>
        </w:rPr>
        <w:t>Unlike Congress or the executive branch, though, the court is supposed to be the neutral arbiter of battles between the federal government and the states. Several recent cases suggest that it may yet embrace that role. In a 2003 case challenging California's Holocaust Victim Insurance Relief Act, which required insurance companies to provide information about policies issued in Europe between 1920 and 1945, a dissenting coalition of Justices John Paul Stevens, Ruth Bader Ginsburg, Antonin Scalia and Clarence Thomas called for reforms to favor state experimentation. Evidence of such support from across the court's ideological spectrum signals that change may be on the way.</w:t>
      </w:r>
      <w:r>
        <w:rPr>
          <w:rFonts w:asciiTheme="minorHAnsi" w:hAnsiTheme="minorHAnsi"/>
          <w:color w:val="000000"/>
          <w:sz w:val="14"/>
          <w:szCs w:val="25"/>
        </w:rPr>
        <w:t xml:space="preserve"> </w:t>
      </w:r>
      <w:r w:rsidRPr="002679A3">
        <w:rPr>
          <w:rFonts w:asciiTheme="minorHAnsi" w:hAnsiTheme="minorHAnsi"/>
          <w:color w:val="000000"/>
          <w:sz w:val="14"/>
          <w:szCs w:val="25"/>
        </w:rPr>
        <w:t xml:space="preserve">In briefs filed by state attorneys general over the last decade, the states have asked the Supreme Court to redefine its understanding of federalism. </w:t>
      </w:r>
      <w:r w:rsidRPr="002679A3">
        <w:rPr>
          <w:rStyle w:val="StyleUnderline"/>
          <w:rFonts w:asciiTheme="minorHAnsi" w:hAnsiTheme="minorHAnsi"/>
        </w:rPr>
        <w:t>Federalism as explained by the states is about allocating power among the federal government and the states so as to improve the way government serves its citizens</w:t>
      </w:r>
      <w:r w:rsidRPr="002679A3">
        <w:rPr>
          <w:rFonts w:asciiTheme="minorHAnsi" w:hAnsiTheme="minorHAnsi"/>
          <w:color w:val="000000"/>
          <w:sz w:val="14"/>
          <w:szCs w:val="25"/>
        </w:rPr>
        <w:t>. This vision of federalism will not completely satisfy those who want the court to reduce federal power, nor those who urge the court to enforce every federal mandate</w:t>
      </w:r>
      <w:r w:rsidRPr="002679A3">
        <w:rPr>
          <w:rStyle w:val="StyleUnderline"/>
          <w:rFonts w:asciiTheme="minorHAnsi" w:hAnsiTheme="minorHAnsi"/>
        </w:rPr>
        <w:t>. But the court's jurisprudence should not be about satisfying a political constituency; it should be about making our system work. By listening more carefully to the states as it crafts its federalism jurisprudence, the Supreme Court could transform the most important legacy of the Rehnquist era from a source of polarization to a doctrine that will win broad support. If federalism is about protecting the states, the court should begin by listening to them</w:t>
      </w:r>
      <w:r w:rsidRPr="002679A3">
        <w:rPr>
          <w:rFonts w:asciiTheme="minorHAnsi" w:hAnsiTheme="minorHAnsi"/>
          <w:color w:val="000000"/>
          <w:sz w:val="25"/>
          <w:szCs w:val="25"/>
        </w:rPr>
        <w:t>.</w:t>
      </w:r>
    </w:p>
    <w:p w:rsidR="00AF1BF7" w:rsidRPr="00CA0FC6" w:rsidRDefault="00AF1BF7" w:rsidP="00AF1BF7"/>
    <w:p w:rsidR="00AF1BF7" w:rsidRDefault="00AF1BF7" w:rsidP="00AF1BF7">
      <w:pPr>
        <w:pStyle w:val="Heading3"/>
      </w:pPr>
      <w:bookmarkStart w:id="95" w:name="_Toc424259170"/>
      <w:r>
        <w:lastRenderedPageBreak/>
        <w:t>Modeled</w:t>
      </w:r>
      <w:bookmarkEnd w:id="95"/>
    </w:p>
    <w:p w:rsidR="00AF1BF7" w:rsidRDefault="00AF1BF7" w:rsidP="00AF1BF7"/>
    <w:p w:rsidR="00AF1BF7" w:rsidRPr="00784F5E" w:rsidRDefault="00AF1BF7" w:rsidP="00AF1BF7">
      <w:pPr>
        <w:pStyle w:val="Heading4"/>
      </w:pPr>
      <w:r w:rsidRPr="00784F5E">
        <w:t>US Federalism exports globally</w:t>
      </w:r>
    </w:p>
    <w:p w:rsidR="00AF1BF7" w:rsidRDefault="00AF1BF7" w:rsidP="00AF1BF7">
      <w:r w:rsidRPr="009E3E88">
        <w:rPr>
          <w:rStyle w:val="StyleStyleBold12pt"/>
        </w:rPr>
        <w:t>Calabresi 95</w:t>
      </w:r>
      <w:r>
        <w:t xml:space="preserve"> –Associate Professor at Northwestern University School of Law</w:t>
      </w:r>
    </w:p>
    <w:p w:rsidR="00AF1BF7" w:rsidRDefault="00AF1BF7" w:rsidP="00AF1BF7">
      <w:r>
        <w:t>(Steven, "Symposium: Reflections On United States V. Lopez: "A Government Of Limited And Enumerated Powers": In Defense Of United States V. Lopez," Michigan Law Review, December 1995, Lexis)</w:t>
      </w:r>
    </w:p>
    <w:p w:rsidR="00AF1BF7" w:rsidRPr="009E3E88" w:rsidRDefault="00AF1BF7" w:rsidP="00AF1BF7">
      <w:pPr>
        <w:rPr>
          <w:sz w:val="16"/>
        </w:rPr>
      </w:pPr>
      <w:r w:rsidRPr="009E3E88">
        <w:rPr>
          <w:sz w:val="16"/>
        </w:rPr>
        <w:t xml:space="preserve">At the same time, </w:t>
      </w:r>
      <w:r w:rsidRPr="009E3E88">
        <w:rPr>
          <w:rStyle w:val="StyleUnderline"/>
        </w:rPr>
        <w:t>U.S.-style constitutional federalism has become the order of the day in an extraordinarily large number of [*760] very important countries, some of which once might have been thought of as pure nation-states.</w:t>
      </w:r>
      <w:r w:rsidRPr="009E3E88">
        <w:rPr>
          <w:sz w:val="16"/>
        </w:rPr>
        <w:t xml:space="preserve"> Thus, the Federal Republic of Germany, the Republic of Austria, the Russian Federation, Spain, India, and Nigeria all have decentralized power by adopting constitutions that are significantly more federalist than the ones they replaced. </w:t>
      </w:r>
      <w:r w:rsidRPr="009E3E88">
        <w:rPr>
          <w:rStyle w:val="StyleUnderline"/>
        </w:rPr>
        <w:t xml:space="preserve">Many other nations that had been influenced long ago by American federalism have chosen to retain and formalize their federal structures. </w:t>
      </w:r>
      <w:r w:rsidRPr="009E3E88">
        <w:rPr>
          <w:sz w:val="16"/>
        </w:rPr>
        <w:t xml:space="preserve">Thus, the federalist constitutions of Australia, Canada, Brazil, Argentina, and Mexico, for example, all are basically alive and well today. As one surveys the world in 1995, American-style federalism of some kind or another is everywhere triumphant, while the forces of nationalism, although still dangerous, seem to be contained or in retreat. </w:t>
      </w:r>
      <w:r w:rsidRPr="009E3E88">
        <w:rPr>
          <w:rStyle w:val="StyleUnderline"/>
        </w:rPr>
        <w:t>The few remaining highly centralized democratic nation-states</w:t>
      </w:r>
      <w:r w:rsidRPr="009E3E88">
        <w:rPr>
          <w:sz w:val="16"/>
        </w:rPr>
        <w:t xml:space="preserve"> like Great Britain, France, and Italy </w:t>
      </w:r>
      <w:r w:rsidRPr="009E3E88">
        <w:rPr>
          <w:rStyle w:val="StyleUnderline"/>
        </w:rPr>
        <w:t>all face serious secessionist or devolutionary crises. Other highly centralized nation-states</w:t>
      </w:r>
      <w:r w:rsidRPr="009E3E88">
        <w:rPr>
          <w:sz w:val="16"/>
        </w:rPr>
        <w:t xml:space="preserve">, like China, </w:t>
      </w:r>
      <w:r w:rsidRPr="009E3E88">
        <w:rPr>
          <w:rStyle w:val="StyleUnderline"/>
        </w:rPr>
        <w:t>also seem ripe for a federalist, as well as a democratic, change</w:t>
      </w:r>
      <w:r w:rsidRPr="009E3E88">
        <w:rPr>
          <w:sz w:val="16"/>
        </w:rPr>
        <w:t xml:space="preserve">. Even many existing federal and confederal entities seem to face serious pressure to devolve power further than they have done so far: thus, Russia, Spain, Canada, and Belgium all have very serious devolutionary or secessionist movements of some kind. Indeed, </w:t>
      </w:r>
      <w:r w:rsidRPr="009E3E88">
        <w:rPr>
          <w:rStyle w:val="StyleUnderline"/>
        </w:rPr>
        <w:t>secessionist pressure has been so great that some federal structures recently have collapsed under its weight</w:t>
      </w:r>
      <w:r w:rsidRPr="009E3E88">
        <w:rPr>
          <w:sz w:val="16"/>
        </w:rPr>
        <w:t>, as has happened in Czechoslovakia, Yugoslavia, and the former Soviet Union.</w:t>
      </w:r>
    </w:p>
    <w:p w:rsidR="00AF1BF7" w:rsidRPr="00784F5E" w:rsidRDefault="00AF1BF7" w:rsidP="00AF1BF7"/>
    <w:p w:rsidR="00AF1BF7" w:rsidRDefault="00AF1BF7" w:rsidP="00AF1BF7">
      <w:pPr>
        <w:pStyle w:val="Heading3"/>
      </w:pPr>
      <w:bookmarkStart w:id="96" w:name="_Toc424259171"/>
      <w:r>
        <w:lastRenderedPageBreak/>
        <w:t>Solves War</w:t>
      </w:r>
      <w:bookmarkEnd w:id="96"/>
    </w:p>
    <w:p w:rsidR="00AF1BF7" w:rsidRDefault="00AF1BF7" w:rsidP="00AF1BF7"/>
    <w:p w:rsidR="00AF1BF7" w:rsidRPr="00F6031E" w:rsidRDefault="00AF1BF7" w:rsidP="00AF1BF7">
      <w:pPr>
        <w:pStyle w:val="Heading4"/>
      </w:pPr>
      <w:r w:rsidRPr="00F6031E">
        <w:t xml:space="preserve">Past examples of federalism prove </w:t>
      </w:r>
    </w:p>
    <w:p w:rsidR="00AF1BF7" w:rsidRPr="00A6618E" w:rsidRDefault="00AF1BF7" w:rsidP="00AF1BF7">
      <w:pPr>
        <w:rPr>
          <w:rStyle w:val="StyleStyleBold12pt"/>
          <w:b w:val="0"/>
        </w:rPr>
      </w:pPr>
      <w:r w:rsidRPr="00A6618E">
        <w:rPr>
          <w:rStyle w:val="StyleStyleBold12pt"/>
        </w:rPr>
        <w:t>Töpperwien 2009 (</w:t>
      </w:r>
      <w:r w:rsidRPr="00A6618E">
        <w:rPr>
          <w:rFonts w:asciiTheme="minorHAnsi" w:hAnsiTheme="minorHAnsi"/>
          <w:sz w:val="18"/>
          <w:szCs w:val="18"/>
          <w:shd w:val="clear" w:color="auto" w:fill="FFFFFF"/>
        </w:rPr>
        <w:t>Dr. iur. Nicole Töpperwien is an expert consultant on diverse aspects of state organization including federalism, decentralization, power-sharing, inclusion of non-majority groups, in particular in multiethnic settings with a focus on conflict and post-conflict situations)</w:t>
      </w:r>
    </w:p>
    <w:p w:rsidR="00AF1BF7" w:rsidRPr="00A6618E" w:rsidRDefault="00AF1BF7" w:rsidP="00AF1BF7">
      <w:pPr>
        <w:rPr>
          <w:rFonts w:asciiTheme="minorHAnsi" w:hAnsiTheme="minorHAnsi"/>
        </w:rPr>
      </w:pPr>
      <w:r w:rsidRPr="00A6618E">
        <w:rPr>
          <w:rFonts w:asciiTheme="minorHAnsi" w:hAnsiTheme="minorHAnsi"/>
        </w:rPr>
        <w:t xml:space="preserve"> (Dr Nicole, January 2009, “Federalism and Peace Mediation”, </w:t>
      </w:r>
      <w:r w:rsidRPr="00A6618E">
        <w:rPr>
          <w:rFonts w:asciiTheme="minorHAnsi" w:hAnsiTheme="minorHAnsi"/>
          <w:i/>
        </w:rPr>
        <w:t>Mediation Support Project</w:t>
      </w:r>
      <w:r w:rsidRPr="00A6618E">
        <w:rPr>
          <w:rFonts w:asciiTheme="minorHAnsi" w:hAnsiTheme="minorHAnsi"/>
        </w:rPr>
        <w:t>)</w:t>
      </w:r>
    </w:p>
    <w:p w:rsidR="00AF1BF7" w:rsidRPr="00F6031E" w:rsidRDefault="00AF1BF7" w:rsidP="00AF1BF7">
      <w:pPr>
        <w:rPr>
          <w:rFonts w:asciiTheme="minorHAnsi" w:hAnsiTheme="minorHAnsi"/>
          <w:sz w:val="16"/>
        </w:rPr>
      </w:pPr>
      <w:r w:rsidRPr="00A6618E">
        <w:rPr>
          <w:rStyle w:val="StyleUnderline"/>
          <w:rFonts w:asciiTheme="minorHAnsi" w:hAnsiTheme="minorHAnsi"/>
        </w:rPr>
        <w:t>Federalism can be successful. There are successful examples of federal states</w:t>
      </w:r>
      <w:r w:rsidRPr="00A6618E">
        <w:rPr>
          <w:rFonts w:asciiTheme="minorHAnsi" w:hAnsiTheme="minorHAnsi"/>
          <w:sz w:val="16"/>
        </w:rPr>
        <w:t xml:space="preserve">, but also a number of failed federations.11 However, </w:t>
      </w:r>
      <w:r w:rsidRPr="00A6618E">
        <w:rPr>
          <w:rStyle w:val="StyleUnderline"/>
          <w:rFonts w:asciiTheme="minorHAnsi" w:hAnsiTheme="minorHAnsi"/>
        </w:rPr>
        <w:t>empirical research suggests that despite its potential deficiencies, federal states tend to be more apt in accommodating diversity and lessening secessionist tendencies than unitary states.</w:t>
      </w:r>
      <w:r w:rsidRPr="00A6618E">
        <w:rPr>
          <w:rFonts w:asciiTheme="minorHAnsi" w:hAnsiTheme="minorHAnsi"/>
          <w:sz w:val="16"/>
        </w:rPr>
        <w:t xml:space="preserve"> In fact, nearly half of the world’s population live under a federal government and in general, it can be said that federal solutions can strengthen the feeling of non-majorities to be part of the state and thus contribute to more stability. Thus, </w:t>
      </w:r>
      <w:r w:rsidRPr="00A6618E">
        <w:rPr>
          <w:rStyle w:val="StyleUnderline"/>
          <w:rFonts w:asciiTheme="minorHAnsi" w:hAnsiTheme="minorHAnsi"/>
        </w:rPr>
        <w:t>while federalism may not solve all conflicts, it can provide peaceful mechanisms for conflict management</w:t>
      </w:r>
      <w:r w:rsidRPr="00A6618E">
        <w:rPr>
          <w:rFonts w:asciiTheme="minorHAnsi" w:hAnsiTheme="minorHAnsi"/>
          <w:sz w:val="16"/>
        </w:rPr>
        <w:t>.</w:t>
      </w:r>
    </w:p>
    <w:p w:rsidR="00AF1BF7" w:rsidRDefault="00AF1BF7" w:rsidP="00AF1BF7"/>
    <w:p w:rsidR="00AF1BF7" w:rsidRDefault="00AF1BF7" w:rsidP="00AF1BF7">
      <w:pPr>
        <w:pStyle w:val="Heading4"/>
      </w:pPr>
      <w:r>
        <w:t>Federalism obviates the need for state conflict – solves ethnic tensions</w:t>
      </w:r>
    </w:p>
    <w:p w:rsidR="00AF1BF7" w:rsidRDefault="00AF1BF7" w:rsidP="00AF1BF7">
      <w:r w:rsidRPr="00340C59">
        <w:rPr>
          <w:rStyle w:val="StyleStyleBold12pt"/>
        </w:rPr>
        <w:t>Bednar 2005</w:t>
      </w:r>
      <w:r>
        <w:t xml:space="preserve"> (</w:t>
      </w:r>
      <w:r w:rsidRPr="00340C59">
        <w:t>Associate Professor of Political Science</w:t>
      </w:r>
      <w:r>
        <w:t xml:space="preserve"> </w:t>
      </w:r>
      <w:r w:rsidRPr="00340C59">
        <w:t>University of Michigan)</w:t>
      </w:r>
    </w:p>
    <w:p w:rsidR="00AF1BF7" w:rsidRPr="00340C59" w:rsidRDefault="00AF1BF7" w:rsidP="00AF1BF7">
      <w:r>
        <w:t>(Jenna, June 2005, “Federalism as a Public Good</w:t>
      </w:r>
      <w:r w:rsidRPr="00340C59">
        <w:rPr>
          <w:i/>
        </w:rPr>
        <w:t>” Department of Political Science University of Michigan</w:t>
      </w:r>
      <w:r>
        <w:t xml:space="preserve">, </w:t>
      </w:r>
      <w:r w:rsidRPr="00340C59">
        <w:t>http://www-personal.umich.edu/~jbednar/WIP/robustCPEcomplete.pdf</w:t>
      </w:r>
      <w:r>
        <w:t>)</w:t>
      </w:r>
    </w:p>
    <w:p w:rsidR="00AF1BF7" w:rsidRPr="007A0B71" w:rsidRDefault="00AF1BF7" w:rsidP="00AF1BF7">
      <w:pPr>
        <w:rPr>
          <w:sz w:val="16"/>
        </w:rPr>
      </w:pPr>
      <w:r w:rsidRPr="007A0B71">
        <w:rPr>
          <w:rStyle w:val="StyleUnderline"/>
        </w:rPr>
        <w:t>Madison praised federalism for its potential to improve the overall quality of representation over what was present in the state legislatures prior to federation, bolstering the feasibility of democracy</w:t>
      </w:r>
      <w:r w:rsidRPr="007A0B71">
        <w:rPr>
          <w:sz w:val="16"/>
        </w:rPr>
        <w:t xml:space="preserve"> (the Federalist; Elazar 1987; Ostrom 1991</w:t>
      </w:r>
      <w:r w:rsidRPr="007A0B71">
        <w:rPr>
          <w:rStyle w:val="StyleUnderline"/>
        </w:rPr>
        <w:t>). Other benefits of federalism cite the value of decentralization: it may more effectively</w:t>
      </w:r>
      <w:r w:rsidRPr="007A0B71">
        <w:rPr>
          <w:sz w:val="16"/>
        </w:rPr>
        <w:t xml:space="preserve"> manage heterogeneous populations; </w:t>
      </w:r>
      <w:r w:rsidRPr="007A0B71">
        <w:rPr>
          <w:rStyle w:val="StyleUnderline"/>
        </w:rPr>
        <w:t>distributing authority at lower levels may serve as a pressure valve, releasing ethnic tensions</w:t>
      </w:r>
      <w:r w:rsidRPr="007A0B71">
        <w:rPr>
          <w:sz w:val="16"/>
        </w:rPr>
        <w:t xml:space="preserve"> (the Federalist; Horowitz 1985; Stepan 1999). In the fiscal federalism literature, decentralization permits citizens to elect politicians who will tailor policy to meet local preferences or to move to states that better match their interests (Tiebout 1956; Donahue 1997; Oates 1999; Peterson 1995; Inman &amp; Rubinfeld 1992)Most federations are established for multiple reasons</w:t>
      </w:r>
      <w:r w:rsidRPr="00284E80">
        <w:rPr>
          <w:rStyle w:val="StyleUnderline"/>
        </w:rPr>
        <w:t>. In the Federalist, Hamilton, Madison, and Jay allude to the unions potential to make the states more secure against foreign invasion, to improve the economy through establishment of a common market, to minimize the incidence and consequences of skirmishes between the states, and</w:t>
      </w:r>
      <w:r w:rsidRPr="007A0B71">
        <w:rPr>
          <w:sz w:val="16"/>
        </w:rPr>
        <w:t xml:space="preserve"> (particularly Madison), </w:t>
      </w:r>
      <w:r w:rsidRPr="00284E80">
        <w:rPr>
          <w:rStyle w:val="StyleUnderline"/>
        </w:rPr>
        <w:t>to improve the quality of representative democracy</w:t>
      </w:r>
      <w:r>
        <w:rPr>
          <w:rStyle w:val="StyleUnderline"/>
        </w:rPr>
        <w:t>.</w:t>
      </w:r>
      <w:r w:rsidRPr="007A0B71">
        <w:rPr>
          <w:sz w:val="16"/>
        </w:rPr>
        <w:t xml:space="preserve"> </w:t>
      </w:r>
    </w:p>
    <w:p w:rsidR="00AF1BF7" w:rsidRPr="00206262" w:rsidRDefault="00AF1BF7" w:rsidP="00AF1BF7"/>
    <w:p w:rsidR="00AF1BF7" w:rsidRDefault="00AF1BF7" w:rsidP="00AF1BF7">
      <w:pPr>
        <w:pStyle w:val="Heading3"/>
      </w:pPr>
      <w:bookmarkStart w:id="97" w:name="_Toc424259172"/>
      <w:r>
        <w:lastRenderedPageBreak/>
        <w:t>Solves Democracy</w:t>
      </w:r>
      <w:bookmarkEnd w:id="97"/>
    </w:p>
    <w:p w:rsidR="00AF1BF7" w:rsidRDefault="00AF1BF7" w:rsidP="00AF1BF7"/>
    <w:p w:rsidR="00AF1BF7" w:rsidRPr="00335706" w:rsidRDefault="00AF1BF7" w:rsidP="00AF1BF7">
      <w:pPr>
        <w:pStyle w:val="Heading4"/>
      </w:pPr>
      <w:r>
        <w:t>Federalism solves democracy – it returns power to the voters</w:t>
      </w:r>
    </w:p>
    <w:p w:rsidR="00AF1BF7" w:rsidRPr="00335706" w:rsidRDefault="00AF1BF7" w:rsidP="00AF1BF7">
      <w:r w:rsidRPr="00335706">
        <w:rPr>
          <w:rStyle w:val="StyleUnderline"/>
        </w:rPr>
        <w:t>Tracinski ’15</w:t>
      </w:r>
      <w:r w:rsidRPr="00335706">
        <w:t xml:space="preserve"> [Robert Tracinski – philosophy at University of Chicago, March-23-2015, “Let’s Be Two Americas: The Case for Federalism,” The Federalist, http://thefederalist.com/2015/03/23/lets-be-two-americas-the-case-for-federalism/]</w:t>
      </w:r>
    </w:p>
    <w:p w:rsidR="00AF1BF7" w:rsidRDefault="00AF1BF7" w:rsidP="00AF1BF7">
      <w:pPr>
        <w:rPr>
          <w:sz w:val="16"/>
        </w:rPr>
      </w:pPr>
      <w:r w:rsidRPr="001F4F07">
        <w:rPr>
          <w:sz w:val="16"/>
        </w:rPr>
        <w:t xml:space="preserve">There has been some haggling in Congress recently over a proposal to convert a couple of big chunks of federal spending—Medicaid and food stamps—into block grants to the states, which would be given more control over the programs. This proposal suggests a much broader answer to our current political conflicts, toward which this is just a small first step that doesn’t go nearly far enough. </w:t>
      </w:r>
      <w:r w:rsidRPr="00575EC0">
        <w:rPr>
          <w:rStyle w:val="StyleUnderline"/>
        </w:rPr>
        <w:t>The reversion of federal programs to the states is touted as a measure that will save money</w:t>
      </w:r>
      <w:r w:rsidRPr="001F4F07">
        <w:rPr>
          <w:rStyle w:val="StyleUnderline"/>
        </w:rPr>
        <w:t>.</w:t>
      </w:r>
      <w:r w:rsidRPr="001F4F07">
        <w:rPr>
          <w:sz w:val="16"/>
        </w:rPr>
        <w:t xml:space="preserve"> The politicians keep the reasons for this a little vague, but we all know where the savings are going to come from. Given the opportunity to set their own policy, </w:t>
      </w:r>
      <w:r w:rsidRPr="001F4F07">
        <w:rPr>
          <w:rStyle w:val="StyleUnderline"/>
        </w:rPr>
        <w:t>some states will be less lavish in giving out welfare benefits, while others will maintain more spendthrift programs. This is not just a matter of states seeking programs that are more practical and efficient. It’s a matter of values</w:t>
      </w:r>
      <w:r w:rsidRPr="001F4F07">
        <w:rPr>
          <w:sz w:val="16"/>
        </w:rPr>
        <w:t>. It is about differing visions about the size and role of government and about the morality of taxing those who work to subsidize those who don’t. Different parts of America have different views on this subject, sometimes strongly different views. And perhaps it’s time we stopped fighting against that. Thus my modest proposal. Let’s be two Americas. That’s what everybody’s always complaining about, right? We can’t have “Two Americas.” But what if it’s not such a bad thing? What if this was actually designed into the original American system and is the way things were supposed to be? And maybe it would lead, not to more conflict between the two Americas, but less. I know this may raise a bit of a visceral reaction. We’re supposed to be e pluribus unum—from many, one. It’s the motto on the Great Seal of the United States, for crying out loud. But the Founders who chose that motto in the first place still believed very strongly in the pluribus. In fact, they gave the unum very little to do, concerning itself with national defense, international trade, and resolving a few high</w:t>
      </w:r>
      <w:r w:rsidRPr="001F4F07">
        <w:rPr>
          <w:rFonts w:ascii="Cambria Math" w:hAnsi="Cambria Math" w:cs="Cambria Math"/>
          <w:sz w:val="16"/>
        </w:rPr>
        <w:t>‐</w:t>
      </w:r>
      <w:r w:rsidRPr="001F4F07">
        <w:rPr>
          <w:sz w:val="16"/>
        </w:rPr>
        <w:t>level legal disputes. Most government was left to the pluribus, to the states, to run as they saw fit. Back then, of course, government was unbelievably small by today’s standards. And that’s part of the reason we ended up messing up this original federal system: the self</w:t>
      </w:r>
      <w:r w:rsidRPr="001F4F07">
        <w:rPr>
          <w:rFonts w:ascii="Cambria Math" w:hAnsi="Cambria Math" w:cs="Cambria Math"/>
          <w:sz w:val="16"/>
        </w:rPr>
        <w:t>‐</w:t>
      </w:r>
      <w:r w:rsidRPr="001F4F07">
        <w:rPr>
          <w:sz w:val="16"/>
        </w:rPr>
        <w:t xml:space="preserve">declared “progressives” hatched so many enormous ambitions for what the government was supposed to do that only the federal government could concentrate the massive sums of money and power required. To be sure, the other blow to federalism was the late unpleasantness over slavery and segregation, issues on which the federal government ultimately had to intervene to compel the states to recognize fundamental rights. But the left seizes on that legacy as an excuse to treat every difference of policy as if it were on that fundamental level. </w:t>
      </w:r>
      <w:r w:rsidRPr="001F4F07">
        <w:rPr>
          <w:rStyle w:val="StyleUnderline"/>
        </w:rPr>
        <w:t>If you think every disagreement over, say, minimum wage laws or union regulations or unemployment benefits, is the moral equivalent of the conflict between slaveholders and abolitionists—then it’s no wonder we’re in a constant, low</w:t>
      </w:r>
      <w:r w:rsidRPr="001F4F07">
        <w:rPr>
          <w:rStyle w:val="StyleUnderline"/>
          <w:rFonts w:ascii="Cambria Math" w:hAnsi="Cambria Math" w:cs="Cambria Math"/>
        </w:rPr>
        <w:t>‐</w:t>
      </w:r>
      <w:r w:rsidRPr="001F4F07">
        <w:rPr>
          <w:rStyle w:val="StyleUnderline"/>
        </w:rPr>
        <w:t>grade civil war</w:t>
      </w:r>
      <w:r w:rsidRPr="001F4F07">
        <w:rPr>
          <w:sz w:val="16"/>
        </w:rPr>
        <w:t xml:space="preserve">. </w:t>
      </w:r>
      <w:r w:rsidRPr="001F4F07">
        <w:rPr>
          <w:rStyle w:val="StyleUnderline"/>
        </w:rPr>
        <w:t>The past few decades’s worth of trench warfare on Capitol Hill is driven by a wider national conflict of values</w:t>
      </w:r>
      <w:r w:rsidRPr="001F4F07">
        <w:rPr>
          <w:sz w:val="16"/>
        </w:rPr>
        <w:t>. It is driven by the contrast between the coastal states and big population centers, where people generally want a much bigger and more intrusive government that redistributes a lot of our money—versus Southern, Western, and “heartland” states that want smaller government and more personal responsibility, self</w:t>
      </w:r>
      <w:r w:rsidRPr="001F4F07">
        <w:rPr>
          <w:rFonts w:ascii="Cambria Math" w:hAnsi="Cambria Math" w:cs="Cambria Math"/>
          <w:sz w:val="16"/>
        </w:rPr>
        <w:t>‐</w:t>
      </w:r>
      <w:r w:rsidRPr="001F4F07">
        <w:rPr>
          <w:sz w:val="16"/>
        </w:rPr>
        <w:t xml:space="preserve">reliance, and private charity. </w:t>
      </w:r>
      <w:r w:rsidRPr="001F4F07">
        <w:rPr>
          <w:rStyle w:val="StyleUnderline"/>
        </w:rPr>
        <w:t>So we’re constantly deadlocked on the federal level, where politicians usually prove capable neither of expanding the welfare state nor of reducing it or reforming it in any meaningful way.</w:t>
      </w:r>
      <w:r w:rsidRPr="001F4F07">
        <w:rPr>
          <w:sz w:val="16"/>
        </w:rPr>
        <w:t xml:space="preserve"> Why not give up fighting on the federal level and just agree to disagree? Out here in the hinterland, we’ll let Massachusetts be Massachusetts, and we’ll let California be California and New York be New York. But we’d like them to return the favor. New York should have the decency to let Kansas be Kansas, and not feel the need to write books about what’s the matter with them. At this point, some coastal elite will trot out the usual snarky comment about how the “red states” benefit from a national</w:t>
      </w:r>
      <w:r w:rsidRPr="001F4F07">
        <w:rPr>
          <w:rFonts w:ascii="Cambria Math" w:hAnsi="Cambria Math" w:cs="Cambria Math"/>
          <w:sz w:val="16"/>
        </w:rPr>
        <w:t>‐</w:t>
      </w:r>
      <w:r w:rsidRPr="001F4F07">
        <w:rPr>
          <w:sz w:val="16"/>
        </w:rPr>
        <w:t>level welfare system because the “blue states” pay more of the taxes while the red states have more poor people. Well, then you shouldn’t mind us opting out of that system and relieving you of the burden, should you? But there’s the rub. They are no doubt worried about competition. They are worried that a lot of us—particularly those who embrace the creed of self</w:t>
      </w:r>
      <w:r w:rsidRPr="001F4F07">
        <w:rPr>
          <w:rFonts w:ascii="Cambria Math" w:hAnsi="Cambria Math" w:cs="Cambria Math"/>
          <w:sz w:val="16"/>
        </w:rPr>
        <w:t>‐</w:t>
      </w:r>
      <w:r w:rsidRPr="001F4F07">
        <w:rPr>
          <w:sz w:val="16"/>
        </w:rPr>
        <w:t>reliance —will conclude that the red states are much better places to live and work and start a businesses. In fact, it’s already happening, with an exodus of Yankees headed South, of manufacturers in search of non</w:t>
      </w:r>
      <w:r w:rsidRPr="001F4F07">
        <w:rPr>
          <w:rFonts w:ascii="Cambria Math" w:hAnsi="Cambria Math" w:cs="Cambria Math"/>
          <w:sz w:val="16"/>
        </w:rPr>
        <w:t>‐</w:t>
      </w:r>
      <w:r w:rsidRPr="001F4F07">
        <w:rPr>
          <w:sz w:val="16"/>
        </w:rPr>
        <w:t xml:space="preserve">unionized labor, of Californians headed for Arizona, or New Yorkers headed for the Florida is quest of a lower cost of living and no state income tax. That’s one of the reasons why we had the system of federalism in the first place— to </w:t>
      </w:r>
      <w:r w:rsidRPr="001F4F07">
        <w:rPr>
          <w:rStyle w:val="StyleUnderline"/>
        </w:rPr>
        <w:t>let the states be “laboratories of democracy” that adopt slightly different models of government, for which citizens can vote with their feet</w:t>
      </w:r>
      <w:r w:rsidRPr="001F4F07">
        <w:rPr>
          <w:sz w:val="16"/>
        </w:rPr>
        <w:t xml:space="preserve">. Perhaps the coastal states, for all their smug superiority, are afraid that their model of government is not as attractive as they imagine. But why shouldn’t they be required to put their system to a test? </w:t>
      </w:r>
      <w:r w:rsidRPr="001F4F07">
        <w:rPr>
          <w:rStyle w:val="StyleUnderline"/>
        </w:rPr>
        <w:t xml:space="preserve">The friendly competition between states would certainly be a lot less stressful to our political system than turning every political issue into a game of thermonuclear war on the floor of Congress. </w:t>
      </w:r>
      <w:r w:rsidRPr="001F4F07">
        <w:rPr>
          <w:sz w:val="16"/>
        </w:rPr>
        <w:t>That’s what we need right now: more pluribus and less unum.</w:t>
      </w:r>
    </w:p>
    <w:p w:rsidR="00AF1BF7" w:rsidRPr="005F25FB" w:rsidRDefault="00AF1BF7" w:rsidP="00AF1BF7"/>
    <w:p w:rsidR="00AF1BF7" w:rsidRPr="002826D2" w:rsidRDefault="00AF1BF7" w:rsidP="00AF1BF7">
      <w:pPr>
        <w:pStyle w:val="Heading4"/>
      </w:pPr>
      <w:r w:rsidRPr="002826D2">
        <w:t xml:space="preserve">Federalism is key to providing power balance between minority and majority groups to solve conflict </w:t>
      </w:r>
    </w:p>
    <w:p w:rsidR="00AF1BF7" w:rsidRPr="00A6618E" w:rsidRDefault="00AF1BF7" w:rsidP="00AF1BF7">
      <w:pPr>
        <w:rPr>
          <w:rStyle w:val="StyleStyleBold12pt"/>
          <w:b w:val="0"/>
        </w:rPr>
      </w:pPr>
      <w:r w:rsidRPr="00A6618E">
        <w:rPr>
          <w:rStyle w:val="StyleStyleBold12pt"/>
        </w:rPr>
        <w:t>Töpperwien 2009 (</w:t>
      </w:r>
      <w:r w:rsidRPr="00A6618E">
        <w:rPr>
          <w:rFonts w:asciiTheme="minorHAnsi" w:hAnsiTheme="minorHAnsi"/>
          <w:sz w:val="18"/>
          <w:szCs w:val="18"/>
          <w:shd w:val="clear" w:color="auto" w:fill="FFFFFF"/>
        </w:rPr>
        <w:t>Dr. iur. Nicole Töpperwien is an expert consultant on diverse aspects of state organization including federalism, decentralization, power-sharing, inclusion of non-majority groups, in particular in multiethnic settings with a focus on conflict and post-conflict situations)</w:t>
      </w:r>
    </w:p>
    <w:p w:rsidR="00AF1BF7" w:rsidRPr="00A6618E" w:rsidRDefault="00AF1BF7" w:rsidP="00AF1BF7">
      <w:pPr>
        <w:rPr>
          <w:rFonts w:asciiTheme="minorHAnsi" w:hAnsiTheme="minorHAnsi"/>
        </w:rPr>
      </w:pPr>
      <w:r w:rsidRPr="00A6618E">
        <w:rPr>
          <w:rFonts w:asciiTheme="minorHAnsi" w:hAnsiTheme="minorHAnsi"/>
        </w:rPr>
        <w:t xml:space="preserve"> (Dr Nicole, January 2009, “Federalism and Peace Mediation”, </w:t>
      </w:r>
      <w:r w:rsidRPr="00A6618E">
        <w:rPr>
          <w:rFonts w:asciiTheme="minorHAnsi" w:hAnsiTheme="minorHAnsi"/>
          <w:i/>
        </w:rPr>
        <w:t>Mediation Support Project</w:t>
      </w:r>
      <w:r w:rsidRPr="00A6618E">
        <w:rPr>
          <w:rFonts w:asciiTheme="minorHAnsi" w:hAnsiTheme="minorHAnsi"/>
        </w:rPr>
        <w:t>)</w:t>
      </w:r>
    </w:p>
    <w:p w:rsidR="00AF1BF7" w:rsidRDefault="00AF1BF7" w:rsidP="00AF1BF7">
      <w:pPr>
        <w:rPr>
          <w:rFonts w:asciiTheme="minorHAnsi" w:hAnsiTheme="minorHAnsi"/>
          <w:sz w:val="16"/>
        </w:rPr>
      </w:pPr>
      <w:r w:rsidRPr="00A6618E">
        <w:rPr>
          <w:rStyle w:val="StyleUnderline"/>
          <w:rFonts w:asciiTheme="minorHAnsi" w:hAnsiTheme="minorHAnsi"/>
        </w:rPr>
        <w:lastRenderedPageBreak/>
        <w:t>Federalism can be a useful means of conflict resolution in that it can provide a viable power balance between majority and non-majorities, groups and individual citizens</w:t>
      </w:r>
      <w:r w:rsidRPr="00A6618E">
        <w:rPr>
          <w:rFonts w:asciiTheme="minorHAnsi" w:hAnsiTheme="minorHAnsi"/>
          <w:sz w:val="16"/>
        </w:rPr>
        <w:t xml:space="preserve">. Based on the self-rule principle, policy areas which are important for the identity of an ethnic group (or minority) and which are potentially divisive (e.g. culture, police, religion) can be left to lower levels of government. This can </w:t>
      </w:r>
      <w:r w:rsidRPr="00A6618E">
        <w:rPr>
          <w:rStyle w:val="StyleUnderline"/>
          <w:rFonts w:asciiTheme="minorHAnsi" w:hAnsiTheme="minorHAnsi"/>
        </w:rPr>
        <w:t>promote self-determination and can indirectly help avoid conflicts at higher levels of government. Shared rule promotes decision-making which respects the interests of the federal units.</w:t>
      </w:r>
      <w:r w:rsidRPr="00A6618E">
        <w:rPr>
          <w:rFonts w:asciiTheme="minorHAnsi" w:hAnsiTheme="minorHAnsi"/>
          <w:sz w:val="16"/>
        </w:rPr>
        <w:t xml:space="preserve"> Furthermore, the federal units legitimate the state through their participation in the political process (upper chamber of parliament). Additionally, the bicameral parliament assures that the interests of citizens as such (through the lower house) are also taken into account. Finally, </w:t>
      </w:r>
      <w:r w:rsidRPr="00A6618E">
        <w:rPr>
          <w:rStyle w:val="StyleUnderline"/>
          <w:rFonts w:asciiTheme="minorHAnsi" w:hAnsiTheme="minorHAnsi"/>
        </w:rPr>
        <w:t>the entrenchment</w:t>
      </w:r>
      <w:r w:rsidRPr="00A6618E">
        <w:rPr>
          <w:rFonts w:asciiTheme="minorHAnsi" w:hAnsiTheme="minorHAnsi"/>
          <w:sz w:val="16"/>
        </w:rPr>
        <w:t xml:space="preserve"> </w:t>
      </w:r>
      <w:r w:rsidRPr="00A6618E">
        <w:rPr>
          <w:rStyle w:val="StyleUnderline"/>
          <w:rFonts w:asciiTheme="minorHAnsi" w:hAnsiTheme="minorHAnsi"/>
        </w:rPr>
        <w:t>in the constitution can reassure all political actors that changes to the system will only take place on the basis of a constitutional consensus.</w:t>
      </w:r>
      <w:r w:rsidRPr="00A6618E">
        <w:rPr>
          <w:rFonts w:asciiTheme="minorHAnsi" w:hAnsiTheme="minorHAnsi"/>
          <w:sz w:val="16"/>
        </w:rPr>
        <w:t xml:space="preserve"> The requirements for amending the constitution are normally the same as for the adoption of the constitution.</w:t>
      </w:r>
    </w:p>
    <w:p w:rsidR="00AF1BF7" w:rsidRDefault="00AF1BF7" w:rsidP="00AF1BF7"/>
    <w:p w:rsidR="00AF1BF7" w:rsidRPr="005F25FB" w:rsidRDefault="00AF1BF7" w:rsidP="00AF1BF7">
      <w:pPr>
        <w:pStyle w:val="Heading4"/>
      </w:pPr>
      <w:r w:rsidRPr="005F25FB">
        <w:t xml:space="preserve">Federalism </w:t>
      </w:r>
      <w:r>
        <w:t xml:space="preserve">increases policy </w:t>
      </w:r>
      <w:r w:rsidRPr="005F25FB">
        <w:t>diversity, political participation,</w:t>
      </w:r>
      <w:r>
        <w:t xml:space="preserve"> and</w:t>
      </w:r>
      <w:r w:rsidRPr="005F25FB">
        <w:t xml:space="preserve"> efficiency</w:t>
      </w:r>
    </w:p>
    <w:p w:rsidR="00AF1BF7" w:rsidRDefault="00AF1BF7" w:rsidP="00AF1BF7">
      <w:pPr>
        <w:rPr>
          <w:rStyle w:val="StyleUnderline"/>
        </w:rPr>
      </w:pPr>
      <w:r w:rsidRPr="00326D3B">
        <w:rPr>
          <w:rStyle w:val="StyleStyleBold12pt"/>
        </w:rPr>
        <w:t>Cengage Learning 11</w:t>
      </w:r>
      <w:r>
        <w:rPr>
          <w:shd w:val="clear" w:color="auto" w:fill="FFFFFF"/>
        </w:rPr>
        <w:t xml:space="preserve"> (an educational content, technology, and services company for the higher education and K-12, professional and library markets worldwide. Cengage Learning has operations in more than 20 countries around the world)</w:t>
      </w:r>
      <w:r w:rsidRPr="00F57906">
        <w:rPr>
          <w:rStyle w:val="StyleUnderline"/>
        </w:rPr>
        <w:t xml:space="preserve"> </w:t>
      </w:r>
    </w:p>
    <w:p w:rsidR="00AF1BF7" w:rsidRPr="00F57906" w:rsidRDefault="00AF1BF7" w:rsidP="00AF1BF7">
      <w:pPr>
        <w:rPr>
          <w:rStyle w:val="StyleUnderline"/>
        </w:rPr>
      </w:pPr>
      <w:r w:rsidRPr="00F57906">
        <w:rPr>
          <w:rStyle w:val="StyleUnderline"/>
        </w:rPr>
        <w:t>(</w:t>
      </w:r>
      <w:r w:rsidRPr="00F57906">
        <w:rPr>
          <w:shd w:val="clear" w:color="auto" w:fill="FFFFFF"/>
        </w:rPr>
        <w:t xml:space="preserve">1/16/11, “Why Federalism” </w:t>
      </w:r>
      <w:r>
        <w:rPr>
          <w:i/>
          <w:shd w:val="clear" w:color="auto" w:fill="FFFFFF"/>
        </w:rPr>
        <w:t>Cengage Learning,</w:t>
      </w:r>
      <w:r w:rsidRPr="00F57906">
        <w:rPr>
          <w:i/>
          <w:shd w:val="clear" w:color="auto" w:fill="FFFFFF"/>
        </w:rPr>
        <w:t>Inc</w:t>
      </w:r>
      <w:r>
        <w:rPr>
          <w:i/>
          <w:shd w:val="clear" w:color="auto" w:fill="FFFFFF"/>
        </w:rPr>
        <w:t xml:space="preserve"> </w:t>
      </w:r>
      <w:hyperlink r:id="rId97" w:history="1">
        <w:r w:rsidRPr="003817D1">
          <w:rPr>
            <w:rStyle w:val="Hyperlink"/>
            <w:shd w:val="clear" w:color="auto" w:fill="FFFFFF"/>
          </w:rPr>
          <w:t>http://www.cengage.com/resource_uploads/downloads/0495913510_</w:t>
        </w:r>
      </w:hyperlink>
      <w:r>
        <w:rPr>
          <w:shd w:val="clear" w:color="auto" w:fill="FFFFFF"/>
        </w:rPr>
        <w:t xml:space="preserve"> </w:t>
      </w:r>
      <w:r w:rsidRPr="00F57906">
        <w:rPr>
          <w:shd w:val="clear" w:color="auto" w:fill="FFFFFF"/>
        </w:rPr>
        <w:t>265742.pdf</w:t>
      </w:r>
      <w:r>
        <w:rPr>
          <w:shd w:val="clear" w:color="auto" w:fill="FFFFFF"/>
        </w:rPr>
        <w:t>)</w:t>
      </w:r>
    </w:p>
    <w:p w:rsidR="00AF1BF7" w:rsidRPr="005F25FB" w:rsidRDefault="00AF1BF7" w:rsidP="00AF1BF7">
      <w:pPr>
        <w:rPr>
          <w:sz w:val="16"/>
        </w:rPr>
      </w:pPr>
      <w:r w:rsidRPr="00F57906">
        <w:rPr>
          <w:rStyle w:val="StyleUnderline"/>
        </w:rPr>
        <w:t>Federalism permits diversity.</w:t>
      </w:r>
      <w:r w:rsidRPr="00F57906">
        <w:rPr>
          <w:sz w:val="16"/>
        </w:rPr>
        <w:t xml:space="preserve"> Local governments may deal directly with local problems. The entire nation is not straitjacketed with a uniform policy to which every state and community must conform. </w:t>
      </w:r>
      <w:r w:rsidRPr="00F57906">
        <w:rPr>
          <w:rStyle w:val="StyleUnderline"/>
        </w:rPr>
        <w:t>State and local governments may be better suited to deal with specific state and local problems.</w:t>
      </w:r>
      <w:r w:rsidRPr="00F57906">
        <w:rPr>
          <w:sz w:val="16"/>
        </w:rPr>
        <w:t xml:space="preserve"> Washington bureaucrats do not always know the best solution for problems in Commerce, Texas. 2. </w:t>
      </w:r>
      <w:r w:rsidRPr="00F57906">
        <w:rPr>
          <w:rStyle w:val="StyleUnderline"/>
        </w:rPr>
        <w:t>Federalism helps manage conflict.</w:t>
      </w:r>
      <w:r w:rsidRPr="00F57906">
        <w:rPr>
          <w:sz w:val="16"/>
        </w:rPr>
        <w:t xml:space="preserve"> </w:t>
      </w:r>
      <w:r w:rsidRPr="00F57906">
        <w:rPr>
          <w:rStyle w:val="StyleUnderline"/>
        </w:rPr>
        <w:t>Permitting states and communities to pursue their own policies reduces the pressures that would build up in Washington if the national government had to decide everything</w:t>
      </w:r>
      <w:r w:rsidRPr="00F57906">
        <w:rPr>
          <w:sz w:val="16"/>
        </w:rPr>
        <w:t>. Federalism permits citizens to decide many things at the state and local levels of government and avoid battling over single national policies to be applied uniformly throughout the land. 3</w:t>
      </w:r>
      <w:r w:rsidRPr="00F57906">
        <w:rPr>
          <w:rStyle w:val="StyleUnderline"/>
        </w:rPr>
        <w:t>. Federalism disperses power</w:t>
      </w:r>
      <w:r w:rsidRPr="00F57906">
        <w:rPr>
          <w:sz w:val="16"/>
        </w:rPr>
        <w:t>. The widespread distribution of power is generally regarded as a protection against tyranny. To the extent that pluralism thrives in the United States, state and local governments have contributed to its success</w:t>
      </w:r>
      <w:r w:rsidRPr="00F57906">
        <w:rPr>
          <w:rStyle w:val="StyleUnderline"/>
        </w:rPr>
        <w:t>. State and local governments also provide a political base for the survival of the opposition party when it loses national elections</w:t>
      </w:r>
      <w:r w:rsidRPr="00F57906">
        <w:rPr>
          <w:sz w:val="16"/>
        </w:rPr>
        <w:t xml:space="preserve">. 4. </w:t>
      </w:r>
      <w:r w:rsidRPr="00F57906">
        <w:rPr>
          <w:rStyle w:val="StyleUnderline"/>
        </w:rPr>
        <w:t>Federalism increases political participation</w:t>
      </w:r>
      <w:r w:rsidRPr="00F57906">
        <w:rPr>
          <w:sz w:val="16"/>
        </w:rPr>
        <w:t xml:space="preserve">. It allows more people to run for and hold political office. Nearly a million people hold some kind of political office in counties, cities, townships, school districts, and special districts. These local leaders are often regarded as closer to the people than Washington officials. </w:t>
      </w:r>
      <w:r w:rsidRPr="00F57906">
        <w:rPr>
          <w:rStyle w:val="StyleUnderline"/>
        </w:rPr>
        <w:t>Public opinion polls show that Americans believe that their local governments are more manageable and responsive than the national government</w:t>
      </w:r>
      <w:r w:rsidRPr="00F57906">
        <w:rPr>
          <w:sz w:val="16"/>
        </w:rPr>
        <w:t xml:space="preserve">. 5. </w:t>
      </w:r>
      <w:r w:rsidRPr="00F57906">
        <w:rPr>
          <w:rStyle w:val="StyleUnderline"/>
        </w:rPr>
        <w:t>Federalism improves efficiency</w:t>
      </w:r>
      <w:r w:rsidRPr="00F57906">
        <w:rPr>
          <w:sz w:val="16"/>
        </w:rPr>
        <w:t xml:space="preserve">. </w:t>
      </w:r>
      <w:r w:rsidRPr="00F57906">
        <w:rPr>
          <w:rStyle w:val="StyleUnderline"/>
        </w:rPr>
        <w:t>Even though we may think of eighty thousand governments as inefficient, governing the entire nation from Washington would be even worse</w:t>
      </w:r>
      <w:r w:rsidRPr="00F57906">
        <w:rPr>
          <w:sz w:val="16"/>
        </w:rPr>
        <w:t xml:space="preserve">. Imagine </w:t>
      </w:r>
      <w:r w:rsidRPr="00F57906">
        <w:rPr>
          <w:rStyle w:val="StyleUnderline"/>
        </w:rPr>
        <w:t xml:space="preserve">the bureaucracy, red tape, delays, and confusion if every government activity in every community in the nation—police, schools, roads, fire departments, garbage collections, sewage disposal, street lighting, and so on—were controlled by a central government in Washington. </w:t>
      </w:r>
      <w:r w:rsidRPr="00F57906">
        <w:rPr>
          <w:sz w:val="16"/>
        </w:rPr>
        <w:t xml:space="preserve">Even in the Soviet Union, where centralized discipline and party control are a matter of political ideology, leaders have been forced to resort to decentralization simply as a practical matter. Moreover, </w:t>
      </w:r>
      <w:r w:rsidRPr="00F57906">
        <w:rPr>
          <w:rStyle w:val="StyleUnderline"/>
        </w:rPr>
        <w:t>federalism encourages experimentation and innovation in public policy</w:t>
      </w:r>
      <w:r>
        <w:rPr>
          <w:rStyle w:val="StyleUnderline"/>
        </w:rPr>
        <w:t xml:space="preserve"> in the states. </w:t>
      </w:r>
    </w:p>
    <w:p w:rsidR="00AF1BF7" w:rsidRDefault="00AF1BF7" w:rsidP="00AF1BF7">
      <w:pPr>
        <w:pStyle w:val="Heading3"/>
      </w:pPr>
      <w:bookmarkStart w:id="98" w:name="_Toc424259173"/>
      <w:r>
        <w:lastRenderedPageBreak/>
        <w:t>Solves Terrorism</w:t>
      </w:r>
      <w:bookmarkEnd w:id="98"/>
    </w:p>
    <w:p w:rsidR="00AF1BF7" w:rsidRPr="00335706" w:rsidRDefault="00AF1BF7" w:rsidP="00AF1BF7"/>
    <w:p w:rsidR="00AF1BF7" w:rsidRPr="00E168C8" w:rsidRDefault="00AF1BF7" w:rsidP="00AF1BF7">
      <w:pPr>
        <w:pStyle w:val="Heading4"/>
      </w:pPr>
      <w:r w:rsidRPr="00E168C8">
        <w:t xml:space="preserve">Federalism </w:t>
      </w:r>
      <w:r>
        <w:t>solves</w:t>
      </w:r>
      <w:r w:rsidRPr="00E168C8">
        <w:t xml:space="preserve"> terrorism</w:t>
      </w:r>
      <w:r>
        <w:t xml:space="preserve"> – states can tailor security policy to threats</w:t>
      </w:r>
    </w:p>
    <w:p w:rsidR="00AF1BF7" w:rsidRPr="00E168C8" w:rsidRDefault="00AF1BF7" w:rsidP="00AF1BF7">
      <w:pPr>
        <w:rPr>
          <w:rStyle w:val="StyleStyleBold12pt"/>
          <w:b w:val="0"/>
          <w:bCs w:val="0"/>
        </w:rPr>
      </w:pPr>
      <w:r w:rsidRPr="00E168C8">
        <w:rPr>
          <w:rStyle w:val="StyleStyleBold12pt"/>
        </w:rPr>
        <w:t>Mayer 12</w:t>
      </w:r>
      <w:r>
        <w:t xml:space="preserve"> </w:t>
      </w:r>
      <w:r w:rsidRPr="00E168C8">
        <w:t>(Matt A. Mayer, Heritage Foundation, Federalism Allows Law Enforcement to Determine Counterterrorism Policies That Work Best, http://www.heritage.org/research/reports/2012/03/federalism-and-its-vital-role-in-counterterrorism)</w:t>
      </w:r>
    </w:p>
    <w:p w:rsidR="00AF1BF7" w:rsidRDefault="00AF1BF7" w:rsidP="00AF1BF7">
      <w:pPr>
        <w:rPr>
          <w:sz w:val="14"/>
        </w:rPr>
      </w:pPr>
      <w:r w:rsidRPr="000E51E4">
        <w:rPr>
          <w:rStyle w:val="StyleUnderline"/>
        </w:rPr>
        <w:t>With an increase in the national response to terrorism</w:t>
      </w:r>
      <w:r w:rsidRPr="000E51E4">
        <w:rPr>
          <w:sz w:val="14"/>
        </w:rPr>
        <w:t xml:space="preserve">, many people believe the principle of federalism has little utility today or that states do not have much to contribute in counterterrorism policy or activity. When it comes to domestic security, however, </w:t>
      </w:r>
      <w:r w:rsidRPr="000E51E4">
        <w:rPr>
          <w:rStyle w:val="StyleUnderline"/>
        </w:rPr>
        <w:t>federalism is more relevant than ever</w:t>
      </w:r>
      <w:r w:rsidRPr="000E51E4">
        <w:rPr>
          <w:sz w:val="14"/>
        </w:rPr>
        <w:t xml:space="preserve">, and the states have a vital role to play in counterterrorism. Local law enforcement agencies have the flexibility and authority to design counterterrorism programs that best fit their respective jurisdictions. With that flexibility and authority, our cities are more secure. One-Size-Fits-All Usually Fits Few Well The 10th Amendment of the U.S. Constitution simply states: “The powers not delegated to the United States by the Constitution, nor prohibited by it to the States, are reserved to the States respectively, or to the people.” Those 28 words confirm that </w:t>
      </w:r>
      <w:r w:rsidRPr="000E51E4">
        <w:rPr>
          <w:rStyle w:val="StyleUnderline"/>
        </w:rPr>
        <w:t>states possess the ability to tailor policies that best address the issues they confront.</w:t>
      </w:r>
      <w:r w:rsidRPr="000E51E4">
        <w:rPr>
          <w:sz w:val="14"/>
        </w:rPr>
        <w:t xml:space="preserve"> Because of the various demographic differences among the states, a one-size-fits-all policy may not work or may not work most effectively and efficiently in a particular state. </w:t>
      </w:r>
      <w:r w:rsidRPr="000E51E4">
        <w:rPr>
          <w:rStyle w:val="StyleUnderline"/>
        </w:rPr>
        <w:t>When the federal government nationalizes an inherently state or local issue, it ensures that whatever policy it produces will fail to solve the problems</w:t>
      </w:r>
      <w:r w:rsidRPr="000E51E4">
        <w:rPr>
          <w:sz w:val="14"/>
        </w:rPr>
        <w:t xml:space="preserve">. We know from the welfare reforms in the 1990s that a policy solution in one state may not work well in another state, which demonstrated the importance of states maintaining the flexibility and authority to tackle issues as they see fit. A robust </w:t>
      </w:r>
      <w:r w:rsidRPr="000E51E4">
        <w:rPr>
          <w:rStyle w:val="StyleUnderline"/>
        </w:rPr>
        <w:t xml:space="preserve">policy competition among the states will enable America </w:t>
      </w:r>
      <w:r w:rsidRPr="00EA1F3D">
        <w:rPr>
          <w:rStyle w:val="StyleUnderline"/>
        </w:rPr>
        <w:t xml:space="preserve">to find out what works </w:t>
      </w:r>
      <w:r w:rsidRPr="000E51E4">
        <w:rPr>
          <w:rStyle w:val="StyleUnderline"/>
        </w:rPr>
        <w:t>and what does not.</w:t>
      </w:r>
      <w:r w:rsidRPr="000E51E4">
        <w:rPr>
          <w:sz w:val="14"/>
        </w:rPr>
        <w:t xml:space="preserve"> </w:t>
      </w:r>
      <w:r w:rsidRPr="000E51E4">
        <w:rPr>
          <w:rStyle w:val="StyleUnderline"/>
        </w:rPr>
        <w:t>Domestic counterterrorism policy is no different.</w:t>
      </w:r>
      <w:r w:rsidRPr="000E51E4">
        <w:rPr>
          <w:sz w:val="14"/>
        </w:rPr>
        <w:t xml:space="preserve"> Each Community Presents Unique Challenges Requiring Unique Solutions America, thankfully, does not have a national police force. The Federal Bureau of Investigation (FBI) has authority over federal crimes, including terrorism, and exercises its authority by investigating and arresting suspected terrorists. With only 15,000 agents for the entire United States, the FBI lacks the resources to protect every American city. Because of this inherent limitation, outside of constitutional and legislative protections, America’s law enforcement community is not covered by a one-size-fits-all policy on how best to protect U.S. cities. </w:t>
      </w:r>
      <w:r w:rsidRPr="000E51E4">
        <w:rPr>
          <w:rStyle w:val="StyleUnderline"/>
        </w:rPr>
        <w:t>State and local law enforcement entities are not displaced by federal authorities</w:t>
      </w:r>
      <w:r w:rsidRPr="000E51E4">
        <w:rPr>
          <w:sz w:val="14"/>
        </w:rPr>
        <w:t xml:space="preserve"> (except in some very narrow areas of national control) </w:t>
      </w:r>
      <w:r w:rsidRPr="000E51E4">
        <w:rPr>
          <w:rStyle w:val="StyleUnderline"/>
        </w:rPr>
        <w:t>and instead retain their inherent sovereign authority to design counterterrorism programs that are tailored to the needs of each community.</w:t>
      </w:r>
      <w:r w:rsidRPr="000E51E4">
        <w:rPr>
          <w:sz w:val="14"/>
        </w:rPr>
        <w:t xml:space="preserve"> These needs are typically defined by demographics, risk assessments, community norms, and other factors unique to each jurisdiction</w:t>
      </w:r>
      <w:r w:rsidRPr="000E51E4">
        <w:rPr>
          <w:rStyle w:val="StyleUnderline"/>
        </w:rPr>
        <w:t xml:space="preserve">. </w:t>
      </w:r>
      <w:r w:rsidRPr="00EA1F3D">
        <w:rPr>
          <w:rStyle w:val="StyleUnderline"/>
        </w:rPr>
        <w:t>The ideal outcome for Americans is one where there is strong cooperation and true partnering between the FBI and other federal law enforcement agencies and state and local law enforcement entities.</w:t>
      </w:r>
      <w:r w:rsidRPr="000E51E4">
        <w:rPr>
          <w:sz w:val="14"/>
        </w:rPr>
        <w:t xml:space="preserve"> We are getting closer to that ideal with each passing year. The NYPD Example Recently, the New York Police Department (NYPD) received potentially unfair negative media coverage about its counterterrorism policies, specifically its Muslim surveillance program. The focus of criticism involves the NYPD’s surveillance of Muslim college students, restaurants, and mosques throughout the northeast United States. The NYPD insists that its policies and practices adhere to the 1985 Handschu v. Special Services Division guidelines, as modified via judicial approval in 2002 after the September 11, 2001, terrorist attacks. Recent events in France may bolster the NYPD’s case on the importance of conducting surveillance of individuals based on leads. In Handschu, the court held that the NYPD’s surveillance of political activity had violated the First Amendment’s free speech clause. The decision resulted in a set of guidelines that regulated the NYPD’s programs covering political activity. To engage in surveillance, the 1985 guidelines required a warrant based on suspicion of criminal activity and prohibited certain activities absent unlawful conduct. In 2002, a federal judge modified the Handschu guidelines to reflect the new realities arising from the terrorist threat. In response to the criticism, New York City Mayor Michael Bloomberg stated: “They</w:t>
      </w:r>
      <w:r>
        <w:rPr>
          <w:sz w:val="14"/>
        </w:rPr>
        <w:t xml:space="preserve"> </w:t>
      </w:r>
      <w:r w:rsidRPr="000E51E4">
        <w:rPr>
          <w:sz w:val="14"/>
        </w:rPr>
        <w:t xml:space="preserve">are permitted to travel beyond the borders of NYC to investigate cases. They can look at websites [and] they can watch television to detect unlawful activities or where there might be unlawful activities to get leads. We don’t target individuals based on race or religion. We follow leads and we are consistent, I think, with the guidelines resulting from the Handschu federal court decision.” In a speech at Fordham Law School, NYPD Commissioner Ray Kelly indicated that the NYPD surveillance program has helped stop more than a dozen terrorist plots against New York City, despite the fact that “no other police department in the country is bound by these rules, which restrict police powers granted under the Constitution.” Time will tell if the NYPD adhered to the Handschu guidelines. The point here is that a dual sovereignty has provided the NYPD and its leaders with the flexibility and authority to develop policies specific to the enormous challenges faced in New York City, which is America’s most at-risk city with the highest population density and countless vulnerabilities. No other American city must confront the terrorist threats that New York City faces. On the Other Coast Across the country in Los Angeles, the policies implemented by the NYPD may not work. Los Angeles faces a different set of challenges, so the Los Angeles Police Department (LAPD) may choose to utilize different methods for securing its city. For example, under the leadership of Deputy Chief Michael Downing, the commanding officer of the Counterterrorism and Special Operations Bureau, the LAPD launched a Liaison Section to serve as the face of the LAPD to the various Muslim communities. Because of the community norms in Los Angeles and the importance the LAPD has placed on developing strong relationships with its Muslim communities, the Liaison Section is specifically walled off from the intelligence and investigation elements at the LAPD. Officers in the Liaison Section routinely spend time among the Muslim population, including at restaurants, mosques, and even private celebratory events. The relationships developed through this outreach program are genuine and stronger because of the compartmentalization policy. When an event occurs that causes conflict, LAPD Liaison Section officers can serve as honest brokers to reduce or eliminate any tensions. If an LAPD investigation results in counterterrorism actions within a particular part of the Muslim community, the Liaison Section officers can seriously state they did not have any knowledge of the investigation and did not provide any information to the investigators. Again, this critical fact leads to a far more positive and productive environment in Los Angeles. These two examples present two different approaches to the same issue. Without a federalist approach, the nationalization of domestic counterterrorism policies by the FBI would result—as does every other nationalized program—in a one-size-fits-all policy that would be less effective and, therefore, a less secure America. Forbearance Is Okay With all of the media and civil liberties attention being given to the NYPD and its surveillance policy, pressure will build on Congress to do something—hold a hearing or pass a law. State or local oversight entities, including the courts, will review what has actually occurred in New York City and either affirm the work done or require changes to the policy. Either way, Congress should exercise forbearance and respect the constitutional right of those state or local entities to do their jobs. </w:t>
      </w:r>
      <w:r w:rsidRPr="000E51E4">
        <w:rPr>
          <w:rStyle w:val="StyleUnderline"/>
        </w:rPr>
        <w:t xml:space="preserve">Federalism Is Alive and Well Despite the belief that state and local involvement in law enforcement is no longer relevant or useful, </w:t>
      </w:r>
      <w:r w:rsidRPr="000E51E4">
        <w:rPr>
          <w:sz w:val="14"/>
        </w:rPr>
        <w:t xml:space="preserve">it is being used responsibly across America by state and local entities. </w:t>
      </w:r>
      <w:r w:rsidRPr="000E51E4">
        <w:rPr>
          <w:rStyle w:val="StyleUnderline"/>
        </w:rPr>
        <w:t xml:space="preserve">These entities must have the flexibility and authority to design policies based on each entity’s particular demographics and needs. </w:t>
      </w:r>
      <w:r w:rsidRPr="000E51E4">
        <w:rPr>
          <w:sz w:val="14"/>
        </w:rPr>
        <w:t xml:space="preserve">These unique approaches will help counterterrorism officials identify best practices and implement better programs. More critically, </w:t>
      </w:r>
      <w:r w:rsidRPr="000E51E4">
        <w:rPr>
          <w:rStyle w:val="StyleUnderline"/>
        </w:rPr>
        <w:t>federalism will keep us safer</w:t>
      </w:r>
      <w:r w:rsidRPr="000E51E4">
        <w:rPr>
          <w:sz w:val="14"/>
        </w:rPr>
        <w:t xml:space="preserve">. </w:t>
      </w:r>
    </w:p>
    <w:p w:rsidR="00AF1BF7" w:rsidRDefault="00AF1BF7" w:rsidP="00AF1BF7"/>
    <w:p w:rsidR="00AF1BF7" w:rsidRDefault="00AF1BF7" w:rsidP="00AF1BF7">
      <w:pPr>
        <w:pStyle w:val="Heading3"/>
      </w:pPr>
      <w:bookmarkStart w:id="99" w:name="_Toc424259174"/>
      <w:r>
        <w:lastRenderedPageBreak/>
        <w:t>Solves Social Safety Net</w:t>
      </w:r>
      <w:bookmarkEnd w:id="99"/>
    </w:p>
    <w:p w:rsidR="00AF1BF7" w:rsidRDefault="00AF1BF7" w:rsidP="00AF1BF7"/>
    <w:p w:rsidR="00AF1BF7" w:rsidRDefault="00AF1BF7" w:rsidP="00AF1BF7">
      <w:pPr>
        <w:pStyle w:val="Heading4"/>
      </w:pPr>
      <w:r>
        <w:t>Federalism Key to Lowering Welfare Costs and Bipartisanship</w:t>
      </w:r>
    </w:p>
    <w:p w:rsidR="00AF1BF7" w:rsidRPr="004A7F7E" w:rsidRDefault="00AF1BF7" w:rsidP="00AF1BF7">
      <w:pPr>
        <w:rPr>
          <w:rStyle w:val="StyleStyleBold12pt"/>
          <w:b w:val="0"/>
          <w:sz w:val="16"/>
        </w:rPr>
      </w:pPr>
      <w:r>
        <w:rPr>
          <w:rStyle w:val="StyleStyleBold12pt"/>
        </w:rPr>
        <w:t>Butler and Aaron P.H.D. 04</w:t>
      </w:r>
      <w:r w:rsidRPr="004A7F7E">
        <w:rPr>
          <w:rStyle w:val="StyleStyleBold12pt"/>
          <w:sz w:val="16"/>
        </w:rPr>
        <w:t>( Stuart M. and Henry, “How Federalism could Spur Bipartisan Action on the Uninsured”, March 31, 2004, TheHeritageFoundation, http://www.heritage.org/research/reports/2004/03/how-federalism-could-spur-bipartisan-action-on-the-uninsured)</w:t>
      </w:r>
    </w:p>
    <w:p w:rsidR="00AF1BF7" w:rsidRDefault="00AF1BF7" w:rsidP="00AF1BF7">
      <w:pPr>
        <w:rPr>
          <w:sz w:val="16"/>
        </w:rPr>
      </w:pPr>
    </w:p>
    <w:p w:rsidR="00AF1BF7" w:rsidRPr="00425173" w:rsidRDefault="00AF1BF7" w:rsidP="00AF1BF7">
      <w:pPr>
        <w:rPr>
          <w:sz w:val="16"/>
        </w:rPr>
      </w:pPr>
      <w:r w:rsidRPr="00425173">
        <w:rPr>
          <w:sz w:val="16"/>
        </w:rPr>
        <w:t xml:space="preserve">National </w:t>
      </w:r>
      <w:r w:rsidRPr="00420A74">
        <w:rPr>
          <w:rStyle w:val="StyleUnderline"/>
        </w:rPr>
        <w:t>efforts to greatly reduce the number of uninsured Americans have made little progress for decades because achieving majority support for any one approach has proved to be impossible</w:t>
      </w:r>
      <w:r w:rsidRPr="00425173">
        <w:rPr>
          <w:sz w:val="16"/>
        </w:rPr>
        <w:t xml:space="preserve">. While as authors we remain unreconciled on the best solution, we share the belief that </w:t>
      </w:r>
      <w:r w:rsidRPr="00420A74">
        <w:rPr>
          <w:rStyle w:val="Emphasis"/>
        </w:rPr>
        <w:t>federally supported state experimentation is a promising way to make progress</w:t>
      </w:r>
      <w:r w:rsidRPr="00425173">
        <w:rPr>
          <w:sz w:val="16"/>
        </w:rPr>
        <w:t xml:space="preserve">. States should be allowed to try widely differing solutions with federal financial support under legislated guidelines, including specific protections and measurable goals. Congress would enact a "policy toolbox" of federal initiatives that states could include, and funding to states would be linked to success in reaching the goals. </w:t>
      </w:r>
      <w:r w:rsidRPr="00420A74">
        <w:rPr>
          <w:rStyle w:val="StyleUnderline"/>
        </w:rPr>
        <w:t>Nearly everyone thinks that something should be done to reduce the number of Americans lacking health insurance</w:t>
      </w:r>
      <w:r w:rsidRPr="00425173">
        <w:rPr>
          <w:sz w:val="16"/>
        </w:rPr>
        <w:t xml:space="preserve">. Unfortunately, while numerous plans exist on how to reach that goal, </w:t>
      </w:r>
      <w:r w:rsidRPr="00420A74">
        <w:rPr>
          <w:rStyle w:val="StyleUnderline"/>
        </w:rPr>
        <w:t>few agree on any one</w:t>
      </w:r>
      <w:r w:rsidRPr="00425173">
        <w:rPr>
          <w:sz w:val="16"/>
        </w:rPr>
        <w:t xml:space="preserve">. Indeed, as authors we disagree on how best to extend and assure health insurance coverage. </w:t>
      </w:r>
      <w:r w:rsidRPr="00420A74">
        <w:rPr>
          <w:rStyle w:val="StyleUnderline"/>
        </w:rPr>
        <w:t>Nonetheless</w:t>
      </w:r>
      <w:r w:rsidRPr="00425173">
        <w:rPr>
          <w:sz w:val="16"/>
        </w:rPr>
        <w:t xml:space="preserve">, we believe that </w:t>
      </w:r>
      <w:r w:rsidRPr="00C607F9">
        <w:rPr>
          <w:rStyle w:val="StyleUnderline"/>
        </w:rPr>
        <w:t>using the pluralism and creative power of federalism is the best way to break the political logjam and to discover the best way to expand coverage</w:t>
      </w:r>
      <w:r w:rsidRPr="00425173">
        <w:rPr>
          <w:sz w:val="16"/>
        </w:rPr>
        <w:t xml:space="preserve">. Accordingly, we believe that </w:t>
      </w:r>
      <w:r w:rsidRPr="00C607F9">
        <w:rPr>
          <w:rStyle w:val="StyleUnderline"/>
        </w:rPr>
        <w:t>states</w:t>
      </w:r>
      <w:r w:rsidRPr="00425173">
        <w:rPr>
          <w:sz w:val="16"/>
        </w:rPr>
        <w:t xml:space="preserve"> should be strongly encouraged to try any of a wide range of approaches to increasing health insurance coverage and rewarded for their success. This approach </w:t>
      </w:r>
      <w:r w:rsidRPr="00C607F9">
        <w:rPr>
          <w:rStyle w:val="StyleUnderline"/>
        </w:rPr>
        <w:t>offers both a way to improve knowledge about how to reform health care and a practical way to initiate a process of reform</w:t>
      </w:r>
      <w:r w:rsidRPr="00425173">
        <w:rPr>
          <w:sz w:val="16"/>
        </w:rPr>
        <w:t xml:space="preserve">. </w:t>
      </w:r>
      <w:r w:rsidRPr="00C607F9">
        <w:rPr>
          <w:rStyle w:val="StyleUnderline"/>
        </w:rPr>
        <w:t>Such a pluralist approach respects the real, abiding differences in politics, preferences, traditions, and institutions across the nation. It also implies a willingness to accept differences over an extended period in order to make progress</w:t>
      </w:r>
      <w:r w:rsidRPr="00425173">
        <w:rPr>
          <w:sz w:val="16"/>
        </w:rPr>
        <w:t xml:space="preserve">. And it recognizes that permitting wide diversity can foster consensus by revealing the strengths and exposing the weaknesses of rival approaches. Despite our abiding disagreements on which substantive approach to extending coverage is best, we believe that people of goodwill must be prepared to countenance the testing of ideas they oppose if progress is to be made. Moreover, we believe that </w:t>
      </w:r>
      <w:r w:rsidRPr="00C607F9">
        <w:rPr>
          <w:rStyle w:val="StyleUnderline"/>
        </w:rPr>
        <w:t>there is no hope for legislation to begin to transform the largest U.S. industry-health care-unless such legislation enjoys strong support from both major political parties</w:t>
      </w:r>
      <w:r w:rsidRPr="00425173">
        <w:rPr>
          <w:sz w:val="16"/>
        </w:rPr>
        <w:t>. Using Federalism To Spur Action Proposals to reduce the number of uninsured Americans abound. Some favor expanding government programs, such as Medicaid. Others favor refundable tax credits to help families buy private health insurance. Still others favor regulatory approaches, such as changes in insurance rules. But working together in health care to achieve a goal shared by virtually everyone has proved to be impossible. One reason for this is that the capacity to reach substantive compromise in Washington has seriously eroded.</w:t>
      </w:r>
      <w:hyperlink r:id="rId98" w:anchor="1" w:history="1">
        <w:r w:rsidRPr="00425173">
          <w:rPr>
            <w:sz w:val="16"/>
          </w:rPr>
          <w:t>1</w:t>
        </w:r>
      </w:hyperlink>
      <w:r w:rsidRPr="00425173">
        <w:rPr>
          <w:sz w:val="16"/>
        </w:rPr>
        <w:t xml:space="preserve">Among the causes is the widespread view that reforming the complex health care system requires very carefully designed and internally consistent actions. Some say that it is like building a new airplane: </w:t>
      </w:r>
      <w:r w:rsidRPr="00C607F9">
        <w:rPr>
          <w:rStyle w:val="StyleUnderline"/>
        </w:rPr>
        <w:t>Unless all the key parts are there and fit together perfectly, the airplane will not fly.</w:t>
      </w:r>
      <w:r w:rsidRPr="00425173">
        <w:rPr>
          <w:sz w:val="16"/>
        </w:rPr>
        <w:t xml:space="preserve"> Thus, many proponents of particular approaches fear that abandoning key components of their proposals to achieve a compromise will prevent a fair test of their favored approach and lead to failure. </w:t>
      </w:r>
      <w:r w:rsidRPr="00C607F9">
        <w:rPr>
          <w:rStyle w:val="StyleUnderline"/>
        </w:rPr>
        <w:t>Another obstacle is that many lawmakers believe that approaches that might conceivably work in one part of the country, given the cultural, philosophical, or health industry conditions prevailing there, will not work in their state or district because of different local conditions</w:t>
      </w:r>
      <w:r w:rsidRPr="00425173">
        <w:rPr>
          <w:sz w:val="16"/>
        </w:rPr>
        <w:t xml:space="preserve">. This view leads many in Congress to resist proposals that might work in some areas because they believe that those proposals could make things worse for their constituents. These and other factors have stalled efforts to extend health insurance and achieve other reforms for decades. The enactment of Medicare and Medicaid stands as one notable-and instructive-exception to that pattern. </w:t>
      </w:r>
      <w:r w:rsidRPr="0067517A">
        <w:rPr>
          <w:rStyle w:val="StyleUnderline"/>
        </w:rPr>
        <w:t>Medicare sprang from comprehensive social insurance initiatives of congressional Democrats, Medicaid from limited needs-based approaches of congressional Republicans</w:t>
      </w:r>
      <w:r w:rsidRPr="00425173">
        <w:rPr>
          <w:sz w:val="16"/>
        </w:rPr>
        <w:t xml:space="preserve">. </w:t>
      </w:r>
      <w:r w:rsidRPr="0067517A">
        <w:rPr>
          <w:rStyle w:val="StyleUnderline"/>
        </w:rPr>
        <w:t xml:space="preserve">The passage of each program was possible only because the two initiatives were linked in the form of a trade-off, not so much by blending some elements of each approach but </w:t>
      </w:r>
      <w:r w:rsidRPr="0067517A">
        <w:rPr>
          <w:rStyle w:val="Emphasis"/>
        </w:rPr>
        <w:t>by moving forward with two programs in parallel: Medicare for the elderly and disabled, and Medicaid for the poor of all ages</w:t>
      </w:r>
      <w:r w:rsidRPr="00425173">
        <w:rPr>
          <w:sz w:val="16"/>
        </w:rPr>
        <w:t xml:space="preserve">. That experience illustrates a principle of politics: </w:t>
      </w:r>
      <w:r w:rsidRPr="0067517A">
        <w:rPr>
          <w:rStyle w:val="StyleUnderline"/>
        </w:rPr>
        <w:t>that progress often requires combining elements of competing proposals into a hybrid legislative initiative, in which internally consistent approaches operate in parallel.</w:t>
      </w:r>
      <w:r w:rsidRPr="00425173">
        <w:rPr>
          <w:sz w:val="16"/>
        </w:rPr>
        <w:t xml:space="preserve"> In our view, </w:t>
      </w:r>
      <w:r w:rsidRPr="0067517A">
        <w:rPr>
          <w:rStyle w:val="StyleUnderline"/>
        </w:rPr>
        <w:t>federalism offers a promising approach to the challenge of building support to tackle the problem of uninsurance</w:t>
      </w:r>
      <w:r w:rsidRPr="00425173">
        <w:rPr>
          <w:sz w:val="16"/>
        </w:rPr>
        <w:t xml:space="preserve">. While proponents of nationwide measures to introduce health insurance tax credits, or to extend Medicare or the State Children's Health Insurance Program (SCHIP) to other groups, should of course continue to make their case for national policies, </w:t>
      </w:r>
      <w:r w:rsidRPr="0067517A">
        <w:rPr>
          <w:rStyle w:val="StyleUnderline"/>
        </w:rPr>
        <w:t xml:space="preserve">we emphasize an initiative designed to support states in launching a variety of localized initiatives. Under this process, the federal government would reward states that agreed to test comprehensive and internally consistent strategies that </w:t>
      </w:r>
      <w:r w:rsidRPr="0067517A">
        <w:rPr>
          <w:rStyle w:val="StyleUnderline"/>
        </w:rPr>
        <w:lastRenderedPageBreak/>
        <w:t>succeeded in extending coverage within their borders.</w:t>
      </w:r>
      <w:r w:rsidRPr="00425173">
        <w:rPr>
          <w:sz w:val="16"/>
        </w:rPr>
        <w:t xml:space="preserve"> In contrast to block grants, </w:t>
      </w:r>
      <w:r w:rsidRPr="0067517A">
        <w:rPr>
          <w:rStyle w:val="StyleUnderline"/>
        </w:rPr>
        <w:t>federal-state covenants would operate within congressionally specified policy constraints designed to achieve national goals for extending health insurance.</w:t>
      </w:r>
      <w:r w:rsidRPr="00425173">
        <w:rPr>
          <w:sz w:val="16"/>
        </w:rPr>
        <w:t xml:space="preserve"> These covenants would include plans ranging from heavy government regulation to almost none, as long as the plans were consistent with the broad goals and included specified protections. States could also select items from a federally designed "policy toolbox" to include in their proposals. </w:t>
      </w:r>
      <w:r w:rsidRPr="00F96389">
        <w:rPr>
          <w:rStyle w:val="StyleUnderline"/>
        </w:rPr>
        <w:t>Allowable state plans would include forms of single-payer plans, employer mandates, mandatory individual purchase of privately offered insurance, tax credits, and creative new approaches</w:t>
      </w:r>
      <w:r w:rsidRPr="00425173">
        <w:rPr>
          <w:sz w:val="16"/>
        </w:rPr>
        <w:t xml:space="preserve">. </w:t>
      </w:r>
      <w:r w:rsidRPr="00384089">
        <w:rPr>
          <w:rStyle w:val="StyleUnderline"/>
        </w:rPr>
        <w:t>States would</w:t>
      </w:r>
      <w:r w:rsidRPr="00425173">
        <w:rPr>
          <w:sz w:val="16"/>
        </w:rPr>
        <w:t xml:space="preserve"> be free not to </w:t>
      </w:r>
      <w:r w:rsidRPr="00384089">
        <w:rPr>
          <w:rStyle w:val="StyleUnderline"/>
        </w:rPr>
        <w:t>undertake</w:t>
      </w:r>
      <w:r w:rsidRPr="00425173">
        <w:rPr>
          <w:sz w:val="16"/>
        </w:rPr>
        <w:t xml:space="preserve"> such experiments and continue with the current array of programs, but </w:t>
      </w:r>
      <w:r w:rsidRPr="00384089">
        <w:rPr>
          <w:rStyle w:val="StyleUnderline"/>
        </w:rPr>
        <w:t>sizable financial incentives would be offered to thos</w:t>
      </w:r>
      <w:r w:rsidRPr="00425173">
        <w:rPr>
          <w:sz w:val="16"/>
        </w:rPr>
        <w:t xml:space="preserve">e that chose to experiment </w:t>
      </w:r>
      <w:r w:rsidRPr="00384089">
        <w:rPr>
          <w:rStyle w:val="StyleUnderline"/>
        </w:rPr>
        <w:t>and financial rewards given to those that achieve agreed-upon goals</w:t>
      </w:r>
      <w:r w:rsidRPr="00425173">
        <w:rPr>
          <w:sz w:val="16"/>
        </w:rPr>
        <w:t>. The model we propose builds upon proposals we have outlined elsewhere.</w:t>
      </w:r>
      <w:hyperlink r:id="rId99" w:anchor="2" w:history="1">
        <w:r w:rsidRPr="00425173">
          <w:rPr>
            <w:sz w:val="16"/>
          </w:rPr>
          <w:t>2</w:t>
        </w:r>
      </w:hyperlink>
      <w:r w:rsidRPr="00425173">
        <w:rPr>
          <w:sz w:val="16"/>
        </w:rPr>
        <w:t xml:space="preserve"> It is also compatible with some other federalism approaches, such as the plan advanced by the Institute of Medicine.</w:t>
      </w:r>
      <w:hyperlink r:id="rId100" w:anchor="3" w:history="1">
        <w:r w:rsidRPr="00425173">
          <w:rPr>
            <w:sz w:val="16"/>
          </w:rPr>
          <w:t>3</w:t>
        </w:r>
      </w:hyperlink>
      <w:r w:rsidRPr="00425173">
        <w:rPr>
          <w:sz w:val="16"/>
        </w:rPr>
        <w:t xml:space="preserve"> </w:t>
      </w:r>
      <w:r w:rsidRPr="00384089">
        <w:rPr>
          <w:rStyle w:val="StyleUnderline"/>
        </w:rPr>
        <w:t>We favor a wide diversity of federal-state initiatives for three reasons. First, fostering a bold program in a state will produce much information that will aid the policy discovery process</w:t>
      </w:r>
      <w:r w:rsidRPr="00425173">
        <w:rPr>
          <w:sz w:val="16"/>
        </w:rPr>
        <w:t>. Successes will encourage others to follow, while unanticipated problems will force redesign or abandonment and will be geographically contained</w:t>
      </w:r>
      <w:r w:rsidRPr="00384089">
        <w:rPr>
          <w:rStyle w:val="StyleUnderline"/>
        </w:rPr>
        <w:t>. Second, encouraging bold state action will quickly and directly extend coverage to many of the uninsured</w:t>
      </w:r>
      <w:r w:rsidRPr="00425173">
        <w:rPr>
          <w:sz w:val="16"/>
        </w:rPr>
        <w:t xml:space="preserve">. Instead of facing continued national inaction or the potential for disruption of state initiatives by future federal action, states would have the incentive and freedom to act decisively. </w:t>
      </w:r>
      <w:r w:rsidRPr="00384089">
        <w:rPr>
          <w:rStyle w:val="StyleUnderline"/>
        </w:rPr>
        <w:t xml:space="preserve">Third, we see no evidence of an emerging consensus on how to deal with these problems at the national level. </w:t>
      </w:r>
      <w:r w:rsidRPr="00425173">
        <w:rPr>
          <w:sz w:val="16"/>
        </w:rPr>
        <w:t xml:space="preserve">But our proposal is based on the observation that advocates of rival plans trust their preferred approaches enough to believe that a real-life version would persuade opponents and create a consensus. Not all can be right, of course, but all advocates of health insurance reform, like residents of Lake Wobegon, seem to believe that their plans are above average. Thus, they should be open to the idea of testing diverse proposals. Our proposal is a process to enable policymakers to discover which is right, either for the whole country or for a region. Core Elements </w:t>
      </w:r>
      <w:r w:rsidRPr="00384089">
        <w:rPr>
          <w:rStyle w:val="StyleUnderline"/>
        </w:rPr>
        <w:t>We propose that Congress provide financial assistance and a legal framework to trigger a diverse set of federal-state initiatives.</w:t>
      </w:r>
      <w:r w:rsidRPr="00425173">
        <w:rPr>
          <w:sz w:val="16"/>
        </w:rPr>
        <w:t xml:space="preserve"> To help break the impasse in Congress over most national approaches, we propose steps designed to enable "first choice" political ideas to be tried in limited areas, with the support of states and through the enactment of a federal "policy toolbox" of legislated approaches that would be available to states but not imposed on them. Our view is that elected officials would be prepared to authorize some approaches now bottled up in Congress if they knew that the approach would not be imposed on their states. Our proposed strategy would contain six key elements. Goals and protections. First, Congress would set certain goals and general protections. </w:t>
      </w:r>
      <w:r w:rsidRPr="00D04C0F">
        <w:rPr>
          <w:rStyle w:val="StyleUnderline"/>
        </w:rPr>
        <w:t>Goals would be established for extending coverage</w:t>
      </w:r>
      <w:r w:rsidRPr="00425173">
        <w:rPr>
          <w:sz w:val="16"/>
        </w:rPr>
        <w:t xml:space="preserve">, and perhaps improving the coverage of some of those with inadequate coverage today. One such goal could be a percentage reduction in the number of uninsured people in a state. The more precise the goals, the more contentious they are likely to be. But </w:t>
      </w:r>
      <w:r w:rsidRPr="00D04C0F">
        <w:rPr>
          <w:rStyle w:val="StyleUnderline"/>
        </w:rPr>
        <w:t>clear and measurable goals under the proposed covenants are necessary</w:t>
      </w:r>
      <w:r w:rsidRPr="00425173">
        <w:rPr>
          <w:sz w:val="16"/>
        </w:rPr>
        <w:t xml:space="preserve"> if the system of financial rewards described below is to work effectively. What is "insurance"? For a coverage goal to mean anything, it would have to define what constitutes "insurance." Specifying adequate coverage in health care is no easier than quantifying an adequate high school education, and when money follows success, drafting such definitions becomes even more difficult. In defining what is meant by adequate insurance, agreement on </w:t>
      </w:r>
      <w:r w:rsidRPr="00D04C0F">
        <w:rPr>
          <w:rStyle w:val="StyleUnderline"/>
        </w:rPr>
        <w:t>two characteristics is vital: the services to be covered and the maximum residual costs (deductibles and copayments) that the insured must bear</w:t>
      </w:r>
      <w:r w:rsidRPr="00425173">
        <w:rPr>
          <w:sz w:val="16"/>
        </w:rPr>
        <w:t xml:space="preserve">. </w:t>
      </w:r>
      <w:r w:rsidRPr="00D04C0F">
        <w:rPr>
          <w:rStyle w:val="StyleUnderline"/>
        </w:rPr>
        <w:t>States could be more generous than these standards.</w:t>
      </w:r>
      <w:r w:rsidRPr="00425173">
        <w:rPr>
          <w:sz w:val="16"/>
        </w:rPr>
        <w:t xml:space="preserve"> Instead of speciying precisely what states must do in each of these dimensions, we suggest that Congress establish a required actuarial minimum-such as the cost of providing the benefit package of the Federal Employees Health Benefits Program (FEHBP) for the state's population-as the standard, with states retaining considerable latitude on which services to include and how much cost sharing to require. Whether to set this actuarial standard high or low will be controversial and will determine the overall cost to the federal government of eliciting state participation. Both high and low benefit standards suffer from well-known problems. High standards would raise program costs and weaken individuals' incentives to be prudent purchasers of health care. Low standards expose patients to sizable financial risk and raise questions about whether to restrict patients' right to buy supplemental coverage. Thus, federal legislation would not specify the content of insurance plans beyond some such actuarial amount</w:t>
      </w:r>
      <w:r w:rsidRPr="00D04C0F">
        <w:rPr>
          <w:rStyle w:val="StyleUnderline"/>
        </w:rPr>
        <w:t>. States would then be free to design plans as they wish, although certain types of plans might be presumptively acceptable (see below), and others could be negotiated</w:t>
      </w:r>
      <w:r w:rsidRPr="00425173">
        <w:rPr>
          <w:sz w:val="16"/>
        </w:rPr>
        <w:t xml:space="preserve"> as part of a covenant. The exact mix of benefits could vary within reason, but no further limits would be imposed. One goal of this approach, after all, is to encourage experimentation to generate information on whether particular configurations of benefits work better than others. </w:t>
      </w:r>
      <w:r w:rsidRPr="00D04C0F">
        <w:rPr>
          <w:rStyle w:val="StyleUnderline"/>
        </w:rPr>
        <w:t>It might turn out, for example, that states would adopt quite different plans with similar actuarial values</w:t>
      </w:r>
      <w:r w:rsidRPr="00425173">
        <w:rPr>
          <w:sz w:val="16"/>
        </w:rPr>
        <w:t xml:space="preserve">. One group might opt for high-deductible plans covering a wide range of services with no cost sharing above the deductible and generous relief from the deductible for the poor, while others might adopt a system with low deductibles and modest cost sharing but covering a much narrower range of benefits. Discovering how individuals' and providers' attitudes and behavior differ under such plans and how health outcomes vary would provide valuable information for private health insurance planners and government officials. Protections for individuals. In addition to the definitional question, the question also arises, What limitations and protections should be applied to state experiments? If a simple net reduction in uninsurance guaranteed a financial reward to a state, for example, the state would have the incentive to drop coverage of costly high-risk adults and extend coverage to less costly (healthier and younger) workers. Some such concerns could be addressed in negotiating covenants, but some broad protections and policy "corridors" would be established under our proposal and would be necessary to achieve political support. One of the most politically sensitive would be a primum non nocere limitation. That is, </w:t>
      </w:r>
      <w:r w:rsidRPr="00D04C0F">
        <w:rPr>
          <w:rStyle w:val="StyleUnderline"/>
        </w:rPr>
        <w:t>states could not introduce a plan that reduced coverage for currently insured populations, most notably the Medicaid population, beyond some minimum amount</w:t>
      </w:r>
      <w:r w:rsidRPr="00425173">
        <w:rPr>
          <w:sz w:val="16"/>
        </w:rPr>
        <w:t xml:space="preserve">. We believe that no reform proposal is likely to be achievable without that restriction. Most Medicaid outlays in many states are not strictly mandated by federal law, in the sense that some beneficiaries and some services for all beneficiaries are optional. States </w:t>
      </w:r>
      <w:r w:rsidRPr="00425173">
        <w:rPr>
          <w:sz w:val="16"/>
        </w:rPr>
        <w:lastRenderedPageBreak/>
        <w:t>provide optional coverage because federal law permits it, and the federal match makes its provision attractive to states. If incentives were introduced to cover the non-Medicaid population</w:t>
      </w:r>
      <w:r w:rsidRPr="00D04C0F">
        <w:rPr>
          <w:rStyle w:val="StyleUnderline"/>
        </w:rPr>
        <w:t>, states might find it financially and politically attractive to increase the total number of insured people by curtailing Medicaid eligibility and benefits and using the money saved, together with federal support, to cover a larger number of people who are uninsured but less poor</w:t>
      </w:r>
      <w:r w:rsidRPr="00425173">
        <w:rPr>
          <w:sz w:val="16"/>
        </w:rPr>
        <w:t xml:space="preserve">. Designing and enforcing rules to prohibit or limit such "insurance swapping" would be extremely challenging but politically-and, one could argue, morally-essential. On the other hand, we believe that states should have some opportunity to propose different ways of delivering the Medicaid commitment to the currently insured population, as long as the degree and quality of coverage were not diminished. That form of Medicaid protection could stimulate creativity and improvement in coverage for the poorest citizens while avoiding any threat to their existing coverage. To be sure, there are disagreements, including between us, on the degree of freedom states should have in deciding how to deliver the Medicaid commitment. Positions range from only minor tweaking to sweeping changes in the delivery system, such as allowing states to use Medicaid money to subsidize individual enrollment in an equivalent private plan. </w:t>
      </w:r>
      <w:r w:rsidRPr="00425173">
        <w:rPr>
          <w:rStyle w:val="StyleUnderline"/>
        </w:rPr>
        <w:t>The degree of flexibility states should have, while maintaining eligibility and level of coverage, is a difficult political issue for Congress to decide.</w:t>
      </w:r>
      <w:r w:rsidRPr="00425173">
        <w:rPr>
          <w:sz w:val="16"/>
        </w:rPr>
        <w:t xml:space="preserve"> Acceptable state proposals would also have to limit cost sharing and features analogous to pension nondiscrimination rules. We believe that requirements, consistent with the general goals and protections we propose, are needed to ensure that lower-income households do not face unaffordable coverage. Without such limits, states could reduce the number of uninsured people and secure attendant federal financial support, for example, by instituting an individual mandate with a high premium that would effectively make insurance universal among the financially secure and do little for the poor. </w:t>
      </w:r>
      <w:r w:rsidRPr="00425173">
        <w:rPr>
          <w:rStyle w:val="StyleUnderline"/>
        </w:rPr>
        <w:t>States would need to propose a fair, plausible way of meeting the requirement, such as by mandating some form of community rating or through a cross-subsidy to more vulnerable populations</w:t>
      </w:r>
      <w:r w:rsidRPr="00425173">
        <w:rPr>
          <w:sz w:val="16"/>
        </w:rPr>
        <w:t xml:space="preserve">. The federal government should establish broad guidelines, but no more. A key principle of our proposal is that state officials are more likely than federal officials to design successful solutions to those problems that members of the policy or congressional staff community have failed to solve. Congress can and should set the parameters, but it should avoid micromanagement. "Policy toolbox" of federal policies and programs. A feature of the congressional impasse noted earlier is that many plausible health initiatives that might merit testing, and have support in some states, are blocked by other lawmakers who oppose the introduction of the approach in their own state or across the country. Thus, we propose that Congress enact presumptively legitimate approaches to the expansion of health insurance coverage as a "policy toolbox" that would be available to states à la carte to apply within their borders. Lawmakers could safely vote to permit an initiative, confident that it would not be imposed on their states. In this way, potentially useful policies and programs could be "unlocked" from Congress and become available for states to use in their own initiatives. A policy toolbox likely would include expansions of existing policies, such as raising income limits under Medicaid or lowering the age of Medicare eligibility. It could include arrangements to subsidize individual buy-ins to the FEHBP, refundable tax credits or their equivalent (perhaps with some steps to modify the federal income tax exclusion for employer-sponsored health insurance costs), mandating employer or individual coverage, or creating a single state insurance plan though which everyone may buy subsidized coverage. </w:t>
      </w:r>
      <w:r w:rsidRPr="00425173">
        <w:rPr>
          <w:rStyle w:val="StyleUnderline"/>
        </w:rPr>
        <w:t>Other possible examples might include the following: (1) Remove regulatory and tax obstacles to churches, unions, and other organizations providing group health insurance plans</w:t>
      </w:r>
      <w:r w:rsidRPr="00425173">
        <w:rPr>
          <w:sz w:val="16"/>
        </w:rPr>
        <w:t>. This could open up new forms of group coverage offered though organizations with an established membership and common values. (</w:t>
      </w:r>
      <w:r w:rsidRPr="00425173">
        <w:rPr>
          <w:rStyle w:val="StyleUnderline"/>
        </w:rPr>
        <w:t>2) Allow Medicaid and SCHIP to cover additional populations</w:t>
      </w:r>
      <w:r w:rsidRPr="00425173">
        <w:rPr>
          <w:sz w:val="16"/>
        </w:rPr>
        <w:t>, with greatly enhanced federal matching payments, and perhaps to operate in very different ways-with appropriate safeguards to protect those who are covered under current law. Both federal welfare legislation and SCHIP, for example, included safeguards to preserve existing Medicaid coverage. (3</w:t>
      </w:r>
      <w:r w:rsidRPr="00425173">
        <w:rPr>
          <w:rStyle w:val="StyleUnderline"/>
        </w:rPr>
        <w:t xml:space="preserve">) Extend limited federal Employee Retirement Income Security Act (ERISA) protection to large corporate health plans willing to enroll nonemployees, and extend the tax exclusion to those enrollees. </w:t>
      </w:r>
      <w:r w:rsidRPr="00425173">
        <w:rPr>
          <w:sz w:val="16"/>
        </w:rPr>
        <w:t xml:space="preserve">This could lead in a state to expanded access to comprehensive coverage. (4) Provide a voucher to individuals designed to mimic a comprehensive refundable tax credit for health insurance. This could allow the practical issues of a major tax credit approach to be examined. (5) Enact legislation to make forms of FEHBP-style coverage available to broader populations within states. This would enable states and federal government to explore the issues associated with extending the program to nonfederal employees and retirees. (6) Enable states to establish association plans and other innovative health organizations. We emphasize that any menu of tools would be optional for states. None would be required. Members of Congress would be more likely to agree to the inclusion of elements they would deplore in their own states if they knew that no state, including their own, would be forced to adopt them than they would be in a nationally uniform system. Some lawmakers, for instance, oppose association plans because they believe that such plans would disrupt successful state insurance arrangements. Under the menu approach, association plans would be introduced only in states wishing to use them as part of their overall strategy. State proposals, federal approval. Under our proposed strategy, states interested in a bold, creative initiative would design a proposal consistent with the goals and restrictions established by Congress. Typically this proposal would include some elements from the federal policy toolbox in conjunction with state initiatives. Needless to say, a critical congressional decision would concern mechanisms for approving state plans and monitoring state performance. </w:t>
      </w:r>
      <w:r w:rsidRPr="00425173">
        <w:rPr>
          <w:rStyle w:val="StyleUnderline"/>
        </w:rPr>
        <w:t>States would no doubt seek to take advantage of every financial opportunity to game the system and to stretch agreements to the limit, as the almost zany history of the Medicaid upper payment level (UPL) controversy makes painfully clear.</w:t>
      </w:r>
      <w:r w:rsidRPr="00425173">
        <w:rPr>
          <w:sz w:val="16"/>
        </w:rPr>
        <w:t xml:space="preserve"> Yet monitoring state behavior, determining state violations, and enforcing penalties on states is enormously difficult. Moreover, the entity could (and we think should) have the power to negotiate parts of a proposal, not merely approve or reject it, so that refinements could be made consistent with Congress's objectives. But what entity should this be? It might seem natural to designate an executive agency that reports to the president, such as the Department of Health and Human Services (HHS). We suspect, however, that many members of Congress would refuse to cede so much selection authority to another branch of government and that roughly half would fear partisan decisions by an administration of the "other" party. Congress would likely insist on adding suffocating selection criteria and other restrictions to executive-department decisions, jeopardizing the very creativity we intend. Thus, we favor instead an existing or newly created body that has independence but ultimately answers to Congress</w:t>
      </w:r>
      <w:r w:rsidRPr="004A7F7E">
        <w:rPr>
          <w:rStyle w:val="StyleUnderline"/>
        </w:rPr>
        <w:t>. A new bipartisan body might perform this function with members selected by Congress and the administration or with members also representing the states, with technical advice from the U.S. General Accounting</w:t>
      </w:r>
      <w:r w:rsidRPr="00425173">
        <w:rPr>
          <w:sz w:val="16"/>
        </w:rPr>
        <w:t xml:space="preserve"> Office (GAO). This body would evaluate and negotiate draft state proposals according </w:t>
      </w:r>
      <w:r w:rsidRPr="00425173">
        <w:rPr>
          <w:sz w:val="16"/>
        </w:rPr>
        <w:lastRenderedPageBreak/>
        <w:t xml:space="preserve">to the general requirements specified by Congress and then present a recommended "slate" of proposals to Congress for an up-or-down vote without amendment. Once the state proposals had been selected, HHS would be responsible for implementing the program. also requires </w:t>
      </w:r>
      <w:r w:rsidRPr="004A7F7E">
        <w:rPr>
          <w:rStyle w:val="StyleUnderline"/>
        </w:rPr>
        <w:t>Bipartisan willingness to authorize state programs and to appropriate sufficient funds to elicit state participation that members of Congress believe that approaches they find congenial will receive a fair trial</w:t>
      </w:r>
      <w:r w:rsidRPr="00425173">
        <w:rPr>
          <w:sz w:val="16"/>
        </w:rPr>
        <w:t xml:space="preserve"> and agree that approaches they reject will also receive a fair trial. Unfortunately, current federal legislation makes two key approaches difficult to implement in individual states or even groups of states: a single-payer plan and an individual mandate combined with refundable tax credits. A federalist approach should include mechanisms that would enable states to give such proposals as fair and complete a test as possible, both because that would provide valuable information and because the political support of their advocates is important in Congress. Crafting a single-payer experiment. ERISA, which exempts self-insured plans from state regulation, is the primary technical obstacle to testing single-payer plans. The political sensitivity to modifications in ERISA is difficult to exaggerate. Any attempt to carve out an exception from ERISA for state programs to extend coverage would probably doom federal legislation. But states could create "wraparound" plans to cover all who are not currently insured, or even to cover all who are not insured under plans exempted by ERISA from state regulation. While such an arrangement would not be a single-payer plan, it could achieve universal coverage, which is one defining characteristic of single-payer plans, and arguably be sufficient for a valid test. After all, the U.S. health care system is characterized by different subsystems for certain populations and has a form of single-payer coverage for military veterans. But of course the real test is whether advocates of single-payer plans regard such a limited arrangement as a fair trial. An individual tax credit approach. The obstacles to a state-level individual mandate with a refundable credit are also serious and complicated. We presume that an individual mandate would require some contribution from people with incomes above defined levels. Such a mandate raises both political and practical questions. Testing federal tax reform in selected geographic areas also raises constitutional and practical issues, although advocates of the approach maintain that other site-specific programs involving federal tax changes, such as enterprise zones, have passed muster. In addition, for a limited experiment it might be possible to design subsidy programs that would mimic tax relief. Administering a refundable tax credit would pose formidable difficulties for some states, particularly those that do not have a personal income tax. </w:t>
      </w:r>
      <w:r w:rsidRPr="00425173">
        <w:rPr>
          <w:rStyle w:val="StyleUnderline"/>
        </w:rPr>
        <w:t>In all states, the logistics of providing a credit with reasonable accuracy on a timely basis would be challenging</w:t>
      </w:r>
      <w:r w:rsidRPr="00425173">
        <w:rPr>
          <w:sz w:val="16"/>
        </w:rPr>
        <w:t xml:space="preserve">. So, too, would deciding how to address such administrative problems as households that live in one state yet work in another. Advocates for tax credits say they have solutions to these and similar challenges, just as supporters of single-payer approaches or employer mandates claim to have answers to challenges facing those approaches. For instance, </w:t>
      </w:r>
      <w:r w:rsidRPr="00425173">
        <w:rPr>
          <w:rStyle w:val="StyleUnderline"/>
        </w:rPr>
        <w:t>some maintain that the employment-based tax withholding system could serve as a vehicle for refundable credits or equivalent subsidies and would make individual enrollment practical</w:t>
      </w:r>
      <w:r w:rsidRPr="00425173">
        <w:rPr>
          <w:sz w:val="16"/>
        </w:rPr>
        <w:t>.</w:t>
      </w:r>
      <w:hyperlink r:id="rId101" w:anchor="4" w:history="1">
        <w:r w:rsidRPr="00425173">
          <w:rPr>
            <w:sz w:val="16"/>
          </w:rPr>
          <w:t>4</w:t>
        </w:r>
      </w:hyperlink>
      <w:r w:rsidRPr="00425173">
        <w:rPr>
          <w:sz w:val="16"/>
        </w:rPr>
        <w:t xml:space="preserve"> Whether or not they are right is of course disputed by their critics. The beauty of a "put up or shut up" federalism initiative is that it offers a chance for advocates to offer such solutions in practice instead of in theory. Using "managed federalism" to build support? Deciding how many states could qualify for experiments is an open political and technical question. One approach would be to limit it to a few states. This would limit costs but has little else to be said for it. Accordingly, we would favor opening the program to all states wishing to accept a federal offer. Nevertheless, we recognize that some lawmakers would be reluctant to vote for a process of federal-state innovation unless they were sure that certain "generic" or "standard" approaches were included-especially if the number of states in the program were to be limited. In particular, we believe that our proposal can win congressional support only if liberals and conservatives alike are fully convinced that the approaches each holds dear will receive a fair and full trial in practice. While we believe that any state initiative that meets approval should be welcomed, political considerations thus might require that no state's proposal would be approved unless a sufficient range of acceptable variants was proposed. For example, strong advocates of market-based or single-payer approaches might find the federalism option acceptable only if each was confident that favored approaches would be tested Adequate data collection. To determine whether a state was actually making progress toward a goal, accurate and timely data would be needed. These data would include surveys of insurance coverage, with sufficient detail to provide state-level estimates. Such surveys would be essential to show whether the states were making progress in extending health insurance coverage. They are vital to the success of the whole approach because payments to states (apart from modest planning assistance) should be based on actual progress in extending coverage, not on compliance with procedural milestones. Congress should also assure that states report on use of health services, costs, health status, and any other information deemed necessary to judge the relative success of various approaches to extending coverage. Only a national effort could ensure that data are comparable across states. States' cooperation with data collection would be one element of the determination of whether a state was in compliance with its covenant and was therefore eligible for full incentive payments. The experience with state waivers under welfare before enactment of the 1996 welfare reform clearly illustrates the power and importance of such data collection. The cumulative effect of the reports showing the effectiveness of welfare-to-work requirements in reducing rolls, increasing earnings, and raising recipients' satisfaction transformed the political environment and made welfare reform inescapable. Rewarding progress. Congress would design a formula under which states would be rewarded for their progress in meeting the agreed federal-state goals of extending insurance coverage. As experience with countless grant programs attests, haggling over such formulas can become politics at its grubbiest, with elected officials voting solely on the basis of what a particular formula does for their districts. Even without political parochialism, designing a formula that rewards progress fairly is no easy task. For one thing, states will be starting from quite different places. The proportion of states' uninsured populations under age sixty-five during 1997-1999 ranged from 27.7 percent in New Mexico and 26.8 percent in Texas to 9.6 percent in Rhode Island and 10.5 percent in Minnesota and Hawaii.</w:t>
      </w:r>
      <w:hyperlink r:id="rId102" w:anchor="7" w:history="1">
        <w:r w:rsidRPr="00425173">
          <w:rPr>
            <w:sz w:val="16"/>
          </w:rPr>
          <w:t>5</w:t>
        </w:r>
      </w:hyperlink>
      <w:r w:rsidRPr="00425173">
        <w:rPr>
          <w:sz w:val="16"/>
        </w:rPr>
        <w:t xml:space="preserve"> Designing an incentive formula to reward progress amid such diverse conditions is both an analytical and a political challenge. Moreover, the per capita cost of health care varies across the nation, which further complicates the assessment of progress. The cost of extending coverage depends on the geographic location, income, and health status of the uninsured population. Having financial access may be hollow in communities where services are physically unavailable or highly limited. Extending coverage may require supply-side measures to supplement financial access. We believe that the only way to design such a formula is to remove the detailed design decisions from congressional micromanagement. We suggest that Congress be asked to adopt the domestic equivalent of "fast-track" trade negotiation rules or base-closing legislation. Under this arrangement, Congress would designate a body appointed in equal numbers by the two parties, to design an incentive formula that Congress would agree to vote up or down, without amendments. Such a formula would have to recognize the different positions from which various states would start. Any acceptable formula would have to reward both absolute and relative reductions in the proportions of uninsured people. Whether financial incentives would be offered for other dimensions of performance and how performance would be measured constitute additional important challenges. Sources of funding. Bleak budget prospects could cause one to give up on this or any other attempt to extend health insurance coverage broadly. But as recent history amply illustrates, the political and budgetary weather can change dramatically and with little notice. What funding approach would be desirable if funds were available? Under our proposal</w:t>
      </w:r>
      <w:r w:rsidRPr="00425173">
        <w:rPr>
          <w:rStyle w:val="StyleUnderline"/>
        </w:rPr>
        <w:t>, the federal funding would be intended for several broad purposes: (1) A large portion of the money would be used to help states actually fund approaches</w:t>
      </w:r>
      <w:r w:rsidRPr="00425173">
        <w:rPr>
          <w:sz w:val="16"/>
        </w:rPr>
        <w:t xml:space="preserve"> to be tested. </w:t>
      </w:r>
      <w:r w:rsidRPr="00425173">
        <w:rPr>
          <w:rStyle w:val="StyleUnderline"/>
        </w:rPr>
        <w:t>(2)</w:t>
      </w:r>
      <w:r w:rsidRPr="00425173">
        <w:rPr>
          <w:sz w:val="16"/>
        </w:rPr>
        <w:t xml:space="preserve"> </w:t>
      </w:r>
      <w:r w:rsidRPr="00425173">
        <w:rPr>
          <w:rStyle w:val="StyleUnderline"/>
        </w:rPr>
        <w:t>Some funding (perhaps with assistance from private foundations) would provide national support and technical assistance to states.</w:t>
      </w:r>
      <w:r w:rsidRPr="00425173">
        <w:rPr>
          <w:sz w:val="16"/>
        </w:rPr>
        <w:t xml:space="preserve"> A model to consider for such support is the </w:t>
      </w:r>
      <w:r w:rsidRPr="00425173">
        <w:rPr>
          <w:sz w:val="16"/>
        </w:rPr>
        <w:lastRenderedPageBreak/>
        <w:t xml:space="preserve">Health Resources and Services Administration (HRSA) State Planning Grants program, which both funds state planning activities and provides federal support and technical assistance. (3) </w:t>
      </w:r>
      <w:r w:rsidRPr="00425173">
        <w:rPr>
          <w:rStyle w:val="StyleUnderline"/>
        </w:rPr>
        <w:t>Some funds would cover the cost of independent performance monitoring</w:t>
      </w:r>
      <w:r w:rsidRPr="00425173">
        <w:rPr>
          <w:sz w:val="16"/>
        </w:rPr>
        <w:t>. (4) Some funds would be set aside to reward states for meeting the goals in their agreed-upon plan. Congress might consider an automatic "performance bonus" system similar to the mechanism used in welfare reform. Congress could also consider withholding the periodic release of part of a state's grant pending a p-eriodic assessment by the independent monitor of the degree to which the state is accomplishing the objectives specified in its covenant. Only those states willing to offer proposals designed to achieve the national goals would be eligible for a share of the funding or for the menu of federal policy tools. A state could decline to offer a proposal and remain under current programs.</w:t>
      </w:r>
      <w:r w:rsidRPr="00425173">
        <w:rPr>
          <w:sz w:val="12"/>
        </w:rPr>
        <w:t>¶</w:t>
      </w:r>
      <w:r w:rsidRPr="00425173">
        <w:rPr>
          <w:sz w:val="16"/>
        </w:rPr>
        <w:t xml:space="preserve"> </w:t>
      </w:r>
      <w:r w:rsidRPr="00425173">
        <w:rPr>
          <w:rStyle w:val="Emphasis"/>
        </w:rPr>
        <w:t>Federalism enables the states to undertake innovative approaches to challenges facing the United States</w:t>
      </w:r>
      <w:r w:rsidRPr="00425173">
        <w:rPr>
          <w:sz w:val="16"/>
        </w:rPr>
        <w:t xml:space="preserve">. </w:t>
      </w:r>
      <w:r w:rsidRPr="00425173">
        <w:rPr>
          <w:rStyle w:val="StyleUnderline"/>
        </w:rPr>
        <w:t xml:space="preserve">Federal legislation often grants states broad discretion in designing even those programs for which the federal government bears much or most of the cost. In health care as well as education or welfare, </w:t>
      </w:r>
      <w:r w:rsidRPr="00425173">
        <w:rPr>
          <w:rStyle w:val="Emphasis"/>
        </w:rPr>
        <w:t>states have been the primary innovators.</w:t>
      </w:r>
      <w:r w:rsidRPr="00425173">
        <w:rPr>
          <w:sz w:val="16"/>
        </w:rPr>
        <w:t xml:space="preserve"> But the federal government limits, shapes, and facilitates such innovation through regulation, taxation, and grants. Such a partnership is bound to be marked by conflict and tension as state and federal interests diverge. </w:t>
      </w:r>
      <w:r w:rsidRPr="00425173">
        <w:rPr>
          <w:rStyle w:val="StyleUnderline"/>
        </w:rPr>
        <w:t>A creative federalism approach of the kind we propose would change the dynamics of discovering better ways to expand insurance coverage</w:t>
      </w:r>
      <w:r w:rsidRPr="00425173">
        <w:rPr>
          <w:sz w:val="16"/>
        </w:rPr>
        <w:t>, just as a version of this approach triggered a radical change in the way states addressed welfare dependency. By actually testing competing approaches to reach common goals, rather than endlessly debating them, the United States is far more likely to find the solution to the perplexing and seemingly intractable problem of uninsurance. An earlier version of this paper was presented at a conference convened by the Council on Health Care Economics and Policy, 19 September 2003, in Washington, D.C.</w:t>
      </w:r>
      <w:r w:rsidRPr="00425173">
        <w:rPr>
          <w:sz w:val="12"/>
        </w:rPr>
        <w:t>¶</w:t>
      </w:r>
      <w:r w:rsidRPr="00425173">
        <w:rPr>
          <w:sz w:val="16"/>
        </w:rPr>
        <w:t xml:space="preserve"> </w:t>
      </w:r>
    </w:p>
    <w:p w:rsidR="00AF1BF7" w:rsidRPr="00784F5E" w:rsidRDefault="00AF1BF7" w:rsidP="00AF1BF7"/>
    <w:p w:rsidR="00AF1BF7" w:rsidRDefault="00AF1BF7" w:rsidP="00AF1BF7">
      <w:pPr>
        <w:pStyle w:val="Heading2"/>
      </w:pPr>
      <w:bookmarkStart w:id="100" w:name="_Toc424259175"/>
      <w:r>
        <w:lastRenderedPageBreak/>
        <w:t>A2: States CP</w:t>
      </w:r>
      <w:bookmarkEnd w:id="100"/>
    </w:p>
    <w:p w:rsidR="00AF1BF7" w:rsidRDefault="008C6DEF" w:rsidP="00AF1BF7">
      <w:pPr>
        <w:pStyle w:val="Heading3"/>
      </w:pPr>
      <w:bookmarkStart w:id="101" w:name="_Toc424259176"/>
      <w:r>
        <w:lastRenderedPageBreak/>
        <w:t>2AC Answers to States CP</w:t>
      </w:r>
      <w:bookmarkEnd w:id="101"/>
    </w:p>
    <w:p w:rsidR="00AF1BF7" w:rsidRPr="00541787" w:rsidRDefault="00AF1BF7" w:rsidP="00AF1BF7"/>
    <w:p w:rsidR="00AF1BF7" w:rsidRDefault="00AF1BF7" w:rsidP="00AF1BF7">
      <w:pPr>
        <w:pStyle w:val="Heading4"/>
      </w:pPr>
      <w:r>
        <w:t>States will push people off welfare to save cash – empirics prove</w:t>
      </w:r>
    </w:p>
    <w:p w:rsidR="00AF1BF7" w:rsidRDefault="00AF1BF7" w:rsidP="00AF1BF7">
      <w:r w:rsidRPr="005A3A19">
        <w:rPr>
          <w:rStyle w:val="StyleStyleBold12pt"/>
        </w:rPr>
        <w:t xml:space="preserve">Budd, 2010 </w:t>
      </w:r>
      <w:r>
        <w:t>(Jordan C., Professor of Law @ University of New Hampshire School of Law, “A Fourth Amendment for the Poor Alone: Subconstitutional Status and the Myth of the Inviolate Home,” Indiana Law Journal, Vol. 85, No. 2, 2010)</w:t>
      </w:r>
    </w:p>
    <w:p w:rsidR="00AF1BF7" w:rsidRPr="008C6DEF" w:rsidRDefault="00AF1BF7" w:rsidP="00AF1BF7">
      <w:pPr>
        <w:rPr>
          <w:sz w:val="16"/>
        </w:rPr>
      </w:pPr>
      <w:r w:rsidRPr="000B05E9">
        <w:rPr>
          <w:rStyle w:val="StyleUnderline"/>
        </w:rPr>
        <w:t>An important element of this</w:t>
      </w:r>
      <w:r w:rsidRPr="008C6DEF">
        <w:rPr>
          <w:sz w:val="16"/>
        </w:rPr>
        <w:t xml:space="preserve"> massive </w:t>
      </w:r>
      <w:r w:rsidRPr="000B05E9">
        <w:rPr>
          <w:rStyle w:val="StyleUnderline"/>
        </w:rPr>
        <w:t>restructuring effort has been the devolution of discretionary responsibility to local officials'</w:t>
      </w:r>
      <w:r w:rsidRPr="008C6DEF">
        <w:rPr>
          <w:sz w:val="16"/>
        </w:rPr>
        <w:t xml:space="preserve"> 96 -- again, in keeping with poor relief of previous centuries.'97 In view of the statutory focus on caseload reduction, </w:t>
      </w:r>
      <w:r w:rsidRPr="000B05E9">
        <w:rPr>
          <w:rStyle w:val="StyleUnderline"/>
        </w:rPr>
        <w:t>localities have devoted significant attention to reducing the number of recipients</w:t>
      </w:r>
      <w:r w:rsidRPr="008C6DEF">
        <w:rPr>
          <w:sz w:val="16"/>
        </w:rPr>
        <w:t xml:space="preserve"> at the front-end by imposing stringent and frequently demeaning verification procedures governing applications </w:t>
      </w:r>
      <w:r w:rsidRPr="000B05E9">
        <w:rPr>
          <w:rStyle w:val="StyleUnderline"/>
        </w:rPr>
        <w:t>for aid.</w:t>
      </w:r>
      <w:r w:rsidRPr="008C6DEF">
        <w:rPr>
          <w:sz w:val="16"/>
        </w:rPr>
        <w:t xml:space="preserve">' 98 As Mulzer explains, "In the hands of 'goal-oriented' welfare agencies, verification procedures become much more than a means of error or fraud control, leading to routine invasions of claimants' privacy and causing many eligible individuals to be denied benefits or discouraged from ever applying for them."' 199 The new and aggressive investigative techniques associated with this emerging "verification extremism"200 are designed not merely to ferret out applications submitted by the posited legions of welfare queens 201 but also "to augment the hassle, intimidation, and humiliation of applicants with an eye toward the policy goal of deterring all but the most desperate from seeking aid., 20 2 </w:t>
      </w:r>
      <w:r w:rsidRPr="000B05E9">
        <w:rPr>
          <w:rStyle w:val="StyleUnderline"/>
        </w:rPr>
        <w:t>This</w:t>
      </w:r>
      <w:r w:rsidRPr="008C6DEF">
        <w:rPr>
          <w:sz w:val="16"/>
        </w:rPr>
        <w:t xml:space="preserve"> "[i]nformal rationing </w:t>
      </w:r>
      <w:r w:rsidRPr="000B05E9">
        <w:rPr>
          <w:rStyle w:val="StyleUnderline"/>
        </w:rPr>
        <w:t>allows states to reduce welfare rolls without cutting eligibility or benefit levels</w:t>
      </w:r>
      <w:r w:rsidRPr="008C6DEF">
        <w:rPr>
          <w:sz w:val="16"/>
        </w:rPr>
        <w:t xml:space="preserve">, leading the public to believe that the drop was caused by a genuine reduction in need., 20 3 Among the local verification methods devised to promote these objectives is a resurrected variant of the traditional home visit. However, rather than follow the template of the visits depicted in Wyman-where caseworkers met with families to promote rehabilitative services and the care of children-this new version is explicitly investigatory in design and conducted by law-enforcement officers whose sole purpose is to search the home for evidence of ineligibility or fraud.2° </w:t>
      </w:r>
      <w:r w:rsidRPr="000B05E9">
        <w:rPr>
          <w:rStyle w:val="StyleUnderline"/>
        </w:rPr>
        <w:t xml:space="preserve">Verification programs in San Diego County, California, and Milwaukee County, Wisconsin, exemplify this </w:t>
      </w:r>
      <w:r>
        <w:rPr>
          <w:rStyle w:val="StyleUnderline"/>
        </w:rPr>
        <w:t>aggressive approach,</w:t>
      </w:r>
      <w:r w:rsidRPr="000B05E9">
        <w:rPr>
          <w:rStyle w:val="StyleUnderline"/>
        </w:rPr>
        <w:t xml:space="preserve"> while California's Los Angeles County has implemented a moderated version of the same strategy.</w:t>
      </w:r>
      <w:r w:rsidRPr="008C6DEF">
        <w:rPr>
          <w:sz w:val="16"/>
        </w:rPr>
        <w:t xml:space="preserve">20 6 While </w:t>
      </w:r>
      <w:r w:rsidRPr="000B05E9">
        <w:rPr>
          <w:rStyle w:val="StyleUnderline"/>
        </w:rPr>
        <w:t>there is significant variation among these and related programs in other jurisdictions</w:t>
      </w:r>
      <w:r w:rsidRPr="008C6DEF">
        <w:rPr>
          <w:sz w:val="16"/>
        </w:rPr>
        <w:t>, 20 7 several shared attributes broadly distinguish this new generation of home visits from the procedures at issue in Wyman.</w:t>
      </w:r>
    </w:p>
    <w:p w:rsidR="00AF1BF7" w:rsidRDefault="00AF1BF7" w:rsidP="00AF1BF7"/>
    <w:p w:rsidR="00AF1BF7" w:rsidRDefault="00AF1BF7" w:rsidP="00AF1BF7">
      <w:pPr>
        <w:pStyle w:val="Heading4"/>
      </w:pPr>
      <w:r>
        <w:t>State controlled welfare leads to racialized poverty</w:t>
      </w:r>
    </w:p>
    <w:p w:rsidR="00AF1BF7" w:rsidRPr="002324B5" w:rsidRDefault="00AF1BF7" w:rsidP="00AF1BF7">
      <w:pPr>
        <w:rPr>
          <w:rStyle w:val="StyleUnderline"/>
          <w:sz w:val="16"/>
        </w:rPr>
      </w:pPr>
      <w:r>
        <w:rPr>
          <w:rStyle w:val="StyleUnderline"/>
        </w:rPr>
        <w:t>Brown 03</w:t>
      </w:r>
      <w:r w:rsidRPr="002324B5">
        <w:rPr>
          <w:sz w:val="16"/>
        </w:rPr>
        <w:t xml:space="preserve">, Investigating the relationship between changing conceptions of equality of opportunity and racial inequality since the end of slavery in the United States. (Michael K, </w:t>
      </w:r>
      <w:r w:rsidRPr="002324B5">
        <w:rPr>
          <w:sz w:val="16"/>
          <w:szCs w:val="16"/>
          <w:u w:val="single"/>
        </w:rPr>
        <w:t>Race and the Politics of Welfare Reform</w:t>
      </w:r>
      <w:r w:rsidRPr="002324B5">
        <w:rPr>
          <w:sz w:val="16"/>
        </w:rPr>
        <w:t>, Chapter 2: “Ghettos, Fiscal Federalism, and Welfare Reform,” pgs 49-51, https://www.press.umich.edu/pdf/9780472068319-ch2.pdf)</w:t>
      </w:r>
    </w:p>
    <w:p w:rsidR="00AF1BF7" w:rsidRDefault="00AF1BF7" w:rsidP="00AF1BF7">
      <w:pPr>
        <w:rPr>
          <w:sz w:val="14"/>
        </w:rPr>
      </w:pPr>
      <w:r w:rsidRPr="0082501D">
        <w:rPr>
          <w:rStyle w:val="StyleUnderline"/>
        </w:rPr>
        <w:t>Political conflict between Democrats and Republicans over fiscal federalism and social welfare that goes back to the 1930s produced the antinomy between race and fiscal federalism embedded in the welfare reform law</w:t>
      </w:r>
      <w:r w:rsidRPr="0082501D">
        <w:rPr>
          <w:sz w:val="14"/>
        </w:rPr>
        <w:t>. PRWORA’s fiscal structure and incentives are the result of state governments’ attempt to shift all the costs of federal social policy to</w:t>
      </w:r>
      <w:r w:rsidRPr="0082501D">
        <w:rPr>
          <w:rStyle w:val="StyleUnderline"/>
        </w:rPr>
        <w:t xml:space="preserve"> the </w:t>
      </w:r>
      <w:r w:rsidRPr="0082501D">
        <w:rPr>
          <w:sz w:val="14"/>
        </w:rPr>
        <w:t xml:space="preserve">national government and </w:t>
      </w:r>
      <w:r w:rsidRPr="0082501D">
        <w:rPr>
          <w:rStyle w:val="StyleUnderline"/>
        </w:rPr>
        <w:t>Republicans’ strategy of using block grants to limit growth of the welfare state</w:t>
      </w:r>
      <w:r w:rsidRPr="0082501D">
        <w:rPr>
          <w:sz w:val="14"/>
        </w:rPr>
        <w:t>. This fiscal structure</w:t>
      </w:r>
      <w:r w:rsidRPr="0082501D">
        <w:rPr>
          <w:rStyle w:val="StyleUnderline"/>
        </w:rPr>
        <w:t xml:space="preserve"> is not easily reconciled with the urban concentration of racialized poverty, and, in fact, it is a consequence of the racial politics of welfare</w:t>
      </w:r>
      <w:r w:rsidRPr="0082501D">
        <w:rPr>
          <w:sz w:val="14"/>
        </w:rPr>
        <w:t>—</w:t>
      </w:r>
      <w:r w:rsidRPr="0082501D">
        <w:rPr>
          <w:rStyle w:val="StyleUnderline"/>
        </w:rPr>
        <w:t>opponents of federal social policy using race as a political weapon to undermine support for the welfare state</w:t>
      </w:r>
      <w:r w:rsidRPr="0082501D">
        <w:rPr>
          <w:sz w:val="14"/>
        </w:rPr>
        <w:t>.</w:t>
      </w:r>
      <w:r>
        <w:rPr>
          <w:sz w:val="14"/>
        </w:rPr>
        <w:t xml:space="preserve"> </w:t>
      </w:r>
      <w:r w:rsidRPr="0082501D">
        <w:rPr>
          <w:sz w:val="14"/>
        </w:rPr>
        <w:t xml:space="preserve">Why Liberals Should Hate Block Grants The contradiction between  fiscal federalism and race was the unspoken corollary to the debate over race and poverty that preceded passage of the 1996 law. </w:t>
      </w:r>
      <w:r w:rsidRPr="0082501D">
        <w:rPr>
          <w:rStyle w:val="StyleUnderline"/>
        </w:rPr>
        <w:t xml:space="preserve">The debate assumed that the persistence of racialized poverty </w:t>
      </w:r>
      <w:r w:rsidRPr="0082501D">
        <w:rPr>
          <w:sz w:val="14"/>
        </w:rPr>
        <w:t xml:space="preserve">(African American and Latino poverty rates three times those of whites) was rooted in individual failure by and large—the failure of poor blacks to accept work when it was available, </w:t>
      </w:r>
      <w:r w:rsidRPr="0082501D">
        <w:rPr>
          <w:rStyle w:val="StyleUnderline"/>
        </w:rPr>
        <w:t>a failure to stay in school</w:t>
      </w:r>
      <w:r w:rsidRPr="0082501D">
        <w:rPr>
          <w:sz w:val="14"/>
        </w:rPr>
        <w:t xml:space="preserve">, </w:t>
      </w:r>
      <w:r w:rsidRPr="0082501D">
        <w:rPr>
          <w:rStyle w:val="StyleUnderline"/>
        </w:rPr>
        <w:t>or a refusal to get married</w:t>
      </w:r>
      <w:r w:rsidRPr="0082501D">
        <w:rPr>
          <w:sz w:val="14"/>
        </w:rPr>
        <w:t xml:space="preserve">. Conservatives demanded work requirements and individual responsibility of poor women as way of reforming “ghetto culture.” Forcing poor African American mothers to work would change their values and “break the culture of poverty,” according to Mickey Kaus (1992, 127). Liberals accepted the need for work and self-discipline; they merely sought to soften the program with a plan for guaranteed jobs. Although many liberals acknowledged that the massive decline in good jobs in big cities was the main cause of urban poverty, theynonetheless believed the so-called pathological behavior of the poor was just as relevant. Thus, </w:t>
      </w:r>
      <w:r w:rsidRPr="0082501D">
        <w:rPr>
          <w:rStyle w:val="StyleUnderline"/>
        </w:rPr>
        <w:t>they were willing to accept time limits on bene fits and to allow states to make moral improvement a condition of aid</w:t>
      </w:r>
      <w:r w:rsidRPr="0082501D">
        <w:rPr>
          <w:sz w:val="14"/>
        </w:rPr>
        <w:t xml:space="preserve">. </w:t>
      </w:r>
      <w:r w:rsidRPr="0082501D">
        <w:rPr>
          <w:rStyle w:val="StyleUnderline"/>
        </w:rPr>
        <w:t>This debate misconstrues the problems facing poor women and their children and fails to explain why racialized poverty endures</w:t>
      </w:r>
      <w:r w:rsidRPr="0082501D">
        <w:rPr>
          <w:sz w:val="14"/>
        </w:rPr>
        <w:t>. Growth in the number of female-headed families among African Americans has less to do with persistent poverty than the loss of jobs in inner cities, declining demand for unskilled labor, and racially segregated neighborhoods.</w:t>
      </w:r>
      <w:r w:rsidRPr="0082501D">
        <w:rPr>
          <w:rStyle w:val="StyleUnderline"/>
        </w:rPr>
        <w:t>1 Equally important to these well-known causes of racialized poverty is one that often goes unstated</w:t>
      </w:r>
      <w:r w:rsidRPr="0082501D">
        <w:rPr>
          <w:sz w:val="14"/>
        </w:rPr>
        <w:t xml:space="preserve">: </w:t>
      </w:r>
      <w:r w:rsidRPr="0082501D">
        <w:rPr>
          <w:rStyle w:val="StyleUnderline"/>
        </w:rPr>
        <w:t>public disinvestment in ghetto communities</w:t>
      </w:r>
      <w:r w:rsidRPr="0082501D">
        <w:rPr>
          <w:sz w:val="14"/>
        </w:rPr>
        <w:t xml:space="preserve">. The problem with governmental policy is not that it has been too generous or that it contributes to the bad behavior of poor women. Rather, it has always been insuf ficient. Neoliberal welfare reformers recognized these realities and assumed that any policy predicated on eliminating the AFDC entitlement and forcing poor women into the labor market would require substantial public investment in day care, employment training and education, </w:t>
      </w:r>
      <w:r w:rsidRPr="0082501D">
        <w:rPr>
          <w:rStyle w:val="StyleUnderline"/>
        </w:rPr>
        <w:t>health service</w:t>
      </w:r>
      <w:r w:rsidRPr="0082501D">
        <w:rPr>
          <w:sz w:val="14"/>
        </w:rPr>
        <w:t>s, and a variety of social services. This was the premise underlying their hopes for the 1988 Family Support Act, which was supposed to provide new resources for poor women and their families. And it</w:t>
      </w:r>
      <w:r w:rsidRPr="0082501D">
        <w:rPr>
          <w:rStyle w:val="StyleUnderline"/>
        </w:rPr>
        <w:t xml:space="preserve"> was the basis of the Faustian bargain neoliberals made when they agreed to the 1996 welfare reform bill</w:t>
      </w:r>
      <w:r w:rsidRPr="0082501D">
        <w:rPr>
          <w:sz w:val="14"/>
        </w:rPr>
        <w:t xml:space="preserve">. TANF appealed to many “new Democrats” because </w:t>
      </w:r>
      <w:r w:rsidRPr="0082501D">
        <w:rPr>
          <w:sz w:val="14"/>
        </w:rPr>
        <w:lastRenderedPageBreak/>
        <w:t xml:space="preserve">it held out the possibility of fashioning a race-neutral, </w:t>
      </w:r>
      <w:r w:rsidRPr="0082501D">
        <w:rPr>
          <w:rStyle w:val="StyleUnderline"/>
        </w:rPr>
        <w:t>work-conditioned safety net that could address inner-city poverty</w:t>
      </w:r>
      <w:r w:rsidRPr="0082501D">
        <w:rPr>
          <w:sz w:val="14"/>
        </w:rPr>
        <w:t xml:space="preserve">. Whites, particularly white Democrats, strongly prefer race-neutral policies (Sniderman and Carmines 1997, 104–10). Neoliberal welfare reformers also assumed that TANF was a way of reconciling the mantra of individual responsibility that is the ideology of welfare reform with the economic realities of low-wage labor markets. The challenge facing policymakers, they assume, is how to make a work-conditioned safety net function in an hourglass economy where demand for unskilled labor has dramatically declined and economic growth is less effective in reducing poverty. It was obvious during the long debate over welfare reform that any work-conditioned policy would be very expensive. </w:t>
      </w:r>
      <w:r w:rsidRPr="0082501D">
        <w:rPr>
          <w:rStyle w:val="StyleUnderline"/>
        </w:rPr>
        <w:t>Yet liberal welfare reformers lost their wager when they agreed to block grants</w:t>
      </w:r>
      <w:r w:rsidRPr="0082501D">
        <w:rPr>
          <w:sz w:val="14"/>
        </w:rPr>
        <w:t xml:space="preserve">. TANF’s  fiscal structure undermines any possibility of building a viable work-conditioned safety net: </w:t>
      </w:r>
      <w:r w:rsidRPr="0082501D">
        <w:rPr>
          <w:rStyle w:val="StyleUnderline"/>
        </w:rPr>
        <w:t>it gives states powerful  financial incentives to reduce caseloads and few incentives to reduce concentrated poverty in inner cities</w:t>
      </w:r>
      <w:r w:rsidRPr="0082501D">
        <w:rPr>
          <w:sz w:val="14"/>
        </w:rPr>
        <w:t xml:space="preserve">. Under TANF federal funding no longer oscillates with changes in caseloads, as it did under AFDC. </w:t>
      </w:r>
      <w:r w:rsidRPr="0082501D">
        <w:rPr>
          <w:rStyle w:val="StyleUnderline"/>
        </w:rPr>
        <w:t>The AFDC entitlement was based on anopen-ended grant-in-aid in which the federal government matched state expenditures on a sliding scale that provided proportionally more resources to poor states</w:t>
      </w:r>
      <w:r w:rsidRPr="0082501D">
        <w:rPr>
          <w:sz w:val="14"/>
        </w:rPr>
        <w:t xml:space="preserve">. Regardless of the number of cases, </w:t>
      </w:r>
      <w:r w:rsidRPr="0082501D">
        <w:rPr>
          <w:rStyle w:val="StyleUnderline"/>
        </w:rPr>
        <w:t>the federal government paid from 50 to 80 percent of the statewide average cost of the caseload</w:t>
      </w:r>
      <w:r w:rsidRPr="0082501D">
        <w:rPr>
          <w:sz w:val="14"/>
        </w:rPr>
        <w:t xml:space="preserve">. Congress replaced this open-ended grant with a block grant and capped spending at $16.5 billion annually. The money is allocated to the states based on their 1994–95 caseloads. TANF is a far more rigid program than AFDC. From the vantage point of the federal budget, an “uncontrollable” entitlement program is now a  fixed appropriation where Congress will determine the volume of spending. From the vantage point of states, caseload reductions yield a  financial windfall. Since federal funding no longer ›uctuates with the size of the caseload, </w:t>
      </w:r>
      <w:r w:rsidRPr="0082501D">
        <w:rPr>
          <w:rStyle w:val="StyleUnderline"/>
        </w:rPr>
        <w:t>states are allowed to keep any unexpended federal dollars</w:t>
      </w:r>
      <w:r w:rsidRPr="0082501D">
        <w:rPr>
          <w:sz w:val="14"/>
        </w:rPr>
        <w:t>.</w:t>
      </w:r>
    </w:p>
    <w:p w:rsidR="00AF1BF7" w:rsidRDefault="00AF1BF7" w:rsidP="00AF1BF7">
      <w:pPr>
        <w:rPr>
          <w:sz w:val="14"/>
        </w:rPr>
      </w:pPr>
    </w:p>
    <w:p w:rsidR="00AF1BF7" w:rsidRDefault="00AF1BF7" w:rsidP="00AF1BF7">
      <w:pPr>
        <w:pStyle w:val="Heading4"/>
      </w:pPr>
      <w:r>
        <w:t>State controlled redistribution of wealth fails – leads to more poverty</w:t>
      </w:r>
    </w:p>
    <w:p w:rsidR="00AF1BF7" w:rsidRPr="009A7DA3" w:rsidRDefault="00AF1BF7" w:rsidP="00AF1BF7">
      <w:pPr>
        <w:rPr>
          <w:b/>
          <w:sz w:val="16"/>
        </w:rPr>
      </w:pPr>
      <w:r>
        <w:rPr>
          <w:rStyle w:val="StyleUnderline"/>
        </w:rPr>
        <w:t>Brown 03</w:t>
      </w:r>
      <w:r w:rsidRPr="009A7DA3">
        <w:rPr>
          <w:sz w:val="16"/>
        </w:rPr>
        <w:t xml:space="preserve">, Investigating the relationship between changing conceptions of equality of opportunity and racial inequality since the end of slavery in the United States. (Michael K, </w:t>
      </w:r>
      <w:r w:rsidRPr="009A7DA3">
        <w:rPr>
          <w:sz w:val="16"/>
          <w:u w:val="single"/>
        </w:rPr>
        <w:t>Race and the Politics of Welfare Reform</w:t>
      </w:r>
      <w:r w:rsidRPr="009A7DA3">
        <w:rPr>
          <w:sz w:val="16"/>
        </w:rPr>
        <w:t>, Chapter 2: “Ghettos, Fiscal Federalism, and Welfare Reform,” pgs 53-54, https://www.press.umich.edu/pdf/9780472068319-ch2.pdf)</w:t>
      </w:r>
    </w:p>
    <w:p w:rsidR="00AF1BF7" w:rsidRPr="008C6DEF" w:rsidRDefault="00AF1BF7" w:rsidP="00AF1BF7">
      <w:pPr>
        <w:rPr>
          <w:sz w:val="16"/>
        </w:rPr>
      </w:pPr>
      <w:r w:rsidRPr="008C6DEF">
        <w:rPr>
          <w:sz w:val="16"/>
        </w:rPr>
        <w:t xml:space="preserve">Race and fiscal federalism have been antagonistically linked since the New Deal, </w:t>
      </w:r>
      <w:r w:rsidRPr="009A7DA3">
        <w:rPr>
          <w:rStyle w:val="StyleUnderline"/>
        </w:rPr>
        <w:t>when the federal government assumed greater responsibility for subsidizing the activities of state and local governments</w:t>
      </w:r>
      <w:r w:rsidRPr="008C6DEF">
        <w:rPr>
          <w:sz w:val="16"/>
        </w:rPr>
        <w:t xml:space="preserve">. From FDR on, </w:t>
      </w:r>
      <w:r w:rsidRPr="009A7DA3">
        <w:rPr>
          <w:rStyle w:val="StyleUnderline"/>
        </w:rPr>
        <w:t>national politicians chose to use state and local governments as conduits for national policies</w:t>
      </w:r>
      <w:r w:rsidRPr="008C6DEF">
        <w:rPr>
          <w:sz w:val="16"/>
        </w:rPr>
        <w:t xml:space="preserve">; they only differed in the latitude they granted to subnational governments. </w:t>
      </w:r>
      <w:r w:rsidRPr="009A7DA3">
        <w:rPr>
          <w:rStyle w:val="StyleUnderline"/>
        </w:rPr>
        <w:t>If federalism has been constitutive of the welfare state</w:t>
      </w:r>
      <w:r w:rsidRPr="008C6DEF">
        <w:rPr>
          <w:sz w:val="16"/>
        </w:rPr>
        <w:t xml:space="preserve">, </w:t>
      </w:r>
      <w:r w:rsidRPr="009A7DA3">
        <w:rPr>
          <w:rStyle w:val="StyleUnderline"/>
        </w:rPr>
        <w:t>it has also impeded the redistributive policies needed to either ameliorate or diminish poverty while permitting racial discrimination to flourish and reinforcing the hierarchy of white over black</w:t>
      </w:r>
      <w:r w:rsidRPr="008C6DEF">
        <w:rPr>
          <w:sz w:val="16"/>
        </w:rPr>
        <w:t xml:space="preserve">. African Americans have always understood that a decentralized welfare state would only sustain the color line. During the debate over the 1935 Social Security Act, Walter White of the NAACP warned Eleanor Roosevelt that “if </w:t>
      </w:r>
      <w:r w:rsidRPr="009A7DA3">
        <w:rPr>
          <w:rStyle w:val="StyleUnderline"/>
        </w:rPr>
        <w:t xml:space="preserve">the Federal Government </w:t>
      </w:r>
      <w:r w:rsidRPr="008C6DEF">
        <w:rPr>
          <w:sz w:val="16"/>
        </w:rPr>
        <w:t>continues to make lump grants to the States and leaves expenditures to the States it</w:t>
      </w:r>
      <w:r w:rsidRPr="009A7DA3">
        <w:rPr>
          <w:rStyle w:val="StyleUnderline"/>
        </w:rPr>
        <w:t xml:space="preserve"> should </w:t>
      </w:r>
      <w:r w:rsidRPr="008C6DEF">
        <w:rPr>
          <w:sz w:val="16"/>
        </w:rPr>
        <w:t xml:space="preserve">not abandon all responsibility to </w:t>
      </w:r>
      <w:r w:rsidRPr="009A7DA3">
        <w:rPr>
          <w:rStyle w:val="StyleUnderline"/>
        </w:rPr>
        <w:t xml:space="preserve">see that Federal funds are not used to grind a section of its citizenry further into the dust” </w:t>
      </w:r>
      <w:r w:rsidRPr="008C6DEF">
        <w:rPr>
          <w:sz w:val="16"/>
        </w:rPr>
        <w:t>(Kifer 1961, 234).</w:t>
      </w:r>
      <w:r w:rsidRPr="009A7DA3">
        <w:rPr>
          <w:rStyle w:val="StyleUnderline"/>
        </w:rPr>
        <w:t xml:space="preserve"> Redistribution is a national function</w:t>
      </w:r>
      <w:r w:rsidRPr="008C6DEF">
        <w:rPr>
          <w:sz w:val="16"/>
        </w:rPr>
        <w:t xml:space="preserve">. </w:t>
      </w:r>
      <w:r w:rsidRPr="009A7DA3">
        <w:rPr>
          <w:rStyle w:val="StyleUnderline"/>
        </w:rPr>
        <w:t>Relying on the states to redistribute resources from wealthy citizens and places to impoverished citizens and communities is a dead end</w:t>
      </w:r>
      <w:r w:rsidRPr="008C6DEF">
        <w:rPr>
          <w:sz w:val="16"/>
        </w:rPr>
        <w:t xml:space="preserve">. Such a policy, Richard Musgrave observes, “can only operate within narrow limits” (1997, 67). States have few incentives to mount redistributive social programs and will seek, ordinarily, </w:t>
      </w:r>
      <w:r w:rsidRPr="009A7DA3">
        <w:rPr>
          <w:rStyle w:val="StyleUnderline"/>
        </w:rPr>
        <w:t>to shift the burden of spending to the national government</w:t>
      </w:r>
      <w:r w:rsidRPr="008C6DEF">
        <w:rPr>
          <w:sz w:val="16"/>
        </w:rPr>
        <w:t xml:space="preserve">. </w:t>
      </w:r>
      <w:r w:rsidRPr="009A7DA3">
        <w:rPr>
          <w:rStyle w:val="StyleUnderline"/>
        </w:rPr>
        <w:t>Tax revenues needed to fund governmental services depend on private investment and the willingness of taxpayers to pay up</w:t>
      </w:r>
      <w:r w:rsidRPr="008C6DEF">
        <w:rPr>
          <w:sz w:val="16"/>
        </w:rPr>
        <w:t xml:space="preserve">. Any government is an “economic parasite,” Joseph Schumpeter memorably wrote, and it “must not demand from the people so much that they lose financial interest in production or at any rate cease to use their best energies for it” (1991, </w:t>
      </w:r>
      <w:r w:rsidRPr="009A7DA3">
        <w:rPr>
          <w:rStyle w:val="StyleUnderline"/>
        </w:rPr>
        <w:t>112). Since capital and taxpayers are highly mobile</w:t>
      </w:r>
      <w:r w:rsidRPr="008C6DEF">
        <w:rPr>
          <w:sz w:val="16"/>
        </w:rPr>
        <w:t xml:space="preserve">, </w:t>
      </w:r>
      <w:r w:rsidRPr="009A7DA3">
        <w:rPr>
          <w:rStyle w:val="StyleUnderline"/>
        </w:rPr>
        <w:t>state governments must compete for economic resources just as nation-states compete in the global economy</w:t>
      </w:r>
      <w:r w:rsidRPr="008C6DEF">
        <w:rPr>
          <w:sz w:val="16"/>
        </w:rPr>
        <w:t xml:space="preserve">. High-tax states intent on redistribution may find themselves at a disadvantage in attracting new investment and retaining the support of taxpayers. </w:t>
      </w:r>
      <w:r w:rsidRPr="009A7DA3">
        <w:rPr>
          <w:rStyle w:val="StyleUnderline"/>
        </w:rPr>
        <w:t>These costs can be avoided by transferring the burden for social expenditures to higher levels of government</w:t>
      </w:r>
      <w:r w:rsidRPr="008C6DEF">
        <w:rPr>
          <w:sz w:val="16"/>
        </w:rPr>
        <w:t>, in effect shifting the burden and political responsibility for taxation upward.</w:t>
      </w:r>
    </w:p>
    <w:p w:rsidR="00AF1BF7" w:rsidRDefault="00AF1BF7" w:rsidP="00AF1BF7"/>
    <w:p w:rsidR="00AF1BF7" w:rsidRPr="009A7DA3" w:rsidRDefault="00AF1BF7" w:rsidP="00AF1BF7"/>
    <w:p w:rsidR="008C6DEF" w:rsidRPr="008C6DEF" w:rsidRDefault="008C6DEF" w:rsidP="008C6DEF"/>
    <w:p w:rsidR="00AF1BF7" w:rsidRDefault="00AF1BF7" w:rsidP="00AF1BF7">
      <w:pPr>
        <w:rPr>
          <w:rStyle w:val="StyleStyleBold12pt"/>
        </w:rPr>
      </w:pPr>
      <w:r>
        <w:rPr>
          <w:rStyle w:val="StyleStyleBold12pt"/>
        </w:rPr>
        <w:t>I/L Turn – Poor are more underrepresented in state based welfare policies – smaller states lack money and resources</w:t>
      </w:r>
    </w:p>
    <w:p w:rsidR="00AF1BF7" w:rsidRDefault="00AF1BF7" w:rsidP="00AF1BF7">
      <w:r w:rsidRPr="006D0A08">
        <w:rPr>
          <w:rStyle w:val="StyleStyleBold12pt"/>
        </w:rPr>
        <w:t>Winston ’99</w:t>
      </w:r>
      <w:r>
        <w:t xml:space="preserve"> [Pamela Winston – Ph. D. @ John Hopkins University; May 1999;</w:t>
      </w:r>
      <w:r w:rsidRPr="006D0A08">
        <w:t xml:space="preserve"> </w:t>
      </w:r>
      <w:r>
        <w:t>“THE DEVIL IN DEVOLUTION: WELFARE, THE NATION AND THE STATES”]</w:t>
      </w:r>
    </w:p>
    <w:p w:rsidR="00AF1BF7" w:rsidRDefault="00AF1BF7" w:rsidP="00AF1BF7">
      <w:pPr>
        <w:rPr>
          <w:rStyle w:val="StyleUnderline"/>
        </w:rPr>
      </w:pPr>
      <w:r w:rsidRPr="00AD23C3">
        <w:rPr>
          <w:sz w:val="14"/>
        </w:rPr>
        <w:t xml:space="preserve">There is an argument made by supporters of devolution that the capacity of social welfare advocacy groups in the states will build up over time, that the states have only had significant policy powers for a brief period. And there is undoubtedly some truth to this. At least one influential Washington advocacy organization has initiated a project to help state-based groups build their policymaking capacities, indicating growing attention to the issue. </w:t>
      </w:r>
      <w:r w:rsidRPr="00894C84">
        <w:rPr>
          <w:rStyle w:val="StyleUnderline"/>
        </w:rPr>
        <w:t xml:space="preserve">But most Washington groups are, </w:t>
      </w:r>
      <w:r w:rsidRPr="00894C84">
        <w:rPr>
          <w:rStyle w:val="StyleUnderline"/>
        </w:rPr>
        <w:lastRenderedPageBreak/>
        <w:t>themselves, short on funding and staff and are already challenged to exercise influence in the single national capital</w:t>
      </w:r>
      <w:r w:rsidRPr="00AD23C3">
        <w:rPr>
          <w:sz w:val="14"/>
        </w:rPr>
        <w:t xml:space="preserve">. These groups would be hard pressed to themselves decentralize, and fund and organize an effective presence in fifty different states. </w:t>
      </w:r>
      <w:r w:rsidRPr="0003399D">
        <w:rPr>
          <w:rStyle w:val="StyleUnderline"/>
        </w:rPr>
        <w:t xml:space="preserve">They are most likely to focus on those jurisdictions where they can make the most impact for their limited time and money, suggesting they may stay out of small states </w:t>
      </w:r>
      <w:r w:rsidRPr="00AD23C3">
        <w:rPr>
          <w:sz w:val="14"/>
        </w:rPr>
        <w:t xml:space="preserve">and those jurisdictions where they are least welcome, but perhaps most needed. Homegrown groups may fare better, if they can get funding and other support. National foundations and other organizations are starting to turn their attention to the states and localities. Gaining this support will require that advocacy groups in these jurisdictions become more sophisticated in the ways of grant-making and revenue-raising, while at the same time operating on shoestring budgets and with skeletal staffs. </w:t>
      </w:r>
      <w:r w:rsidRPr="0003399D">
        <w:rPr>
          <w:rStyle w:val="StyleUnderline"/>
        </w:rPr>
        <w:t>Often state groups are really just one or two committed people who make minimal salaries</w:t>
      </w:r>
      <w:r w:rsidRPr="00AD23C3">
        <w:rPr>
          <w:sz w:val="14"/>
        </w:rPr>
        <w:t xml:space="preserve">. This is certainly not impossible, but it seems unlikely that there will be more than a handful of organizations in each state able to do this successfully, particularly in many small and rural jurisdictions. In addition, with many states sending policymaking further down to the counties, state groups now also have to track and try to influence developments in dozens of localities, not only in their capitals. Of the actors I studied in the states, the most effective were affiliated with organizations with national scope — the Catholic Conference was present in every state as were legal aid organizations — or with national advocacy organizations like the Center on Budget and Policy Priorities, piggy-backing on their work to help gain funding. If North Dakota and, to a lesser extent, Texas are any example, there will be real challenges for these groups. This again is most likely to be the case in small, poor and rural states, particularly in the South and West, where it appears to be particularly difficult to gain the resources and political support necessary to represent effectively the interests of low income people. In all the states, and especially in these, they simply have a smaller pool of resources and people from which to draw.13 </w:t>
      </w:r>
      <w:r w:rsidRPr="00AD23C3">
        <w:rPr>
          <w:rStyle w:val="StyleUnderline"/>
        </w:rPr>
        <w:t>Much of the long-term future of state-based welfare policy depends on the economy, what Congress does with block grant amounts and the maintenance-of-effort requirement when it reauthorizes the federal bill</w:t>
      </w:r>
      <w:r w:rsidRPr="00AD23C3">
        <w:rPr>
          <w:sz w:val="14"/>
        </w:rPr>
        <w:t xml:space="preserve">, the financial and political pressures that face state lawmakers, and other factors, many of which are significantly outside state control. </w:t>
      </w:r>
      <w:r w:rsidRPr="00AD23C3">
        <w:rPr>
          <w:rStyle w:val="StyleUnderline"/>
        </w:rPr>
        <w:t>But my research indicates that interest group participation has also played a</w:t>
      </w:r>
      <w:r>
        <w:rPr>
          <w:rStyle w:val="StyleUnderline"/>
        </w:rPr>
        <w:t xml:space="preserve"> </w:t>
      </w:r>
      <w:r w:rsidRPr="00AD23C3">
        <w:rPr>
          <w:rStyle w:val="StyleUnderline"/>
        </w:rPr>
        <w:t>critical role in shaping the direction of welfare reform, both in Washington and in the states</w:t>
      </w:r>
      <w:r w:rsidRPr="00AD23C3">
        <w:rPr>
          <w:sz w:val="14"/>
        </w:rPr>
        <w:t xml:space="preserve">. And it suggests that Madison and McConnell were right when they warned about the repercussions for representation of shrinking the sphere of policymaking, at least in the case of welfare policy. </w:t>
      </w:r>
      <w:r w:rsidRPr="00AD23C3">
        <w:rPr>
          <w:rStyle w:val="StyleUnderline"/>
        </w:rPr>
        <w:t>By and large, I have found, poor children and their parents have a significantly harder time inserting their voices into the policymaking process in the states than in the nation’s capital</w:t>
      </w:r>
      <w:r w:rsidRPr="00AD23C3">
        <w:rPr>
          <w:sz w:val="14"/>
        </w:rPr>
        <w:t xml:space="preserve">. And they appear to have an </w:t>
      </w:r>
      <w:r w:rsidRPr="00AD23C3">
        <w:rPr>
          <w:rStyle w:val="StyleUnderline"/>
        </w:rPr>
        <w:t>even more difficult time in certain states, especially small ones, than in others</w:t>
      </w:r>
      <w:r w:rsidRPr="00AD23C3">
        <w:rPr>
          <w:sz w:val="14"/>
        </w:rPr>
        <w:t>. Despite the rhetorical and political appeal of decentralization and localism,</w:t>
      </w:r>
      <w:r w:rsidRPr="00AD23C3">
        <w:rPr>
          <w:rStyle w:val="StyleUnderline"/>
        </w:rPr>
        <w:t xml:space="preserve"> by shifting welfare policy from the “extended sphere” of Washington to the smaller jurisdictions of the states and localities</w:t>
      </w:r>
      <w:r w:rsidRPr="00AD23C3">
        <w:rPr>
          <w:sz w:val="14"/>
        </w:rPr>
        <w:t xml:space="preserve">, </w:t>
      </w:r>
      <w:r w:rsidRPr="00AD23C3">
        <w:rPr>
          <w:rStyle w:val="StyleUnderline"/>
        </w:rPr>
        <w:t>we</w:t>
      </w:r>
      <w:r w:rsidRPr="00AD23C3">
        <w:rPr>
          <w:sz w:val="14"/>
        </w:rPr>
        <w:t xml:space="preserve"> h</w:t>
      </w:r>
      <w:r w:rsidRPr="00AD23C3">
        <w:rPr>
          <w:rStyle w:val="StyleUnderline"/>
        </w:rPr>
        <w:t>ave, in fact, moved it into a set of political arenas where the poor families who are its beneficiaries have even less power than they do in Washington. Without at least the presence of a reasonable number of advocates for low-income people in the states, we are in danger of further “disappearing” the poor and their concerns from the policymaking process.</w:t>
      </w:r>
    </w:p>
    <w:p w:rsidR="008C6DEF" w:rsidRDefault="008C6DEF" w:rsidP="00AF1BF7">
      <w:pPr>
        <w:rPr>
          <w:rStyle w:val="StyleUnderline"/>
        </w:rPr>
      </w:pPr>
    </w:p>
    <w:p w:rsidR="008C6DEF" w:rsidRPr="008F04F7" w:rsidRDefault="008C6DEF" w:rsidP="008C6DEF">
      <w:pPr>
        <w:pStyle w:val="Heading4"/>
      </w:pPr>
      <w:r>
        <w:t xml:space="preserve">Federal welfare reform good – protects poor from individual state rollback </w:t>
      </w:r>
    </w:p>
    <w:p w:rsidR="008C6DEF" w:rsidRPr="008F04F7" w:rsidRDefault="008C6DEF" w:rsidP="008C6DEF">
      <w:pPr>
        <w:rPr>
          <w:sz w:val="16"/>
        </w:rPr>
      </w:pPr>
      <w:r w:rsidRPr="008F04F7">
        <w:rPr>
          <w:rStyle w:val="StyleStyleBold12pt"/>
        </w:rPr>
        <w:t>Whitaker</w:t>
      </w:r>
      <w:r w:rsidRPr="008F04F7">
        <w:rPr>
          <w:sz w:val="16"/>
        </w:rPr>
        <w:t>, Assistant Professor of Sociology at Old Dominion University</w:t>
      </w:r>
      <w:r w:rsidRPr="008F04F7">
        <w:rPr>
          <w:rStyle w:val="StyleStyleBold12pt"/>
        </w:rPr>
        <w:t>, and Time</w:t>
      </w:r>
      <w:r w:rsidRPr="008F04F7">
        <w:rPr>
          <w:sz w:val="16"/>
        </w:rPr>
        <w:t xml:space="preserve">, Assistant Professor of Criminal Justice at Old Dominion University </w:t>
      </w:r>
      <w:r w:rsidRPr="008F04F7">
        <w:rPr>
          <w:rStyle w:val="StyleStyleBold12pt"/>
        </w:rPr>
        <w:t>01</w:t>
      </w:r>
      <w:r w:rsidRPr="008F04F7">
        <w:rPr>
          <w:sz w:val="16"/>
        </w:rPr>
        <w:t xml:space="preserve"> (Ingrid Phillips and Victoria, “Devolution and Welfare: The Social and Legal Implications Of State Inequalities for Welfare Reform in the United States,” http://www.socialjusticejournal.org/archive/83_28_1/83_08Whitaker.pdf)</w:t>
      </w:r>
    </w:p>
    <w:p w:rsidR="008C6DEF" w:rsidRPr="008F04F7" w:rsidRDefault="008C6DEF" w:rsidP="008C6DEF">
      <w:pPr>
        <w:rPr>
          <w:sz w:val="16"/>
        </w:rPr>
      </w:pPr>
      <w:r w:rsidRPr="008F04F7">
        <w:rPr>
          <w:rStyle w:val="StyleUnderline"/>
        </w:rPr>
        <w:t>Current welfare reform initiatives do raise serious legal considerations</w:t>
      </w:r>
      <w:r w:rsidRPr="008F04F7">
        <w:rPr>
          <w:sz w:val="16"/>
        </w:rPr>
        <w:t xml:space="preserve">. Given the disparities in measures of wealth and willingness to provide assistance to the poor, institutionalized discrimination against the poor results regardless of conscious intent in states with limited resources. The notion of equal protection is thus incongruous with recent welfare reforms in the United States. Moreover, </w:t>
      </w:r>
      <w:r w:rsidRPr="008F04F7">
        <w:rPr>
          <w:rStyle w:val="StyleUnderline"/>
        </w:rPr>
        <w:t>a welfare policy that significantly reduces the federal role in assisting the poor fails to provide for the “general welfare” of the nation’s population</w:t>
      </w:r>
      <w:r w:rsidRPr="008F04F7">
        <w:rPr>
          <w:sz w:val="16"/>
        </w:rPr>
        <w:t xml:space="preserve">. The same government has consistently provided benefits to people eligible for Social Security, without state discretion. By relinquishing most of its responsibility to the states for providing for poor families, the federal government acknowledged that only certain populations are deserving of federal oversight. This action raises the question of whether federal funding for welfare programs is inherently discriminatory in the U.S. Conclusions The Personal Responsibility and Work Opportunity Act of 1996 revolutionized welfare assistance for poor families with children in the United States. By giving states greater responsibility for the former AFDC program (now TANF), </w:t>
      </w:r>
      <w:r w:rsidRPr="008F04F7">
        <w:rPr>
          <w:rStyle w:val="StyleUnderline"/>
        </w:rPr>
        <w:t>the federal government delivered the message that assistance to poor families is by no means a social right in the United States</w:t>
      </w:r>
      <w:r w:rsidRPr="008F04F7">
        <w:rPr>
          <w:sz w:val="16"/>
        </w:rPr>
        <w:t xml:space="preserve">. </w:t>
      </w:r>
      <w:r w:rsidRPr="008F04F7">
        <w:rPr>
          <w:rStyle w:val="StyleUnderline"/>
        </w:rPr>
        <w:t>Although reforming welfare is an important public agenda</w:t>
      </w:r>
      <w:r w:rsidRPr="008F04F7">
        <w:rPr>
          <w:sz w:val="16"/>
        </w:rPr>
        <w:t xml:space="preserve">, the current approach to reform ignores the disparities between states on measures of their ability and willingness to assist poor families with children. Given the disparities between states, giving them greater control over welfare programs that specifically target the poor raises fundamental questions about the “equal protection” of populations, since states are not equal entities in terms of resources or their political culture. The treatment of the poor across states has become more unequal and, as a result, depending on where one lives as a poor person, </w:t>
      </w:r>
      <w:r w:rsidRPr="008F04F7">
        <w:rPr>
          <w:rStyle w:val="StyleUnderline"/>
        </w:rPr>
        <w:t>one may be actively excluded from the benefits of our nation’s safety net</w:t>
      </w:r>
      <w:r w:rsidRPr="008F04F7">
        <w:rPr>
          <w:sz w:val="16"/>
        </w:rPr>
        <w:t xml:space="preserve">. Since other federally funded programs (i.e., Social Security) are not left to the states’ discretion, </w:t>
      </w:r>
      <w:r w:rsidRPr="008F04F7">
        <w:rPr>
          <w:rStyle w:val="StyleUnderline"/>
        </w:rPr>
        <w:t xml:space="preserve">does not the federal government discriminate in the case of social welfare programs </w:t>
      </w:r>
      <w:r w:rsidRPr="008F04F7">
        <w:rPr>
          <w:sz w:val="16"/>
        </w:rPr>
        <w:t xml:space="preserve">(and subsequently populations) </w:t>
      </w:r>
      <w:r w:rsidRPr="008F04F7">
        <w:rPr>
          <w:rStyle w:val="StyleUnderline"/>
        </w:rPr>
        <w:t>that warrant federal oversight? Thus</w:t>
      </w:r>
      <w:r w:rsidRPr="008F04F7">
        <w:rPr>
          <w:sz w:val="16"/>
        </w:rPr>
        <w:t>, current welfare reform efforts challenge the notion that the federal government can abstain from intervening on behalf of certain populations</w:t>
      </w:r>
    </w:p>
    <w:p w:rsidR="008C6DEF" w:rsidRPr="00AD23C3" w:rsidRDefault="008C6DEF" w:rsidP="00AF1BF7">
      <w:pPr>
        <w:rPr>
          <w:rStyle w:val="StyleUnderline"/>
        </w:rPr>
      </w:pPr>
    </w:p>
    <w:p w:rsidR="00AF1BF7" w:rsidRDefault="00AF1BF7" w:rsidP="00AF1BF7">
      <w:pPr>
        <w:pStyle w:val="Heading2"/>
      </w:pPr>
      <w:bookmarkStart w:id="102" w:name="_Toc424259177"/>
      <w:r>
        <w:lastRenderedPageBreak/>
        <w:t>A2: Federalism DA</w:t>
      </w:r>
      <w:bookmarkEnd w:id="102"/>
    </w:p>
    <w:p w:rsidR="00AF1BF7" w:rsidRDefault="00AF1BF7" w:rsidP="00AF1BF7">
      <w:pPr>
        <w:pStyle w:val="Heading3"/>
      </w:pPr>
      <w:bookmarkStart w:id="103" w:name="_Toc424259178"/>
      <w:r>
        <w:lastRenderedPageBreak/>
        <w:t>A2 Link</w:t>
      </w:r>
      <w:bookmarkEnd w:id="103"/>
    </w:p>
    <w:p w:rsidR="00AF1BF7" w:rsidRPr="004A0145" w:rsidRDefault="00AF1BF7" w:rsidP="00AF1BF7"/>
    <w:p w:rsidR="00AF1BF7" w:rsidRPr="00DC42B0" w:rsidRDefault="00AF1BF7" w:rsidP="00AF1BF7">
      <w:pPr>
        <w:pStyle w:val="Heading4"/>
      </w:pPr>
      <w:r>
        <w:t>SCOTUS decisions increase, not decrease, state power</w:t>
      </w:r>
    </w:p>
    <w:p w:rsidR="00AF1BF7" w:rsidRDefault="00AF1BF7" w:rsidP="00AF1BF7">
      <w:r w:rsidRPr="00A6618E">
        <w:rPr>
          <w:rStyle w:val="StyleStyleBold12pt"/>
        </w:rPr>
        <w:t>Thomas 13</w:t>
      </w:r>
      <w:r>
        <w:t xml:space="preserve"> (Legislative Attorney)</w:t>
      </w:r>
    </w:p>
    <w:p w:rsidR="00AF1BF7" w:rsidRPr="00A6618E" w:rsidRDefault="00AF1BF7" w:rsidP="00AF1BF7">
      <w:pPr>
        <w:rPr>
          <w:i/>
        </w:rPr>
      </w:pPr>
      <w:r>
        <w:t>(Kenneth R., 9/23/13,</w:t>
      </w:r>
      <w:r w:rsidRPr="00A6618E">
        <w:t xml:space="preserve"> </w:t>
      </w:r>
      <w:r>
        <w:t xml:space="preserve">“Federalism, State Sovereignty, and the Constitution: Basis and Limits of Congressional Power,” </w:t>
      </w:r>
      <w:r>
        <w:rPr>
          <w:i/>
        </w:rPr>
        <w:t>Congressional Research Service)</w:t>
      </w:r>
    </w:p>
    <w:p w:rsidR="00AF1BF7" w:rsidRPr="00A6618E" w:rsidRDefault="00AF1BF7" w:rsidP="00AF1BF7">
      <w:pPr>
        <w:rPr>
          <w:sz w:val="16"/>
        </w:rPr>
      </w:pPr>
      <w:r w:rsidRPr="00A6618E">
        <w:rPr>
          <w:rStyle w:val="StyleUnderline"/>
        </w:rPr>
        <w:t>It would appear that the status of the state in the federal system has been strengthened by recent Supreme Court opinions.</w:t>
      </w:r>
      <w:r w:rsidRPr="00A6618E">
        <w:rPr>
          <w:sz w:val="16"/>
        </w:rPr>
        <w:t xml:space="preserve"> Although the Court has not scaled back the federal government’s substantive jurisdiction significantly, </w:t>
      </w:r>
      <w:r w:rsidRPr="00A6618E">
        <w:rPr>
          <w:rStyle w:val="StyleUnderline"/>
        </w:rPr>
        <w:t>it has to some extent prevented the</w:t>
      </w:r>
      <w:r>
        <w:rPr>
          <w:rStyle w:val="StyleUnderline"/>
        </w:rPr>
        <w:t xml:space="preserve"> expansio</w:t>
      </w:r>
      <w:r w:rsidRPr="00A6618E">
        <w:rPr>
          <w:rStyle w:val="StyleUnderline"/>
        </w:rPr>
        <w:t>n of Congress’s power under the Commerce Clause and under Section 5 of the Fourteenth Amendment.</w:t>
      </w:r>
      <w:r w:rsidRPr="00A6618E">
        <w:rPr>
          <w:sz w:val="16"/>
        </w:rPr>
        <w:t xml:space="preserve"> Further </w:t>
      </w:r>
      <w:r w:rsidRPr="00A6618E">
        <w:rPr>
          <w:rStyle w:val="StyleUnderline"/>
        </w:rPr>
        <w:t>it has created a variety of obstacles as to how these powers can be executed, forbidding Congress under the Tenth Amendment from commandeering the authority of state legislative and executive branches, and limiting the authority of Congress to abrogate state sovereign immunity.</w:t>
      </w:r>
      <w:r w:rsidRPr="00A6618E">
        <w:rPr>
          <w:sz w:val="16"/>
        </w:rPr>
        <w:t xml:space="preserve"> Ultimately, however, Congress retains significant powers to influence state behavior, such as through the Spending Clause, and, under the Supremacy Clause, Congress may require the enforcement of its laws in both state and federal court.</w:t>
      </w:r>
    </w:p>
    <w:p w:rsidR="00AF1BF7" w:rsidRDefault="00AF1BF7" w:rsidP="00AF1BF7"/>
    <w:p w:rsidR="00AF1BF7" w:rsidRDefault="00AF1BF7" w:rsidP="00AF1BF7">
      <w:pPr>
        <w:pStyle w:val="Heading4"/>
      </w:pPr>
      <w:r>
        <w:t>Courts sometimes help states, sometimes hurt them – depends on the case</w:t>
      </w:r>
    </w:p>
    <w:p w:rsidR="00AF1BF7" w:rsidRPr="00497CF7" w:rsidRDefault="00AF1BF7" w:rsidP="00AF1BF7">
      <w:pPr>
        <w:rPr>
          <w:bCs/>
          <w:sz w:val="16"/>
        </w:rPr>
      </w:pPr>
      <w:r>
        <w:rPr>
          <w:rStyle w:val="StyleStyleBold12pt"/>
        </w:rPr>
        <w:t>Epstein J.D. 04</w:t>
      </w:r>
      <w:r w:rsidRPr="007112ED">
        <w:rPr>
          <w:rStyle w:val="StyleStyleBold12pt"/>
          <w:sz w:val="16"/>
        </w:rPr>
        <w:t>( Lita, Author of “The Complete’s Idiot Guide to the Supreme Court”, InfoPlease, Excerpt of Novel, http://www.infoplease.com/cig/supreme-court/whos-control-the-states-or-federal-government.html)</w:t>
      </w:r>
    </w:p>
    <w:p w:rsidR="00AF1BF7" w:rsidRPr="007112ED" w:rsidRDefault="00AF1BF7" w:rsidP="00AF1BF7">
      <w:pPr>
        <w:rPr>
          <w:sz w:val="16"/>
        </w:rPr>
      </w:pPr>
      <w:r w:rsidRPr="007112ED">
        <w:rPr>
          <w:sz w:val="16"/>
        </w:rPr>
        <w:t xml:space="preserve">Two Constitutional amendments are used when deciding whether states' rights should prevail or if </w:t>
      </w:r>
      <w:r w:rsidRPr="00A22D98">
        <w:rPr>
          <w:rStyle w:val="StyleUnderline"/>
        </w:rPr>
        <w:t xml:space="preserve">a strong federal government is </w:t>
      </w:r>
      <w:r w:rsidRPr="007112ED">
        <w:rPr>
          <w:sz w:val="16"/>
        </w:rPr>
        <w:t xml:space="preserve">more </w:t>
      </w:r>
      <w:r w:rsidRPr="00A22D98">
        <w:rPr>
          <w:rStyle w:val="StyleUnderline"/>
        </w:rPr>
        <w:t>important</w:t>
      </w:r>
      <w:r w:rsidRPr="007112ED">
        <w:rPr>
          <w:sz w:val="16"/>
        </w:rPr>
        <w:t>—the Eleventh Amendment and the Fourteenth Amendment.</w:t>
      </w:r>
      <w:r w:rsidRPr="007112ED">
        <w:rPr>
          <w:sz w:val="12"/>
        </w:rPr>
        <w:t>¶</w:t>
      </w:r>
      <w:r w:rsidRPr="007112ED">
        <w:rPr>
          <w:sz w:val="16"/>
        </w:rPr>
        <w:t xml:space="preserve"> The Eleventh Amendment states, “The Judicial power of the United States shall not be construed to extend to any suit in law or equity, commenced or prosecuted against one of the United States by Citizens of another State, or by Citizens or Subjects of any Foreign State.” This amendment primarily has been used to grant states immunity from being sued.</w:t>
      </w:r>
      <w:r w:rsidRPr="007112ED">
        <w:rPr>
          <w:sz w:val="12"/>
        </w:rPr>
        <w:t>¶</w:t>
      </w:r>
      <w:r w:rsidRPr="007112ED">
        <w:rPr>
          <w:sz w:val="16"/>
        </w:rPr>
        <w:t xml:space="preserve"> The portion of the Fourteenth Amendment that limits the Eleventh Amendment states, “No State shall make or enforce any law which shall abridge the privileges or immunities of citizens of the United States; nor shall any State deprive any person of life, liberty, or property, without due process of law; nor deny to any person within its jurisdiction the equal protection of the laws.”</w:t>
      </w:r>
      <w:r w:rsidRPr="007112ED">
        <w:rPr>
          <w:sz w:val="12"/>
        </w:rPr>
        <w:t>¶</w:t>
      </w:r>
      <w:r w:rsidRPr="007112ED">
        <w:rPr>
          <w:sz w:val="16"/>
        </w:rPr>
        <w:t xml:space="preserve"> </w:t>
      </w:r>
      <w:r w:rsidRPr="00A22D98">
        <w:rPr>
          <w:rStyle w:val="StyleUnderline"/>
        </w:rPr>
        <w:t>All cases in which states' rights is a critical part of the issues to be decided involve</w:t>
      </w:r>
      <w:r w:rsidRPr="007112ED">
        <w:rPr>
          <w:sz w:val="16"/>
        </w:rPr>
        <w:t xml:space="preserve"> at least one and more likely both of these </w:t>
      </w:r>
      <w:r w:rsidRPr="00A22D98">
        <w:rPr>
          <w:rStyle w:val="StyleUnderline"/>
        </w:rPr>
        <w:t>amendments</w:t>
      </w:r>
      <w:r w:rsidRPr="007112ED">
        <w:rPr>
          <w:sz w:val="16"/>
        </w:rPr>
        <w:t xml:space="preserve">. When </w:t>
      </w:r>
      <w:r w:rsidRPr="007435BB">
        <w:rPr>
          <w:rStyle w:val="StyleUnderline"/>
        </w:rPr>
        <w:t>the Supreme Court struck down</w:t>
      </w:r>
      <w:r w:rsidRPr="007112ED">
        <w:rPr>
          <w:sz w:val="16"/>
        </w:rPr>
        <w:t xml:space="preserve"> the gun control law in 1995, states' rights proponents believed the Court had the majority it needed to move more aggressively in support of states' rights.</w:t>
      </w:r>
      <w:r w:rsidRPr="007112ED">
        <w:rPr>
          <w:sz w:val="12"/>
        </w:rPr>
        <w:t>¶</w:t>
      </w:r>
      <w:r w:rsidRPr="007112ED">
        <w:rPr>
          <w:sz w:val="16"/>
        </w:rPr>
        <w:t xml:space="preserve"> They were correct for about eight years and enjoyed watching the court grant states immunity from </w:t>
      </w:r>
      <w:r w:rsidRPr="007435BB">
        <w:rPr>
          <w:rStyle w:val="StyleUnderline"/>
        </w:rPr>
        <w:t>discrimination laws and other federal laws that impinged</w:t>
      </w:r>
      <w:r w:rsidRPr="007112ED">
        <w:rPr>
          <w:sz w:val="16"/>
        </w:rPr>
        <w:t xml:space="preserve"> </w:t>
      </w:r>
      <w:r w:rsidRPr="007435BB">
        <w:rPr>
          <w:rStyle w:val="StyleUnderline"/>
        </w:rPr>
        <w:t>on state sovereignty</w:t>
      </w:r>
      <w:r w:rsidRPr="007112ED">
        <w:rPr>
          <w:sz w:val="16"/>
        </w:rPr>
        <w:t xml:space="preserve">. In fact, in a 2000 policy paper developed by Michael Greve for the American Enterprise Institute he declared: “The Fair Labor Standards Act, a New Deal war horse, was held effectively unenforceable against state governments a year ago. This past year, </w:t>
      </w:r>
      <w:r w:rsidRPr="007435BB">
        <w:rPr>
          <w:rStyle w:val="StyleUnderline"/>
        </w:rPr>
        <w:t>inKimel v. Board of Regents, the Court placed state employers beyond the reach of lawsuits for damages under the Age Discrimination in Employment Act</w:t>
      </w:r>
      <w:r w:rsidRPr="007112ED">
        <w:rPr>
          <w:sz w:val="16"/>
        </w:rPr>
        <w:t xml:space="preserve">. The Family and Medical Leave Act is likewise unenforceable. Next year, in a case that the Supreme Court has already agreed to hear, core provisions of the Americans with Disabilities Act may well meet the same fate. Only </w:t>
      </w:r>
      <w:r w:rsidRPr="007435BB">
        <w:rPr>
          <w:rStyle w:val="StyleUnderline"/>
        </w:rPr>
        <w:t>civil rights statutes at the heart of the Fourteenth Amendment—those dealing with race discrimination—will probably remain intact</w:t>
      </w:r>
      <w:r w:rsidRPr="007112ED">
        <w:rPr>
          <w:sz w:val="16"/>
        </w:rPr>
        <w:t>.”</w:t>
      </w:r>
      <w:r w:rsidRPr="007112ED">
        <w:rPr>
          <w:sz w:val="12"/>
        </w:rPr>
        <w:t>¶</w:t>
      </w:r>
      <w:r w:rsidRPr="007112ED">
        <w:rPr>
          <w:sz w:val="16"/>
        </w:rPr>
        <w:t xml:space="preserve"> His analysis was partially correct. State's were granted immunity from the Americans with Disabilities Act in cases related to hiring practices such as the Board of Trustees of the University of Alabama v. Garrett, Patricia. We'll delve more deeply into that case in </w:t>
      </w:r>
      <w:hyperlink r:id="rId103" w:history="1">
        <w:r w:rsidRPr="007112ED">
          <w:rPr>
            <w:sz w:val="16"/>
          </w:rPr>
          <w:t>Keeping Things Equal</w:t>
        </w:r>
      </w:hyperlink>
      <w:r w:rsidRPr="007112ED">
        <w:rPr>
          <w:sz w:val="16"/>
        </w:rPr>
        <w:t xml:space="preserve">. He was wrong about the Family and Medical Leave Act, which was upheld in a 2003 case Nevada Department of Human Resources v. Hibbs (I'll call it Hibbs for short from this point on), which I'll describe in greater detail in a later section. From the time of the New Deal legislation victory, </w:t>
      </w:r>
      <w:r w:rsidRPr="007435BB">
        <w:rPr>
          <w:rStyle w:val="StyleUnderline"/>
        </w:rPr>
        <w:t xml:space="preserve">the Supreme Court supported Congress's authority to regulate interstate commerce and gave Congress just about free reign to establish federal mandates that </w:t>
      </w:r>
      <w:r w:rsidRPr="007435BB">
        <w:rPr>
          <w:rStyle w:val="Emphasis"/>
        </w:rPr>
        <w:t>states must accept</w:t>
      </w:r>
      <w:r w:rsidRPr="007435BB">
        <w:rPr>
          <w:rStyle w:val="StyleUnderline"/>
        </w:rPr>
        <w:t xml:space="preserve">. </w:t>
      </w:r>
      <w:r w:rsidRPr="007112ED">
        <w:rPr>
          <w:sz w:val="16"/>
        </w:rPr>
        <w:t>Rehnquist's Court decided to challenge that, believing states as sovereign powers don't have to obey some federal mandates.</w:t>
      </w:r>
      <w:r w:rsidRPr="007112ED">
        <w:rPr>
          <w:sz w:val="12"/>
        </w:rPr>
        <w:t>¶</w:t>
      </w:r>
      <w:r w:rsidRPr="007112ED">
        <w:rPr>
          <w:sz w:val="16"/>
        </w:rPr>
        <w:t xml:space="preserve"> Greve wrote that in order for the Supreme Court to continue on its states' rights path it needed a strong constituency for its version of federalism. The only such constituency that Greve could find was what Republican strategist Grover Norquist calls the “Leave-Us-Alone” coalition, which is made up of socially conservative, populist constituencies, such as gun owners, home schoolers and school choice groups, property-rights advocates, and religious organizations.</w:t>
      </w:r>
      <w:r w:rsidRPr="007112ED">
        <w:rPr>
          <w:sz w:val="12"/>
        </w:rPr>
        <w:t>¶</w:t>
      </w:r>
      <w:r w:rsidRPr="007112ED">
        <w:rPr>
          <w:sz w:val="16"/>
        </w:rPr>
        <w:t xml:space="preserve"> Now let's take a look at the case that started the recent state's right trend—U.S.v. Alfonso Lopez.</w:t>
      </w:r>
      <w:r w:rsidRPr="007112ED">
        <w:rPr>
          <w:sz w:val="12"/>
        </w:rPr>
        <w:t>¶</w:t>
      </w:r>
      <w:r w:rsidRPr="007112ED">
        <w:rPr>
          <w:sz w:val="16"/>
        </w:rPr>
        <w:t xml:space="preserve"> </w:t>
      </w:r>
      <w:r w:rsidRPr="007112ED">
        <w:rPr>
          <w:sz w:val="12"/>
        </w:rPr>
        <w:t>¶</w:t>
      </w:r>
      <w:r w:rsidRPr="007112ED">
        <w:rPr>
          <w:sz w:val="16"/>
        </w:rPr>
        <w:t xml:space="preserve"> </w:t>
      </w:r>
    </w:p>
    <w:p w:rsidR="00AF1BF7" w:rsidRDefault="00AF1BF7" w:rsidP="00AF1BF7"/>
    <w:p w:rsidR="00AF1BF7" w:rsidRDefault="00AF1BF7" w:rsidP="00AF1BF7">
      <w:pPr>
        <w:pStyle w:val="Heading3"/>
      </w:pPr>
      <w:bookmarkStart w:id="104" w:name="_Toc424259179"/>
      <w:r>
        <w:lastRenderedPageBreak/>
        <w:t>Thumpers</w:t>
      </w:r>
      <w:bookmarkEnd w:id="104"/>
    </w:p>
    <w:p w:rsidR="00AF1BF7" w:rsidRDefault="00AF1BF7" w:rsidP="00AF1BF7"/>
    <w:p w:rsidR="00AF1BF7" w:rsidRDefault="00AF1BF7" w:rsidP="00AF1BF7">
      <w:pPr>
        <w:pStyle w:val="Heading4"/>
      </w:pPr>
      <w:r>
        <w:t>Supreme Court’s Ruling of Obamacare harms Federalism</w:t>
      </w:r>
    </w:p>
    <w:p w:rsidR="00AF1BF7" w:rsidRPr="00CA0FC6" w:rsidRDefault="00AF1BF7" w:rsidP="00AF1BF7">
      <w:pPr>
        <w:rPr>
          <w:rFonts w:ascii="Times" w:eastAsia="Times New Roman" w:hAnsi="Times"/>
          <w:sz w:val="16"/>
          <w:szCs w:val="20"/>
        </w:rPr>
      </w:pPr>
      <w:r w:rsidRPr="00065601">
        <w:rPr>
          <w:rStyle w:val="StyleStyleBold12pt"/>
        </w:rPr>
        <w:t>Rivkin and Foley 15</w:t>
      </w:r>
      <w:r w:rsidRPr="00065601">
        <w:rPr>
          <w:rStyle w:val="StyleStyleBold12pt"/>
          <w:sz w:val="16"/>
        </w:rPr>
        <w:t xml:space="preserve">(David is </w:t>
      </w:r>
      <w:r w:rsidRPr="00065601">
        <w:rPr>
          <w:rFonts w:ascii="Helvetica Neue" w:eastAsia="Times New Roman" w:hAnsi="Helvetica Neue"/>
          <w:color w:val="000000"/>
          <w:sz w:val="16"/>
          <w:shd w:val="clear" w:color="auto" w:fill="FFFFFF"/>
        </w:rPr>
        <w:t xml:space="preserve">served in the Justice Department and the White House Counsel’s Office in the Reagan and George H.W. Bush administrations. He practices appellate litigation with particular focus on constitutional law at Baker Hostetler LLP and represented the 26 states that challenged the constitutionality of Obamacare. Elizabeth </w:t>
      </w:r>
      <w:r w:rsidRPr="00065601">
        <w:rPr>
          <w:rFonts w:ascii="Helvetica Neue" w:eastAsia="Times New Roman" w:hAnsi="Helvetica Neue"/>
          <w:i/>
          <w:iCs/>
          <w:color w:val="000000"/>
          <w:sz w:val="16"/>
        </w:rPr>
        <w:t>is professor of constitutional law at Florida International University College of Law. She is the author, most recently, of </w:t>
      </w:r>
      <w:r w:rsidRPr="00065601">
        <w:rPr>
          <w:rFonts w:ascii="Helvetica Neue" w:eastAsia="Times New Roman" w:hAnsi="Helvetica Neue"/>
          <w:color w:val="000000"/>
          <w:sz w:val="16"/>
          <w:shd w:val="clear" w:color="auto" w:fill="FFFFFF"/>
        </w:rPr>
        <w:t>The Tea Party: Three Principles. “The Federalism Fallacy in King vs. Burrell.” Politico Magazine. March 11, 2015. http://www.politico.com/magazine/story/2015/03/king-v-burwell-supreme-court-obamacare-subsidies-case-federalism-argument-115997.html#.VZ6ZjpNViko)</w:t>
      </w:r>
      <w:r w:rsidRPr="00065601">
        <w:rPr>
          <w:rFonts w:ascii="Helvetica Neue" w:eastAsia="Times New Roman" w:hAnsi="Helvetica Neue"/>
          <w:color w:val="000000"/>
        </w:rPr>
        <w:br/>
      </w:r>
      <w:r w:rsidRPr="00065601">
        <w:rPr>
          <w:sz w:val="16"/>
        </w:rPr>
        <w:t xml:space="preserve">Last Wednesday, the Supreme Court heard oral arguments in King v. Burwell, the latest challenge to the Affordable Care Act (ACA). The case centers </w:t>
      </w:r>
      <w:r w:rsidRPr="00283961">
        <w:rPr>
          <w:rStyle w:val="StyleUnderline"/>
        </w:rPr>
        <w:t>on a provision of Obamacare that authorizes federal tax subsidies for individuals only if they purchase health insurance through an “Exchange established by the State.”</w:t>
      </w:r>
      <w:r w:rsidRPr="00065601">
        <w:rPr>
          <w:sz w:val="16"/>
        </w:rPr>
        <w:t xml:space="preserve"> If an individual purchases insurance through a federal-run exchange (in the event that the state opts out of setting up its own exchange), can she still qualify for Obamacare subsidies? The Obama administration says yes; the King plaintiffs say no. </w:t>
      </w:r>
      <w:r w:rsidRPr="00065601">
        <w:rPr>
          <w:sz w:val="12"/>
        </w:rPr>
        <w:t>¶</w:t>
      </w:r>
      <w:r w:rsidRPr="00065601">
        <w:rPr>
          <w:sz w:val="16"/>
        </w:rPr>
        <w:t xml:space="preserve"> A great deal is at stake here. </w:t>
      </w:r>
      <w:r w:rsidRPr="00283961">
        <w:rPr>
          <w:rStyle w:val="StyleUnderline"/>
        </w:rPr>
        <w:t>If the plaintiffs win, individuals in 34 states—the states that have opted not to operate a state insurance exchange—will still be subject to Obamacare’s individual mandate, but they won’t qualify for federal tax subsidies</w:t>
      </w:r>
      <w:r w:rsidRPr="00065601">
        <w:rPr>
          <w:sz w:val="16"/>
        </w:rPr>
        <w:t xml:space="preserve">. As a result, their insurance will cost more out-of-pocket. Moreover, because individuals in these 34 states won’t get tax subsidies, </w:t>
      </w:r>
      <w:r w:rsidRPr="00283961">
        <w:rPr>
          <w:rStyle w:val="StyleUnderline"/>
        </w:rPr>
        <w:t>employers in these states won’t be subject to the employer mandate, so they won’t have to offer health insurance and can’t be taxed for failing to do so</w:t>
      </w:r>
      <w:r w:rsidRPr="00065601">
        <w:rPr>
          <w:sz w:val="16"/>
        </w:rPr>
        <w:t>. And yet, those states would be able to continue registering their profound opposition to the entirety of the Obamacare regulatory scheme, thereby undermining its legitimacy. Given these consequences, supporters of Obamacare are pulling out all the stops to prevent a plaintiffs’ victory.</w:t>
      </w:r>
      <w:r w:rsidRPr="00065601">
        <w:rPr>
          <w:sz w:val="12"/>
        </w:rPr>
        <w:t>¶</w:t>
      </w:r>
      <w:r w:rsidRPr="00065601">
        <w:rPr>
          <w:sz w:val="16"/>
        </w:rPr>
        <w:t xml:space="preserve"> One recent attempt to save tax subsidies in these 34 states has come from an amicus brief filed on behalf of four law professors, two of whom are former clerks to Justice Ruth Bader Ginsburg. During the King oral arguments, it became apparent that their argument had found favor with Ginsburg and three other liberal justices and had gained some traction with the court’s centrist, Justice Anthony Kennedy.</w:t>
      </w:r>
      <w:r w:rsidRPr="00065601">
        <w:rPr>
          <w:sz w:val="12"/>
        </w:rPr>
        <w:t>¶</w:t>
      </w:r>
      <w:r w:rsidRPr="00065601">
        <w:rPr>
          <w:sz w:val="16"/>
        </w:rPr>
        <w:t xml:space="preserve"> Ironically, </w:t>
      </w:r>
      <w:r w:rsidRPr="00317FB4">
        <w:rPr>
          <w:rStyle w:val="StyleUnderline"/>
        </w:rPr>
        <w:t>the centerpiece of their argument is federalism—the division of powers between state and federal governments</w:t>
      </w:r>
      <w:r w:rsidRPr="00065601">
        <w:rPr>
          <w:sz w:val="16"/>
        </w:rPr>
        <w:t xml:space="preserve">—a concept that, while </w:t>
      </w:r>
      <w:r w:rsidRPr="00317FB4">
        <w:rPr>
          <w:rStyle w:val="StyleUnderline"/>
        </w:rPr>
        <w:t>a key part of the Constitution’s separation of powers architecture</w:t>
      </w:r>
      <w:r w:rsidRPr="00065601">
        <w:rPr>
          <w:sz w:val="16"/>
        </w:rPr>
        <w:t>, is not particularly favored by liberals. Specifically, the law professors’ claim that the court should rule in favor of the Obama administration by invoking the “clear statement rule,” a legal doctrine designed to protect state sovereignty.</w:t>
      </w:r>
      <w:r w:rsidRPr="00065601">
        <w:rPr>
          <w:sz w:val="12"/>
        </w:rPr>
        <w:t>¶</w:t>
      </w:r>
      <w:r w:rsidRPr="00065601">
        <w:rPr>
          <w:sz w:val="16"/>
        </w:rPr>
        <w:t xml:space="preserve"> However, </w:t>
      </w:r>
      <w:r w:rsidRPr="00317FB4">
        <w:rPr>
          <w:rStyle w:val="StyleUnderline"/>
        </w:rPr>
        <w:t>applying this rule</w:t>
      </w:r>
      <w:r w:rsidRPr="00065601">
        <w:rPr>
          <w:sz w:val="16"/>
        </w:rPr>
        <w:t xml:space="preserve"> to the King case </w:t>
      </w:r>
      <w:r w:rsidRPr="00317FB4">
        <w:rPr>
          <w:rStyle w:val="StyleUnderline"/>
        </w:rPr>
        <w:t>would be unprecedented and deeply antithetical to federalism.</w:t>
      </w:r>
      <w:r w:rsidRPr="00065601">
        <w:rPr>
          <w:sz w:val="12"/>
        </w:rPr>
        <w:t>¶</w:t>
      </w:r>
      <w:r w:rsidRPr="00065601">
        <w:rPr>
          <w:sz w:val="16"/>
        </w:rPr>
        <w:t xml:space="preserve"> The clear statement rule is a doctrine that helps courts interpret laws in a way that prevents Congress from treading on the states unnecessarily. As the Supreme Court reiterated in Bond v. United States (2014), </w:t>
      </w:r>
      <w:r w:rsidRPr="00317FB4">
        <w:rPr>
          <w:rStyle w:val="StyleUnderline"/>
        </w:rPr>
        <w:t>the clear statement rule counsels courts that they must be “certain of Congress’ intent before finding that a federal law overrides the usual constitutional balance of federal and state powers.</w:t>
      </w:r>
      <w:r w:rsidRPr="00065601">
        <w:rPr>
          <w:sz w:val="16"/>
        </w:rPr>
        <w:t>”</w:t>
      </w:r>
      <w:r w:rsidRPr="00065601">
        <w:rPr>
          <w:sz w:val="12"/>
        </w:rPr>
        <w:t>¶</w:t>
      </w:r>
      <w:r w:rsidRPr="00065601">
        <w:rPr>
          <w:sz w:val="16"/>
        </w:rPr>
        <w:t xml:space="preserve"> For example, when interpreting federal statutes that touch upon state sovereignty or areas of traditional state police power, such as criminal law, the court has insisted on a clear statement by Congress of its intent to do so.</w:t>
      </w:r>
      <w:r w:rsidRPr="00065601">
        <w:rPr>
          <w:sz w:val="12"/>
        </w:rPr>
        <w:t>¶</w:t>
      </w:r>
      <w:r w:rsidRPr="00065601">
        <w:rPr>
          <w:sz w:val="16"/>
        </w:rPr>
        <w:t xml:space="preserve"> Particularly notable is this: In every single instance where the Supreme Court has invoked the clear statement rule, it has been to prevent Congress from using its enumerated powers in a manner that harms the states as states. </w:t>
      </w:r>
      <w:r w:rsidRPr="00317FB4">
        <w:rPr>
          <w:rStyle w:val="StyleUnderline"/>
        </w:rPr>
        <w:t>The clear statement rule is utterly inapplicable, however, when Congress uses its power directly on citizens.</w:t>
      </w:r>
      <w:r w:rsidRPr="00065601">
        <w:rPr>
          <w:sz w:val="16"/>
        </w:rPr>
        <w:t xml:space="preserve"> And in the Affordable Care Act, when Congress exercises its taxing power to grant (or revoke) tax subsidies to individuals, that power operates directly on individuals, not on states.</w:t>
      </w:r>
      <w:r w:rsidRPr="00065601">
        <w:rPr>
          <w:sz w:val="12"/>
        </w:rPr>
        <w:t>¶</w:t>
      </w:r>
      <w:r w:rsidRPr="00065601">
        <w:rPr>
          <w:sz w:val="16"/>
        </w:rPr>
        <w:t xml:space="preserve"> This is an extremely important distinction. Indeed, the ability to legislate directly upon individuals, rather than through state intermediaries, was the primary motivation for writing the Constitution to replace the Articles of Confederation. As Alexander Hamilton observed in Federalist No. 15, the “great and radical vice” of the Articles of Confederation was that its legislative power operated only upon “STATES or GOVERNMENTS, in their CORPORATE or COLLECTIVE CAPACITIES, and as contradistinguished from the INDIVIDUALS of which they consist.” He further explained, in Federalist No. 16, that the federal government “must carry its agency to the persons of the citizens” and “must be able to address itself immediately to the hopes and fears of individuals</w:t>
      </w:r>
      <w:r w:rsidRPr="00317FB4">
        <w:rPr>
          <w:rStyle w:val="StyleUnderline"/>
        </w:rPr>
        <w:t>.”</w:t>
      </w:r>
      <w:r w:rsidRPr="00065601">
        <w:rPr>
          <w:rStyle w:val="StyleUnderline"/>
          <w:sz w:val="12"/>
        </w:rPr>
        <w:t>¶</w:t>
      </w:r>
      <w:r w:rsidRPr="00317FB4">
        <w:rPr>
          <w:rStyle w:val="StyleUnderline"/>
        </w:rPr>
        <w:t xml:space="preserve"> The clear statement argument being advanced in King embraces this notion of “state-as-intermediary” between the federal government and individual citizens</w:t>
      </w:r>
      <w:r w:rsidRPr="00065601">
        <w:rPr>
          <w:sz w:val="16"/>
        </w:rPr>
        <w:t xml:space="preserve">. More specifically, the argument is this: </w:t>
      </w:r>
      <w:r w:rsidRPr="00317FB4">
        <w:rPr>
          <w:rStyle w:val="StyleUnderline"/>
        </w:rPr>
        <w:t>If citizens lose tax subsidies, this harms the states as states because without clear notice of the consequences of declining to run a state exchange, states cannot make a meaningful choice to protect their citizens.</w:t>
      </w:r>
      <w:r w:rsidRPr="00065601">
        <w:rPr>
          <w:sz w:val="16"/>
        </w:rPr>
        <w:t xml:space="preserve"> Specifically, in the law professors’ amicus brief, they assert, “In order to function as sovereigns and protect the interests of their people, including in the legislative process itself, </w:t>
      </w:r>
      <w:r w:rsidRPr="00317FB4">
        <w:rPr>
          <w:rStyle w:val="StyleUnderline"/>
        </w:rPr>
        <w:t>the States are entitled to know the legal consequences of their decisions to participate in a federal-state program</w:t>
      </w:r>
      <w:r w:rsidRPr="00065601">
        <w:rPr>
          <w:sz w:val="16"/>
        </w:rPr>
        <w:t>.” ut denying tax subsidies to some citizens and making health insurance more expensive in the 34 states without state-run exchanges doesn’t hurt the states qua states. It admittedly hurts some citizens within those states, but hurting individuals within a state cannot be equated, under any existing clear statement or other federalism case law, with hurting states as sovereign entities. Indeed, this view of equating harm to state citizens with the harm to the states was decisively rejected by the Supreme Court in Massachusetts v. Mellon (1923). In that case, the justices ruled that, when the federal government exercises its taxing and spending power—as it has with the Obamacare tax subsidies—states are not representatives of their citizens in a parens patriae manner, as it is “no part of [a State’s] duty or power to enforce [its citizens’] rights in respect of their relations with the federal government.”</w:t>
      </w:r>
      <w:r w:rsidRPr="00065601">
        <w:rPr>
          <w:sz w:val="12"/>
        </w:rPr>
        <w:t>¶</w:t>
      </w:r>
      <w:r w:rsidRPr="00065601">
        <w:rPr>
          <w:sz w:val="16"/>
        </w:rPr>
        <w:t xml:space="preserve"> Incidentally, the last time the law professors’ argument was seriously advanced was during the pre-Civil War era, when Confederate states asserted that various federal </w:t>
      </w:r>
      <w:r w:rsidRPr="00065601">
        <w:rPr>
          <w:sz w:val="16"/>
        </w:rPr>
        <w:lastRenderedPageBreak/>
        <w:t xml:space="preserve">government actions, such as those devaluing a slave-owner’s property interest in his slaves, harmed state sovereignty by harming the state’s citizens. Indeed, the Nullification Crisis of 1832, the brainchild of Sen. John Calhoun of South Carolina, was based on the argument that states didn’t have to obey a federal tariff law because it harmed Southern farmers. This political philosophy—that </w:t>
      </w:r>
      <w:r w:rsidRPr="00065601">
        <w:rPr>
          <w:rStyle w:val="Emphasis"/>
        </w:rPr>
        <w:t>states are harmed when their citizens are harmed in some way by the federal government</w:t>
      </w:r>
      <w:r w:rsidRPr="00065601">
        <w:rPr>
          <w:sz w:val="16"/>
        </w:rPr>
        <w:t>—was the heart of the Confederate states’ defense of slavery. We fought a Civil War to put this notion to rest.</w:t>
      </w:r>
      <w:r w:rsidRPr="00065601">
        <w:rPr>
          <w:sz w:val="12"/>
        </w:rPr>
        <w:t>¶</w:t>
      </w:r>
      <w:r w:rsidRPr="00065601">
        <w:rPr>
          <w:sz w:val="16"/>
        </w:rPr>
        <w:t xml:space="preserve"> The ultimate irony of the clear statement argument in King is that the much-discredited notion that states have a duty to interpose themselves between the federal government and their citizens is a philosophy that’s hardly consonant with the court’s liberal justices. It is thus more than a little odd that these law professors have opportunistically embraced this outdated vision of state sovereignty merely because it could provide a means to accomplish the desired goal of saving Obamacare’s tax subsidies.</w:t>
      </w:r>
    </w:p>
    <w:p w:rsidR="00AF1BF7" w:rsidRDefault="00AF1BF7" w:rsidP="00AF1BF7"/>
    <w:p w:rsidR="00AF1BF7" w:rsidRPr="007927F3" w:rsidRDefault="00AF1BF7" w:rsidP="00AF1BF7">
      <w:pPr>
        <w:pStyle w:val="Heading4"/>
      </w:pPr>
      <w:r>
        <w:t>Obamacare invoked faux federalism which skewed power to the federal government</w:t>
      </w:r>
    </w:p>
    <w:p w:rsidR="00AF1BF7" w:rsidRPr="007927F3" w:rsidRDefault="00AF1BF7" w:rsidP="00AF1BF7">
      <w:r>
        <w:rPr>
          <w:rStyle w:val="StyleStyleBold12pt"/>
        </w:rPr>
        <w:t>Wall Street Journal,</w:t>
      </w:r>
      <w:r w:rsidRPr="007927F3">
        <w:rPr>
          <w:rStyle w:val="StyleStyleBold12pt"/>
        </w:rPr>
        <w:t xml:space="preserve"> ‘15</w:t>
      </w:r>
      <w:r>
        <w:t xml:space="preserve"> [March-4-2015,</w:t>
      </w:r>
      <w:r w:rsidRPr="007927F3">
        <w:t xml:space="preserve"> </w:t>
      </w:r>
      <w:r>
        <w:t xml:space="preserve">“Federalism and ObamaCare,” </w:t>
      </w:r>
      <w:r w:rsidRPr="008C03CD">
        <w:rPr>
          <w:i/>
        </w:rPr>
        <w:t>The Wall Street Journal</w:t>
      </w:r>
      <w:r>
        <w:t>, http://www.wsj.com/articles/federalism-and-obamacare-1425513815]</w:t>
      </w:r>
    </w:p>
    <w:p w:rsidR="00AF1BF7" w:rsidRDefault="00AF1BF7" w:rsidP="00AF1BF7">
      <w:pPr>
        <w:rPr>
          <w:sz w:val="16"/>
        </w:rPr>
      </w:pPr>
      <w:r w:rsidRPr="00F115A1">
        <w:rPr>
          <w:sz w:val="16"/>
        </w:rPr>
        <w:t xml:space="preserve">That is not the same as this case. If Governors decline to establish an exchange, their citizens are not entitled to benefits, but that is not coercion. That is the very trade-off that is supposed to encourage states to participate. </w:t>
      </w:r>
      <w:r w:rsidRPr="00F115A1">
        <w:rPr>
          <w:rStyle w:val="StyleUnderline"/>
        </w:rPr>
        <w:t>If the subsidies will flow no matter what, few if any states would become the partners the Administration wanted.</w:t>
      </w:r>
      <w:r w:rsidRPr="00F115A1">
        <w:rPr>
          <w:sz w:val="16"/>
        </w:rPr>
        <w:t xml:space="preserve"> More to the point, federalism is supposed to protect political accountability. Two-thirds of the states made an informed decision to rebuff ObamaCare, but if voters prefer otherwise, they can elect new Governors who won’t. </w:t>
      </w:r>
      <w:r w:rsidRPr="00F115A1">
        <w:rPr>
          <w:rStyle w:val="StyleUnderline"/>
        </w:rPr>
        <w:t>If federal subsidies flow no matter what, then states aren’t presented with a real choice. That isn’t how federalism works in the American system</w:t>
      </w:r>
      <w:r w:rsidRPr="00F115A1">
        <w:rPr>
          <w:sz w:val="16"/>
        </w:rPr>
        <w:t xml:space="preserve">. As Justice Kennedy rightly noted, the exchange decision was partly “a mechanism for states to show they had concerns about the wisdom and workability of the act in the form that it was passed.” As for the insurance markets, it’s healthy that liberals at last appreciate that their own regulations are destructive. Yet in the 1980s and 1990s, eight states including Kentucky, Washington and New York imposed the same rules—without subsidies. In other words, the regulations are supposedly valuable by themselves to achieve liberal policy goals. </w:t>
      </w:r>
      <w:r w:rsidRPr="00F115A1">
        <w:rPr>
          <w:rStyle w:val="StyleUnderline"/>
        </w:rPr>
        <w:t>Liberals are invoking faux federalism at this late hour to appeal to Justice Kennedy’s separation-of-powers instincts</w:t>
      </w:r>
      <w:r w:rsidRPr="00F115A1">
        <w:rPr>
          <w:sz w:val="16"/>
        </w:rPr>
        <w:t xml:space="preserve"> and persuade the Court to sanction both federal and state subsidies under a doctrine known as “constitutional avoidance.” That means the courts abstain from interpreting statutes in ways the produce unconstitutional results.</w:t>
      </w:r>
    </w:p>
    <w:p w:rsidR="00AF1BF7" w:rsidRDefault="00AF1BF7" w:rsidP="00AF1BF7"/>
    <w:p w:rsidR="00AF1BF7" w:rsidRDefault="00AF1BF7" w:rsidP="00AF1BF7">
      <w:pPr>
        <w:pStyle w:val="Heading4"/>
      </w:pPr>
      <w:r>
        <w:t>Federalism already gutted by Obamacare</w:t>
      </w:r>
    </w:p>
    <w:p w:rsidR="00AF1BF7" w:rsidRDefault="00AF1BF7" w:rsidP="00AF1BF7">
      <w:r w:rsidRPr="006C1889">
        <w:rPr>
          <w:rStyle w:val="StyleStyleBold12pt"/>
        </w:rPr>
        <w:t>The Heritage Foundation</w:t>
      </w:r>
      <w:r>
        <w:t>, 20</w:t>
      </w:r>
      <w:r w:rsidRPr="006C1889">
        <w:rPr>
          <w:rStyle w:val="StyleStyleBold12pt"/>
        </w:rPr>
        <w:t>09</w:t>
      </w:r>
      <w:r>
        <w:rPr>
          <w:rStyle w:val="StyleStyleBold12pt"/>
        </w:rPr>
        <w:t xml:space="preserve"> </w:t>
      </w:r>
      <w:r>
        <w:t>[The Heritage Foundation, October-16-</w:t>
      </w:r>
      <w:r w:rsidRPr="006C1889">
        <w:t>2009</w:t>
      </w:r>
      <w:r>
        <w:t>,</w:t>
      </w:r>
      <w:r w:rsidRPr="006C1889">
        <w:t xml:space="preserve"> </w:t>
      </w:r>
      <w:r>
        <w:t>“</w:t>
      </w:r>
      <w:r w:rsidRPr="006C1889">
        <w:t>The End of Federalism: How Obamacare Will Impact States</w:t>
      </w:r>
      <w:r>
        <w:t xml:space="preserve">,” </w:t>
      </w:r>
      <w:r w:rsidRPr="006C1889">
        <w:t>http://www.heritage.org/research/factsheets/the-end-of-federalism-how-obamacare-will-impact-states</w:t>
      </w:r>
      <w:r>
        <w:t>]</w:t>
      </w:r>
    </w:p>
    <w:p w:rsidR="00AF1BF7" w:rsidRPr="008743CA" w:rsidRDefault="00AF1BF7" w:rsidP="00AF1BF7">
      <w:pPr>
        <w:rPr>
          <w:rStyle w:val="StyleUnderline"/>
        </w:rPr>
      </w:pPr>
      <w:r w:rsidRPr="008743CA">
        <w:rPr>
          <w:sz w:val="14"/>
        </w:rPr>
        <w:t xml:space="preserve">Mandated Expansions: All the health bills before Congress depend on a massive Medicaid expansion to expand coverage. If Congress raises eligibility to 133% of the federal poverty level, 33 states would see their Medicaid populations increase by 30%, and 10 states would see their Medicaid populations jump by 50%. Of course, this scenario is far worse if Congress moves eligibility to 150% FPL, as proposed by the Senate HELP Committee. </w:t>
      </w:r>
      <w:r w:rsidRPr="008743CA">
        <w:rPr>
          <w:rStyle w:val="StyleUnderline"/>
        </w:rPr>
        <w:t>Less Flexibility:</w:t>
      </w:r>
      <w:r w:rsidRPr="008743CA">
        <w:rPr>
          <w:rFonts w:eastAsia="Times New Roman"/>
          <w:color w:val="333333"/>
          <w:sz w:val="14"/>
          <w:szCs w:val="19"/>
        </w:rPr>
        <w:t xml:space="preserve"> </w:t>
      </w:r>
      <w:r w:rsidRPr="008743CA">
        <w:rPr>
          <w:rStyle w:val="StyleUnderline"/>
        </w:rPr>
        <w:t>The Obama Administration</w:t>
      </w:r>
      <w:r w:rsidRPr="008743CA">
        <w:rPr>
          <w:rFonts w:eastAsia="Times New Roman"/>
          <w:color w:val="333333"/>
          <w:sz w:val="14"/>
          <w:szCs w:val="19"/>
        </w:rPr>
        <w:t xml:space="preserve"> </w:t>
      </w:r>
      <w:r w:rsidRPr="008743CA">
        <w:rPr>
          <w:sz w:val="14"/>
        </w:rPr>
        <w:t>and Congress have already</w:t>
      </w:r>
      <w:r w:rsidRPr="008743CA">
        <w:rPr>
          <w:rFonts w:eastAsia="Times New Roman"/>
          <w:color w:val="333333"/>
          <w:sz w:val="14"/>
          <w:szCs w:val="19"/>
        </w:rPr>
        <w:t xml:space="preserve"> </w:t>
      </w:r>
      <w:r w:rsidRPr="008743CA">
        <w:rPr>
          <w:rStyle w:val="StyleUnderline"/>
        </w:rPr>
        <w:t>taken numerous steps to roll back many of the flexibilities extended to the state Medicaid and SCHIP programs.</w:t>
      </w:r>
      <w:r w:rsidRPr="008743CA">
        <w:rPr>
          <w:rFonts w:eastAsia="Times New Roman"/>
          <w:color w:val="333333"/>
          <w:sz w:val="14"/>
          <w:szCs w:val="19"/>
        </w:rPr>
        <w:t xml:space="preserve"> </w:t>
      </w:r>
      <w:r w:rsidRPr="008743CA">
        <w:rPr>
          <w:rStyle w:val="StyleUnderline"/>
        </w:rPr>
        <w:t>The health care proposals would further restrict states ability to manage and stabilize their own programs.</w:t>
      </w:r>
      <w:r>
        <w:rPr>
          <w:rStyle w:val="StyleUnderline"/>
        </w:rPr>
        <w:t xml:space="preserve"> </w:t>
      </w:r>
      <w:r w:rsidRPr="008743CA">
        <w:rPr>
          <w:sz w:val="14"/>
        </w:rPr>
        <w:t>Unknown Costs: State Medicaid spending is already outpacing projections. Recent surveys found that states saw an 8% increase in spending during Fiscal Year 2009. Governors and state officials should be skeptical of any promise from Washington that these reforms will not add additional costs to the states. Governor Bredesen (D-TN) warns that the costs to his state alone could be over $3 billion. Gutting State Authority Transferring State Power to Federal Regulators:</w:t>
      </w:r>
      <w:r w:rsidRPr="008743CA">
        <w:rPr>
          <w:rFonts w:eastAsia="Times New Roman"/>
          <w:color w:val="333333"/>
          <w:sz w:val="14"/>
          <w:szCs w:val="19"/>
        </w:rPr>
        <w:t xml:space="preserve"> </w:t>
      </w:r>
      <w:r w:rsidRPr="008743CA">
        <w:rPr>
          <w:rStyle w:val="StyleUnderline"/>
        </w:rPr>
        <w:t>The bills before Congress</w:t>
      </w:r>
      <w:r w:rsidRPr="008743CA">
        <w:rPr>
          <w:rFonts w:eastAsia="Times New Roman"/>
          <w:color w:val="333333"/>
          <w:sz w:val="14"/>
          <w:szCs w:val="19"/>
        </w:rPr>
        <w:t xml:space="preserve"> </w:t>
      </w:r>
      <w:r w:rsidRPr="008743CA">
        <w:rPr>
          <w:rStyle w:val="StyleUnderline"/>
        </w:rPr>
        <w:t>would place an unprecedented amount of power in the hands of the federal government, especially the Secretary of Health and Human Services, to determine health insurance rules and benefits. These powers have traditionally been held by state officials.</w:t>
      </w:r>
      <w:r>
        <w:rPr>
          <w:rStyle w:val="StyleUnderline"/>
        </w:rPr>
        <w:t xml:space="preserve"> </w:t>
      </w:r>
      <w:r w:rsidRPr="008743CA">
        <w:rPr>
          <w:sz w:val="14"/>
        </w:rPr>
        <w:t>Minions to a Federal Bureaucrat: In place of its traditional role of regulating health insurance markets</w:t>
      </w:r>
      <w:r w:rsidRPr="008743CA">
        <w:rPr>
          <w:rFonts w:eastAsia="Times New Roman"/>
          <w:color w:val="333333"/>
          <w:sz w:val="14"/>
          <w:szCs w:val="19"/>
        </w:rPr>
        <w:t xml:space="preserve">, </w:t>
      </w:r>
      <w:r w:rsidRPr="008743CA">
        <w:rPr>
          <w:rStyle w:val="StyleUnderline"/>
        </w:rPr>
        <w:t>the states would become merely an administrative arm of the federal government. State action on health care would be based on dictates and memoranda passed down from Washington.</w:t>
      </w:r>
      <w:r w:rsidRPr="008743CA">
        <w:rPr>
          <w:rFonts w:eastAsia="Times New Roman"/>
          <w:color w:val="333333"/>
          <w:sz w:val="14"/>
          <w:szCs w:val="19"/>
        </w:rPr>
        <w:t xml:space="preserve"> </w:t>
      </w:r>
      <w:r w:rsidRPr="008743CA">
        <w:rPr>
          <w:sz w:val="14"/>
        </w:rPr>
        <w:t>Flexibility in Name Only</w:t>
      </w:r>
      <w:r w:rsidRPr="008743CA">
        <w:rPr>
          <w:rFonts w:eastAsia="Times New Roman"/>
          <w:b/>
          <w:bCs/>
          <w:color w:val="333333"/>
          <w:sz w:val="14"/>
          <w:szCs w:val="19"/>
          <w:bdr w:val="none" w:sz="0" w:space="0" w:color="auto" w:frame="1"/>
        </w:rPr>
        <w:t>:</w:t>
      </w:r>
      <w:r w:rsidRPr="008743CA">
        <w:rPr>
          <w:rFonts w:eastAsia="Times New Roman"/>
          <w:color w:val="333333"/>
          <w:sz w:val="14"/>
          <w:szCs w:val="19"/>
        </w:rPr>
        <w:t xml:space="preserve"> </w:t>
      </w:r>
      <w:r w:rsidRPr="008743CA">
        <w:rPr>
          <w:rStyle w:val="StyleUnderline"/>
        </w:rPr>
        <w:t>The federal one-size-fits-all approach of the bills before Congress would undermine state reform and innovation</w:t>
      </w:r>
      <w:r w:rsidRPr="008743CA">
        <w:rPr>
          <w:rFonts w:eastAsia="Times New Roman"/>
          <w:color w:val="333333"/>
          <w:sz w:val="14"/>
          <w:szCs w:val="19"/>
        </w:rPr>
        <w:t xml:space="preserve">. </w:t>
      </w:r>
      <w:r w:rsidRPr="008743CA">
        <w:rPr>
          <w:sz w:val="14"/>
        </w:rPr>
        <w:t>Each state has its own demographic and political challenges, and</w:t>
      </w:r>
      <w:r w:rsidRPr="008743CA">
        <w:rPr>
          <w:rStyle w:val="StyleUnderline"/>
        </w:rPr>
        <w:t xml:space="preserve"> no one federal solution can address the unique needs of each state.</w:t>
      </w:r>
    </w:p>
    <w:p w:rsidR="00AF1BF7" w:rsidRDefault="00AF1BF7" w:rsidP="00AF1BF7"/>
    <w:p w:rsidR="00AF1BF7" w:rsidRDefault="00AF1BF7" w:rsidP="00AF1BF7">
      <w:pPr>
        <w:pStyle w:val="Heading4"/>
      </w:pPr>
      <w:r>
        <w:t xml:space="preserve">The Supreme Court has recently limited the federal government’s power to force the states to take action </w:t>
      </w:r>
    </w:p>
    <w:p w:rsidR="00AF1BF7" w:rsidRPr="001E0582" w:rsidRDefault="00AF1BF7" w:rsidP="00AF1BF7">
      <w:pPr>
        <w:rPr>
          <w:sz w:val="16"/>
        </w:rPr>
      </w:pPr>
      <w:r w:rsidRPr="001E0582">
        <w:rPr>
          <w:rStyle w:val="StyleStyleBold12pt"/>
        </w:rPr>
        <w:t>Forbes, 2012</w:t>
      </w:r>
      <w:r w:rsidRPr="001E0582">
        <w:rPr>
          <w:sz w:val="16"/>
        </w:rPr>
        <w:t xml:space="preserve"> (June 29, </w:t>
      </w:r>
      <w:hyperlink r:id="rId104" w:history="1">
        <w:r w:rsidRPr="001E0582">
          <w:rPr>
            <w:rStyle w:val="Hyperlink"/>
            <w:sz w:val="16"/>
          </w:rPr>
          <w:t>http://www.forbes.com/sites/daviddavenport/2012/06/29/federalisms-silver-lining-in-thehealthcare-decision/</w:t>
        </w:r>
      </w:hyperlink>
      <w:r w:rsidRPr="001E0582">
        <w:rPr>
          <w:sz w:val="16"/>
        </w:rPr>
        <w:t xml:space="preserve">) </w:t>
      </w:r>
    </w:p>
    <w:p w:rsidR="00AF1BF7" w:rsidRDefault="00AF1BF7" w:rsidP="00AF1BF7">
      <w:pPr>
        <w:rPr>
          <w:rStyle w:val="StyleUnderline"/>
        </w:rPr>
      </w:pPr>
      <w:r w:rsidRPr="001E0582">
        <w:rPr>
          <w:sz w:val="16"/>
        </w:rPr>
        <w:t xml:space="preserve">But of even </w:t>
      </w:r>
      <w:r w:rsidRPr="001E0582">
        <w:rPr>
          <w:rStyle w:val="StyleUnderline"/>
        </w:rPr>
        <w:t>greater practical significance was the Court’s holding that the federal government had, through its conditional spending power, unconstitutionally coerced the states into bending their Medicaid programs to the preferences of Congress.</w:t>
      </w:r>
      <w:r w:rsidRPr="001E0582">
        <w:rPr>
          <w:sz w:val="16"/>
        </w:rPr>
        <w:t xml:space="preserve"> The last major Supreme Court decision in this area, South </w:t>
      </w:r>
      <w:r w:rsidRPr="001E0582">
        <w:rPr>
          <w:sz w:val="16"/>
        </w:rPr>
        <w:lastRenderedPageBreak/>
        <w:t xml:space="preserve">Dakota v. Dole in 1986, addressed a state complaint that the federal government overstepped its authority when it said South Dakota would lose federal highway money if it did not raise its legal drinking age to 21. Since the federal government has no constitutional power to set the legal drinking age, it was attempting to use financial leverage to get the states to follow its policy. The Court held that Congress could deploy its spending power in this way, but that there was a limit, when the financial inducement was “so coercive as to pass the point at which pressure turns into compulsion.” Not surprisingly, no case has found such a limit to have been reached in the 26 years since. </w:t>
      </w:r>
      <w:r w:rsidRPr="001E0582">
        <w:rPr>
          <w:rStyle w:val="StyleUnderline"/>
        </w:rPr>
        <w:t>Today, the Court said the limit on the federal spending power had been improperly crossed by Congress in the healthcare reform bill. Rather than the “relatively mild inducement” the Court found when five percent of South Dakota’s highway funds were at risk, today’s Court said that losing all of a state’s Medicaid funding was more like “a gun to the head.” The Court noted that Medicaid spending accounts for over 20% of the average state’s total budget, whereas 5% of South Dakota’s highway funding was less than one half of one percent of its total budget at the time. So we now know there is some limit beyond which the federal government may not go in withholding state funding to incentivize (bribe?) a state to do Washington’s bidding.</w:t>
      </w:r>
    </w:p>
    <w:p w:rsidR="00AF1BF7" w:rsidRDefault="00AF1BF7" w:rsidP="00AF1BF7"/>
    <w:p w:rsidR="00AF1BF7" w:rsidRPr="00CA0FC6" w:rsidRDefault="00AF1BF7" w:rsidP="00AF1BF7">
      <w:pPr>
        <w:pStyle w:val="Heading4"/>
      </w:pPr>
      <w:r w:rsidRPr="00CA0FC6">
        <w:t>Obamacare has already tipped the balance of power in favor of the federal government</w:t>
      </w:r>
    </w:p>
    <w:p w:rsidR="00AF1BF7" w:rsidRPr="00A00758" w:rsidRDefault="00AF1BF7" w:rsidP="00AF1BF7">
      <w:pPr>
        <w:pStyle w:val="NormalWeb"/>
        <w:shd w:val="clear" w:color="auto" w:fill="FFFFFF"/>
        <w:spacing w:before="0" w:beforeAutospacing="0" w:after="0" w:afterAutospacing="0"/>
        <w:rPr>
          <w:rStyle w:val="StyleStyleBold12pt"/>
        </w:rPr>
      </w:pPr>
      <w:r w:rsidRPr="00A00758">
        <w:rPr>
          <w:rStyle w:val="StyleStyleBold12pt"/>
        </w:rPr>
        <w:t>Moffit 11</w:t>
      </w:r>
      <w:r>
        <w:rPr>
          <w:rStyle w:val="StyleStyleBold12pt"/>
        </w:rPr>
        <w:t xml:space="preserve">- </w:t>
      </w:r>
      <w:r w:rsidRPr="00A00758">
        <w:rPr>
          <w:rFonts w:asciiTheme="minorHAnsi" w:hAnsiTheme="minorHAnsi"/>
          <w:sz w:val="22"/>
          <w:szCs w:val="19"/>
          <w:shd w:val="clear" w:color="auto" w:fill="FFFFFF"/>
        </w:rPr>
        <w:t>a seasoned veteran of more than three decades</w:t>
      </w:r>
      <w:r>
        <w:rPr>
          <w:rFonts w:asciiTheme="minorHAnsi" w:hAnsiTheme="minorHAnsi"/>
          <w:sz w:val="22"/>
          <w:szCs w:val="19"/>
          <w:shd w:val="clear" w:color="auto" w:fill="FFFFFF"/>
        </w:rPr>
        <w:t xml:space="preserve"> in Washington policymaking, </w:t>
      </w:r>
      <w:r w:rsidRPr="00A00758">
        <w:rPr>
          <w:rFonts w:asciiTheme="minorHAnsi" w:hAnsiTheme="minorHAnsi"/>
          <w:sz w:val="22"/>
          <w:szCs w:val="19"/>
          <w:shd w:val="clear" w:color="auto" w:fill="FFFFFF"/>
        </w:rPr>
        <w:t>a senior fellow in The Heritage Foundation's Center for Health Policy Studies</w:t>
      </w:r>
      <w:r>
        <w:rPr>
          <w:rFonts w:ascii="Arial" w:hAnsi="Arial"/>
          <w:color w:val="333333"/>
          <w:sz w:val="19"/>
          <w:szCs w:val="19"/>
          <w:shd w:val="clear" w:color="auto" w:fill="FFFFFF"/>
        </w:rPr>
        <w:t>.</w:t>
      </w:r>
    </w:p>
    <w:p w:rsidR="00AF1BF7" w:rsidRDefault="00AF1BF7" w:rsidP="00AF1BF7">
      <w:pPr>
        <w:pStyle w:val="NormalWeb"/>
        <w:shd w:val="clear" w:color="auto" w:fill="FFFFFF"/>
        <w:spacing w:before="0" w:beforeAutospacing="0" w:after="0" w:afterAutospacing="0"/>
        <w:rPr>
          <w:rFonts w:asciiTheme="minorHAnsi" w:hAnsiTheme="minorHAnsi"/>
          <w:sz w:val="22"/>
        </w:rPr>
      </w:pPr>
      <w:r w:rsidRPr="00A00758">
        <w:rPr>
          <w:rFonts w:asciiTheme="minorHAnsi" w:hAnsiTheme="minorHAnsi"/>
          <w:sz w:val="22"/>
        </w:rPr>
        <w:t>(Robert E, 1/18/11, “The Case Against Obamacare: Obamacare and the Individual Mandate: Violating Personal Liberty and Federalism,” WebMemo Published by The Heritage Foundation</w:t>
      </w:r>
      <w:r>
        <w:rPr>
          <w:rFonts w:asciiTheme="minorHAnsi" w:hAnsiTheme="minorHAnsi"/>
          <w:sz w:val="22"/>
        </w:rPr>
        <w:t xml:space="preserve"> </w:t>
      </w:r>
      <w:r w:rsidRPr="00A00758">
        <w:rPr>
          <w:rFonts w:asciiTheme="minorHAnsi" w:hAnsiTheme="minorHAnsi"/>
          <w:sz w:val="22"/>
        </w:rPr>
        <w:t>http://www.dispatch.com/content/downloads/2011/03/16/Heritage-Foundation-on-health-care.pdf)</w:t>
      </w:r>
    </w:p>
    <w:p w:rsidR="00AF1BF7" w:rsidRPr="00A00758" w:rsidRDefault="00AF1BF7" w:rsidP="00AF1BF7">
      <w:pPr>
        <w:pStyle w:val="NormalWeb"/>
        <w:shd w:val="clear" w:color="auto" w:fill="FFFFFF"/>
        <w:spacing w:before="0" w:beforeAutospacing="0" w:after="0" w:afterAutospacing="0"/>
        <w:rPr>
          <w:rStyle w:val="StyleStyleBold12pt"/>
          <w:sz w:val="22"/>
        </w:rPr>
      </w:pPr>
    </w:p>
    <w:p w:rsidR="00AF1BF7" w:rsidRPr="00CA0FC6" w:rsidRDefault="00AF1BF7" w:rsidP="00AF1BF7">
      <w:pPr>
        <w:pStyle w:val="NormalWeb"/>
        <w:shd w:val="clear" w:color="auto" w:fill="FFFFFF"/>
        <w:spacing w:before="0" w:beforeAutospacing="0"/>
        <w:rPr>
          <w:rFonts w:asciiTheme="minorHAnsi" w:hAnsiTheme="minorHAnsi"/>
          <w:b/>
          <w:u w:val="single"/>
        </w:rPr>
      </w:pPr>
      <w:r w:rsidRPr="00A443F4">
        <w:rPr>
          <w:rFonts w:asciiTheme="minorHAnsi" w:hAnsiTheme="minorHAnsi"/>
          <w:sz w:val="16"/>
        </w:rPr>
        <w:t xml:space="preserve">Impact. The congressional mandate on American citizens to purchase health insurance is unprecedented.5 </w:t>
      </w:r>
      <w:r w:rsidRPr="00A443F4">
        <w:rPr>
          <w:rStyle w:val="StyleUnderline"/>
          <w:rFonts w:asciiTheme="minorHAnsi" w:hAnsiTheme="minorHAnsi"/>
        </w:rPr>
        <w:t>It is one of the most controversial provisions of the new law,6 setting off a record number of state lawsuits and launching a large number of state legislative countermeasures.</w:t>
      </w:r>
      <w:r w:rsidRPr="00A443F4">
        <w:rPr>
          <w:rFonts w:asciiTheme="minorHAnsi" w:hAnsiTheme="minorHAnsi"/>
          <w:sz w:val="16"/>
        </w:rPr>
        <w:t xml:space="preserve">7 The Administration has also been inconsistent, with President Obama originally opposing an individual mandate8 but then endorsing it. The President stated that the penalty was not a tax, but then Administration lawyers insisted it was, stressing that Congress’s “sweeping” taxing power was “the linchpin” of their argument for the mandate’s constitutionality.9 Certain propositions are increasingly clear. </w:t>
      </w:r>
      <w:r w:rsidRPr="00A443F4">
        <w:rPr>
          <w:rStyle w:val="StyleUnderline"/>
          <w:rFonts w:asciiTheme="minorHAnsi" w:hAnsiTheme="minorHAnsi"/>
        </w:rPr>
        <w:t>It Is an Unconstitutional Violation of Personal Liberty and Strikes at the Heart of American Federalism</w:t>
      </w:r>
      <w:r w:rsidRPr="00A443F4">
        <w:rPr>
          <w:rFonts w:asciiTheme="minorHAnsi" w:hAnsiTheme="minorHAnsi"/>
          <w:sz w:val="16"/>
        </w:rPr>
        <w:t xml:space="preserve">. In upholding Virginia’s challenge to the constitutionality of the mandate on December 13, 2010, U.S. District Court Judge Henry Hudson wrote: A thorough survey of pertinent Constitutional case law has yielded no reported decisions from any appellate courts extending the Commerce Clause or the General Welfare Clause to encompass regulation of a person’s decision not to purchase a product, notwithstanding its effect on interstate commerce or role in a global regulatory scheme. </w:t>
      </w:r>
      <w:r w:rsidRPr="00A443F4">
        <w:rPr>
          <w:rStyle w:val="StyleUnderline"/>
          <w:rFonts w:asciiTheme="minorHAnsi" w:hAnsiTheme="minorHAnsi"/>
        </w:rPr>
        <w:t xml:space="preserve">The unchecked expansion of Congressional power to the limits </w:t>
      </w:r>
      <w:r w:rsidRPr="00A443F4">
        <w:rPr>
          <w:rFonts w:asciiTheme="minorHAnsi" w:hAnsiTheme="minorHAnsi"/>
          <w:sz w:val="16"/>
        </w:rPr>
        <w:t xml:space="preserve">suggested by the Minimum Essential Coverage provision </w:t>
      </w:r>
      <w:r w:rsidRPr="00A443F4">
        <w:rPr>
          <w:rStyle w:val="StyleUnderline"/>
          <w:rFonts w:asciiTheme="minorHAnsi" w:hAnsiTheme="minorHAnsi"/>
        </w:rPr>
        <w:t>would invite unbridled exercise of federal police power</w:t>
      </w:r>
      <w:r w:rsidRPr="00A443F4">
        <w:rPr>
          <w:rFonts w:asciiTheme="minorHAnsi" w:hAnsiTheme="minorHAnsi"/>
          <w:sz w:val="16"/>
        </w:rPr>
        <w:t xml:space="preserve">. At its core, this dispute is not simply about regulating the business of insurance—or crafting a scheme of universal health insurance coverage. </w:t>
      </w:r>
      <w:r w:rsidRPr="00A443F4">
        <w:rPr>
          <w:rStyle w:val="StyleUnderline"/>
          <w:rFonts w:asciiTheme="minorHAnsi" w:hAnsiTheme="minorHAnsi"/>
        </w:rPr>
        <w:t>It’s about an individual’s right to choose to participate.10 Regardless of the wisdom of the policy, if a state wants to experiment with a health insurance mandate, as most do with auto insurance, it has the constitutional right to do so</w:t>
      </w:r>
      <w:r w:rsidRPr="00A443F4">
        <w:rPr>
          <w:rFonts w:asciiTheme="minorHAnsi" w:hAnsiTheme="minorHAnsi"/>
          <w:sz w:val="16"/>
        </w:rPr>
        <w:t xml:space="preserve">. </w:t>
      </w:r>
      <w:r w:rsidRPr="00A443F4">
        <w:rPr>
          <w:rStyle w:val="StyleUnderline"/>
          <w:rFonts w:asciiTheme="minorHAnsi" w:hAnsiTheme="minorHAnsi"/>
        </w:rPr>
        <w:t>But Congress, in this instance, is invading the traditional authority of the states in regulating health insurance within their own borders</w:t>
      </w:r>
      <w:r w:rsidRPr="00A443F4">
        <w:rPr>
          <w:rFonts w:asciiTheme="minorHAnsi" w:hAnsiTheme="minorHAnsi"/>
          <w:sz w:val="16"/>
        </w:rPr>
        <w:t xml:space="preserve">. As George Washington University Law Professor Jonathan Turley has written, “There is a legitimate concern for many that this mandate constitutes the greatest (and perhaps the most lethal) challenge to states’ rights in U.S. history. With this legislation, Congress has effectively defined an uninsured 18-year-old-man in Richmond as an interstate problem like a polluting factory. </w:t>
      </w:r>
      <w:r w:rsidRPr="00A443F4">
        <w:rPr>
          <w:rStyle w:val="StyleUnderline"/>
          <w:rFonts w:asciiTheme="minorHAnsi" w:hAnsiTheme="minorHAnsi"/>
        </w:rPr>
        <w:t>It is an assertion of federal power that is inherently at odds with the original vision of the Framers.”11</w:t>
      </w:r>
    </w:p>
    <w:p w:rsidR="00AF1BF7" w:rsidRDefault="00AF1BF7" w:rsidP="00AF1BF7">
      <w:pPr>
        <w:pStyle w:val="Heading3"/>
      </w:pPr>
      <w:bookmarkStart w:id="105" w:name="_Toc424259180"/>
      <w:r>
        <w:lastRenderedPageBreak/>
        <w:t>A2 Solves War</w:t>
      </w:r>
      <w:bookmarkEnd w:id="105"/>
    </w:p>
    <w:p w:rsidR="00AF1BF7" w:rsidRDefault="00AF1BF7" w:rsidP="00AF1BF7"/>
    <w:p w:rsidR="00AF1BF7" w:rsidRPr="004A0145" w:rsidRDefault="00AF1BF7" w:rsidP="00AF1BF7">
      <w:pPr>
        <w:pStyle w:val="Heading4"/>
      </w:pPr>
      <w:r w:rsidRPr="004A0145">
        <w:t>Federalism Bad Laundry List</w:t>
      </w:r>
      <w:r>
        <w:t xml:space="preserve"> </w:t>
      </w:r>
      <w:r w:rsidRPr="004A0145">
        <w:t>- Privileges, frustrating national policy, uneven benefits, obstructs action</w:t>
      </w:r>
    </w:p>
    <w:p w:rsidR="00AF1BF7" w:rsidRDefault="00AF1BF7" w:rsidP="00AF1BF7">
      <w:pPr>
        <w:rPr>
          <w:rStyle w:val="StyleUnderline"/>
        </w:rPr>
      </w:pPr>
      <w:r w:rsidRPr="00F57906">
        <w:rPr>
          <w:rStyle w:val="StyleStyleBold12pt"/>
        </w:rPr>
        <w:t>Cengage Learning</w:t>
      </w:r>
      <w:r>
        <w:rPr>
          <w:rStyle w:val="StyleStyleBold12pt"/>
        </w:rPr>
        <w:t xml:space="preserve"> </w:t>
      </w:r>
      <w:r w:rsidRPr="00F57906">
        <w:rPr>
          <w:rStyle w:val="StyleStyleBold12pt"/>
        </w:rPr>
        <w:t>11</w:t>
      </w:r>
      <w:r>
        <w:rPr>
          <w:shd w:val="clear" w:color="auto" w:fill="FFFFFF"/>
        </w:rPr>
        <w:t xml:space="preserve"> (an educational content, technology, and services company for the higher education and K-12, professional and library markets worldwide. Cengage Learning has operations in more than 20 countries around the world)</w:t>
      </w:r>
      <w:r w:rsidRPr="00F57906">
        <w:rPr>
          <w:rStyle w:val="StyleUnderline"/>
        </w:rPr>
        <w:t xml:space="preserve"> </w:t>
      </w:r>
    </w:p>
    <w:p w:rsidR="00AF1BF7" w:rsidRPr="004A0145" w:rsidRDefault="00AF1BF7" w:rsidP="00AF1BF7">
      <w:pPr>
        <w:rPr>
          <w:b/>
        </w:rPr>
      </w:pPr>
      <w:r w:rsidRPr="00F57906">
        <w:rPr>
          <w:rStyle w:val="StyleUnderline"/>
        </w:rPr>
        <w:t>(</w:t>
      </w:r>
      <w:r w:rsidRPr="00F57906">
        <w:rPr>
          <w:shd w:val="clear" w:color="auto" w:fill="FFFFFF"/>
        </w:rPr>
        <w:t xml:space="preserve">1/16/11, “Why Federalism” </w:t>
      </w:r>
      <w:r>
        <w:rPr>
          <w:i/>
          <w:shd w:val="clear" w:color="auto" w:fill="FFFFFF"/>
        </w:rPr>
        <w:t>Cengage Learning,</w:t>
      </w:r>
      <w:r w:rsidRPr="00F57906">
        <w:rPr>
          <w:i/>
          <w:shd w:val="clear" w:color="auto" w:fill="FFFFFF"/>
        </w:rPr>
        <w:t>Inc</w:t>
      </w:r>
      <w:r>
        <w:rPr>
          <w:i/>
          <w:shd w:val="clear" w:color="auto" w:fill="FFFFFF"/>
        </w:rPr>
        <w:t xml:space="preserve"> </w:t>
      </w:r>
      <w:hyperlink r:id="rId105" w:history="1">
        <w:r w:rsidRPr="003817D1">
          <w:rPr>
            <w:rStyle w:val="Hyperlink"/>
            <w:shd w:val="clear" w:color="auto" w:fill="FFFFFF"/>
          </w:rPr>
          <w:t>http://www.cengage.com/resource_uploads/downloads/0495913510_</w:t>
        </w:r>
      </w:hyperlink>
      <w:r>
        <w:rPr>
          <w:shd w:val="clear" w:color="auto" w:fill="FFFFFF"/>
        </w:rPr>
        <w:t xml:space="preserve"> </w:t>
      </w:r>
      <w:r w:rsidRPr="00F57906">
        <w:rPr>
          <w:shd w:val="clear" w:color="auto" w:fill="FFFFFF"/>
        </w:rPr>
        <w:t>265742.pdf</w:t>
      </w:r>
      <w:r>
        <w:rPr>
          <w:shd w:val="clear" w:color="auto" w:fill="FFFFFF"/>
        </w:rPr>
        <w:t>)</w:t>
      </w:r>
    </w:p>
    <w:p w:rsidR="00AF1BF7" w:rsidRPr="00F57906" w:rsidRDefault="00AF1BF7" w:rsidP="00AF1BF7">
      <w:pPr>
        <w:rPr>
          <w:rStyle w:val="StyleUnderline"/>
        </w:rPr>
      </w:pPr>
      <w:r w:rsidRPr="00F57906">
        <w:rPr>
          <w:rStyle w:val="StyleUnderline"/>
        </w:rPr>
        <w:t>Federalism allows special interests to protect their privileges.</w:t>
      </w:r>
      <w:r w:rsidRPr="00F57906">
        <w:rPr>
          <w:sz w:val="16"/>
        </w:rPr>
        <w:t xml:space="preserve"> </w:t>
      </w:r>
      <w:r w:rsidRPr="00F57906">
        <w:rPr>
          <w:rStyle w:val="StyleUnderline"/>
        </w:rPr>
        <w:t>For many years, segregationists used the argument of states' rights to avoid federal laws designed to guarantee equality and prevent discrimination.</w:t>
      </w:r>
      <w:r w:rsidRPr="00F57906">
        <w:rPr>
          <w:sz w:val="16"/>
        </w:rPr>
        <w:t xml:space="preserve"> Indeed, the states' rights argument has been used so often in defense of racial discrimination that it has become a code word for racism. 2. </w:t>
      </w:r>
      <w:r w:rsidRPr="00F57906">
        <w:rPr>
          <w:rStyle w:val="StyleUnderline"/>
        </w:rPr>
        <w:t>Federalism allows local leaders to frustrate national policy. They can obstruct not only civil right policies but also policies in areas as diverse as energy, poverty, and pollution.</w:t>
      </w:r>
      <w:r w:rsidRPr="00F57906">
        <w:rPr>
          <w:sz w:val="16"/>
        </w:rPr>
        <w:t xml:space="preserve"> 3. </w:t>
      </w:r>
      <w:r w:rsidRPr="00F57906">
        <w:rPr>
          <w:rStyle w:val="StyleUnderline"/>
        </w:rPr>
        <w:t xml:space="preserve">Federalism allows the benefits and costs of government to be spread unevenly. Some states spend more than twice as much per capita as other states on education. </w:t>
      </w:r>
      <w:r w:rsidRPr="00F57906">
        <w:rPr>
          <w:sz w:val="16"/>
        </w:rPr>
        <w:t>Even in</w:t>
      </w:r>
      <w:r w:rsidRPr="00F57906">
        <w:rPr>
          <w:rStyle w:val="StyleUnderline"/>
        </w:rPr>
        <w:t xml:space="preserve"> </w:t>
      </w:r>
      <w:r w:rsidRPr="00F57906">
        <w:rPr>
          <w:sz w:val="16"/>
        </w:rPr>
        <w:t xml:space="preserve">the same state, some wealthy school districts spend two or three times as much as poorer districts. The taxes in some states are much higher than in other states; five states have no state income tax at all. 4. </w:t>
      </w:r>
      <w:r w:rsidRPr="00F57906">
        <w:rPr>
          <w:rStyle w:val="StyleUnderline"/>
        </w:rPr>
        <w:t>Federalism creates disadvantages in poorer states and communities</w:t>
      </w:r>
      <w:r w:rsidRPr="00F57906">
        <w:rPr>
          <w:sz w:val="16"/>
        </w:rPr>
        <w:t xml:space="preserve">, </w:t>
      </w:r>
      <w:r w:rsidRPr="00F57906">
        <w:rPr>
          <w:rStyle w:val="StyleUnderline"/>
        </w:rPr>
        <w:t>which generally provide lower levels of education, health, and welfare services; police protection; and environmental protection than wealthier states and communities</w:t>
      </w:r>
      <w:r w:rsidRPr="00F57906">
        <w:rPr>
          <w:sz w:val="16"/>
        </w:rPr>
        <w:t>. 5</w:t>
      </w:r>
      <w:r w:rsidRPr="00F57906">
        <w:rPr>
          <w:rStyle w:val="StyleUnderline"/>
        </w:rPr>
        <w:t>. Federalism obstructs action on national issues</w:t>
      </w:r>
      <w:r w:rsidRPr="00F57906">
        <w:rPr>
          <w:sz w:val="16"/>
        </w:rPr>
        <w:t xml:space="preserve">. Although decentralization may reduce conflict at the national level, </w:t>
      </w:r>
      <w:r w:rsidRPr="00F57906">
        <w:rPr>
          <w:rStyle w:val="StyleUnderline"/>
        </w:rPr>
        <w:t>some very serious national issues may be swept under the rug. For many years, decentralizing the issue of civil rights allowed segregation to flourish</w:t>
      </w:r>
      <w:r w:rsidRPr="00F57906">
        <w:rPr>
          <w:sz w:val="16"/>
        </w:rPr>
        <w:t xml:space="preserve">. Only when the issue was nationalized in the 1960s by the civil rights movement was there any significant progress. </w:t>
      </w:r>
      <w:r w:rsidRPr="00F57906">
        <w:rPr>
          <w:rStyle w:val="StyleUnderline"/>
        </w:rPr>
        <w:t>Minorities can usually expect better treatment by national agencies than by state or local authorities.</w:t>
      </w:r>
    </w:p>
    <w:p w:rsidR="00AF1BF7" w:rsidRDefault="00AF1BF7" w:rsidP="00AF1BF7"/>
    <w:p w:rsidR="00AF1BF7" w:rsidRPr="004A0145" w:rsidRDefault="00AF1BF7" w:rsidP="00AF1BF7">
      <w:pPr>
        <w:pStyle w:val="Heading4"/>
      </w:pPr>
      <w:r w:rsidRPr="004A0145">
        <w:t xml:space="preserve">Federalism is a form of “war-making” </w:t>
      </w:r>
    </w:p>
    <w:p w:rsidR="00AF1BF7" w:rsidRPr="00A6618E" w:rsidRDefault="00AF1BF7" w:rsidP="00AF1BF7">
      <w:pPr>
        <w:rPr>
          <w:rStyle w:val="StyleStyleBold12pt"/>
        </w:rPr>
      </w:pPr>
      <w:r w:rsidRPr="00A6618E">
        <w:rPr>
          <w:rStyle w:val="StyleStyleBold12pt"/>
        </w:rPr>
        <w:t>Fallon 13</w:t>
      </w:r>
    </w:p>
    <w:p w:rsidR="00AF1BF7" w:rsidRPr="00A6618E" w:rsidRDefault="00AF1BF7" w:rsidP="00AF1BF7">
      <w:pPr>
        <w:rPr>
          <w:rFonts w:asciiTheme="minorHAnsi" w:hAnsiTheme="minorHAnsi" w:cs="Helvetica"/>
          <w:color w:val="191812"/>
          <w:sz w:val="20"/>
          <w:szCs w:val="20"/>
          <w:shd w:val="clear" w:color="auto" w:fill="FFFFFF"/>
        </w:rPr>
      </w:pPr>
      <w:r w:rsidRPr="00A6618E">
        <w:rPr>
          <w:rStyle w:val="Emphasis"/>
          <w:rFonts w:asciiTheme="minorHAnsi" w:hAnsiTheme="minorHAnsi" w:cs="Helvetica"/>
          <w:b w:val="0"/>
          <w:color w:val="191812"/>
          <w:sz w:val="20"/>
          <w:szCs w:val="20"/>
          <w:u w:val="none"/>
          <w:shd w:val="clear" w:color="auto" w:fill="FFFFFF"/>
        </w:rPr>
        <w:t>(Joan Fallo</w:t>
      </w:r>
      <w:r w:rsidRPr="00A6618E">
        <w:rPr>
          <w:rStyle w:val="Strong"/>
          <w:rFonts w:asciiTheme="minorHAnsi" w:hAnsiTheme="minorHAnsi" w:cs="Helvetica"/>
          <w:color w:val="191812"/>
          <w:sz w:val="20"/>
          <w:szCs w:val="20"/>
          <w:shd w:val="clear" w:color="auto" w:fill="FFFFFF"/>
        </w:rPr>
        <w:t>n,</w:t>
      </w:r>
      <w:r w:rsidRPr="00A6618E">
        <w:rPr>
          <w:rFonts w:asciiTheme="minorHAnsi" w:hAnsiTheme="minorHAnsi" w:cs="Helvetica"/>
          <w:i/>
          <w:iCs/>
          <w:color w:val="191812"/>
          <w:sz w:val="27"/>
          <w:szCs w:val="27"/>
          <w:shd w:val="clear" w:color="auto" w:fill="FFFFFF"/>
        </w:rPr>
        <w:t xml:space="preserve"> </w:t>
      </w:r>
      <w:r w:rsidRPr="00A6618E">
        <w:rPr>
          <w:rFonts w:asciiTheme="minorHAnsi" w:hAnsiTheme="minorHAnsi" w:cs="Helvetica"/>
          <w:iCs/>
          <w:color w:val="191812"/>
          <w:sz w:val="20"/>
          <w:szCs w:val="27"/>
          <w:shd w:val="clear" w:color="auto" w:fill="FFFFFF"/>
        </w:rPr>
        <w:t>Director of Communications &amp; Marketing, Keough School of Global Affairs</w:t>
      </w:r>
      <w:r w:rsidRPr="00A6618E">
        <w:rPr>
          <w:rFonts w:asciiTheme="minorHAnsi" w:hAnsiTheme="minorHAnsi" w:cs="Helvetica"/>
          <w:i/>
          <w:iCs/>
          <w:color w:val="191812"/>
          <w:sz w:val="27"/>
          <w:szCs w:val="27"/>
          <w:shd w:val="clear" w:color="auto" w:fill="FFFFFF"/>
        </w:rPr>
        <w:t>,</w:t>
      </w:r>
      <w:r w:rsidRPr="00A6618E">
        <w:rPr>
          <w:rStyle w:val="Strong"/>
          <w:rFonts w:asciiTheme="minorHAnsi" w:hAnsiTheme="minorHAnsi" w:cs="Helvetica"/>
          <w:color w:val="191812"/>
          <w:sz w:val="20"/>
          <w:szCs w:val="20"/>
          <w:shd w:val="clear" w:color="auto" w:fill="FFFFFF"/>
        </w:rPr>
        <w:t xml:space="preserve"> interviewing Patrick Regan,</w:t>
      </w:r>
      <w:r w:rsidRPr="00A6618E">
        <w:rPr>
          <w:rStyle w:val="apple-converted-space"/>
          <w:rFonts w:asciiTheme="minorHAnsi" w:hAnsiTheme="minorHAnsi" w:cs="Helvetica"/>
          <w:color w:val="191812"/>
          <w:sz w:val="20"/>
          <w:szCs w:val="20"/>
          <w:shd w:val="clear" w:color="auto" w:fill="FFFFFF"/>
        </w:rPr>
        <w:t> </w:t>
      </w:r>
      <w:r w:rsidRPr="00A6618E">
        <w:rPr>
          <w:rFonts w:asciiTheme="minorHAnsi" w:hAnsiTheme="minorHAnsi" w:cs="Helvetica"/>
          <w:color w:val="191812"/>
          <w:sz w:val="20"/>
          <w:szCs w:val="20"/>
          <w:shd w:val="clear" w:color="auto" w:fill="FFFFFF"/>
        </w:rPr>
        <w:t>professor of political science and peace studies)</w:t>
      </w:r>
    </w:p>
    <w:p w:rsidR="00AF1BF7" w:rsidRPr="004A0145" w:rsidRDefault="00AF1BF7" w:rsidP="00AF1BF7">
      <w:pPr>
        <w:rPr>
          <w:rFonts w:asciiTheme="minorHAnsi" w:hAnsiTheme="minorHAnsi"/>
          <w:i/>
        </w:rPr>
      </w:pPr>
      <w:r w:rsidRPr="00A6618E">
        <w:rPr>
          <w:rStyle w:val="date-display-single"/>
          <w:rFonts w:asciiTheme="minorHAnsi" w:hAnsiTheme="minorHAnsi" w:cs="Helvetica"/>
          <w:bCs/>
          <w:sz w:val="20"/>
          <w:szCs w:val="20"/>
        </w:rPr>
        <w:t>Joan, 11/21/13,</w:t>
      </w:r>
      <w:r w:rsidRPr="00A6618E">
        <w:rPr>
          <w:rFonts w:asciiTheme="minorHAnsi" w:hAnsiTheme="minorHAnsi" w:cs="Helvetica"/>
          <w:sz w:val="20"/>
          <w:szCs w:val="20"/>
        </w:rPr>
        <w:t xml:space="preserve"> “</w:t>
      </w:r>
      <w:r w:rsidRPr="00A6618E">
        <w:rPr>
          <w:rFonts w:asciiTheme="minorHAnsi" w:hAnsiTheme="minorHAnsi"/>
        </w:rPr>
        <w:t>Researchers Examine Role of Federalism in War-Making or</w:t>
      </w:r>
      <w:r w:rsidRPr="00A6618E">
        <w:rPr>
          <w:rFonts w:asciiTheme="minorHAnsi" w:hAnsiTheme="minorHAnsi"/>
          <w:color w:val="093A71"/>
          <w:spacing w:val="-12"/>
          <w:sz w:val="41"/>
          <w:szCs w:val="41"/>
        </w:rPr>
        <w:t xml:space="preserve"> </w:t>
      </w:r>
      <w:r w:rsidRPr="00A6618E">
        <w:rPr>
          <w:rFonts w:asciiTheme="minorHAnsi" w:hAnsiTheme="minorHAnsi"/>
        </w:rPr>
        <w:t xml:space="preserve">Peace-Making,” </w:t>
      </w:r>
      <w:r w:rsidRPr="00A6618E">
        <w:rPr>
          <w:rFonts w:asciiTheme="minorHAnsi" w:hAnsiTheme="minorHAnsi"/>
          <w:i/>
        </w:rPr>
        <w:t>University of Notre Dame Kroc Institute for International Peace Studies)</w:t>
      </w:r>
    </w:p>
    <w:p w:rsidR="00AF1BF7" w:rsidRDefault="00AF1BF7" w:rsidP="00AF1BF7">
      <w:pPr>
        <w:rPr>
          <w:rFonts w:asciiTheme="minorHAnsi" w:hAnsiTheme="minorHAnsi" w:cs="Helvetica"/>
          <w:color w:val="191812"/>
          <w:sz w:val="20"/>
          <w:szCs w:val="20"/>
          <w:shd w:val="clear" w:color="auto" w:fill="FFFFFF"/>
        </w:rPr>
      </w:pPr>
      <w:r w:rsidRPr="00A6618E">
        <w:rPr>
          <w:rStyle w:val="StyleUnderline"/>
          <w:rFonts w:asciiTheme="minorHAnsi" w:hAnsiTheme="minorHAnsi"/>
        </w:rPr>
        <w:t>Regan, an expert in the causes of war, argued that federalism</w:t>
      </w:r>
      <w:r w:rsidRPr="00A6618E">
        <w:rPr>
          <w:rFonts w:asciiTheme="minorHAnsi" w:hAnsiTheme="minorHAnsi" w:cs="Helvetica"/>
          <w:color w:val="191812"/>
          <w:sz w:val="20"/>
          <w:szCs w:val="20"/>
          <w:shd w:val="clear" w:color="auto" w:fill="FFFFFF"/>
        </w:rPr>
        <w:t xml:space="preserve"> (a political system in which power is divided between a central government and states or provinces</w:t>
      </w:r>
      <w:r w:rsidRPr="00A6618E">
        <w:rPr>
          <w:rStyle w:val="StyleUnderline"/>
          <w:rFonts w:asciiTheme="minorHAnsi" w:hAnsiTheme="minorHAnsi"/>
        </w:rPr>
        <w:t>) can be a form of “war-making</w:t>
      </w:r>
      <w:r w:rsidRPr="00A6618E">
        <w:rPr>
          <w:rFonts w:asciiTheme="minorHAnsi" w:hAnsiTheme="minorHAnsi" w:cs="Helvetica"/>
          <w:color w:val="191812"/>
          <w:sz w:val="20"/>
          <w:szCs w:val="20"/>
          <w:shd w:val="clear" w:color="auto" w:fill="FFFFFF"/>
        </w:rPr>
        <w:t xml:space="preserve">.” He used the example of the </w:t>
      </w:r>
      <w:r w:rsidRPr="00A6618E">
        <w:rPr>
          <w:rStyle w:val="StyleUnderline"/>
          <w:rFonts w:asciiTheme="minorHAnsi" w:hAnsiTheme="minorHAnsi"/>
        </w:rPr>
        <w:t>U.S. civil war — a hugely lethal conflict, with nearly three-quarters of a million people killed out of a population of 40-50 million.</w:t>
      </w:r>
      <w:r w:rsidRPr="00A6618E">
        <w:rPr>
          <w:rFonts w:asciiTheme="minorHAnsi" w:hAnsiTheme="minorHAnsi" w:cs="Helvetica"/>
          <w:color w:val="191812"/>
          <w:sz w:val="20"/>
          <w:szCs w:val="20"/>
          <w:shd w:val="clear" w:color="auto" w:fill="FFFFFF"/>
        </w:rPr>
        <w:t xml:space="preserve"> </w:t>
      </w:r>
      <w:r w:rsidRPr="00A6618E">
        <w:rPr>
          <w:rStyle w:val="StyleUnderline"/>
          <w:rFonts w:asciiTheme="minorHAnsi" w:hAnsiTheme="minorHAnsi"/>
        </w:rPr>
        <w:t>“My argument was that federalism allowed for the split into northern and southern states, and then each built a standing army,</w:t>
      </w:r>
      <w:r w:rsidRPr="00A6618E">
        <w:rPr>
          <w:rFonts w:asciiTheme="minorHAnsi" w:hAnsiTheme="minorHAnsi" w:cs="Helvetica"/>
          <w:color w:val="191812"/>
          <w:sz w:val="20"/>
          <w:szCs w:val="20"/>
          <w:shd w:val="clear" w:color="auto" w:fill="FFFFFF"/>
        </w:rPr>
        <w:t>” he said. “If you were a graduate of West Point from the South, you led that army. If you were a graduate of West Point from the North, you led that army.”</w:t>
      </w:r>
    </w:p>
    <w:p w:rsidR="00AF1BF7" w:rsidRDefault="00AF1BF7" w:rsidP="00AF1BF7">
      <w:pPr>
        <w:rPr>
          <w:rFonts w:asciiTheme="minorHAnsi" w:hAnsiTheme="minorHAnsi" w:cs="Helvetica"/>
          <w:color w:val="191812"/>
          <w:sz w:val="20"/>
          <w:szCs w:val="20"/>
          <w:shd w:val="clear" w:color="auto" w:fill="FFFFFF"/>
        </w:rPr>
      </w:pPr>
    </w:p>
    <w:p w:rsidR="00AF1BF7" w:rsidRPr="006C4C5E" w:rsidRDefault="00AF1BF7" w:rsidP="00AF1BF7"/>
    <w:p w:rsidR="00AF1BF7" w:rsidRDefault="00AF1BF7" w:rsidP="00AF1BF7"/>
    <w:p w:rsidR="00AF1BF7" w:rsidRPr="00215F59" w:rsidRDefault="00AF1BF7" w:rsidP="00215F59">
      <w:pPr>
        <w:rPr>
          <w:sz w:val="22"/>
        </w:rPr>
      </w:pPr>
    </w:p>
    <w:sectPr w:rsidR="00AF1BF7" w:rsidRPr="00215F59" w:rsidSect="00034798">
      <w:headerReference w:type="default" r:id="rId106"/>
      <w:footerReference w:type="default" r:id="rId107"/>
      <w:pgSz w:w="12240" w:h="15840"/>
      <w:pgMar w:top="720" w:right="720" w:bottom="720" w:left="72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86BD8" w:rsidRDefault="00186BD8" w:rsidP="00034798">
      <w:r>
        <w:separator/>
      </w:r>
    </w:p>
  </w:endnote>
  <w:endnote w:type="continuationSeparator" w:id="0">
    <w:p w:rsidR="00186BD8" w:rsidRDefault="00186BD8" w:rsidP="000347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Helvetica Neue">
    <w:altName w:val="Malgun Gothic"/>
    <w:charset w:val="00"/>
    <w:family w:val="auto"/>
    <w:pitch w:val="variable"/>
    <w:sig w:usb0="00000003" w:usb1="500079DB" w:usb2="0000001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1BF7" w:rsidRPr="00034798" w:rsidRDefault="00AF1BF7" w:rsidP="00034798">
    <w:pPr>
      <w:pStyle w:val="Footer"/>
      <w:jc w:val="right"/>
      <w:rPr>
        <w:b/>
        <w:sz w:val="28"/>
      </w:rPr>
    </w:pPr>
    <w:r w:rsidRPr="00034798">
      <w:rPr>
        <w:b/>
        <w:sz w:val="28"/>
      </w:rPr>
      <w:t xml:space="preserve">Pg. </w:t>
    </w:r>
    <w:r w:rsidRPr="00034798">
      <w:rPr>
        <w:b/>
        <w:sz w:val="28"/>
      </w:rPr>
      <w:fldChar w:fldCharType="begin"/>
    </w:r>
    <w:r w:rsidRPr="00034798">
      <w:rPr>
        <w:b/>
        <w:sz w:val="28"/>
      </w:rPr>
      <w:instrText xml:space="preserve"> PAGE   \* MERGEFORMAT </w:instrText>
    </w:r>
    <w:r w:rsidRPr="00034798">
      <w:rPr>
        <w:b/>
        <w:sz w:val="28"/>
      </w:rPr>
      <w:fldChar w:fldCharType="separate"/>
    </w:r>
    <w:r w:rsidR="006C5205">
      <w:rPr>
        <w:b/>
        <w:noProof/>
        <w:sz w:val="28"/>
      </w:rPr>
      <w:t>1</w:t>
    </w:r>
    <w:r w:rsidRPr="00034798">
      <w:rPr>
        <w:b/>
        <w:noProof/>
        <w:sz w:val="2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86BD8" w:rsidRDefault="00186BD8" w:rsidP="00034798">
      <w:r>
        <w:separator/>
      </w:r>
    </w:p>
  </w:footnote>
  <w:footnote w:type="continuationSeparator" w:id="0">
    <w:p w:rsidR="00186BD8" w:rsidRDefault="00186BD8" w:rsidP="00034798">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F1BF7" w:rsidRPr="00034798" w:rsidRDefault="00AF1BF7">
    <w:pPr>
      <w:pStyle w:val="Header"/>
      <w:rPr>
        <w:b/>
      </w:rPr>
    </w:pPr>
    <w:r>
      <w:rPr>
        <w:b/>
      </w:rPr>
      <w:t>Neg GRIPES</w:t>
    </w:r>
    <w:r w:rsidRPr="00034798">
      <w:rPr>
        <w:b/>
      </w:rPr>
      <w:t xml:space="preserve"> </w:t>
    </w:r>
    <w:r w:rsidRPr="00034798">
      <w:rPr>
        <w:b/>
      </w:rPr>
      <w:ptab w:relativeTo="margin" w:alignment="right" w:leader="none"/>
    </w:r>
    <w:r w:rsidRPr="00034798">
      <w:rPr>
        <w:b/>
      </w:rPr>
      <w:t>UTNIF 2015</w:t>
    </w:r>
  </w:p>
  <w:p w:rsidR="00AF1BF7" w:rsidRPr="00034798" w:rsidRDefault="00AF1BF7">
    <w:pPr>
      <w:pStyle w:val="Header"/>
      <w:rPr>
        <w:b/>
      </w:rPr>
    </w:pPr>
    <w:r>
      <w:rPr>
        <w:b/>
      </w:rPr>
      <w:t>Counterplan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85297F"/>
    <w:multiLevelType w:val="hybridMultilevel"/>
    <w:tmpl w:val="32FEC1B4"/>
    <w:lvl w:ilvl="0" w:tplc="CDB08C0C">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0C021C"/>
    <w:multiLevelType w:val="hybridMultilevel"/>
    <w:tmpl w:val="0A2A2A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3C52C8F"/>
    <w:multiLevelType w:val="hybridMultilevel"/>
    <w:tmpl w:val="81840B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4"/>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Derek Liles"/>
    <w:docVar w:name="RibbonPointer" w:val="232667364"/>
    <w:docVar w:name="VerbatimVersion" w:val="5.0"/>
  </w:docVars>
  <w:rsids>
    <w:rsidRoot w:val="00034798"/>
    <w:rsid w:val="0000218D"/>
    <w:rsid w:val="00005A2A"/>
    <w:rsid w:val="00010B79"/>
    <w:rsid w:val="00012097"/>
    <w:rsid w:val="000139A3"/>
    <w:rsid w:val="000201B0"/>
    <w:rsid w:val="000212E8"/>
    <w:rsid w:val="000310E6"/>
    <w:rsid w:val="00034798"/>
    <w:rsid w:val="0004170D"/>
    <w:rsid w:val="00061833"/>
    <w:rsid w:val="000805B9"/>
    <w:rsid w:val="00085119"/>
    <w:rsid w:val="000A2CBD"/>
    <w:rsid w:val="000A3976"/>
    <w:rsid w:val="000A3B07"/>
    <w:rsid w:val="000B06A7"/>
    <w:rsid w:val="000C3CFE"/>
    <w:rsid w:val="000C4675"/>
    <w:rsid w:val="000D2319"/>
    <w:rsid w:val="000D475A"/>
    <w:rsid w:val="000D700A"/>
    <w:rsid w:val="000E23F6"/>
    <w:rsid w:val="000F05E7"/>
    <w:rsid w:val="000F6B05"/>
    <w:rsid w:val="000F74B3"/>
    <w:rsid w:val="00100833"/>
    <w:rsid w:val="00104529"/>
    <w:rsid w:val="001176D0"/>
    <w:rsid w:val="00133C4D"/>
    <w:rsid w:val="00136B16"/>
    <w:rsid w:val="001371D1"/>
    <w:rsid w:val="001456D7"/>
    <w:rsid w:val="00166A16"/>
    <w:rsid w:val="00177B7D"/>
    <w:rsid w:val="0018322D"/>
    <w:rsid w:val="0018624C"/>
    <w:rsid w:val="00186BD8"/>
    <w:rsid w:val="00190A30"/>
    <w:rsid w:val="0019485A"/>
    <w:rsid w:val="00196B2A"/>
    <w:rsid w:val="00197D05"/>
    <w:rsid w:val="001A737D"/>
    <w:rsid w:val="001A7950"/>
    <w:rsid w:val="001B5776"/>
    <w:rsid w:val="001B5CA6"/>
    <w:rsid w:val="001C0F7E"/>
    <w:rsid w:val="001C3488"/>
    <w:rsid w:val="001D1EBF"/>
    <w:rsid w:val="001E395A"/>
    <w:rsid w:val="001F7D92"/>
    <w:rsid w:val="00202C15"/>
    <w:rsid w:val="00206A91"/>
    <w:rsid w:val="00210E90"/>
    <w:rsid w:val="00215F59"/>
    <w:rsid w:val="0021732B"/>
    <w:rsid w:val="002301C9"/>
    <w:rsid w:val="00244A3D"/>
    <w:rsid w:val="00247F4D"/>
    <w:rsid w:val="00251FC7"/>
    <w:rsid w:val="002531FF"/>
    <w:rsid w:val="002606C7"/>
    <w:rsid w:val="00264167"/>
    <w:rsid w:val="00267005"/>
    <w:rsid w:val="002723E4"/>
    <w:rsid w:val="00275018"/>
    <w:rsid w:val="002751AD"/>
    <w:rsid w:val="002855A7"/>
    <w:rsid w:val="002944F0"/>
    <w:rsid w:val="00295087"/>
    <w:rsid w:val="00297F08"/>
    <w:rsid w:val="002A0A31"/>
    <w:rsid w:val="002A63C9"/>
    <w:rsid w:val="002C076B"/>
    <w:rsid w:val="002C0DB1"/>
    <w:rsid w:val="002C1FF0"/>
    <w:rsid w:val="002C3FEB"/>
    <w:rsid w:val="002C6951"/>
    <w:rsid w:val="002D2870"/>
    <w:rsid w:val="002E6523"/>
    <w:rsid w:val="002F63F7"/>
    <w:rsid w:val="002F6BC4"/>
    <w:rsid w:val="003010BB"/>
    <w:rsid w:val="00315690"/>
    <w:rsid w:val="003236D4"/>
    <w:rsid w:val="00325646"/>
    <w:rsid w:val="00327797"/>
    <w:rsid w:val="00342D9C"/>
    <w:rsid w:val="00343D4B"/>
    <w:rsid w:val="00352A52"/>
    <w:rsid w:val="00353E98"/>
    <w:rsid w:val="00356BC3"/>
    <w:rsid w:val="0036435E"/>
    <w:rsid w:val="003733D7"/>
    <w:rsid w:val="00380305"/>
    <w:rsid w:val="003902BA"/>
    <w:rsid w:val="0039660A"/>
    <w:rsid w:val="003A09E2"/>
    <w:rsid w:val="003A34E2"/>
    <w:rsid w:val="003A73C0"/>
    <w:rsid w:val="003B00AD"/>
    <w:rsid w:val="003B0CE6"/>
    <w:rsid w:val="003B3634"/>
    <w:rsid w:val="003B5BD1"/>
    <w:rsid w:val="003C724A"/>
    <w:rsid w:val="003D38B4"/>
    <w:rsid w:val="003E720F"/>
    <w:rsid w:val="00407037"/>
    <w:rsid w:val="00412C5F"/>
    <w:rsid w:val="00414E02"/>
    <w:rsid w:val="004218C0"/>
    <w:rsid w:val="004252A9"/>
    <w:rsid w:val="004441D5"/>
    <w:rsid w:val="004470CC"/>
    <w:rsid w:val="00451D1C"/>
    <w:rsid w:val="00451F4F"/>
    <w:rsid w:val="00457ABF"/>
    <w:rsid w:val="004605D6"/>
    <w:rsid w:val="00466863"/>
    <w:rsid w:val="004839A8"/>
    <w:rsid w:val="004865DC"/>
    <w:rsid w:val="00486F20"/>
    <w:rsid w:val="00493C70"/>
    <w:rsid w:val="00495958"/>
    <w:rsid w:val="004959B0"/>
    <w:rsid w:val="004978F5"/>
    <w:rsid w:val="00497A37"/>
    <w:rsid w:val="004A5399"/>
    <w:rsid w:val="004A65DE"/>
    <w:rsid w:val="004B08FF"/>
    <w:rsid w:val="004B7010"/>
    <w:rsid w:val="004C60E8"/>
    <w:rsid w:val="004C63E1"/>
    <w:rsid w:val="004D5A23"/>
    <w:rsid w:val="004D6B06"/>
    <w:rsid w:val="004E3579"/>
    <w:rsid w:val="004F1B60"/>
    <w:rsid w:val="004F39E0"/>
    <w:rsid w:val="005044CE"/>
    <w:rsid w:val="005215BB"/>
    <w:rsid w:val="00522534"/>
    <w:rsid w:val="005228DF"/>
    <w:rsid w:val="00537BD5"/>
    <w:rsid w:val="0054198B"/>
    <w:rsid w:val="005422F7"/>
    <w:rsid w:val="00542342"/>
    <w:rsid w:val="00544DA6"/>
    <w:rsid w:val="00545111"/>
    <w:rsid w:val="00555F9E"/>
    <w:rsid w:val="0056588C"/>
    <w:rsid w:val="00574EBD"/>
    <w:rsid w:val="00580A40"/>
    <w:rsid w:val="00580F82"/>
    <w:rsid w:val="0058329F"/>
    <w:rsid w:val="005B259B"/>
    <w:rsid w:val="005B2662"/>
    <w:rsid w:val="005B7A08"/>
    <w:rsid w:val="005C00B7"/>
    <w:rsid w:val="005C24CC"/>
    <w:rsid w:val="005D10DE"/>
    <w:rsid w:val="005E385D"/>
    <w:rsid w:val="005F2D77"/>
    <w:rsid w:val="0060371D"/>
    <w:rsid w:val="00605CF9"/>
    <w:rsid w:val="006065BD"/>
    <w:rsid w:val="00614BC3"/>
    <w:rsid w:val="0061655B"/>
    <w:rsid w:val="00636033"/>
    <w:rsid w:val="00636422"/>
    <w:rsid w:val="00643666"/>
    <w:rsid w:val="00647F11"/>
    <w:rsid w:val="0066062C"/>
    <w:rsid w:val="006639D6"/>
    <w:rsid w:val="00664685"/>
    <w:rsid w:val="00665003"/>
    <w:rsid w:val="00665055"/>
    <w:rsid w:val="00680FEF"/>
    <w:rsid w:val="006827FE"/>
    <w:rsid w:val="0068363E"/>
    <w:rsid w:val="00684BDA"/>
    <w:rsid w:val="00694435"/>
    <w:rsid w:val="006A20EA"/>
    <w:rsid w:val="006C0262"/>
    <w:rsid w:val="006C5205"/>
    <w:rsid w:val="006E7BA9"/>
    <w:rsid w:val="006F4396"/>
    <w:rsid w:val="00701B8B"/>
    <w:rsid w:val="00736ECD"/>
    <w:rsid w:val="0074509C"/>
    <w:rsid w:val="007547BE"/>
    <w:rsid w:val="00756AD2"/>
    <w:rsid w:val="00761AC0"/>
    <w:rsid w:val="00770D55"/>
    <w:rsid w:val="00775F93"/>
    <w:rsid w:val="00782D6F"/>
    <w:rsid w:val="007944C5"/>
    <w:rsid w:val="0079556A"/>
    <w:rsid w:val="0079650E"/>
    <w:rsid w:val="007A1708"/>
    <w:rsid w:val="007A4188"/>
    <w:rsid w:val="007B6360"/>
    <w:rsid w:val="007C656B"/>
    <w:rsid w:val="007D6DFE"/>
    <w:rsid w:val="007E6476"/>
    <w:rsid w:val="007F0269"/>
    <w:rsid w:val="007F298D"/>
    <w:rsid w:val="007F5B66"/>
    <w:rsid w:val="00802AFB"/>
    <w:rsid w:val="00813C3A"/>
    <w:rsid w:val="00816F1D"/>
    <w:rsid w:val="00823A1C"/>
    <w:rsid w:val="00825BDC"/>
    <w:rsid w:val="008279B1"/>
    <w:rsid w:val="00845B9D"/>
    <w:rsid w:val="00851D12"/>
    <w:rsid w:val="008550B8"/>
    <w:rsid w:val="00855387"/>
    <w:rsid w:val="00857369"/>
    <w:rsid w:val="0086034E"/>
    <w:rsid w:val="00860984"/>
    <w:rsid w:val="00864F79"/>
    <w:rsid w:val="0086639A"/>
    <w:rsid w:val="00867568"/>
    <w:rsid w:val="00880B6F"/>
    <w:rsid w:val="0089705A"/>
    <w:rsid w:val="008A30E6"/>
    <w:rsid w:val="008A4C61"/>
    <w:rsid w:val="008A5455"/>
    <w:rsid w:val="008B3ECB"/>
    <w:rsid w:val="008C1B2E"/>
    <w:rsid w:val="008C6DEF"/>
    <w:rsid w:val="008C7377"/>
    <w:rsid w:val="008D3098"/>
    <w:rsid w:val="008D3793"/>
    <w:rsid w:val="008D49DD"/>
    <w:rsid w:val="008E2532"/>
    <w:rsid w:val="008F2C8B"/>
    <w:rsid w:val="0090608F"/>
    <w:rsid w:val="00911D81"/>
    <w:rsid w:val="00913F36"/>
    <w:rsid w:val="0091627E"/>
    <w:rsid w:val="00923050"/>
    <w:rsid w:val="00937E5B"/>
    <w:rsid w:val="009451FE"/>
    <w:rsid w:val="009471E7"/>
    <w:rsid w:val="00962AAE"/>
    <w:rsid w:val="009744D8"/>
    <w:rsid w:val="009912A3"/>
    <w:rsid w:val="009A29F0"/>
    <w:rsid w:val="009A727A"/>
    <w:rsid w:val="009B120B"/>
    <w:rsid w:val="009C1D97"/>
    <w:rsid w:val="009D2E62"/>
    <w:rsid w:val="009D75E9"/>
    <w:rsid w:val="009E1922"/>
    <w:rsid w:val="009F67F6"/>
    <w:rsid w:val="00A10D6A"/>
    <w:rsid w:val="00A408BE"/>
    <w:rsid w:val="00A54B15"/>
    <w:rsid w:val="00A557CE"/>
    <w:rsid w:val="00A577D9"/>
    <w:rsid w:val="00A61872"/>
    <w:rsid w:val="00A81DFE"/>
    <w:rsid w:val="00A93661"/>
    <w:rsid w:val="00A95652"/>
    <w:rsid w:val="00AA2280"/>
    <w:rsid w:val="00AA5CF8"/>
    <w:rsid w:val="00AC3130"/>
    <w:rsid w:val="00AD0C2A"/>
    <w:rsid w:val="00AD4005"/>
    <w:rsid w:val="00AD4539"/>
    <w:rsid w:val="00AD6BD0"/>
    <w:rsid w:val="00AE011A"/>
    <w:rsid w:val="00AE4B8A"/>
    <w:rsid w:val="00AE4F06"/>
    <w:rsid w:val="00AE5B2F"/>
    <w:rsid w:val="00AF05BF"/>
    <w:rsid w:val="00AF074C"/>
    <w:rsid w:val="00AF169E"/>
    <w:rsid w:val="00AF1BF7"/>
    <w:rsid w:val="00AF36D0"/>
    <w:rsid w:val="00B0076F"/>
    <w:rsid w:val="00B14461"/>
    <w:rsid w:val="00B21816"/>
    <w:rsid w:val="00B2521A"/>
    <w:rsid w:val="00B27954"/>
    <w:rsid w:val="00B33C6D"/>
    <w:rsid w:val="00B43EBA"/>
    <w:rsid w:val="00B4508F"/>
    <w:rsid w:val="00B46C7E"/>
    <w:rsid w:val="00B66C55"/>
    <w:rsid w:val="00B71AA1"/>
    <w:rsid w:val="00B7262B"/>
    <w:rsid w:val="00B8057C"/>
    <w:rsid w:val="00B933E4"/>
    <w:rsid w:val="00BB12C1"/>
    <w:rsid w:val="00BB6B11"/>
    <w:rsid w:val="00BC58E3"/>
    <w:rsid w:val="00BD0329"/>
    <w:rsid w:val="00BE52D5"/>
    <w:rsid w:val="00BF593B"/>
    <w:rsid w:val="00C111B5"/>
    <w:rsid w:val="00C16CAE"/>
    <w:rsid w:val="00C23D85"/>
    <w:rsid w:val="00C53FCD"/>
    <w:rsid w:val="00C7557A"/>
    <w:rsid w:val="00C82BE4"/>
    <w:rsid w:val="00C83417"/>
    <w:rsid w:val="00C92758"/>
    <w:rsid w:val="00CA7976"/>
    <w:rsid w:val="00CB0543"/>
    <w:rsid w:val="00CB091A"/>
    <w:rsid w:val="00CB1C02"/>
    <w:rsid w:val="00CB4BDF"/>
    <w:rsid w:val="00CC07BE"/>
    <w:rsid w:val="00CD736E"/>
    <w:rsid w:val="00CE161E"/>
    <w:rsid w:val="00CF0D11"/>
    <w:rsid w:val="00CF59A8"/>
    <w:rsid w:val="00D030C0"/>
    <w:rsid w:val="00D057C3"/>
    <w:rsid w:val="00D05A9E"/>
    <w:rsid w:val="00D105DF"/>
    <w:rsid w:val="00D11300"/>
    <w:rsid w:val="00D275FE"/>
    <w:rsid w:val="00D325A9"/>
    <w:rsid w:val="00D35BD5"/>
    <w:rsid w:val="00D36A8A"/>
    <w:rsid w:val="00D40C5F"/>
    <w:rsid w:val="00D66863"/>
    <w:rsid w:val="00D71170"/>
    <w:rsid w:val="00D712D9"/>
    <w:rsid w:val="00D802D6"/>
    <w:rsid w:val="00D832E0"/>
    <w:rsid w:val="00DA6538"/>
    <w:rsid w:val="00DA7425"/>
    <w:rsid w:val="00DC722A"/>
    <w:rsid w:val="00DD1DDB"/>
    <w:rsid w:val="00DE7AE3"/>
    <w:rsid w:val="00E060B0"/>
    <w:rsid w:val="00E072B3"/>
    <w:rsid w:val="00E22CC0"/>
    <w:rsid w:val="00E22F7B"/>
    <w:rsid w:val="00E245DC"/>
    <w:rsid w:val="00E50BE4"/>
    <w:rsid w:val="00E55186"/>
    <w:rsid w:val="00E64AD8"/>
    <w:rsid w:val="00E64D80"/>
    <w:rsid w:val="00E7448D"/>
    <w:rsid w:val="00E85EF3"/>
    <w:rsid w:val="00E91B3F"/>
    <w:rsid w:val="00E92D2E"/>
    <w:rsid w:val="00EA6AEA"/>
    <w:rsid w:val="00EB1BD8"/>
    <w:rsid w:val="00EB23E0"/>
    <w:rsid w:val="00EB4A3A"/>
    <w:rsid w:val="00EB7099"/>
    <w:rsid w:val="00EC1820"/>
    <w:rsid w:val="00ED30CF"/>
    <w:rsid w:val="00ED3311"/>
    <w:rsid w:val="00ED732F"/>
    <w:rsid w:val="00EE5981"/>
    <w:rsid w:val="00EF4FDF"/>
    <w:rsid w:val="00EF6994"/>
    <w:rsid w:val="00F004C5"/>
    <w:rsid w:val="00F176EF"/>
    <w:rsid w:val="00F2746C"/>
    <w:rsid w:val="00F45CC6"/>
    <w:rsid w:val="00F45E88"/>
    <w:rsid w:val="00F46419"/>
    <w:rsid w:val="00F624A4"/>
    <w:rsid w:val="00F70DE6"/>
    <w:rsid w:val="00F81CD5"/>
    <w:rsid w:val="00F96CF1"/>
    <w:rsid w:val="00FB1AE0"/>
    <w:rsid w:val="00FB5155"/>
    <w:rsid w:val="00FC2649"/>
    <w:rsid w:val="00FD1A4E"/>
    <w:rsid w:val="00FD28E0"/>
    <w:rsid w:val="00FE2334"/>
    <w:rsid w:val="00FF53A6"/>
    <w:rsid w:val="00FF6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58FF289-E9E4-4FEA-96E3-6DCCC4347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933E4"/>
    <w:rPr>
      <w:rFonts w:ascii="Arial" w:hAnsi="Arial" w:cs="Arial"/>
      <w:sz w:val="24"/>
    </w:rPr>
  </w:style>
  <w:style w:type="paragraph" w:styleId="Heading1">
    <w:name w:val="heading 1"/>
    <w:aliases w:val="Pocket"/>
    <w:basedOn w:val="Normal"/>
    <w:next w:val="Normal"/>
    <w:link w:val="Heading1Char"/>
    <w:autoRedefine/>
    <w:qFormat/>
    <w:rsid w:val="00B933E4"/>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933E4"/>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Citation"/>
    <w:basedOn w:val="Normal"/>
    <w:next w:val="Normal"/>
    <w:link w:val="Heading3Char"/>
    <w:autoRedefine/>
    <w:uiPriority w:val="2"/>
    <w:unhideWhenUsed/>
    <w:qFormat/>
    <w:rsid w:val="00B933E4"/>
    <w:pPr>
      <w:keepNext/>
      <w:keepLines/>
      <w:pageBreakBefore/>
      <w:spacing w:before="40"/>
      <w:jc w:val="center"/>
      <w:outlineLvl w:val="2"/>
    </w:pPr>
    <w:rPr>
      <w:rFonts w:eastAsiaTheme="majorEastAsia" w:cstheme="majorBidi"/>
      <w:b/>
    </w:rPr>
  </w:style>
  <w:style w:type="paragraph" w:styleId="Heading4">
    <w:name w:val="heading 4"/>
    <w:aliases w:val="Tag,small text,Big card,body,Normal Tag,no read,heading 2,Ch,No Spacing1121,No Spacing4,No Spacing21,No Spacing211,Heading 2 Char2 Char,Heading 2 Char1 Char Char,TAG,No Spacing12,No Spacing2111,No Spacing11111,No Spacing5,Card,Tags,tags,ta"/>
    <w:basedOn w:val="Normal"/>
    <w:next w:val="Normal"/>
    <w:link w:val="Heading4Char"/>
    <w:autoRedefine/>
    <w:uiPriority w:val="3"/>
    <w:unhideWhenUsed/>
    <w:qFormat/>
    <w:rsid w:val="00B933E4"/>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rsid w:val="00B933E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33E4"/>
  </w:style>
  <w:style w:type="character" w:customStyle="1" w:styleId="Heading1Char">
    <w:name w:val="Heading 1 Char"/>
    <w:aliases w:val="Pocket Char"/>
    <w:basedOn w:val="DefaultParagraphFont"/>
    <w:link w:val="Heading1"/>
    <w:rsid w:val="00B933E4"/>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B933E4"/>
    <w:rPr>
      <w:rFonts w:ascii="Arial" w:eastAsiaTheme="majorEastAsia" w:hAnsi="Arial" w:cstheme="majorBidi"/>
      <w:b/>
      <w:sz w:val="44"/>
      <w:szCs w:val="26"/>
      <w:u w:val="double"/>
    </w:rPr>
  </w:style>
  <w:style w:type="character" w:customStyle="1" w:styleId="Heading3Char">
    <w:name w:val="Heading 3 Char"/>
    <w:aliases w:val="Block Char,Citation Char"/>
    <w:basedOn w:val="DefaultParagraphFont"/>
    <w:link w:val="Heading3"/>
    <w:uiPriority w:val="2"/>
    <w:rsid w:val="00B933E4"/>
    <w:rPr>
      <w:rFonts w:ascii="Arial" w:eastAsiaTheme="majorEastAsia" w:hAnsi="Arial" w:cstheme="majorBidi"/>
      <w:b/>
      <w:sz w:val="24"/>
    </w:rPr>
  </w:style>
  <w:style w:type="character" w:customStyle="1" w:styleId="Heading4Char">
    <w:name w:val="Heading 4 Char"/>
    <w:aliases w:val="Tag Char,small text Char,Big card Char,body Char,Normal Tag Char,no read Char,heading 2 Char,Ch Char,No Spacing1121 Char,No Spacing4 Char,No Spacing21 Char,No Spacing211 Char,Heading 2 Char2 Char Char,Heading 2 Char1 Char Char Char"/>
    <w:basedOn w:val="DefaultParagraphFont"/>
    <w:link w:val="Heading4"/>
    <w:uiPriority w:val="3"/>
    <w:rsid w:val="00B933E4"/>
    <w:rPr>
      <w:rFonts w:ascii="Arial" w:eastAsiaTheme="majorEastAsia" w:hAnsi="Arial" w:cstheme="majorBidi"/>
      <w:b/>
      <w:iCs/>
      <w:sz w:val="24"/>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
    <w:basedOn w:val="DefaultParagraphFont"/>
    <w:link w:val="textbold"/>
    <w:uiPriority w:val="7"/>
    <w:qFormat/>
    <w:rsid w:val="00B933E4"/>
    <w:rPr>
      <w:rFonts w:ascii="Arial" w:hAnsi="Arial" w:cs="Arial"/>
      <w:b/>
      <w:i w:val="0"/>
      <w:iCs/>
      <w:sz w:val="24"/>
      <w:u w:val="single"/>
      <w:bdr w:val="none" w:sz="0" w:space="0" w:color="auto"/>
    </w:rPr>
  </w:style>
  <w:style w:type="paragraph" w:customStyle="1" w:styleId="textbold">
    <w:name w:val="text bold"/>
    <w:basedOn w:val="Normal"/>
    <w:link w:val="Emphasis"/>
    <w:uiPriority w:val="7"/>
    <w:qFormat/>
    <w:rsid w:val="006F4396"/>
    <w:pPr>
      <w:ind w:left="720"/>
      <w:jc w:val="both"/>
    </w:pPr>
    <w:rPr>
      <w:b/>
      <w:iCs/>
      <w:u w:val="single"/>
    </w:rPr>
  </w:style>
  <w:style w:type="character" w:customStyle="1" w:styleId="StyleStyleBold12pt">
    <w:name w:val="Style Style Bold + 12 pt"/>
    <w:aliases w:val="Cite,Style Style Bold,Style Style Bold + 12pt,Style Style + 12 pt,Style Style Bo... +,Old Cite,Style Style Bold + 10 pt,Style 13 pt Bold,tagld + 12 pt,Style Style Bold + 13 pt,Style Style Bold + 11 pt,tag + 12 pt,Not..."/>
    <w:basedOn w:val="DefaultParagraphFont"/>
    <w:uiPriority w:val="5"/>
    <w:qFormat/>
    <w:rsid w:val="00B933E4"/>
    <w:rPr>
      <w:rFonts w:ascii="Arial" w:hAnsi="Arial"/>
      <w:b/>
      <w:bCs/>
      <w:sz w:val="24"/>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B933E4"/>
    <w:rPr>
      <w:b/>
      <w:sz w:val="24"/>
      <w:u w:val="single"/>
    </w:rPr>
  </w:style>
  <w:style w:type="character" w:styleId="Hyperlink">
    <w:name w:val="Hyperlink"/>
    <w:aliases w:val="heading 1 (block title),Card Text,Important,Read,Internet Link,Analytic Text"/>
    <w:basedOn w:val="DefaultParagraphFont"/>
    <w:uiPriority w:val="99"/>
    <w:unhideWhenUsed/>
    <w:rsid w:val="00B933E4"/>
    <w:rPr>
      <w:color w:val="auto"/>
      <w:u w:val="none"/>
    </w:rPr>
  </w:style>
  <w:style w:type="character" w:styleId="FollowedHyperlink">
    <w:name w:val="FollowedHyperlink"/>
    <w:basedOn w:val="DefaultParagraphFont"/>
    <w:uiPriority w:val="99"/>
    <w:semiHidden/>
    <w:unhideWhenUsed/>
    <w:rsid w:val="00B933E4"/>
    <w:rPr>
      <w:color w:val="auto"/>
      <w:u w:val="none"/>
    </w:rPr>
  </w:style>
  <w:style w:type="paragraph" w:styleId="Header">
    <w:name w:val="header"/>
    <w:basedOn w:val="Normal"/>
    <w:link w:val="HeaderChar"/>
    <w:uiPriority w:val="99"/>
    <w:unhideWhenUsed/>
    <w:rsid w:val="00034798"/>
    <w:pPr>
      <w:tabs>
        <w:tab w:val="center" w:pos="4680"/>
        <w:tab w:val="right" w:pos="9360"/>
      </w:tabs>
    </w:pPr>
  </w:style>
  <w:style w:type="character" w:customStyle="1" w:styleId="HeaderChar">
    <w:name w:val="Header Char"/>
    <w:basedOn w:val="DefaultParagraphFont"/>
    <w:link w:val="Header"/>
    <w:uiPriority w:val="99"/>
    <w:rsid w:val="00034798"/>
    <w:rPr>
      <w:rFonts w:ascii="Arial" w:hAnsi="Arial" w:cs="Arial"/>
      <w:sz w:val="24"/>
    </w:rPr>
  </w:style>
  <w:style w:type="paragraph" w:styleId="Footer">
    <w:name w:val="footer"/>
    <w:basedOn w:val="Normal"/>
    <w:link w:val="FooterChar"/>
    <w:uiPriority w:val="99"/>
    <w:unhideWhenUsed/>
    <w:rsid w:val="00034798"/>
    <w:pPr>
      <w:tabs>
        <w:tab w:val="center" w:pos="4680"/>
        <w:tab w:val="right" w:pos="9360"/>
      </w:tabs>
    </w:pPr>
  </w:style>
  <w:style w:type="character" w:customStyle="1" w:styleId="FooterChar">
    <w:name w:val="Footer Char"/>
    <w:basedOn w:val="DefaultParagraphFont"/>
    <w:link w:val="Footer"/>
    <w:uiPriority w:val="99"/>
    <w:rsid w:val="00034798"/>
    <w:rPr>
      <w:rFonts w:ascii="Arial" w:hAnsi="Arial" w:cs="Arial"/>
      <w:sz w:val="24"/>
    </w:rPr>
  </w:style>
  <w:style w:type="paragraph" w:styleId="NormalWeb">
    <w:name w:val="Normal (Web)"/>
    <w:basedOn w:val="Normal"/>
    <w:uiPriority w:val="99"/>
    <w:unhideWhenUsed/>
    <w:rsid w:val="00CB0543"/>
    <w:pPr>
      <w:spacing w:before="100" w:beforeAutospacing="1" w:after="100" w:afterAutospacing="1"/>
    </w:pPr>
    <w:rPr>
      <w:rFonts w:ascii="Times" w:eastAsia="Calibri" w:hAnsi="Times"/>
      <w:sz w:val="20"/>
      <w:szCs w:val="20"/>
    </w:rPr>
  </w:style>
  <w:style w:type="paragraph" w:styleId="ListParagraph">
    <w:name w:val="List Paragraph"/>
    <w:basedOn w:val="Normal"/>
    <w:uiPriority w:val="99"/>
    <w:unhideWhenUsed/>
    <w:qFormat/>
    <w:rsid w:val="00295087"/>
    <w:pPr>
      <w:ind w:left="720"/>
      <w:contextualSpacing/>
    </w:pPr>
  </w:style>
  <w:style w:type="paragraph" w:styleId="TOCHeading">
    <w:name w:val="TOC Heading"/>
    <w:basedOn w:val="Heading1"/>
    <w:next w:val="Normal"/>
    <w:uiPriority w:val="39"/>
    <w:unhideWhenUsed/>
    <w:qFormat/>
    <w:rsid w:val="00AE4F06"/>
    <w:pPr>
      <w:pageBreakBefore w:val="0"/>
      <w:pBdr>
        <w:top w:val="none" w:sz="0" w:space="0" w:color="auto"/>
        <w:left w:val="none" w:sz="0" w:space="0" w:color="auto"/>
        <w:bottom w:val="none" w:sz="0" w:space="0" w:color="auto"/>
        <w:right w:val="none" w:sz="0" w:space="0" w:color="auto"/>
      </w:pBdr>
      <w:spacing w:line="259" w:lineRule="auto"/>
      <w:jc w:val="left"/>
      <w:outlineLvl w:val="9"/>
    </w:pPr>
    <w:rPr>
      <w:rFonts w:asciiTheme="majorHAnsi" w:hAnsiTheme="majorHAnsi"/>
      <w:b w:val="0"/>
      <w:color w:val="2E74B5" w:themeColor="accent1" w:themeShade="BF"/>
      <w:sz w:val="32"/>
    </w:rPr>
  </w:style>
  <w:style w:type="paragraph" w:styleId="TOC3">
    <w:name w:val="toc 3"/>
    <w:basedOn w:val="Normal"/>
    <w:next w:val="Normal"/>
    <w:autoRedefine/>
    <w:uiPriority w:val="39"/>
    <w:unhideWhenUsed/>
    <w:rsid w:val="00AE4F06"/>
    <w:pPr>
      <w:spacing w:after="100"/>
      <w:ind w:left="480"/>
    </w:pPr>
  </w:style>
  <w:style w:type="paragraph" w:styleId="TOC1">
    <w:name w:val="toc 1"/>
    <w:basedOn w:val="Normal"/>
    <w:next w:val="Normal"/>
    <w:autoRedefine/>
    <w:uiPriority w:val="39"/>
    <w:unhideWhenUsed/>
    <w:rsid w:val="00AE4F06"/>
    <w:pPr>
      <w:spacing w:after="100"/>
    </w:pPr>
  </w:style>
  <w:style w:type="paragraph" w:styleId="TOC2">
    <w:name w:val="toc 2"/>
    <w:basedOn w:val="Normal"/>
    <w:next w:val="Normal"/>
    <w:autoRedefine/>
    <w:uiPriority w:val="39"/>
    <w:unhideWhenUsed/>
    <w:rsid w:val="00AE4F06"/>
    <w:pPr>
      <w:spacing w:after="100"/>
      <w:ind w:left="240"/>
    </w:pPr>
  </w:style>
  <w:style w:type="paragraph" w:customStyle="1" w:styleId="card">
    <w:name w:val="card"/>
    <w:basedOn w:val="Normal"/>
    <w:next w:val="Normal"/>
    <w:link w:val="cardChar"/>
    <w:qFormat/>
    <w:rsid w:val="00AE5B2F"/>
    <w:pPr>
      <w:ind w:left="288" w:right="288"/>
    </w:pPr>
    <w:rPr>
      <w:sz w:val="20"/>
      <w:szCs w:val="20"/>
    </w:rPr>
  </w:style>
  <w:style w:type="character" w:customStyle="1" w:styleId="cardChar">
    <w:name w:val="card Char"/>
    <w:basedOn w:val="DefaultParagraphFont"/>
    <w:link w:val="card"/>
    <w:rsid w:val="00AE5B2F"/>
    <w:rPr>
      <w:rFonts w:ascii="Arial" w:hAnsi="Arial" w:cs="Arial"/>
      <w:sz w:val="20"/>
      <w:szCs w:val="20"/>
    </w:rPr>
  </w:style>
  <w:style w:type="character" w:customStyle="1" w:styleId="underline">
    <w:name w:val="underline"/>
    <w:qFormat/>
    <w:rsid w:val="00AE5B2F"/>
    <w:rPr>
      <w:b/>
      <w:u w:val="single"/>
    </w:rPr>
  </w:style>
  <w:style w:type="character" w:customStyle="1" w:styleId="cite">
    <w:name w:val="cite"/>
    <w:basedOn w:val="DefaultParagraphFont"/>
    <w:rsid w:val="007F298D"/>
    <w:rPr>
      <w:rFonts w:ascii="Times New Roman" w:hAnsi="Times New Roman"/>
      <w:b/>
      <w:sz w:val="24"/>
    </w:rPr>
  </w:style>
  <w:style w:type="paragraph" w:customStyle="1" w:styleId="tag">
    <w:name w:val="tag"/>
    <w:basedOn w:val="Normal"/>
    <w:next w:val="Normal"/>
    <w:link w:val="tagChar"/>
    <w:rsid w:val="007F298D"/>
    <w:rPr>
      <w:rFonts w:ascii="Times New Roman" w:eastAsia="Times New Roman" w:hAnsi="Times New Roman" w:cs="Times New Roman"/>
      <w:b/>
      <w:szCs w:val="20"/>
    </w:rPr>
  </w:style>
  <w:style w:type="character" w:customStyle="1" w:styleId="tagChar">
    <w:name w:val="tag Char"/>
    <w:basedOn w:val="DefaultParagraphFont"/>
    <w:link w:val="tag"/>
    <w:rsid w:val="007F298D"/>
    <w:rPr>
      <w:rFonts w:ascii="Times New Roman" w:eastAsia="Times New Roman" w:hAnsi="Times New Roman" w:cs="Times New Roman"/>
      <w:b/>
      <w:sz w:val="24"/>
      <w:szCs w:val="20"/>
    </w:rPr>
  </w:style>
  <w:style w:type="character" w:styleId="Strong">
    <w:name w:val="Strong"/>
    <w:basedOn w:val="DefaultParagraphFont"/>
    <w:uiPriority w:val="22"/>
    <w:qFormat/>
    <w:rsid w:val="00327797"/>
    <w:rPr>
      <w:b/>
      <w:bCs/>
    </w:rPr>
  </w:style>
  <w:style w:type="character" w:customStyle="1" w:styleId="caps">
    <w:name w:val="caps"/>
    <w:basedOn w:val="DefaultParagraphFont"/>
    <w:rsid w:val="00215F59"/>
  </w:style>
  <w:style w:type="paragraph" w:customStyle="1" w:styleId="lastpar">
    <w:name w:val="lastpar"/>
    <w:basedOn w:val="Normal"/>
    <w:rsid w:val="00AF1BF7"/>
    <w:pPr>
      <w:spacing w:before="100" w:beforeAutospacing="1" w:after="100" w:afterAutospacing="1"/>
    </w:pPr>
    <w:rPr>
      <w:rFonts w:ascii="Times New Roman" w:eastAsia="Times New Roman" w:hAnsi="Times New Roman" w:cs="Times New Roman"/>
      <w:szCs w:val="24"/>
    </w:rPr>
  </w:style>
  <w:style w:type="character" w:customStyle="1" w:styleId="apple-converted-space">
    <w:name w:val="apple-converted-space"/>
    <w:basedOn w:val="DefaultParagraphFont"/>
    <w:rsid w:val="00AF1BF7"/>
  </w:style>
  <w:style w:type="character" w:customStyle="1" w:styleId="date-display-single">
    <w:name w:val="date-display-single"/>
    <w:basedOn w:val="DefaultParagraphFont"/>
    <w:rsid w:val="00AF1BF7"/>
  </w:style>
  <w:style w:type="paragraph" w:styleId="TOC4">
    <w:name w:val="toc 4"/>
    <w:basedOn w:val="Normal"/>
    <w:next w:val="Normal"/>
    <w:autoRedefine/>
    <w:uiPriority w:val="39"/>
    <w:unhideWhenUsed/>
    <w:rsid w:val="00B933E4"/>
    <w:pPr>
      <w:spacing w:after="100" w:line="259" w:lineRule="auto"/>
      <w:ind w:left="660"/>
    </w:pPr>
    <w:rPr>
      <w:rFonts w:asciiTheme="minorHAnsi" w:eastAsiaTheme="minorEastAsia" w:hAnsiTheme="minorHAnsi" w:cstheme="minorBidi"/>
      <w:sz w:val="22"/>
    </w:rPr>
  </w:style>
  <w:style w:type="paragraph" w:styleId="TOC5">
    <w:name w:val="toc 5"/>
    <w:basedOn w:val="Normal"/>
    <w:next w:val="Normal"/>
    <w:autoRedefine/>
    <w:uiPriority w:val="39"/>
    <w:unhideWhenUsed/>
    <w:rsid w:val="00B933E4"/>
    <w:pPr>
      <w:spacing w:after="100" w:line="259" w:lineRule="auto"/>
      <w:ind w:left="880"/>
    </w:pPr>
    <w:rPr>
      <w:rFonts w:asciiTheme="minorHAnsi" w:eastAsiaTheme="minorEastAsia" w:hAnsiTheme="minorHAnsi" w:cstheme="minorBidi"/>
      <w:sz w:val="22"/>
    </w:rPr>
  </w:style>
  <w:style w:type="paragraph" w:styleId="TOC6">
    <w:name w:val="toc 6"/>
    <w:basedOn w:val="Normal"/>
    <w:next w:val="Normal"/>
    <w:autoRedefine/>
    <w:uiPriority w:val="39"/>
    <w:unhideWhenUsed/>
    <w:rsid w:val="00B933E4"/>
    <w:pPr>
      <w:spacing w:after="100" w:line="259" w:lineRule="auto"/>
      <w:ind w:left="1100"/>
    </w:pPr>
    <w:rPr>
      <w:rFonts w:asciiTheme="minorHAnsi" w:eastAsiaTheme="minorEastAsia" w:hAnsiTheme="minorHAnsi" w:cstheme="minorBidi"/>
      <w:sz w:val="22"/>
    </w:rPr>
  </w:style>
  <w:style w:type="paragraph" w:styleId="TOC7">
    <w:name w:val="toc 7"/>
    <w:basedOn w:val="Normal"/>
    <w:next w:val="Normal"/>
    <w:autoRedefine/>
    <w:uiPriority w:val="39"/>
    <w:unhideWhenUsed/>
    <w:rsid w:val="00B933E4"/>
    <w:pPr>
      <w:spacing w:after="100" w:line="259" w:lineRule="auto"/>
      <w:ind w:left="1320"/>
    </w:pPr>
    <w:rPr>
      <w:rFonts w:asciiTheme="minorHAnsi" w:eastAsiaTheme="minorEastAsia" w:hAnsiTheme="minorHAnsi" w:cstheme="minorBidi"/>
      <w:sz w:val="22"/>
    </w:rPr>
  </w:style>
  <w:style w:type="paragraph" w:styleId="TOC8">
    <w:name w:val="toc 8"/>
    <w:basedOn w:val="Normal"/>
    <w:next w:val="Normal"/>
    <w:autoRedefine/>
    <w:uiPriority w:val="39"/>
    <w:unhideWhenUsed/>
    <w:rsid w:val="00B933E4"/>
    <w:pPr>
      <w:spacing w:after="100" w:line="259" w:lineRule="auto"/>
      <w:ind w:left="1540"/>
    </w:pPr>
    <w:rPr>
      <w:rFonts w:asciiTheme="minorHAnsi" w:eastAsiaTheme="minorEastAsia" w:hAnsiTheme="minorHAnsi" w:cstheme="minorBidi"/>
      <w:sz w:val="22"/>
    </w:rPr>
  </w:style>
  <w:style w:type="paragraph" w:styleId="TOC9">
    <w:name w:val="toc 9"/>
    <w:basedOn w:val="Normal"/>
    <w:next w:val="Normal"/>
    <w:autoRedefine/>
    <w:uiPriority w:val="39"/>
    <w:unhideWhenUsed/>
    <w:rsid w:val="00B933E4"/>
    <w:pPr>
      <w:spacing w:after="100" w:line="259" w:lineRule="auto"/>
      <w:ind w:left="1760"/>
    </w:pPr>
    <w:rPr>
      <w:rFonts w:asciiTheme="minorHAnsi" w:eastAsiaTheme="minorEastAsia" w:hAnsiTheme="minorHAnsi" w:cstheme="minorBid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27489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26" Type="http://schemas.openxmlformats.org/officeDocument/2006/relationships/hyperlink" Target="http://www.bordc.org/blog/coalition-calls-obama-fill-privacy-and-civil-liberties-oversight-board" TargetMode="External"/><Relationship Id="rId21" Type="http://schemas.openxmlformats.org/officeDocument/2006/relationships/hyperlink" Target="https://www.schneier.com/essays/archives/2013/07/nsa_secrets_kill_our.html" TargetMode="External"/><Relationship Id="rId42" Type="http://schemas.openxmlformats.org/officeDocument/2006/relationships/hyperlink" Target="http://www.lexisnexis.com.ezproxy.lib.utexas.edu/lnacui2api/frame.do?tokenKey=rsh-20.531851.3619163485&amp;target=results_DocumentContent&amp;returnToKey=20_T22184783264&amp;parent=docview&amp;rand=1434385495861&amp;reloadEntirePage=true" TargetMode="External"/><Relationship Id="rId47" Type="http://schemas.openxmlformats.org/officeDocument/2006/relationships/hyperlink" Target="http://www.lexisnexis.com.ezproxy.lib.utexas.edu/lnacui2api/frame.do?tokenKey=rsh-20.531851.3619163485&amp;target=results_DocumentContent&amp;returnToKey=20_T22184783264&amp;parent=docview&amp;rand=1434385495861&amp;reloadEntirePage=true" TargetMode="External"/><Relationship Id="rId63" Type="http://schemas.openxmlformats.org/officeDocument/2006/relationships/hyperlink" Target="http://www.georgemasonlawreview.org/wp-content/uploads/2014/03/17-2_FlorenceandFriedman.pdf" TargetMode="External"/><Relationship Id="rId68" Type="http://schemas.openxmlformats.org/officeDocument/2006/relationships/hyperlink" Target="http://beta.congress.gov/bill/113th/house-bill/1095/text?q=%7B%22search%22:%5B%22hr1095%22%5D%7D" TargetMode="External"/><Relationship Id="rId84" Type="http://schemas.openxmlformats.org/officeDocument/2006/relationships/hyperlink" Target="http://www.jstor.org/action/showPublisher?publisherCode=aspa" TargetMode="External"/><Relationship Id="rId89" Type="http://schemas.openxmlformats.org/officeDocument/2006/relationships/hyperlink" Target="http://www.cbsnews.com/8301-503544_162-20117504-503544.html" TargetMode="External"/><Relationship Id="rId2" Type="http://schemas.openxmlformats.org/officeDocument/2006/relationships/customXml" Target="../customXml/item1.xml"/><Relationship Id="rId16" Type="http://schemas.openxmlformats.org/officeDocument/2006/relationships/hyperlink" Target="https://www.pclob.gov/library/20140723-Transcript.pdf" TargetMode="External"/><Relationship Id="rId29" Type="http://schemas.openxmlformats.org/officeDocument/2006/relationships/hyperlink" Target="http://www.frumforum.com/rumors-of-obama-social-security-reform-commission/" TargetMode="External"/><Relationship Id="rId107" Type="http://schemas.openxmlformats.org/officeDocument/2006/relationships/footer" Target="footer1.xml"/><Relationship Id="rId11" Type="http://schemas.openxmlformats.org/officeDocument/2006/relationships/hyperlink" Target="http://weathercoalition.org/sites/default/files/documents/2013/independent_commissions.pdf" TargetMode="External"/><Relationship Id="rId24" Type="http://schemas.openxmlformats.org/officeDocument/2006/relationships/hyperlink" Target="https://www.fas.org/sgp/crs/misc/R40076.pdf)//ER" TargetMode="External"/><Relationship Id="rId32" Type="http://schemas.openxmlformats.org/officeDocument/2006/relationships/hyperlink" Target="http://digitalcommons.law.wne.edu/cgi/viewcontent.cgi?article=1305&amp;context=facschol" TargetMode="External"/><Relationship Id="rId37" Type="http://schemas.openxmlformats.org/officeDocument/2006/relationships/hyperlink" Target="http://jolt.richmond.edu/index.php/grounding-drones-big-brothers-tool-box-needs-regulation-not-elimination/" TargetMode="External"/><Relationship Id="rId40" Type="http://schemas.openxmlformats.org/officeDocument/2006/relationships/hyperlink" Target="http://www.lexisnexis.com.ezproxy.lib.utexas.edu/lnacui2api/frame.do?tokenKey=rsh-20.531851.3619163485&amp;target=results_DocumentContent&amp;returnToKey=20_T22184783264&amp;parent=docview&amp;rand=1434385495861&amp;reloadEntirePage=true" TargetMode="External"/><Relationship Id="rId45" Type="http://schemas.openxmlformats.org/officeDocument/2006/relationships/hyperlink" Target="http://www.lexisnexis.com.ezproxy.lib.utexas.edu/lnacui2api/frame.do?tokenKey=rsh-20.531851.3619163485&amp;target=results_DocumentContent&amp;returnToKey=20_T22184783264&amp;parent=docview&amp;rand=1434385495861&amp;reloadEntirePage=true" TargetMode="External"/><Relationship Id="rId53" Type="http://schemas.openxmlformats.org/officeDocument/2006/relationships/hyperlink" Target="http://www.truth-out.org/news/item/29250-proposed-rules-regulating-domestic-drone-use-lack-police-warrant-requirement" TargetMode="External"/><Relationship Id="rId58" Type="http://schemas.openxmlformats.org/officeDocument/2006/relationships/hyperlink" Target="http://www.house.gov/transportation/press/press2006/release101.html" TargetMode="External"/><Relationship Id="rId66" Type="http://schemas.openxmlformats.org/officeDocument/2006/relationships/hyperlink" Target="http://www.ronpaulinstitute.org/archives/congress-alert/2013/december/02/house-improves-tsa-instead-of-ending-it.aspx" TargetMode="External"/><Relationship Id="rId74" Type="http://schemas.openxmlformats.org/officeDocument/2006/relationships/hyperlink" Target="http://object.cato.org/sites/cato.org/files/pubs/pdf/PA694.pdf" TargetMode="External"/><Relationship Id="rId79" Type="http://schemas.openxmlformats.org/officeDocument/2006/relationships/hyperlink" Target="http://www.nationalreview.com/corner/259761/against-negative-income-tax-jim-manzi" TargetMode="External"/><Relationship Id="rId87" Type="http://schemas.openxmlformats.org/officeDocument/2006/relationships/hyperlink" Target="http://thinkprogress.org/justice/2011/10/11/340153/gingrichs-awful-speech-part-iv-legitimization-through-intimidation/" TargetMode="External"/><Relationship Id="rId102" Type="http://schemas.openxmlformats.org/officeDocument/2006/relationships/hyperlink" Target="http://www.heritage.org/research/reports/2004/03/how-federalism-could-spur-bipartisan-action-on-the-uninsured" TargetMode="External"/><Relationship Id="rId5" Type="http://schemas.openxmlformats.org/officeDocument/2006/relationships/settings" Target="settings.xml"/><Relationship Id="rId61" Type="http://schemas.openxmlformats.org/officeDocument/2006/relationships/hyperlink" Target="https://sayanythingblog.com/entry/we-dont-need-to-reform-the-tsa-we-need-to-get-rid-of-the-tsa/" TargetMode="External"/><Relationship Id="rId82" Type="http://schemas.openxmlformats.org/officeDocument/2006/relationships/hyperlink" Target="http://finance.townhall.com/columnists/danieljmitchell/2013/12/21/instead-of-a-governmentguaranteed-income-how-about-a-plan-to-end-the-washington-welfare-state-n1766795/page/full" TargetMode="External"/><Relationship Id="rId90" Type="http://schemas.openxmlformats.org/officeDocument/2006/relationships/hyperlink" Target="http://www.newt.org/sites/newt.org/files/Courts.pdf" TargetMode="External"/><Relationship Id="rId95" Type="http://schemas.openxmlformats.org/officeDocument/2006/relationships/hyperlink" Target="http://topics.wsj.com/person/K/Elena-Kagan/6097" TargetMode="External"/><Relationship Id="rId19" Type="http://schemas.openxmlformats.org/officeDocument/2006/relationships/hyperlink" Target="https://www.fas.org/sgp/crs/misc/R40076.pdf)//ER" TargetMode="External"/><Relationship Id="rId14" Type="http://schemas.openxmlformats.org/officeDocument/2006/relationships/hyperlink" Target="https://www.eff.org/deeplinks/2015/02/privacy-and-civil-liberties-oversight-board-nsa-why-bulk-collection-telephone" TargetMode="External"/><Relationship Id="rId22" Type="http://schemas.openxmlformats.org/officeDocument/2006/relationships/hyperlink" Target="http://www.oecd.org/fr/etatsunis/opennessandtransparency-pillarsfordemocracytrustandprogress.htm" TargetMode="External"/><Relationship Id="rId27" Type="http://schemas.openxmlformats.org/officeDocument/2006/relationships/hyperlink" Target="http://www.constitutionproject.org/pdf/letteronpclob82511.pdf" TargetMode="External"/><Relationship Id="rId30" Type="http://schemas.openxmlformats.org/officeDocument/2006/relationships/hyperlink" Target="https://www.fas.org/sgp/crs/misc/R40076.pdf)//ER" TargetMode="External"/><Relationship Id="rId35" Type="http://schemas.openxmlformats.org/officeDocument/2006/relationships/hyperlink" Target="http://justsecurity.org/13189/secrecy-civil-liberties/" TargetMode="External"/><Relationship Id="rId43" Type="http://schemas.openxmlformats.org/officeDocument/2006/relationships/hyperlink" Target="http://www.lexisnexis.com.ezproxy.lib.utexas.edu/lnacui2api/frame.do?tokenKey=rsh-20.531851.3619163485&amp;target=results_DocumentContent&amp;returnToKey=20_T22184783264&amp;parent=docview&amp;rand=1434385495861&amp;reloadEntirePage=true" TargetMode="External"/><Relationship Id="rId48" Type="http://schemas.openxmlformats.org/officeDocument/2006/relationships/hyperlink" Target="http://www.lexisnexis.com.ezproxy.lib.utexas.edu/lnacui2api/frame.do?tokenKey=rsh-20.531851.3619163485&amp;target=results_DocumentContent&amp;returnToKey=20_T22184783264&amp;parent=docview&amp;rand=1434385495861&amp;reloadEntirePage=true" TargetMode="External"/><Relationship Id="rId56" Type="http://schemas.openxmlformats.org/officeDocument/2006/relationships/hyperlink" Target="http://www.cfr.org/border-and-port-security/targets-terrorists-post-911-aviation-security/p11397" TargetMode="External"/><Relationship Id="rId64" Type="http://schemas.openxmlformats.org/officeDocument/2006/relationships/hyperlink" Target="https://sayanythingblog.com/entry/we-dont-need-to-reform-the-tsa-we-need-to-get-rid-of-the-tsa/" TargetMode="External"/><Relationship Id="rId69" Type="http://schemas.openxmlformats.org/officeDocument/2006/relationships/hyperlink" Target="http://beta.congress.gov/bill/113th/house-bill/2719/text?q=%7B%22search%22:%5B%22hr2719%22%5D%7D" TargetMode="External"/><Relationship Id="rId77" Type="http://schemas.openxmlformats.org/officeDocument/2006/relationships/hyperlink" Target="http://www.amazon.com/Law-Legislation-Liberty-Volume-Political/dp/0226320901),and" TargetMode="External"/><Relationship Id="rId100" Type="http://schemas.openxmlformats.org/officeDocument/2006/relationships/hyperlink" Target="http://www.heritage.org/research/reports/2004/03/how-federalism-could-spur-bipartisan-action-on-the-uninsured" TargetMode="External"/><Relationship Id="rId105" Type="http://schemas.openxmlformats.org/officeDocument/2006/relationships/hyperlink" Target="http://www.cengage.com/resource_uploads/downloads/0495913510_" TargetMode="External"/><Relationship Id="rId8" Type="http://schemas.openxmlformats.org/officeDocument/2006/relationships/endnotes" Target="endnotes.xml"/><Relationship Id="rId51" Type="http://schemas.openxmlformats.org/officeDocument/2006/relationships/hyperlink" Target="http://www.lexisnexis.com.ezproxy.lib.utexas.edu/lnacui2api/frame.do?tokenKey=rsh-20.531851.3619163485&amp;target=results_DocumentContent&amp;returnToKey=20_T22184783264&amp;parent=docview&amp;rand=1434385495861&amp;reloadEntirePage=true" TargetMode="External"/><Relationship Id="rId72" Type="http://schemas.openxmlformats.org/officeDocument/2006/relationships/hyperlink" Target="http://thefederalist.com/2015/06/01/7-way-to-roll-back-the-welfare-state/" TargetMode="External"/><Relationship Id="rId80" Type="http://schemas.openxmlformats.org/officeDocument/2006/relationships/hyperlink" Target="http://www.bloomberg.com/news/2013-12-04/four-reasons-a-guaranteed-income-won-t-work.html)raises" TargetMode="External"/><Relationship Id="rId85" Type="http://schemas.openxmlformats.org/officeDocument/2006/relationships/hyperlink" Target="http://www.nytimes.com/2011/12/13/us/supreme-court-to-rule-on-immigration-law-in-arizona.html?_r=1&amp;pagewanted=2" TargetMode="External"/><Relationship Id="rId93" Type="http://schemas.openxmlformats.org/officeDocument/2006/relationships/hyperlink" Target="http://www.nytimes.com/1999/03/28/us/high-court-faces-moment-of-truth-in-federalism-cases.html?scp=9&amp;sq=linda%20greenhouse%20eleventh%20amendment%20sovereign%20immunity&amp;st=cse" TargetMode="External"/><Relationship Id="rId98" Type="http://schemas.openxmlformats.org/officeDocument/2006/relationships/hyperlink" Target="http://www.heritage.org/research/reports/2004/03/how-federalism-could-spur-bipartisan-action-on-the-uninsured" TargetMode="External"/><Relationship Id="rId3" Type="http://schemas.openxmlformats.org/officeDocument/2006/relationships/numbering" Target="numbering.xml"/><Relationship Id="rId12" Type="http://schemas.openxmlformats.org/officeDocument/2006/relationships/hyperlink" Target="http://digitalcommons.law.wne.edu/cgi/viewcontent.cgi?article=1305&amp;context=facschol" TargetMode="External"/><Relationship Id="rId17" Type="http://schemas.openxmlformats.org/officeDocument/2006/relationships/hyperlink" Target="https://www.fas.org/sgp/crs/misc/R40076.pdf)//ER" TargetMode="External"/><Relationship Id="rId25" Type="http://schemas.openxmlformats.org/officeDocument/2006/relationships/hyperlink" Target="http://weathercoalition.org/sites/default/files/documents/2013/independent_commissions.pdf" TargetMode="External"/><Relationship Id="rId33" Type="http://schemas.openxmlformats.org/officeDocument/2006/relationships/hyperlink" Target="http://justsecurity.org/13189/secrecy-civil-liberties/" TargetMode="External"/><Relationship Id="rId38" Type="http://schemas.openxmlformats.org/officeDocument/2006/relationships/hyperlink" Target="http://www.politico.com/story/2013/04/publics-view-of-drones-clouded-by-misconceptions-89764.html" TargetMode="External"/><Relationship Id="rId46" Type="http://schemas.openxmlformats.org/officeDocument/2006/relationships/hyperlink" Target="http://www.lexisnexis.com.ezproxy.lib.utexas.edu/lnacui2api/frame.do?tokenKey=rsh-20.531851.3619163485&amp;target=results_DocumentContent&amp;returnToKey=20_T22184783264&amp;parent=docview&amp;rand=1434385495861&amp;reloadEntirePage=true" TargetMode="External"/><Relationship Id="rId59" Type="http://schemas.openxmlformats.org/officeDocument/2006/relationships/hyperlink" Target="http://www.washingtonpost.com/wp-dyn/content/article/2006/08/28/AR2006082800849.html" TargetMode="External"/><Relationship Id="rId67" Type="http://schemas.openxmlformats.org/officeDocument/2006/relationships/hyperlink" Target="http://www.ronpaulinstitute.org/archives/peace-and-prosperity/2013/november/06/widespread-hostility-toward-tsa-is-justified.aspx" TargetMode="External"/><Relationship Id="rId103" Type="http://schemas.openxmlformats.org/officeDocument/2006/relationships/hyperlink" Target="http://www.infoplease.com/cig/supreme-court/keeping-things-equal.html" TargetMode="External"/><Relationship Id="rId108" Type="http://schemas.openxmlformats.org/officeDocument/2006/relationships/fontTable" Target="fontTable.xml"/><Relationship Id="rId20" Type="http://schemas.openxmlformats.org/officeDocument/2006/relationships/hyperlink" Target="https://www.pclob.gov/newsroom/20150129.html" TargetMode="External"/><Relationship Id="rId41" Type="http://schemas.openxmlformats.org/officeDocument/2006/relationships/hyperlink" Target="http://www.lexisnexis.com.ezproxy.lib.utexas.edu/lnacui2api/frame.do?tokenKey=rsh-20.531851.3619163485&amp;target=results_DocumentContent&amp;returnToKey=20_T22184783264&amp;parent=docview&amp;rand=1434385495861&amp;reloadEntirePage=true" TargetMode="External"/><Relationship Id="rId54" Type="http://schemas.openxmlformats.org/officeDocument/2006/relationships/hyperlink" Target="http://www.upi.com/Top_News/Analysis/Outside-View/2013/07/23/Outside-View-Putting-TSAs-SPOT-program-on-the-spot/31441374552240/" TargetMode="External"/><Relationship Id="rId62" Type="http://schemas.openxmlformats.org/officeDocument/2006/relationships/hyperlink" Target="http://www.politico.com/news/stories/0412/75727_Page2.html" TargetMode="External"/><Relationship Id="rId70" Type="http://schemas.openxmlformats.org/officeDocument/2006/relationships/hyperlink" Target="http://beta.congress.gov/bill/113th/house-bill/1204/text?q=%7B%22search%22:%5B%22hr1204%22%5D%7D" TargetMode="External"/><Relationship Id="rId75" Type="http://schemas.openxmlformats.org/officeDocument/2006/relationships/hyperlink" Target="http://danieljmitchell.wordpress.com/2012/07/13/a-picture-of-how-redistribution-programs-trap-the-less-fortunate-in-lives-of-dependency/" TargetMode="External"/><Relationship Id="rId83" Type="http://schemas.openxmlformats.org/officeDocument/2006/relationships/hyperlink" Target="http://www.jstor.org/action/showPublisher?publisherCode=aspa" TargetMode="External"/><Relationship Id="rId88" Type="http://schemas.openxmlformats.org/officeDocument/2006/relationships/hyperlink" Target="http://www.sfgate.com/cgi-bin/article.cgi?f=/c/a/2011/12/09/MNBA1MANQ2.DTL" TargetMode="External"/><Relationship Id="rId91" Type="http://schemas.openxmlformats.org/officeDocument/2006/relationships/hyperlink" Target="http://www.huffingtonpost.com/2011/09/05/mitt-romney-michele-bachmann-abortion-constitutional-crisis_n_949560.html" TargetMode="External"/><Relationship Id="rId96" Type="http://schemas.openxmlformats.org/officeDocument/2006/relationships/hyperlink" Target="http://www.infoplease.com/cig/supreme-court/keeping-things-equal.html" TargetMode="External"/><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hyperlink" Target="http://blog.constitutioncenter.org/2014/01/pclob-report-latest-blow-to-nsa-surveillance-policies/" TargetMode="External"/><Relationship Id="rId23" Type="http://schemas.openxmlformats.org/officeDocument/2006/relationships/hyperlink" Target="http://www.dvalnews.com/view/full_story/26530715/article-Transparency-is-key-to-good-government" TargetMode="External"/><Relationship Id="rId28" Type="http://schemas.openxmlformats.org/officeDocument/2006/relationships/hyperlink" Target="http://www.unitedformissouri.org/news/government-transparency-important-missouri" TargetMode="External"/><Relationship Id="rId36" Type="http://schemas.openxmlformats.org/officeDocument/2006/relationships/hyperlink" Target="http://jolt.richmond.edu/index.php/grounding-drones-big-brothers-tool-box-needs-regulation-not-elimination/" TargetMode="External"/><Relationship Id="rId49" Type="http://schemas.openxmlformats.org/officeDocument/2006/relationships/hyperlink" Target="http://www.lexisnexis.com.ezproxy.lib.utexas.edu/lnacui2api/frame.do?tokenKey=rsh-20.531851.3619163485&amp;target=results_DocumentContent&amp;returnToKey=20_T22184783264&amp;parent=docview&amp;rand=1434385495861&amp;reloadEntirePage=true" TargetMode="External"/><Relationship Id="rId57" Type="http://schemas.openxmlformats.org/officeDocument/2006/relationships/hyperlink" Target="http://fpc.state.gov/documents/organization/68824.pdf" TargetMode="External"/><Relationship Id="rId106" Type="http://schemas.openxmlformats.org/officeDocument/2006/relationships/header" Target="header1.xml"/><Relationship Id="rId10" Type="http://schemas.openxmlformats.org/officeDocument/2006/relationships/hyperlink" Target="http://www.ibtimes.com/nsa-spying-controversy-new-agency-could-change-government-surveillance-1342409" TargetMode="External"/><Relationship Id="rId31" Type="http://schemas.openxmlformats.org/officeDocument/2006/relationships/hyperlink" Target="https://www.aclu.org/blog/what-powers-does-civil-liberties-oversight-board-have" TargetMode="External"/><Relationship Id="rId44" Type="http://schemas.openxmlformats.org/officeDocument/2006/relationships/hyperlink" Target="http://www.lexisnexis.com.ezproxy.lib.utexas.edu/lnacui2api/frame.do?tokenKey=rsh-20.531851.3619163485&amp;target=results_DocumentContent&amp;returnToKey=20_T22184783264&amp;parent=docview&amp;rand=1434385495861&amp;reloadEntirePage=true" TargetMode="External"/><Relationship Id="rId52" Type="http://schemas.openxmlformats.org/officeDocument/2006/relationships/hyperlink" Target="http://www.lexisnexis.com.ezproxy.lib.utexas.edu/lnacui2api/frame.do?tokenKey=rsh-20.531851.3619163485&amp;target=results_DocumentContent&amp;returnToKey=20_T22184783264&amp;parent=docview&amp;rand=1434385495861&amp;reloadEntirePage=true" TargetMode="External"/><Relationship Id="rId60" Type="http://schemas.openxmlformats.org/officeDocument/2006/relationships/hyperlink" Target="http://www.icao.int/" TargetMode="External"/><Relationship Id="rId65" Type="http://schemas.openxmlformats.org/officeDocument/2006/relationships/hyperlink" Target="http://www.georgemasonlawreview.org/wp-content/uploads/2014/03/17-2_FlorenceandFriedman.pdf" TargetMode="External"/><Relationship Id="rId73" Type="http://schemas.openxmlformats.org/officeDocument/2006/relationships/hyperlink" Target="http://thefederalist.com/2015/06/01/7-way-to-roll-back-the-welfare-state/" TargetMode="External"/><Relationship Id="rId78" Type="http://schemas.openxmlformats.org/officeDocument/2006/relationships/hyperlink" Target="http://www.amazon.com/In-Our-Hands-Replace-Welfare/dp/0844742236).But" TargetMode="External"/><Relationship Id="rId81" Type="http://schemas.openxmlformats.org/officeDocument/2006/relationships/hyperlink" Target="http://www.brookings.edu/research/testimony/2006/07/19welfare-haskins)%20that" TargetMode="External"/><Relationship Id="rId86" Type="http://schemas.openxmlformats.org/officeDocument/2006/relationships/hyperlink" Target="http://www.wnd.com/?pageId=97830" TargetMode="External"/><Relationship Id="rId94" Type="http://schemas.openxmlformats.org/officeDocument/2006/relationships/hyperlink" Target="http://www.esquire.com/blogs/politics/arizona-immigration-law-supreme-court-6615132" TargetMode="External"/><Relationship Id="rId99" Type="http://schemas.openxmlformats.org/officeDocument/2006/relationships/hyperlink" Target="http://www.heritage.org/research/reports/2004/03/how-federalism-could-spur-bipartisan-action-on-the-uninsured" TargetMode="External"/><Relationship Id="rId101" Type="http://schemas.openxmlformats.org/officeDocument/2006/relationships/hyperlink" Target="http://www.heritage.org/research/reports/2004/03/how-federalism-could-spur-bipartisan-action-on-the-uninsured" TargetMode="External"/><Relationship Id="rId4" Type="http://schemas.openxmlformats.org/officeDocument/2006/relationships/styles" Target="styles.xml"/><Relationship Id="rId9" Type="http://schemas.openxmlformats.org/officeDocument/2006/relationships/hyperlink" Target="https://www.pclob.gov/library/215-Report_on_the_Telephone_Records_Program.pdf)//ER" TargetMode="External"/><Relationship Id="rId13" Type="http://schemas.openxmlformats.org/officeDocument/2006/relationships/hyperlink" Target="https://www.pclob.gov/library/215-Report_on_the_Telephone_Records_Program.pdf)//ER" TargetMode="External"/><Relationship Id="rId18" Type="http://schemas.openxmlformats.org/officeDocument/2006/relationships/hyperlink" Target="https://www.fas.org/sgp/crs/misc/R40076.pdf)//ER" TargetMode="External"/><Relationship Id="rId39" Type="http://schemas.openxmlformats.org/officeDocument/2006/relationships/hyperlink" Target="http://www.lexisnexis.com.ezproxy.lib.utexas.edu/lnacui2api/frame.do?tokenKey=rsh-20.531851.3619163485&amp;target=results_DocumentContent&amp;returnToKey=20_T22184783264&amp;parent=docview&amp;rand=1434385495861&amp;reloadEntirePage=true" TargetMode="External"/><Relationship Id="rId109" Type="http://schemas.openxmlformats.org/officeDocument/2006/relationships/theme" Target="theme/theme1.xml"/><Relationship Id="rId34" Type="http://schemas.openxmlformats.org/officeDocument/2006/relationships/hyperlink" Target="https://www.washingtonpost.com/world/national-security/upset-over-op-ed-gop-lawmakers-seek-to-curb-privacy-board/2015/06/10/11ee864e-0f12-11e5-adec-e82f8395c032_story.html" TargetMode="External"/><Relationship Id="rId50" Type="http://schemas.openxmlformats.org/officeDocument/2006/relationships/hyperlink" Target="http://www.lexisnexis.com.ezproxy.lib.utexas.edu/lnacui2api/frame.do?tokenKey=rsh-20.531851.3619163485&amp;target=results_DocumentContent&amp;returnToKey=20_T22184783264&amp;parent=docview&amp;rand=1434385495861&amp;reloadEntirePage=true" TargetMode="External"/><Relationship Id="rId55" Type="http://schemas.openxmlformats.org/officeDocument/2006/relationships/hyperlink" Target="http://www.georgemasonlawreview.org/wp-content/uploads/2014/03/17-2_FlorenceandFriedman.pdf" TargetMode="External"/><Relationship Id="rId76" Type="http://schemas.openxmlformats.org/officeDocument/2006/relationships/hyperlink" Target="http://www.amazon.com/Capitalism-Freedom-Fortieth-Anniversary-Edition/dp/0226264211" TargetMode="External"/><Relationship Id="rId97" Type="http://schemas.openxmlformats.org/officeDocument/2006/relationships/hyperlink" Target="http://www.cengage.com/resource_uploads/downloads/0495913510_" TargetMode="External"/><Relationship Id="rId104" Type="http://schemas.openxmlformats.org/officeDocument/2006/relationships/hyperlink" Target="http://www.forbes.com/sites/daviddavenport/2012/06/29/federalisms-silver-lining-in-thehealthcare-decision/" TargetMode="External"/><Relationship Id="rId7" Type="http://schemas.openxmlformats.org/officeDocument/2006/relationships/footnotes" Target="footnotes.xml"/><Relationship Id="rId71" Type="http://schemas.openxmlformats.org/officeDocument/2006/relationships/hyperlink" Target="http://beta.congress.gov/congressional-report/113th-congress/house-report/274" TargetMode="External"/><Relationship Id="rId92" Type="http://schemas.openxmlformats.org/officeDocument/2006/relationships/hyperlink" Target="http://www.fronterasdesk.org/news/2011/dec/13/arizonas-immigration-law-sb1070-2012-politic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7420C7-8D03-4DE8-B0D8-BD6F353BA9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65483</Words>
  <Characters>373259</Characters>
  <Application>Microsoft Office Word</Application>
  <DocSecurity>0</DocSecurity>
  <Lines>3110</Lines>
  <Paragraphs>875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437867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Liles</dc:creator>
  <cp:keywords>5.0</cp:keywords>
  <dc:description/>
  <cp:lastModifiedBy>Derek Liles</cp:lastModifiedBy>
  <cp:revision>3</cp:revision>
  <cp:lastPrinted>2015-07-10T07:36:00Z</cp:lastPrinted>
  <dcterms:created xsi:type="dcterms:W3CDTF">2015-07-10T07:37:00Z</dcterms:created>
  <dcterms:modified xsi:type="dcterms:W3CDTF">2015-07-10T07:37:00Z</dcterms:modified>
</cp:coreProperties>
</file>