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1893" w:rsidRDefault="00F8534B" w:rsidP="00F8534B">
      <w:pPr>
        <w:pStyle w:val="Heading3"/>
      </w:pPr>
      <w:r w:rsidRPr="00F8534B">
        <w:t>Long T 1NC</w:t>
      </w:r>
    </w:p>
    <w:p w:rsidR="00F8534B" w:rsidRDefault="00F8534B" w:rsidP="00F8534B">
      <w:pPr>
        <w:pStyle w:val="Heading4"/>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rsidR="00F8534B" w:rsidRDefault="00F8534B" w:rsidP="00F8534B">
      <w:pPr>
        <w:pStyle w:val="Nothing"/>
      </w:pPr>
    </w:p>
    <w:p w:rsidR="008616FB" w:rsidRDefault="008616FB" w:rsidP="008616FB">
      <w:pPr>
        <w:pStyle w:val="Heading4"/>
      </w:pPr>
      <w:r>
        <w:t>Surveillance can only be understood in relation to the agent doing the surveying – understanding federal government surveillance as unique is key or the topic becomes abstract and unlimited</w:t>
      </w:r>
    </w:p>
    <w:p w:rsidR="008616FB" w:rsidRPr="00F8534B" w:rsidRDefault="008616FB" w:rsidP="008616FB">
      <w:pPr>
        <w:pStyle w:val="Nothing"/>
        <w:rPr>
          <w:rStyle w:val="Style13ptBold"/>
        </w:rPr>
      </w:pPr>
      <w:proofErr w:type="spellStart"/>
      <w:r w:rsidRPr="00F8534B">
        <w:rPr>
          <w:rStyle w:val="Style13ptBold"/>
        </w:rPr>
        <w:t>Cetina</w:t>
      </w:r>
      <w:proofErr w:type="spellEnd"/>
      <w:r w:rsidRPr="00F8534B">
        <w:rPr>
          <w:rStyle w:val="Style13ptBold"/>
        </w:rPr>
        <w:t xml:space="preserve"> 14</w:t>
      </w:r>
    </w:p>
    <w:p w:rsidR="008616FB" w:rsidRPr="00DE71F4" w:rsidRDefault="008616FB" w:rsidP="008616FB">
      <w:pPr>
        <w:pStyle w:val="Nothing"/>
      </w:pPr>
      <w:r>
        <w:t xml:space="preserve">(DANIEL K. CETINA, BALANCING SECURITY AND PRIVACY IN 21ST CENTURYAMERICA: A FRAMEWORK FOR FISA COURT REFORM, </w:t>
      </w:r>
      <w:r w:rsidRPr="00DE71F4">
        <w:t>47 J. Marshall L. Rev. 1453 2013-2014</w:t>
      </w:r>
      <w:r>
        <w:t>, Hein)</w:t>
      </w:r>
    </w:p>
    <w:p w:rsidR="008616FB" w:rsidRDefault="008616FB" w:rsidP="008616FB">
      <w:pPr>
        <w:pStyle w:val="Nothing"/>
      </w:pPr>
    </w:p>
    <w:p w:rsidR="008616FB" w:rsidRDefault="008616FB" w:rsidP="008616FB">
      <w:pPr>
        <w:pStyle w:val="Cards"/>
        <w:ind w:left="0"/>
      </w:pPr>
      <w:r w:rsidRPr="008616FB">
        <w:rPr>
          <w:rStyle w:val="StyleUnderline"/>
          <w:highlight w:val="yellow"/>
        </w:rPr>
        <w:t>Any</w:t>
      </w:r>
      <w:r w:rsidRPr="00F8534B">
        <w:rPr>
          <w:rStyle w:val="StyleUnderline"/>
        </w:rPr>
        <w:t xml:space="preserve"> legitimate </w:t>
      </w:r>
      <w:r w:rsidRPr="008616FB">
        <w:rPr>
          <w:rStyle w:val="StyleUnderline"/>
          <w:highlight w:val="yellow"/>
        </w:rPr>
        <w:t>attempt to discuss</w:t>
      </w:r>
      <w:r w:rsidRPr="00F8534B">
        <w:rPr>
          <w:rStyle w:val="StyleUnderline"/>
        </w:rPr>
        <w:t xml:space="preserve"> and critique U</w:t>
      </w:r>
      <w:r w:rsidRPr="008616FB">
        <w:rPr>
          <w:rStyle w:val="StyleUnderline"/>
          <w:highlight w:val="yellow"/>
        </w:rPr>
        <w:t>nited States surveillance tactics necessarily demands defining exactly what surveillance is and what it entails</w:t>
      </w:r>
      <w:r w:rsidRPr="008616FB">
        <w:rPr>
          <w:highlight w:val="yellow"/>
        </w:rPr>
        <w:t>.</w:t>
      </w:r>
      <w:r w:rsidRPr="00DE71F4">
        <w:t xml:space="preserve">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8616FB" w:rsidRPr="00DE71F4" w:rsidRDefault="008616FB" w:rsidP="008616FB">
      <w:pPr>
        <w:pStyle w:val="Cards"/>
        <w:ind w:left="0"/>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F8534B">
        <w:rPr>
          <w:rStyle w:val="StyleUnderline"/>
        </w:rPr>
        <w:t>. Surveillance involves and encompasses many topics and practices, both abstract and practical</w:t>
      </w:r>
      <w:proofErr w:type="gramStart"/>
      <w:r w:rsidRPr="00DE71F4">
        <w:t>,20</w:t>
      </w:r>
      <w:proofErr w:type="gramEnd"/>
      <w:r w:rsidRPr="00DE71F4">
        <w:t xml:space="preserve"> but it primarily involves power relationships. 2 1 </w:t>
      </w:r>
      <w:proofErr w:type="gramStart"/>
      <w:r w:rsidRPr="00DE71F4">
        <w:t>Specifically</w:t>
      </w:r>
      <w:proofErr w:type="gramEnd"/>
      <w:r w:rsidRPr="00DE71F4">
        <w:t xml:space="preserve">, </w:t>
      </w:r>
      <w:r w:rsidRPr="008616FB">
        <w:rPr>
          <w:rStyle w:val="StyleUnderline"/>
          <w:highlight w:val="yellow"/>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rsidR="008616FB" w:rsidRPr="00DE71F4" w:rsidRDefault="008616FB" w:rsidP="008616FB">
      <w:pPr>
        <w:pStyle w:val="Cards"/>
        <w:ind w:left="0"/>
      </w:pPr>
      <w:r w:rsidRPr="00DE71F4">
        <w:t xml:space="preserve">But surveillance is not strictly the province of the federal government. 26 Indeed, </w:t>
      </w:r>
      <w:r w:rsidRPr="00F8534B">
        <w:rPr>
          <w:rStyle w:val="StyleUnderline"/>
        </w:rPr>
        <w:t>state and local governments have their own surveillance practices</w:t>
      </w:r>
      <w:r>
        <w:t>,</w:t>
      </w:r>
      <w:r w:rsidRPr="00DE71F4">
        <w:t xml:space="preserve"> </w:t>
      </w:r>
      <w:r w:rsidRPr="00F8534B">
        <w:rPr>
          <w:rStyle w:val="Styl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rsidR="008616FB" w:rsidRPr="00DE71F4" w:rsidRDefault="008616FB" w:rsidP="008616FB">
      <w:pPr>
        <w:pStyle w:val="Cards"/>
        <w:ind w:left="0"/>
      </w:pPr>
      <w:r w:rsidRPr="00F8534B">
        <w:rPr>
          <w:rStyle w:val="StyleUnderline"/>
        </w:rPr>
        <w:t>The focus here</w:t>
      </w:r>
      <w:r w:rsidRPr="00DE71F4">
        <w:t xml:space="preserve">, however, </w:t>
      </w:r>
      <w:r w:rsidRPr="00F8534B">
        <w:rPr>
          <w:rStyle w:val="StyleUnderline"/>
        </w:rPr>
        <w:t>is on federal governmental surveillance</w:t>
      </w:r>
      <w:r w:rsidRPr="008616FB">
        <w:rPr>
          <w:rStyle w:val="StyleUnderline"/>
          <w:highlight w:val="yellow"/>
        </w:rPr>
        <w:t>. It is</w:t>
      </w:r>
      <w:r w:rsidRPr="00F8534B">
        <w:rPr>
          <w:rStyle w:val="StyleUnderline"/>
        </w:rPr>
        <w:t xml:space="preserve"> therefore </w:t>
      </w:r>
      <w:r w:rsidRPr="008616FB">
        <w:rPr>
          <w:rStyle w:val="StyleUnderline"/>
          <w:highlight w:val="yellow"/>
        </w:rPr>
        <w:t>critical to understand from where the federal government derives its authority to monitor and analyze communications networks</w:t>
      </w:r>
      <w:r w:rsidRPr="008616FB">
        <w:rPr>
          <w:highlight w:val="yellow"/>
        </w:rPr>
        <w:t>.</w:t>
      </w:r>
    </w:p>
    <w:p w:rsidR="00F8534B" w:rsidRDefault="00F8534B" w:rsidP="00F8534B">
      <w:pPr>
        <w:pStyle w:val="Nothing"/>
        <w:rPr>
          <w:b/>
          <w:sz w:val="24"/>
          <w:szCs w:val="24"/>
        </w:rPr>
      </w:pPr>
    </w:p>
    <w:p w:rsidR="00F8534B" w:rsidRPr="00A70B70" w:rsidRDefault="00F8534B" w:rsidP="00F8534B">
      <w:pPr>
        <w:pStyle w:val="Nothing"/>
      </w:pPr>
    </w:p>
    <w:p w:rsidR="00F8534B" w:rsidRDefault="00F8534B" w:rsidP="00F8534B">
      <w:pPr>
        <w:pStyle w:val="Heading4"/>
      </w:pPr>
      <w:r w:rsidRPr="00A70B70">
        <w:t xml:space="preserve">The </w:t>
      </w:r>
      <w:proofErr w:type="spellStart"/>
      <w:r w:rsidRPr="00A70B70">
        <w:t>Aff</w:t>
      </w:r>
      <w:proofErr w:type="spellEnd"/>
      <w:r w:rsidRPr="00A70B70">
        <w:t xml:space="preserve"> undermines the ability to have a limited and stable number of Affirmatives to prepare against. </w:t>
      </w:r>
      <w:r>
        <w:t>The</w:t>
      </w:r>
      <w:r w:rsidRPr="0065083F">
        <w:rPr>
          <w:u w:val="single"/>
        </w:rPr>
        <w:t xml:space="preserve"> link magnitude </w:t>
      </w:r>
      <w:r>
        <w:t xml:space="preserve">is high. Their affirmative prevents arguments about surveillance. </w:t>
      </w:r>
    </w:p>
    <w:p w:rsidR="00F8534B" w:rsidRDefault="00F8534B" w:rsidP="00F8534B">
      <w:pPr>
        <w:pStyle w:val="Heading4"/>
      </w:pPr>
    </w:p>
    <w:p w:rsidR="00F8534B" w:rsidRDefault="00F8534B" w:rsidP="00F8534B">
      <w:pPr>
        <w:pStyle w:val="Heading4"/>
      </w:pPr>
      <w:r w:rsidRPr="00A70B70">
        <w:t>This is a reason to vote negative.</w:t>
      </w:r>
    </w:p>
    <w:p w:rsidR="00F8534B" w:rsidRDefault="00F8534B" w:rsidP="00F8534B">
      <w:pPr>
        <w:pStyle w:val="Heading4"/>
      </w:pPr>
      <w:r>
        <w:t>Our first standard is competition – every affirmative argument needs to be filtered through the question of “how does this function in a competitive venue of debate where there must be a win or a loss assigned to each team. All their evidence will assume non-competitive academic environment rather than one where a forced choice will inevitably take place with every ballot.</w:t>
      </w:r>
    </w:p>
    <w:p w:rsidR="00F8534B" w:rsidRPr="00B4168E" w:rsidRDefault="00F8534B" w:rsidP="00F8534B">
      <w:pPr>
        <w:pStyle w:val="Nothing"/>
      </w:pPr>
    </w:p>
    <w:p w:rsidR="00F8534B" w:rsidRPr="00A70B70" w:rsidRDefault="00F8534B" w:rsidP="00F8534B">
      <w:pPr>
        <w:pStyle w:val="Heading4"/>
      </w:pPr>
      <w:r>
        <w:t xml:space="preserve">Second </w:t>
      </w:r>
      <w:r w:rsidRPr="00A70B70">
        <w:t xml:space="preserve">is </w:t>
      </w:r>
      <w:r w:rsidRPr="00F8534B">
        <w:rPr>
          <w:rStyle w:val="StyleUnderline"/>
        </w:rPr>
        <w:t>substantive side bias</w:t>
      </w:r>
    </w:p>
    <w:p w:rsidR="00F8534B" w:rsidRPr="00A70B70" w:rsidRDefault="00F8534B" w:rsidP="00F8534B">
      <w:pPr>
        <w:pStyle w:val="Heading4"/>
      </w:pPr>
      <w:r>
        <w:t>N</w:t>
      </w:r>
      <w:r w:rsidRPr="00A70B70">
        <w:t>ot defending the clear actor a</w:t>
      </w:r>
      <w:r>
        <w:t>nd mechanism of the resolution</w:t>
      </w:r>
      <w:r w:rsidRPr="00A70B70">
        <w:t xml:space="preserve"> produces a </w:t>
      </w:r>
      <w:r w:rsidRPr="00F8534B">
        <w:rPr>
          <w:rStyle w:val="StyleUnderline"/>
        </w:rPr>
        <w:t>substantive side bias</w:t>
      </w:r>
      <w:r w:rsidRPr="00A70B70">
        <w:t>.</w:t>
      </w:r>
    </w:p>
    <w:p w:rsidR="00F8534B" w:rsidRDefault="00F8534B" w:rsidP="00F8534B">
      <w:pPr>
        <w:pStyle w:val="Heading4"/>
      </w:pPr>
      <w:r w:rsidRPr="00A70B70">
        <w:t xml:space="preserve">They have the ability to </w:t>
      </w:r>
      <w:proofErr w:type="spellStart"/>
      <w:r w:rsidRPr="00A70B70">
        <w:t>recontextualize</w:t>
      </w:r>
      <w:proofErr w:type="spellEnd"/>
      <w:r w:rsidRPr="00A70B70">
        <w:t xml:space="preserve"> link arguments, </w:t>
      </w:r>
      <w:r>
        <w:t>shift</w:t>
      </w:r>
      <w:r w:rsidRPr="00A70B70">
        <w:t xml:space="preserve"> </w:t>
      </w:r>
      <w:r>
        <w:t xml:space="preserve">focus to different </w:t>
      </w:r>
      <w:r w:rsidRPr="00A70B70">
        <w:t>proscriptive claims of the 1AC</w:t>
      </w:r>
      <w:r>
        <w:t xml:space="preserve"> </w:t>
      </w:r>
      <w:r w:rsidRPr="00A70B70">
        <w:t xml:space="preserve">while using traditional competition standards like perms to make </w:t>
      </w:r>
      <w:r>
        <w:t xml:space="preserve">non-absolutist disagreements irrelevant. </w:t>
      </w:r>
    </w:p>
    <w:p w:rsidR="00F8534B" w:rsidRPr="00435F46" w:rsidRDefault="00F8534B" w:rsidP="00F8534B">
      <w:pPr>
        <w:pStyle w:val="Nothing"/>
      </w:pPr>
    </w:p>
    <w:p w:rsidR="00F8534B" w:rsidRDefault="00F8534B" w:rsidP="00F8534B">
      <w:pPr>
        <w:pStyle w:val="Heading4"/>
      </w:pPr>
      <w:r>
        <w:t xml:space="preserve">The first impact to </w:t>
      </w:r>
      <w:proofErr w:type="spellStart"/>
      <w:r>
        <w:t>Aff</w:t>
      </w:r>
      <w:proofErr w:type="spellEnd"/>
      <w:r>
        <w:t xml:space="preserve"> </w:t>
      </w:r>
      <w:proofErr w:type="gramStart"/>
      <w:r>
        <w:t>sides</w:t>
      </w:r>
      <w:proofErr w:type="gramEnd"/>
      <w:r>
        <w:t xml:space="preserve"> bias is </w:t>
      </w:r>
      <w:r w:rsidRPr="00F8534B">
        <w:rPr>
          <w:rStyle w:val="StyleUnderline"/>
        </w:rPr>
        <w:t>absolutism</w:t>
      </w:r>
      <w:r>
        <w:t xml:space="preserve"> – their </w:t>
      </w:r>
      <w:proofErr w:type="spellStart"/>
      <w:r>
        <w:t>interp</w:t>
      </w:r>
      <w:proofErr w:type="spellEnd"/>
      <w:r>
        <w:t xml:space="preserve"> creates bad debates where negatives are forced into the absolutist positions like cap and </w:t>
      </w:r>
      <w:proofErr w:type="spellStart"/>
      <w:r>
        <w:t>Baudrillard</w:t>
      </w:r>
      <w:proofErr w:type="spellEnd"/>
      <w:r>
        <w:t xml:space="preserve"> to ensure links and have generic positions that can apply to everything. This is bad for education -- forcing us to the academic margins, makes us less effective scholars and less literate in current events. Trains us only for leftist infighting, rather than social change.</w:t>
      </w:r>
    </w:p>
    <w:p w:rsidR="00F8534B" w:rsidRPr="00435F46" w:rsidRDefault="00F8534B" w:rsidP="00F8534B">
      <w:pPr>
        <w:pStyle w:val="Nothing"/>
      </w:pPr>
    </w:p>
    <w:p w:rsidR="00F8534B" w:rsidRDefault="00F8534B" w:rsidP="00F8534B">
      <w:pPr>
        <w:pStyle w:val="Heading4"/>
      </w:pPr>
      <w:r>
        <w:t xml:space="preserve">Second, it undermines </w:t>
      </w:r>
      <w:r w:rsidRPr="00F8534B">
        <w:rPr>
          <w:rStyle w:val="StyleUnderline"/>
        </w:rPr>
        <w:t xml:space="preserve">research </w:t>
      </w:r>
      <w:r>
        <w:t xml:space="preserve">– </w:t>
      </w:r>
      <w:proofErr w:type="spellStart"/>
      <w:r>
        <w:t>Aff</w:t>
      </w:r>
      <w:proofErr w:type="spellEnd"/>
      <w:r>
        <w:t xml:space="preserve"> has an incentive to constantly break new </w:t>
      </w:r>
      <w:proofErr w:type="spellStart"/>
      <w:r>
        <w:t>affs</w:t>
      </w:r>
      <w:proofErr w:type="spellEnd"/>
      <w:r>
        <w:t xml:space="preserve"> at every tournament making any real attempt at engagement irrelevant and decreasing the quality of all debates. They don’t spur engagement and exploration cause there are so many teams reading so many </w:t>
      </w:r>
      <w:proofErr w:type="spellStart"/>
      <w:r>
        <w:t>Affs</w:t>
      </w:r>
      <w:proofErr w:type="spellEnd"/>
      <w:r>
        <w:t xml:space="preserve">, the only way to respond it with generics. The </w:t>
      </w:r>
      <w:proofErr w:type="spellStart"/>
      <w:r>
        <w:t>Aff</w:t>
      </w:r>
      <w:proofErr w:type="spellEnd"/>
      <w:r>
        <w:t xml:space="preserve"> is conversely incentivized to pick a body of literature with very little negative literature and a </w:t>
      </w:r>
      <w:proofErr w:type="spellStart"/>
      <w:r>
        <w:t>prolif</w:t>
      </w:r>
      <w:proofErr w:type="spellEnd"/>
      <w:r>
        <w:t xml:space="preserve"> of </w:t>
      </w:r>
      <w:proofErr w:type="spellStart"/>
      <w:r>
        <w:t>aff</w:t>
      </w:r>
      <w:proofErr w:type="spellEnd"/>
      <w:r>
        <w:t xml:space="preserve"> advocacies based on single articles or created phrases. There is no incentive to produce detailed strategies because academic disagreements in the literature are minute and easily wished away by perms or </w:t>
      </w:r>
      <w:proofErr w:type="spellStart"/>
      <w:r>
        <w:t>Aff</w:t>
      </w:r>
      <w:proofErr w:type="spellEnd"/>
      <w:r>
        <w:t xml:space="preserve"> changes.</w:t>
      </w:r>
    </w:p>
    <w:p w:rsidR="00F8534B" w:rsidRPr="006A40F9" w:rsidRDefault="00F8534B" w:rsidP="00F8534B">
      <w:pPr>
        <w:pStyle w:val="Nothing"/>
      </w:pPr>
    </w:p>
    <w:p w:rsidR="008616FB" w:rsidRPr="00A70B70" w:rsidRDefault="008616FB" w:rsidP="008616FB">
      <w:pPr>
        <w:pStyle w:val="Heading4"/>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rsidR="008616FB" w:rsidRPr="00A70B70" w:rsidRDefault="008616FB" w:rsidP="008616FB">
      <w:pPr>
        <w:pStyle w:val="Cites"/>
      </w:pPr>
      <w:r w:rsidRPr="00F8534B">
        <w:rPr>
          <w:rStyle w:val="Style13ptBold"/>
        </w:rPr>
        <w:t xml:space="preserve">Gutting 13 </w:t>
      </w:r>
      <w:r w:rsidRPr="00A70B70">
        <w:t xml:space="preserve">(professor of philosophy at the University </w:t>
      </w:r>
      <w:proofErr w:type="gramStart"/>
      <w:r w:rsidRPr="00A70B70">
        <w:t>of</w:t>
      </w:r>
      <w:proofErr w:type="gramEnd"/>
      <w:r w:rsidRPr="00A70B70">
        <w:t xml:space="preserve"> Notre Dame) </w:t>
      </w:r>
    </w:p>
    <w:p w:rsidR="008616FB" w:rsidRPr="00A70B70" w:rsidRDefault="008616FB" w:rsidP="008616FB">
      <w:pPr>
        <w:pStyle w:val="Cites"/>
      </w:pPr>
      <w:r w:rsidRPr="00A70B70">
        <w:t>(Gary, Feb 19, A Great Debate</w:t>
      </w:r>
      <w:proofErr w:type="gramStart"/>
      <w:r w:rsidRPr="00A70B70">
        <w:t>,  http</w:t>
      </w:r>
      <w:proofErr w:type="gramEnd"/>
      <w:r w:rsidRPr="00A70B70">
        <w:t>://opinionator.blogs.nytimes.com/2013/02/19/a-great-debate/?emc=eta1)</w:t>
      </w:r>
    </w:p>
    <w:p w:rsidR="008616FB" w:rsidRPr="00A70B70" w:rsidRDefault="008616FB" w:rsidP="008616FB">
      <w:pPr>
        <w:pStyle w:val="Nothing"/>
      </w:pPr>
    </w:p>
    <w:p w:rsidR="008616FB" w:rsidRDefault="008616FB" w:rsidP="008616FB">
      <w:pPr>
        <w:pStyle w:val="Cards"/>
        <w:ind w:left="0"/>
      </w:pPr>
      <w:r>
        <w:t xml:space="preserve">This is the year of what should be a decisive debate on our country’s spending and debt. But </w:t>
      </w:r>
      <w:r w:rsidRPr="00F8534B">
        <w:rPr>
          <w:rStyle w:val="StyleUnderline"/>
        </w:rPr>
        <w:t xml:space="preserve">our </w:t>
      </w:r>
      <w:r w:rsidRPr="008616FB">
        <w:rPr>
          <w:rStyle w:val="StyleUnderline"/>
          <w:highlight w:val="yellow"/>
        </w:rPr>
        <w:t>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8616FB" w:rsidRDefault="008616FB" w:rsidP="008616FB">
      <w:pPr>
        <w:pStyle w:val="Cards"/>
        <w:ind w:left="0"/>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8616FB" w:rsidRDefault="008616FB" w:rsidP="008616FB">
      <w:pPr>
        <w:pStyle w:val="Cards"/>
        <w:ind w:left="0"/>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8616FB">
        <w:rPr>
          <w:rStyle w:val="StyleUnderline"/>
          <w:highlight w:val="yellow"/>
        </w:rPr>
        <w:t>we seldom see</w:t>
      </w:r>
      <w:r w:rsidRPr="00F8534B">
        <w:rPr>
          <w:rStyle w:val="StyleUnderline"/>
        </w:rPr>
        <w:t xml:space="preserve"> </w:t>
      </w:r>
      <w:r w:rsidRPr="008616FB">
        <w:rPr>
          <w:rStyle w:val="StyleUnderline"/>
          <w:highlight w:val="yellow"/>
        </w:rPr>
        <w:t>a</w:t>
      </w:r>
      <w:r w:rsidRPr="00F8534B">
        <w:rPr>
          <w:rStyle w:val="StyleUnderline"/>
        </w:rPr>
        <w:t xml:space="preserve"> direct and sustained </w:t>
      </w:r>
      <w:r w:rsidRPr="008616FB">
        <w:rPr>
          <w:rStyle w:val="StyleUnderline"/>
          <w:highlight w:val="yellow"/>
        </w:rPr>
        <w:t>confrontation of</w:t>
      </w:r>
      <w:r w:rsidRPr="00F8534B">
        <w:rPr>
          <w:rStyle w:val="StyleUnderline"/>
        </w:rPr>
        <w:t xml:space="preserve"> rival </w:t>
      </w:r>
      <w:r>
        <w:rPr>
          <w:rStyle w:val="StyleUnderline"/>
        </w:rPr>
        <w:t>‘</w:t>
      </w:r>
      <w:proofErr w:type="gramStart"/>
      <w:r>
        <w:t>Such</w:t>
      </w:r>
      <w:proofErr w:type="gramEnd"/>
      <w:r>
        <w:t xml:space="preserve"> exchanges occur frequently in our law courts (for example, oral arguments before the Supreme Court) and in discussions of scientific papers. But they are not a significant part of our deliberations about public policy. As a result, </w:t>
      </w:r>
      <w:r w:rsidRPr="008616FB">
        <w:rPr>
          <w:rStyle w:val="StyleUnderline"/>
          <w:highlight w:val="yellow"/>
        </w:rPr>
        <w:t>partisans typically remain safe in their ideological worlds, convincing themselves that they hold to obvious truths, while their opponents must be either knaves or fools</w:t>
      </w:r>
      <w:r w:rsidRPr="00F8534B">
        <w:rPr>
          <w:rStyle w:val="StyleUnderline"/>
        </w:rPr>
        <w:t xml:space="preserve"> — with no need to think through the strengths of their rivals’ positions or the weaknesses of their own.</w:t>
      </w:r>
    </w:p>
    <w:p w:rsidR="008616FB" w:rsidRDefault="008616FB" w:rsidP="008616FB">
      <w:pPr>
        <w:pStyle w:val="Cards"/>
        <w:ind w:left="0"/>
      </w:pPr>
      <w:r w:rsidRPr="00F8534B">
        <w:rPr>
          <w:rStyle w:val="StyleUnderline"/>
        </w:rPr>
        <w:t>Is there any way to make genuine debates — sustained back-and-forth exchanges</w:t>
      </w:r>
      <w:r>
        <w:t xml:space="preserve">, meeting high intellectual standards but still widely accessible — </w:t>
      </w:r>
      <w:r w:rsidRPr="00F8534B">
        <w:rPr>
          <w:rStyle w:val="Styl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8616FB" w:rsidRDefault="008616FB" w:rsidP="008616FB">
      <w:pPr>
        <w:pStyle w:val="Cards"/>
        <w:ind w:left="0"/>
      </w:pPr>
      <w:r w:rsidRPr="008616FB">
        <w:rPr>
          <w:rStyle w:val="StyleUnderline"/>
          <w:highlight w:val="yellow"/>
        </w:rPr>
        <w:t>A</w:t>
      </w:r>
      <w:r w:rsidRPr="00F8534B">
        <w:rPr>
          <w:rStyle w:val="StyleUnderline"/>
        </w:rPr>
        <w:t xml:space="preserve"> first </w:t>
      </w:r>
      <w:r w:rsidRPr="008616FB">
        <w:rPr>
          <w:rStyle w:val="StyleUnderline"/>
          <w:highlight w:val="yellow"/>
        </w:rPr>
        <w:t>condition is that the debates be focused on specific points of major disagreement</w:t>
      </w:r>
      <w:r w:rsidRPr="008616FB">
        <w:rPr>
          <w:highlight w:val="yellow"/>
        </w:rPr>
        <w:t>.</w:t>
      </w:r>
      <w:r>
        <w:t xml:space="preserve"> </w:t>
      </w:r>
      <w:r w:rsidRPr="00F8534B">
        <w:rPr>
          <w:rStyle w:val="StyleUnderline"/>
        </w:rPr>
        <w:t>Not, “How can we improve our economy?” but “</w:t>
      </w:r>
      <w:r w:rsidRPr="008616FB">
        <w:rPr>
          <w:rStyle w:val="StyleUnderline"/>
          <w:highlight w:val="yellow"/>
        </w:rPr>
        <w:t>Will tax cuts for the wealthy or stimulus spending on infrastructure do more to improve our economy?”</w:t>
      </w:r>
      <w:r w:rsidRPr="008616FB">
        <w:rPr>
          <w:highlight w:val="yellow"/>
        </w:rPr>
        <w:t xml:space="preserve"> </w:t>
      </w:r>
      <w:r w:rsidRPr="008616FB">
        <w:rPr>
          <w:rStyle w:val="StyleUnderline"/>
          <w:highlight w:val="yellow"/>
        </w:rPr>
        <w:t>This will prevent vague statements of principle that don’t address the real issues at stake</w:t>
      </w:r>
      <w:r w:rsidRPr="008616FB">
        <w:rPr>
          <w:highlight w:val="yellow"/>
        </w:rPr>
        <w:t>.</w:t>
      </w:r>
    </w:p>
    <w:p w:rsidR="008616FB" w:rsidRPr="00F8534B" w:rsidRDefault="008616FB" w:rsidP="008616FB">
      <w:pPr>
        <w:pStyle w:val="Cards"/>
        <w:ind w:left="0"/>
        <w:rPr>
          <w:rStyle w:val="StyleUnderline"/>
        </w:rPr>
      </w:pPr>
      <w:r>
        <w:t xml:space="preserve">Another issue is the medium of the </w:t>
      </w:r>
      <w:r w:rsidRPr="00F8534B">
        <w:rPr>
          <w:rStyle w:val="StyleUnderline"/>
        </w:rPr>
        <w:t>debate</w:t>
      </w:r>
      <w:r>
        <w:t xml:space="preserve">. Written discussions, in print or online could be easily arranged, but personal encounters are more vivid and will better engage public attention. They </w:t>
      </w:r>
      <w:r w:rsidRPr="00F8534B">
        <w:rPr>
          <w:rStyle w:val="StyleUnderline"/>
        </w:rPr>
        <w:t>should not</w:t>
      </w:r>
      <w:r>
        <w:t xml:space="preserve">, however, </w:t>
      </w:r>
      <w:r w:rsidRPr="00F8534B">
        <w:rPr>
          <w:rStyle w:val="StyleUnderline"/>
        </w:rPr>
        <w:t>be merely extemporaneous</w:t>
      </w:r>
      <w:r>
        <w:t xml:space="preserve"> events, </w:t>
      </w:r>
      <w:r w:rsidRPr="00F8534B">
        <w:rPr>
          <w:rStyle w:val="StyleUnderline"/>
        </w:rPr>
        <w:t>where too much will depend on quick-thinking</w:t>
      </w:r>
      <w:r>
        <w:t xml:space="preserve"> </w:t>
      </w:r>
      <w:r w:rsidRPr="00F8534B">
        <w:rPr>
          <w:rStyle w:val="StyleUnderline"/>
        </w:rPr>
        <w:t>and an engaging manner</w:t>
      </w:r>
      <w:r>
        <w:t xml:space="preserve">. </w:t>
      </w:r>
      <w:r w:rsidRPr="00F8534B">
        <w:rPr>
          <w:rStyle w:val="StyleUnderline"/>
        </w:rPr>
        <w:t>We want remarks to be carefully prepared and open to considered responses.</w:t>
      </w:r>
    </w:p>
    <w:p w:rsidR="008616FB" w:rsidRDefault="008616FB" w:rsidP="008616FB">
      <w:pPr>
        <w:pStyle w:val="Nothing"/>
      </w:pPr>
    </w:p>
    <w:p w:rsidR="008616FB" w:rsidRDefault="008616FB" w:rsidP="008616FB">
      <w:pPr>
        <w:pStyle w:val="Heading4"/>
      </w:pPr>
      <w:r>
        <w:t xml:space="preserve">This guts any educational potential of the </w:t>
      </w:r>
      <w:proofErr w:type="spellStart"/>
      <w:r>
        <w:t>aff</w:t>
      </w:r>
      <w:proofErr w:type="spellEnd"/>
      <w:r>
        <w:t xml:space="preserve"> – failure to engage with the legal detail of surveillance policy prevents translating their argument into action.</w:t>
      </w:r>
    </w:p>
    <w:p w:rsidR="008616FB" w:rsidRDefault="008616FB" w:rsidP="008616FB">
      <w:pPr>
        <w:pStyle w:val="Nothing"/>
      </w:pPr>
      <w:r w:rsidRPr="00F8534B">
        <w:rPr>
          <w:rStyle w:val="Style13ptBold"/>
        </w:rPr>
        <w:t>Cohen 15</w:t>
      </w:r>
      <w:r>
        <w:t xml:space="preserve"> (</w:t>
      </w:r>
      <w:r w:rsidRPr="007812C2">
        <w:t>professor of law at Georgetown University Law Center)</w:t>
      </w:r>
    </w:p>
    <w:p w:rsidR="008616FB" w:rsidRPr="007812C2" w:rsidRDefault="008616FB" w:rsidP="008616FB">
      <w:pPr>
        <w:pStyle w:val="Nothing"/>
      </w:pPr>
      <w:r>
        <w:t xml:space="preserve">(Julie, 2015, </w:t>
      </w:r>
      <w:r w:rsidRPr="007812C2">
        <w:t>Studying Law Studying Surveillance</w:t>
      </w:r>
      <w:r>
        <w:t xml:space="preserve">, </w:t>
      </w:r>
      <w:r w:rsidRPr="007812C2">
        <w:t>Studying Law Studying Surveillance. Surve</w:t>
      </w:r>
      <w:r>
        <w:t>illance &amp; Society 13(1): 91-101)</w:t>
      </w:r>
    </w:p>
    <w:p w:rsidR="008616FB" w:rsidRDefault="008616FB" w:rsidP="008616FB">
      <w:pPr>
        <w:pStyle w:val="Nothing"/>
      </w:pPr>
    </w:p>
    <w:p w:rsidR="008616FB" w:rsidRPr="00F93F8F" w:rsidRDefault="008616FB" w:rsidP="008616FB">
      <w:pPr>
        <w:pStyle w:val="Cards"/>
        <w:ind w:left="0"/>
        <w:rPr>
          <w:sz w:val="6"/>
          <w:szCs w:val="6"/>
        </w:rPr>
      </w:pPr>
      <w:r>
        <w:t xml:space="preserve">Relative to legal scholarship, work in </w:t>
      </w:r>
      <w:r w:rsidRPr="008616FB">
        <w:rPr>
          <w:rStyle w:val="StyleUnderline"/>
          <w:highlight w:val="yellow"/>
        </w:rPr>
        <w:t>Surveillance Studies</w:t>
      </w:r>
      <w:r>
        <w:t xml:space="preserve"> is more likely to build from a solid foundation in contemporary social theory. Even so, such work </w:t>
      </w:r>
      <w:r w:rsidRPr="008616FB">
        <w:rPr>
          <w:rStyle w:val="StyleUnderline"/>
          <w:highlight w:val="yellow"/>
        </w:rPr>
        <w:t>often reflects</w:t>
      </w:r>
      <w:r>
        <w:t xml:space="preserve"> both </w:t>
      </w:r>
      <w:r w:rsidRPr="008616FB">
        <w:rPr>
          <w:rStyle w:val="StyleUnderline"/>
          <w:highlight w:val="yellow"/>
        </w:rPr>
        <w:t>an</w:t>
      </w:r>
      <w:r w:rsidRPr="00F8534B">
        <w:rPr>
          <w:rStyle w:val="StyleUnderline"/>
        </w:rPr>
        <w:t xml:space="preserve"> </w:t>
      </w:r>
      <w:r w:rsidRPr="008616FB">
        <w:rPr>
          <w:rStyle w:val="StyleUnderline"/>
          <w:highlight w:val="yellow"/>
        </w:rPr>
        <w:t>insufficient grasp of the complexity of the legal system</w:t>
      </w:r>
      <w:r w:rsidRPr="00F8534B">
        <w:rPr>
          <w:rStyle w:val="StyleUnderline"/>
        </w:rPr>
        <w:t xml:space="preserve">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8616FB">
        <w:rPr>
          <w:rStyle w:val="StyleUnderline"/>
          <w:highlight w:val="yellow"/>
        </w:rPr>
        <w:t>Surveillance Studies scholars</w:t>
      </w:r>
      <w:r>
        <w:t xml:space="preserve"> also </w:t>
      </w:r>
      <w:r w:rsidRPr="008616FB">
        <w:rPr>
          <w:rStyle w:val="StyleUnderline"/>
          <w:highlight w:val="yellow"/>
        </w:rPr>
        <w:t>engage in a form of black-boxing</w:t>
      </w:r>
      <w:r w:rsidRPr="00F8534B">
        <w:rPr>
          <w:rStyle w:val="StyleUnderline"/>
        </w:rPr>
        <w:t xml:space="preserve"> that treats law as monolithic and surveillance and government as interchangeable</w:t>
      </w:r>
      <w:r>
        <w:t xml:space="preserve">. </w:t>
      </w:r>
      <w:r w:rsidRPr="00F8534B">
        <w:rPr>
          <w:rStyle w:val="StyleUnderline"/>
        </w:rPr>
        <w:t>Legal actors engage in a variety of</w:t>
      </w:r>
      <w:r>
        <w:t xml:space="preserve"> discursive and normative </w:t>
      </w:r>
      <w:r w:rsidRPr="00F8534B">
        <w:rPr>
          <w:rStyle w:val="StyleUnderline"/>
        </w:rPr>
        <w:t>strategies</w:t>
      </w:r>
      <w:r>
        <w:t xml:space="preserve"> by which institutions and resources are mobilized around surveillance, </w:t>
      </w:r>
      <w:r w:rsidRPr="00F8534B">
        <w:rPr>
          <w:rStyle w:val="StyleUnderline"/>
        </w:rPr>
        <w:t>and understanding those strategies is essential</w:t>
      </w:r>
      <w:r>
        <w:t xml:space="preserve"> to the development of an archaeology of surveillance practices. </w:t>
      </w:r>
      <w:r w:rsidRPr="008616FB">
        <w:rPr>
          <w:rStyle w:val="StyleUnderline"/>
          <w:highlight w:val="yellow"/>
        </w:rPr>
        <w:t>Work in Surveillance Studies</w:t>
      </w:r>
      <w:r>
        <w:t xml:space="preserve"> also favors a type of theoretical jargon that can seem impenetrable and, more importantly, unrewarding to those in law and policy communities. As I’ve written elsewhere (Cohen 2012a: 29), “[t]</w:t>
      </w:r>
      <w:proofErr w:type="spellStart"/>
      <w:r>
        <w:t>oo</w:t>
      </w:r>
      <w:proofErr w:type="spellEnd"/>
      <w:r>
        <w:t xml:space="preserve"> many such works </w:t>
      </w:r>
      <w:r w:rsidRPr="008616FB">
        <w:rPr>
          <w:rStyle w:val="StyleUnderline"/>
          <w:highlight w:val="yellow"/>
        </w:rPr>
        <w:t>find power everywhere and hope nowhere, and seem to offer well-meaning policy makers little more than a prescription for despair</w:t>
      </w:r>
      <w:r w:rsidRPr="008616FB">
        <w:rPr>
          <w:highlight w:val="yellow"/>
        </w:rPr>
        <w:t>.</w:t>
      </w:r>
      <w:r>
        <w:t xml:space="preserve">” </w:t>
      </w:r>
      <w:r w:rsidRPr="00F93F8F">
        <w:rPr>
          <w:sz w:val="6"/>
          <w:szCs w:val="6"/>
        </w:rPr>
        <w:t>Returning to the topics already discussed, let us consider some ways in which Surveillance Studies might benefit from dialogue with law.</w:t>
      </w:r>
    </w:p>
    <w:p w:rsidR="008616FB" w:rsidRPr="00F93F8F" w:rsidRDefault="008616FB" w:rsidP="008616FB">
      <w:pPr>
        <w:pStyle w:val="Cards"/>
        <w:ind w:left="0"/>
        <w:rPr>
          <w:sz w:val="6"/>
          <w:szCs w:val="6"/>
        </w:rPr>
      </w:pP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8534B">
        <w:rPr>
          <w:rStyle w:val="StyleUnderline"/>
        </w:rPr>
        <w:t>Acknowledgment of pervasive social shaping by networked surveillance need not preclude legal protection for socially-shaped subjects</w:t>
      </w:r>
      <w:r>
        <w:t xml:space="preserve">, </w:t>
      </w:r>
      <w:r w:rsidRPr="00F8534B">
        <w:rPr>
          <w:rStyle w:val="Styl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8616FB" w:rsidRPr="00F93F8F" w:rsidRDefault="008616FB" w:rsidP="008616FB">
      <w:pPr>
        <w:pStyle w:val="Cards"/>
        <w:ind w:left="0"/>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8616FB" w:rsidRPr="00F93F8F" w:rsidRDefault="008616FB" w:rsidP="008616FB">
      <w:pPr>
        <w:pStyle w:val="Cards"/>
        <w:ind w:left="0"/>
        <w:rPr>
          <w:sz w:val="6"/>
          <w:szCs w:val="6"/>
        </w:rPr>
      </w:pPr>
      <w:r w:rsidRPr="00F93F8F">
        <w:rPr>
          <w:sz w:val="6"/>
          <w:szCs w:val="6"/>
        </w:rPr>
        <w:t xml:space="preserve">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F93F8F">
        <w:rPr>
          <w:sz w:val="6"/>
          <w:szCs w:val="6"/>
        </w:rPr>
        <w:t>rhetorics</w:t>
      </w:r>
      <w:proofErr w:type="spellEnd"/>
      <w:r w:rsidRPr="00F93F8F">
        <w:rPr>
          <w:sz w:val="6"/>
          <w:szCs w:val="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F93F8F">
        <w:rPr>
          <w:sz w:val="6"/>
          <w:szCs w:val="6"/>
        </w:rPr>
        <w:t>technoculture</w:t>
      </w:r>
      <w:proofErr w:type="spellEnd"/>
      <w:r w:rsidRPr="00F93F8F">
        <w:rPr>
          <w:sz w:val="6"/>
          <w:szCs w:val="6"/>
        </w:rPr>
        <w:t xml:space="preserve"> and (albeit paradoxically) in the tropes of romantic individualism and cultural iconoclasm with which its participants self-identify. These themes have been especially salient for privacy regulators.</w:t>
      </w:r>
    </w:p>
    <w:p w:rsidR="008616FB" w:rsidRPr="00F93F8F" w:rsidRDefault="008616FB" w:rsidP="008616FB">
      <w:pPr>
        <w:pStyle w:val="Cards"/>
        <w:ind w:left="0"/>
        <w:rPr>
          <w:sz w:val="6"/>
          <w:szCs w:val="6"/>
        </w:rPr>
      </w:pPr>
      <w:r w:rsidRPr="008616FB">
        <w:rPr>
          <w:rStyle w:val="StyleUnderline"/>
          <w:highlight w:val="yellow"/>
        </w:rPr>
        <w:t>Engagement with legal scholarship on information privacy would inform the project of understanding surveillance as social ordering</w:t>
      </w:r>
      <w:r w:rsidRPr="00F8534B">
        <w:rPr>
          <w:rStyle w:val="StyleUnderline"/>
        </w:rPr>
        <w:t xml:space="preserve">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w:t>
      </w:r>
      <w:proofErr w:type="spellStart"/>
      <w:r w:rsidRPr="00F93F8F">
        <w:rPr>
          <w:sz w:val="6"/>
          <w:szCs w:val="6"/>
        </w:rPr>
        <w:t>surveillant</w:t>
      </w:r>
      <w:proofErr w:type="spellEnd"/>
      <w:r w:rsidRPr="00F93F8F">
        <w:rPr>
          <w:sz w:val="6"/>
          <w:szCs w:val="6"/>
        </w:rPr>
        <w:t xml:space="preserve"> assemblages” and “digital enclosures” ought to read and consider the important work by Kenneth Bamberger and Deirdre Mulligan on corporate privacy compliance cultures (2011a, 2011b).</w:t>
      </w:r>
    </w:p>
    <w:p w:rsidR="008616FB" w:rsidRPr="00F93F8F" w:rsidRDefault="008616FB" w:rsidP="008616FB">
      <w:pPr>
        <w:pStyle w:val="Cards"/>
        <w:ind w:left="0"/>
        <w:rPr>
          <w:sz w:val="6"/>
          <w:szCs w:val="6"/>
        </w:rPr>
      </w:pPr>
      <w:r w:rsidRPr="00F93F8F">
        <w:rPr>
          <w:sz w:val="6"/>
          <w:szCs w:val="6"/>
        </w:rPr>
        <w:t xml:space="preserve">If Surveillance Studies is to inform the content of laws and the nature of regulatory practice in the domain of commercial profiling and social media, however, </w:t>
      </w:r>
      <w:r w:rsidRPr="00F8534B">
        <w:rPr>
          <w:rStyle w:val="Styl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8616FB">
        <w:rPr>
          <w:rStyle w:val="StyleUnderline"/>
          <w:highlight w:val="yellow"/>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rsidR="008616FB" w:rsidRPr="00F93F8F" w:rsidRDefault="008616FB" w:rsidP="008616FB">
      <w:pPr>
        <w:pStyle w:val="Cards"/>
        <w:ind w:left="0"/>
        <w:rPr>
          <w:sz w:val="6"/>
          <w:szCs w:val="6"/>
        </w:rPr>
      </w:pPr>
      <w:r w:rsidRPr="00F93F8F">
        <w:rPr>
          <w:sz w:val="6"/>
          <w:szCs w:val="6"/>
        </w:rPr>
        <w:t xml:space="preserve">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w:t>
      </w:r>
      <w:proofErr w:type="spellStart"/>
      <w:r w:rsidRPr="00F93F8F">
        <w:rPr>
          <w:sz w:val="6"/>
          <w:szCs w:val="6"/>
        </w:rPr>
        <w:t>Steeves</w:t>
      </w:r>
      <w:proofErr w:type="spellEnd"/>
      <w:r w:rsidRPr="00F93F8F">
        <w:rPr>
          <w:sz w:val="6"/>
          <w:szCs w:val="6"/>
        </w:rPr>
        <w:t>’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8616FB" w:rsidRPr="00F93F8F" w:rsidRDefault="008616FB" w:rsidP="008616FB">
      <w:pPr>
        <w:pStyle w:val="Cards"/>
        <w:ind w:left="0"/>
        <w:rPr>
          <w:sz w:val="6"/>
          <w:szCs w:val="6"/>
        </w:rPr>
      </w:pPr>
      <w:r w:rsidRPr="00F93F8F">
        <w:rPr>
          <w:sz w:val="6"/>
          <w:szCs w:val="6"/>
        </w:rPr>
        <w:t xml:space="preserve">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w:t>
      </w:r>
      <w:proofErr w:type="spellStart"/>
      <w:r w:rsidRPr="00F93F8F">
        <w:rPr>
          <w:sz w:val="6"/>
          <w:szCs w:val="6"/>
        </w:rPr>
        <w:t>monetizable</w:t>
      </w:r>
      <w:proofErr w:type="spellEnd"/>
      <w:r w:rsidRPr="00F93F8F">
        <w:rPr>
          <w:sz w:val="6"/>
          <w:szCs w:val="6"/>
        </w:rPr>
        <w:t xml:space="preserve">; environmental regulations and financial market regulations address systemic and often </w:t>
      </w:r>
      <w:proofErr w:type="spellStart"/>
      <w:r w:rsidRPr="00F93F8F">
        <w:rPr>
          <w:sz w:val="6"/>
          <w:szCs w:val="6"/>
        </w:rPr>
        <w:t>nonmonetizable</w:t>
      </w:r>
      <w:proofErr w:type="spellEnd"/>
      <w:r w:rsidRPr="00F93F8F">
        <w:rPr>
          <w:sz w:val="6"/>
          <w:szCs w:val="6"/>
        </w:rPr>
        <w:t xml:space="preserv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8616FB" w:rsidRPr="00F93F8F" w:rsidRDefault="008616FB" w:rsidP="008616FB">
      <w:pPr>
        <w:pStyle w:val="Cards"/>
        <w:ind w:left="0"/>
        <w:rPr>
          <w:sz w:val="6"/>
          <w:szCs w:val="6"/>
        </w:rPr>
      </w:pPr>
      <w:r w:rsidRPr="00F93F8F">
        <w:rPr>
          <w:sz w:val="6"/>
          <w:szCs w:val="6"/>
        </w:rPr>
        <w:t xml:space="preserve">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F93F8F">
        <w:rPr>
          <w:sz w:val="6"/>
          <w:szCs w:val="6"/>
        </w:rPr>
        <w:t>Raab’s</w:t>
      </w:r>
      <w:proofErr w:type="spellEnd"/>
      <w:r w:rsidRPr="00F93F8F">
        <w:rPr>
          <w:sz w:val="6"/>
          <w:szCs w:val="6"/>
        </w:rPr>
        <w:t xml:space="preserve">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F93F8F">
        <w:rPr>
          <w:sz w:val="6"/>
          <w:szCs w:val="6"/>
        </w:rPr>
        <w:t>Lobel</w:t>
      </w:r>
      <w:proofErr w:type="spellEnd"/>
      <w:r w:rsidRPr="00F93F8F">
        <w:rPr>
          <w:sz w:val="6"/>
          <w:szCs w:val="6"/>
        </w:rPr>
        <w:t xml:space="preserve"> 2004) offer starting points for an inquiry that moves beyond “doing Surveillance Studies” to consider the more pressing challenge of doing surveillance regulation wisely and effectively.</w:t>
      </w:r>
    </w:p>
    <w:p w:rsidR="008616FB" w:rsidRPr="00F93F8F" w:rsidRDefault="008616FB" w:rsidP="008616FB">
      <w:pPr>
        <w:pStyle w:val="Cards"/>
        <w:ind w:left="0"/>
        <w:rPr>
          <w:sz w:val="6"/>
          <w:szCs w:val="6"/>
        </w:rPr>
      </w:pPr>
      <w:r w:rsidRPr="00F93F8F">
        <w:rPr>
          <w:sz w:val="6"/>
          <w:szCs w:val="6"/>
        </w:rPr>
        <w:t>Conclusion: Doing Law-and-Surveillance-Studies Differently</w:t>
      </w:r>
    </w:p>
    <w:p w:rsidR="008616FB" w:rsidRDefault="008616FB" w:rsidP="008616FB">
      <w:pPr>
        <w:pStyle w:val="Cards"/>
        <w:ind w:left="0"/>
      </w:pPr>
      <w:r w:rsidRPr="00F93F8F">
        <w:rPr>
          <w:sz w:val="6"/>
          <w:szCs w:val="6"/>
        </w:rPr>
        <w:t xml:space="preserve">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F93F8F">
        <w:rPr>
          <w:sz w:val="6"/>
          <w:szCs w:val="6"/>
        </w:rPr>
        <w:t>interdiscipline</w:t>
      </w:r>
      <w:proofErr w:type="spellEnd"/>
      <w:r w:rsidRPr="00F93F8F">
        <w:rPr>
          <w:sz w:val="6"/>
          <w:szCs w:val="6"/>
        </w:rPr>
        <w:t xml:space="preserve"> (Garber 2001), and since legal scholarship has thrived on interdisciplinary exploration, the prospects for effective communication also seem reasonably good.</w:t>
      </w:r>
      <w:r>
        <w:t xml:space="preserve"> </w:t>
      </w:r>
      <w:r w:rsidRPr="008616FB">
        <w:rPr>
          <w:rStyle w:val="StyleUnderline"/>
          <w:highlight w:val="yellow"/>
        </w:rPr>
        <w:t>Bridging the gaps requires</w:t>
      </w:r>
      <w:r>
        <w:t xml:space="preserve">, first and foremost, efforts by emissaries from both traditions to foster a more tolerant and curious dialogue directed toward improved understanding and, ultimately, toward </w:t>
      </w:r>
      <w:r w:rsidRPr="008616FB">
        <w:rPr>
          <w:rStyle w:val="StyleUnderline"/>
          <w:highlight w:val="yellow"/>
        </w:rPr>
        <w:t>methodological hybridization</w:t>
      </w:r>
      <w:r>
        <w:t xml:space="preserve">. </w:t>
      </w:r>
      <w:r w:rsidRPr="00F8534B">
        <w:rPr>
          <w:rStyle w:val="StyleUnderline"/>
        </w:rPr>
        <w:t xml:space="preserve">Within one’s own academic community, it can become too easy to mistake consensus </w:t>
      </w:r>
      <w:r w:rsidRPr="00CE3CFD">
        <w:t xml:space="preserve">on methodological conventions </w:t>
      </w:r>
      <w:r w:rsidRPr="00F8534B">
        <w:rPr>
          <w:rStyle w:val="StyleUnderline"/>
        </w:rPr>
        <w:t>for epistemological rigor</w:t>
      </w:r>
      <w:r>
        <w:t>, and to forget that methodological strength also derives from refusal to be hemmed in by disciplinary boundaries.</w:t>
      </w:r>
    </w:p>
    <w:p w:rsidR="008616FB" w:rsidRDefault="008616FB" w:rsidP="008616FB">
      <w:pPr>
        <w:pStyle w:val="Cards"/>
        <w:ind w:left="0"/>
      </w:pPr>
      <w:r>
        <w:t xml:space="preserve">From the standpoint of theory, a more sustained dialogue between </w:t>
      </w:r>
      <w:r w:rsidRPr="00F8534B">
        <w:rPr>
          <w:rStyle w:val="StyleUnderline"/>
        </w:rPr>
        <w:t xml:space="preserve">law and </w:t>
      </w:r>
      <w:r w:rsidRPr="008616FB">
        <w:rPr>
          <w:rStyle w:val="StyleUnderline"/>
          <w:highlight w:val="yellow"/>
        </w:rPr>
        <w:t>Surveillance Studies would count as a success if it</w:t>
      </w:r>
      <w:r>
        <w:t xml:space="preserve"> produced a mode of inquiry about surveillance that </w:t>
      </w:r>
      <w:r w:rsidRPr="008616FB">
        <w:rPr>
          <w:rStyle w:val="StyleUnderline"/>
          <w:highlight w:val="yellow"/>
        </w:rPr>
        <w:t>melded</w:t>
      </w:r>
      <w:r>
        <w:t xml:space="preserve"> the theoretical sophistication of Surveillance Studies </w:t>
      </w:r>
      <w:r w:rsidRPr="008616FB">
        <w:rPr>
          <w:rStyle w:val="StyleUnderline"/>
          <w:highlight w:val="yellow"/>
        </w:rPr>
        <w:t>with lawyerly attention to the details, mechanisms, and interests that constitute surveillance practices as legal practices,</w:t>
      </w:r>
      <w:r w:rsidRPr="00F8534B">
        <w:rPr>
          <w:rStyle w:val="StyleUnderline"/>
        </w:rPr>
        <w:t xml:space="preserve"> 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F8534B">
        <w:rPr>
          <w:rStyle w:val="StyleUnderline"/>
        </w:rPr>
        <w:t>Surveillance Studies scholars need to do more to resist their own penchant for totalizing dystopian narratives, and should delve more deeply into the legal and regulatory realpolitik that surrounds the administration of surveillance systems</w:t>
      </w:r>
      <w:r>
        <w:t xml:space="preserve">; </w:t>
      </w:r>
      <w:r w:rsidRPr="00F8534B">
        <w:rPr>
          <w:rStyle w:val="StyleUnderline"/>
        </w:rPr>
        <w:t>legal scholars can help by demystifying legal and regulatory processes.</w:t>
      </w:r>
    </w:p>
    <w:p w:rsidR="008616FB" w:rsidRDefault="008616FB" w:rsidP="008616FB">
      <w:pPr>
        <w:pStyle w:val="Cards"/>
        <w:ind w:left="0"/>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8616FB">
        <w:rPr>
          <w:rStyle w:val="StyleUnderline"/>
          <w:highlight w:val="yellow"/>
        </w:rPr>
        <w:t>the beginnings of a more accessible policy discourse about surveillance and privacy, along with reform proposals designed to put the animating concepts behind such a discourse into practice.</w:t>
      </w:r>
      <w:r>
        <w:t xml:space="preserve"> Here the goal would be a hybridization between law’s ingrained pragmatism and Surveillance Studies’ attentiveness to the social and cultural processes through which surveillance is experienced and assimilated. Working together, </w:t>
      </w:r>
      <w:r w:rsidRPr="00F8534B">
        <w:rPr>
          <w:rStyle w:val="Styl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F8534B">
        <w:rPr>
          <w:rStyle w:val="StyleUnderline"/>
        </w:rPr>
        <w:t>policy levers that could be brought to bear on systems of surveillance</w:t>
      </w:r>
      <w:r w:rsidRPr="007812C2">
        <w:t>.</w:t>
      </w:r>
    </w:p>
    <w:p w:rsidR="00F8534B" w:rsidRDefault="00F8534B" w:rsidP="00F8534B">
      <w:pPr>
        <w:pStyle w:val="Nothing"/>
      </w:pPr>
    </w:p>
    <w:p w:rsidR="00F8534B" w:rsidRDefault="00F8534B" w:rsidP="00F8534B">
      <w:pPr>
        <w:pStyle w:val="Nothing"/>
      </w:pPr>
    </w:p>
    <w:p w:rsidR="00F8534B" w:rsidRPr="00F8534B" w:rsidRDefault="00F8534B" w:rsidP="00F8534B">
      <w:pPr>
        <w:pStyle w:val="Heading4"/>
        <w:rPr>
          <w:rStyle w:val="StyleUnderline"/>
        </w:rPr>
      </w:pPr>
      <w:r>
        <w:t xml:space="preserve">Next </w:t>
      </w:r>
      <w:r w:rsidRPr="00E05DE1">
        <w:t xml:space="preserve">is </w:t>
      </w:r>
      <w:r w:rsidRPr="00F8534B">
        <w:rPr>
          <w:rStyle w:val="StyleUnderline"/>
        </w:rPr>
        <w:t>Mechanism Education</w:t>
      </w:r>
    </w:p>
    <w:p w:rsidR="00F8534B" w:rsidRPr="00A70B70" w:rsidRDefault="00F8534B" w:rsidP="00F8534B">
      <w:pPr>
        <w:pStyle w:val="Heading4"/>
      </w:pPr>
      <w:r>
        <w:t xml:space="preserve">The </w:t>
      </w:r>
      <w:proofErr w:type="spellStart"/>
      <w:r>
        <w:t>Aff’s</w:t>
      </w:r>
      <w:proofErr w:type="spellEnd"/>
      <w:r>
        <w:t xml:space="preserve"> failure to identify an agent and mechanism makes cost-benefits analysis impossible, meaning debates take place in an academic vacuum where tradeoffs are irrelevant.</w:t>
      </w:r>
      <w:r w:rsidRPr="00A70B70">
        <w:t xml:space="preserve"> It makes link comparisons vacuous and means that detailed </w:t>
      </w:r>
      <w:r>
        <w:t xml:space="preserve">PICs about substance are </w:t>
      </w:r>
      <w:r w:rsidRPr="00A70B70">
        <w:t>all but impossible.</w:t>
      </w:r>
    </w:p>
    <w:p w:rsidR="00F8534B" w:rsidRDefault="00F8534B" w:rsidP="00F8534B">
      <w:pPr>
        <w:pStyle w:val="Heading4"/>
      </w:pPr>
    </w:p>
    <w:p w:rsidR="00F8534B" w:rsidRPr="008616FB" w:rsidRDefault="00F8534B" w:rsidP="008616FB">
      <w:pPr>
        <w:pStyle w:val="Heading4"/>
      </w:pPr>
      <w:r w:rsidRPr="008616FB">
        <w:t xml:space="preserve">And this turns the </w:t>
      </w:r>
      <w:proofErr w:type="spellStart"/>
      <w:r w:rsidRPr="008616FB">
        <w:t>Aff</w:t>
      </w:r>
      <w:proofErr w:type="spellEnd"/>
      <w:r w:rsidRPr="008616FB">
        <w:t xml:space="preserve"> – debates over mechanisms for change are crucial to solve material violence on a large scale</w:t>
      </w:r>
    </w:p>
    <w:p w:rsidR="00F8534B" w:rsidRDefault="00F8534B" w:rsidP="00F8534B">
      <w:pPr>
        <w:pStyle w:val="Nothing"/>
      </w:pPr>
      <w:proofErr w:type="spellStart"/>
      <w:r w:rsidRPr="00F8534B">
        <w:rPr>
          <w:rStyle w:val="Style13ptBold"/>
        </w:rPr>
        <w:t>Capulong</w:t>
      </w:r>
      <w:proofErr w:type="spellEnd"/>
      <w:r w:rsidRPr="00F8534B">
        <w:rPr>
          <w:rStyle w:val="Style13ptBold"/>
        </w:rPr>
        <w:t xml:space="preserve"> 9</w:t>
      </w:r>
      <w:r>
        <w:t xml:space="preserve"> (Assistant Professor of Law, University of Montana)</w:t>
      </w:r>
    </w:p>
    <w:p w:rsidR="00F8534B" w:rsidRDefault="00F8534B" w:rsidP="00F8534B">
      <w:pPr>
        <w:pStyle w:val="Nothing"/>
      </w:pPr>
      <w:r>
        <w:t>(</w:t>
      </w:r>
      <w:r w:rsidRPr="005B61C8">
        <w:t>Eduardo R.C.</w:t>
      </w:r>
      <w:r>
        <w:t xml:space="preserve">, </w:t>
      </w:r>
      <w:r w:rsidRPr="005B61C8">
        <w:t>CLIENT ACTIVISM IN PROGRESSIVE LAWYERING THEORY</w:t>
      </w:r>
      <w:r>
        <w:t>, CLINICAL LAW REVIEW, 16 Clinical L. Rev. 109, Fall, 2009)</w:t>
      </w:r>
    </w:p>
    <w:p w:rsidR="00F8534B" w:rsidRDefault="00F8534B" w:rsidP="00F8534B">
      <w:pPr>
        <w:pStyle w:val="Nothing"/>
      </w:pPr>
    </w:p>
    <w:p w:rsidR="00F8534B" w:rsidRDefault="00F8534B" w:rsidP="00F8534B">
      <w:pPr>
        <w:pStyle w:val="Cards"/>
        <w:ind w:left="0"/>
      </w:pPr>
      <w:r>
        <w:t xml:space="preserve">Motivating client </w:t>
      </w:r>
      <w:r w:rsidRPr="008616FB">
        <w:rPr>
          <w:rStyle w:val="StyleUnderline"/>
          <w:highlight w:val="yellow"/>
        </w:rPr>
        <w:t>activism</w:t>
      </w:r>
      <w:r w:rsidRPr="00F8534B">
        <w:rPr>
          <w:rStyle w:val="StyleUnderline"/>
        </w:rPr>
        <w:t xml:space="preserve"> </w:t>
      </w:r>
      <w:r w:rsidRPr="00FB6631">
        <w:t>under dynamic social conditions</w:t>
      </w:r>
      <w:r w:rsidRPr="00F8534B">
        <w:rPr>
          <w:rStyle w:val="StyleUnderline"/>
        </w:rPr>
        <w:t xml:space="preserve"> </w:t>
      </w:r>
      <w:r w:rsidRPr="008616FB">
        <w:rPr>
          <w:rStyle w:val="StyleUnderline"/>
          <w:highlight w:val="yellow"/>
        </w:rPr>
        <w:t>requires</w:t>
      </w:r>
      <w:r w:rsidRPr="00F8534B">
        <w:rPr>
          <w:rStyle w:val="StyleUnderline"/>
        </w:rPr>
        <w:t xml:space="preserve"> the </w:t>
      </w:r>
      <w:r w:rsidRPr="00A53F0B">
        <w:t>development and</w:t>
      </w:r>
      <w:r w:rsidRPr="00F8534B">
        <w:rPr>
          <w:rStyle w:val="StyleUnderline"/>
        </w:rPr>
        <w:t xml:space="preserve"> constant </w:t>
      </w:r>
      <w:r w:rsidRPr="00FB6631">
        <w:t>assessment and</w:t>
      </w:r>
      <w:r w:rsidRPr="00F8534B">
        <w:rPr>
          <w:rStyle w:val="StyleUnderline"/>
        </w:rPr>
        <w:t xml:space="preserve"> </w:t>
      </w:r>
      <w:r w:rsidRPr="008616FB">
        <w:rPr>
          <w:rStyle w:val="StyleUnderline"/>
          <w:highlight w:val="yellow"/>
        </w:rPr>
        <w:t>reassessment</w:t>
      </w:r>
      <w:r w:rsidRPr="008616FB">
        <w:rPr>
          <w:highlight w:val="yellow"/>
        </w:rPr>
        <w:t xml:space="preserve"> </w:t>
      </w:r>
      <w:r w:rsidRPr="008616FB">
        <w:rPr>
          <w:rStyle w:val="StyleUnderline"/>
          <w:highlight w:val="yellow"/>
        </w:rPr>
        <w:t>of</w:t>
      </w:r>
      <w:r>
        <w:t xml:space="preserve"> a political perspective that measures that </w:t>
      </w:r>
      <w:r w:rsidRPr="008616FB">
        <w:rPr>
          <w:rStyle w:val="StyleUnderline"/>
          <w:highlight w:val="yellow"/>
        </w:rPr>
        <w:t>resistance</w:t>
      </w:r>
      <w:r>
        <w:t xml:space="preserve"> and its possibilities. </w:t>
      </w:r>
      <w:r w:rsidRPr="008616FB">
        <w:rPr>
          <w:rStyle w:val="StyleUnderline"/>
          <w:highlight w:val="yellow"/>
        </w:rPr>
        <w:t>That</w:t>
      </w:r>
      <w:r w:rsidRPr="00F8534B">
        <w:rPr>
          <w:rStyle w:val="StyleUnderline"/>
        </w:rPr>
        <w:t xml:space="preserve"> task</w:t>
      </w:r>
      <w:r>
        <w:t xml:space="preserve"> in turn </w:t>
      </w:r>
      <w:r w:rsidRPr="008616FB">
        <w:rPr>
          <w:rStyle w:val="StyleUnderline"/>
          <w:highlight w:val="yellow"/>
        </w:rPr>
        <w:t>requires</w:t>
      </w:r>
      <w:r>
        <w:t xml:space="preserve"> the development of </w:t>
      </w:r>
      <w:r w:rsidRPr="008616FB">
        <w:rPr>
          <w:rStyle w:val="StyleUnderline"/>
          <w:highlight w:val="yellow"/>
        </w:rPr>
        <w:t>specific</w:t>
      </w:r>
      <w:r w:rsidRPr="00F8534B">
        <w:rPr>
          <w:rStyle w:val="StyleUnderline"/>
        </w:rPr>
        <w:t xml:space="preserve"> activist </w:t>
      </w:r>
      <w:r w:rsidRPr="008616FB">
        <w:rPr>
          <w:rStyle w:val="StyleUnderline"/>
          <w:highlight w:val="yellow"/>
        </w:rPr>
        <w:t>goals</w:t>
      </w:r>
      <w:r>
        <w:t xml:space="preserve"> within the context of such analyses, and perhaps broader, national and international strategy--what some call the political "next step</w:t>
      </w:r>
      <w:r w:rsidRPr="001E4A1D">
        <w:t>." This is particularly true today, when the economic crisis plaguing capitalism, the "war on terror" and climate change undeniably have world-wide dimensions</w:t>
      </w:r>
      <w:r>
        <w:t xml:space="preserve">. </w:t>
      </w:r>
      <w:r w:rsidRPr="00F8534B">
        <w:rPr>
          <w:rStyle w:val="StyleUnderline"/>
        </w:rPr>
        <w:t>Instances of failure</w:t>
      </w:r>
      <w:r>
        <w:t xml:space="preserve">, too, </w:t>
      </w:r>
      <w:r w:rsidRPr="00F8534B">
        <w:rPr>
          <w:rStyle w:val="StyleUnderline"/>
        </w:rPr>
        <w:t>need to be part of that analysis, because they teach us much about why otherwise promising activist efforts do not become sustained mass movements</w:t>
      </w:r>
      <w:r>
        <w:t xml:space="preserve"> of the sort to which we all aspire.</w:t>
      </w:r>
    </w:p>
    <w:p w:rsidR="00F8534B" w:rsidRPr="001E4A1D" w:rsidRDefault="00F8534B" w:rsidP="00F8534B">
      <w:pPr>
        <w:pStyle w:val="Cards"/>
        <w:ind w:left="0"/>
      </w:pPr>
      <w:r>
        <w:t xml:space="preserve">Thus, the theoretical need is two-fold: to construct a broader organizing perspective from a political standpoint, and to consider activism writ large. Without reading the pulse of prevailing social conditions, it is easy to miscalculate what that next step ought to be. </w:t>
      </w:r>
      <w:r w:rsidRPr="008616FB">
        <w:rPr>
          <w:rStyle w:val="StyleUnderline"/>
          <w:highlight w:val="yellow"/>
        </w:rPr>
        <w:t>We will not build a mass movement though sheer perseverance</w:t>
      </w:r>
      <w:r>
        <w:t xml:space="preserve">--a linear, idealist conception of change at odds with dynamic social conditions. By the same token, </w:t>
      </w:r>
      <w:r w:rsidRPr="001E4A1D">
        <w:t>we may underestimate the potential of such mass activism if we focus simply on the local dimensions of our work.</w:t>
      </w:r>
    </w:p>
    <w:p w:rsidR="00F8534B" w:rsidRPr="001E4A1D" w:rsidRDefault="00F8534B" w:rsidP="00F8534B">
      <w:pPr>
        <w:pStyle w:val="Cards"/>
        <w:ind w:left="0"/>
        <w:rPr>
          <w:sz w:val="10"/>
          <w:szCs w:val="10"/>
        </w:rPr>
      </w:pPr>
      <w:r w:rsidRPr="001E4A1D">
        <w:t>The dialectic between a dynamic social context and</w:t>
      </w:r>
      <w:r w:rsidRPr="00F8534B">
        <w:rPr>
          <w:rStyle w:val="StyleUnderline"/>
        </w:rPr>
        <w:t xml:space="preserve"> political consciousness and action requires a constant organizational and political calibration and modulation often missing from theoretical scholarship</w:t>
      </w:r>
      <w:r>
        <w:t xml:space="preserve">. </w:t>
      </w:r>
      <w:r w:rsidRPr="001E4A1D">
        <w:rPr>
          <w:sz w:val="10"/>
          <w:szCs w:val="10"/>
        </w:rPr>
        <w:t>Without such a working perspective, we are apt to be either ultra-left or overly conservative. As Jim Pope put it recently in the context of new forms of labor organizing: "If we limit our vision of the future to include only approaches that work within the prevailing legal regime and balance of forces, then we are likely to be irrelevant when and if the opportunity for a paradigm shift arises." n449 The cyclical nature of labor organizing, he argues, mirrors politics generally:</w:t>
      </w:r>
    </w:p>
    <w:p w:rsidR="00F8534B" w:rsidRPr="001E4A1D" w:rsidRDefault="00F8534B" w:rsidP="00F8534B">
      <w:pPr>
        <w:pStyle w:val="Cards"/>
        <w:ind w:left="0"/>
        <w:rPr>
          <w:sz w:val="10"/>
          <w:szCs w:val="10"/>
        </w:rPr>
      </w:pPr>
      <w:r w:rsidRPr="001E4A1D">
        <w:rPr>
          <w:sz w:val="10"/>
          <w:szCs w:val="10"/>
        </w:rPr>
        <w:t xml:space="preserve">American political life as a whole has likewise alternated between periods characterized by public action, idealism, and reform on </w:t>
      </w:r>
      <w:proofErr w:type="gramStart"/>
      <w:r w:rsidRPr="001E4A1D">
        <w:rPr>
          <w:sz w:val="10"/>
          <w:szCs w:val="10"/>
        </w:rPr>
        <w:t>the  [</w:t>
      </w:r>
      <w:proofErr w:type="gramEnd"/>
      <w:r w:rsidRPr="001E4A1D">
        <w:rPr>
          <w:sz w:val="10"/>
          <w:szCs w:val="10"/>
        </w:rPr>
        <w:t>*189]  one hand, and periods of private interest, materialism, and retrenchment on the other. A prolonged private period spawns orgies of corruption and extremes of wealth and poverty that, sooner or later, ignite passionate movements for reform. n450</w:t>
      </w:r>
    </w:p>
    <w:p w:rsidR="00F8534B" w:rsidRPr="001E4A1D" w:rsidRDefault="00F8534B" w:rsidP="00F8534B">
      <w:pPr>
        <w:pStyle w:val="Cards"/>
        <w:ind w:left="0"/>
        <w:rPr>
          <w:sz w:val="10"/>
          <w:szCs w:val="10"/>
        </w:rPr>
      </w:pPr>
      <w:r w:rsidRPr="001E4A1D">
        <w:rPr>
          <w:sz w:val="10"/>
          <w:szCs w:val="10"/>
        </w:rPr>
        <w:t>C. 'Activism': Towards a Broader, Deeper, Systematic Framework</w:t>
      </w:r>
    </w:p>
    <w:p w:rsidR="00F8534B" w:rsidRPr="001E4A1D" w:rsidRDefault="00F8534B" w:rsidP="00F8534B">
      <w:pPr>
        <w:pStyle w:val="Cards"/>
        <w:ind w:left="0"/>
        <w:rPr>
          <w:sz w:val="10"/>
          <w:szCs w:val="10"/>
        </w:rPr>
      </w:pPr>
      <w:r w:rsidRPr="001E4A1D">
        <w:rPr>
          <w:sz w:val="10"/>
          <w:szCs w:val="10"/>
        </w:rPr>
        <w:t xml:space="preserve">In progressive lawyering theory, grassroots activism is frequently equated with "community organizing" and "movement" or "mobilization" politics. </w:t>
      </w:r>
      <w:proofErr w:type="gramStart"/>
      <w:r w:rsidRPr="001E4A1D">
        <w:rPr>
          <w:sz w:val="10"/>
          <w:szCs w:val="10"/>
        </w:rPr>
        <w:t>n451</w:t>
      </w:r>
      <w:proofErr w:type="gramEnd"/>
      <w:r w:rsidRPr="001E4A1D">
        <w:rPr>
          <w:sz w:val="10"/>
          <w:szCs w:val="10"/>
        </w:rPr>
        <w:t xml:space="preserve"> Indeed, these methods have come to predominate activist lawyering in much the same way as "public interest law" has come for many to encompass all forms of progressive practice. "Activism" is, of course, broader still. Even on its own terms, the history of community organizing and social movements in the United States includes two vitally important traditions frequently given short shrift in this realm: industrial union organizing and alternative political party-building. n452 In this section, my aim is not to catalogue the myriad ways in which lawyers and clients can and do become active (methodically or institutionally)--which, given human creativity and progress, in any event may be impossible to do--but rather to problematize three assumptions: first, the tendency to define grassroots activity narrowly; second, the notion that certain groups--for example "the poor" or the "subordinated"--are the definitive agents of social change; and finally, the conviction that mass mobilization or movement-building, by itself, is key to social transformation.</w:t>
      </w:r>
    </w:p>
    <w:p w:rsidR="00F8534B" w:rsidRPr="001E4A1D" w:rsidRDefault="00F8534B" w:rsidP="00F8534B">
      <w:pPr>
        <w:pStyle w:val="Cards"/>
        <w:ind w:left="0"/>
        <w:rPr>
          <w:sz w:val="10"/>
          <w:szCs w:val="10"/>
        </w:rPr>
      </w:pPr>
      <w:r w:rsidRPr="001E4A1D">
        <w:rPr>
          <w:sz w:val="10"/>
          <w:szCs w:val="10"/>
        </w:rPr>
        <w:t>1. Grassroots Activism</w:t>
      </w:r>
    </w:p>
    <w:p w:rsidR="00F8534B" w:rsidRPr="001E4A1D" w:rsidRDefault="00F8534B" w:rsidP="00F8534B">
      <w:pPr>
        <w:pStyle w:val="Cards"/>
        <w:ind w:left="0"/>
        <w:rPr>
          <w:sz w:val="10"/>
          <w:szCs w:val="10"/>
        </w:rPr>
      </w:pPr>
      <w:r w:rsidRPr="001E4A1D">
        <w:rPr>
          <w:sz w:val="10"/>
          <w:szCs w:val="10"/>
        </w:rPr>
        <w:t xml:space="preserve">There are countless ways in which people become socially or politically active. Yet even the more expansive and sophisticated considerations of activism in progressive lawyering theory tend to unnecessarily circumscribe activism. For example, Cummings and </w:t>
      </w:r>
      <w:proofErr w:type="spellStart"/>
      <w:r w:rsidRPr="001E4A1D">
        <w:rPr>
          <w:sz w:val="10"/>
          <w:szCs w:val="10"/>
        </w:rPr>
        <w:t>Eagly</w:t>
      </w:r>
      <w:proofErr w:type="spellEnd"/>
      <w:r w:rsidRPr="001E4A1D">
        <w:rPr>
          <w:sz w:val="10"/>
          <w:szCs w:val="10"/>
        </w:rPr>
        <w:t xml:space="preserve"> argue that we need to "unpack" the term "organizing." n453 Contrasting two strategies of the welfare rights movement in the 1960s, these authors distinguish between "mobilization as short-term community action and organizing as an effort to build long-term institutional power." n454 In the same breath, however, they define organizing "as shorthand for a range of community-based practices," n455 even though at least some activism, for example union organizing or, say,  [*190]  fasting, might not be best characterized as "community-based."</w:t>
      </w:r>
    </w:p>
    <w:p w:rsidR="00F8534B" w:rsidRPr="001E4A1D" w:rsidRDefault="00F8534B" w:rsidP="00F8534B">
      <w:pPr>
        <w:pStyle w:val="Cards"/>
        <w:ind w:left="0"/>
        <w:rPr>
          <w:sz w:val="10"/>
          <w:szCs w:val="10"/>
        </w:rPr>
      </w:pPr>
      <w:r w:rsidRPr="001E4A1D">
        <w:rPr>
          <w:sz w:val="10"/>
          <w:szCs w:val="10"/>
        </w:rPr>
        <w:t xml:space="preserve">What is required is a larger framework that takes into account the sum total of activist initiatives. Lucie White argues that we need to "map out the internal </w:t>
      </w:r>
      <w:proofErr w:type="spellStart"/>
      <w:r w:rsidRPr="001E4A1D">
        <w:rPr>
          <w:sz w:val="10"/>
          <w:szCs w:val="10"/>
        </w:rPr>
        <w:t>microdynamics</w:t>
      </w:r>
      <w:proofErr w:type="spellEnd"/>
      <w:r w:rsidRPr="001E4A1D">
        <w:rPr>
          <w:sz w:val="10"/>
          <w:szCs w:val="10"/>
        </w:rPr>
        <w:t xml:space="preserve"> of progressive grassroots initiatives ... observe the multiple impacts of different kinds of initiatives on wide spheres of social and political life ... and devise typologies, or models, or theories that map out a range of opportunities for collaboration." n456 This map would be inadequate--and therefore inaccurate--if we include certain activist initiatives and not others. But that is precisely what the progressive lawyering literature has done by failing to regularly consider, for example, union organizing or alternative political party-building.</w:t>
      </w:r>
    </w:p>
    <w:p w:rsidR="00F8534B" w:rsidRPr="001E4A1D" w:rsidRDefault="00F8534B" w:rsidP="00F8534B">
      <w:pPr>
        <w:pStyle w:val="Cards"/>
        <w:ind w:left="0"/>
        <w:rPr>
          <w:sz w:val="10"/>
          <w:szCs w:val="10"/>
        </w:rPr>
      </w:pPr>
      <w:r w:rsidRPr="001E4A1D">
        <w:rPr>
          <w:sz w:val="10"/>
          <w:szCs w:val="10"/>
        </w:rPr>
        <w:t xml:space="preserve">2. Agents of Social Change: Identity, Class and Political Ideology As with our definition of activism, here, too, the problem is a lack of clarity, breadth or scope, which leads to </w:t>
      </w:r>
      <w:proofErr w:type="spellStart"/>
      <w:r w:rsidRPr="001E4A1D">
        <w:rPr>
          <w:sz w:val="10"/>
          <w:szCs w:val="10"/>
        </w:rPr>
        <w:t>misorientation</w:t>
      </w:r>
      <w:proofErr w:type="spellEnd"/>
      <w:r w:rsidRPr="001E4A1D">
        <w:rPr>
          <w:sz w:val="10"/>
          <w:szCs w:val="10"/>
        </w:rPr>
        <w:t>. Have we defined, with theoretical precision, the social-change agents to whom we are orienting--e.g., the "people," the "poor," the "subordinated," "low-income communities" or "communities of color?" And if so, are these groupings, so defined, the primary agents of social change? By attempting to harmonize three interrelated (yet divergent) approaches to client activism--organizing on the bases of geography and identity, class and the workplace, and political ideology--modern community organizing simultaneously blurs and balkanizes the social-change agents to whom we need to orient. What, after all, is "community?" In geographic terms, local efforts alone cannot address social problems with global dimensions. n457 As Pope observed of workers' centers: "the tension between the local and particularistic focus of community unionism and the global scope of trendsetting corporations like Wal-Mart makes it highly unlikely that community unionism will displace industrial unionism as 'the' next paradigm of worker organization." n458 On the other hand, members of cross-class, identity-based "communities" may not necessarily share the same interests. In the "Asian American community," Ancheta explains: using the word "community" in its singular form is often a misnomer, because Asian Pacific Americans comprise many communities, each with its own history, culture and language: Filipino, Chinese, Japanese, Korean, Vietnamese, Thai, Cambodian, Lao, Lao-Mien,  [*191]  Hmong, Indian, Indonesian, Malaysian, Samoan, Tongan, Guamanian, Native Hawaiian, and more. The legal problems facing individuals from different communities defy simple categorization. The problems of a fourth-generation Japanese American victim of job discrimination, a monolingual refugee from Laos seeking shelter from domestic violence, an elderly immigrant from the Philippines trying to keep a job, and a newcomer from Western Samoa trying to reunite with relatives living abroad all present unique challenges. Add in factors such as gender, sexual orientation, age, and disability, and the problems become even more complex. n45 Angela Harris echoes this observation by pointing out how some feminist legal theory assumes "a unitary, 'essential' women's experience [that] can be isolated and described independently of race, class, sexual orientation, and other realities of experience." n460 The same might be said of the "people," which, like the "working class," may be too broad. Other categorizations--such as "low-income workers," "immigrants", and the "poor", for example--may be too narrow to have the social weight to fundamentally transform society. In practice, progressive lawyers orient to the politically advanced among these various "communities." In so doing, then, we need to acknowledge that we are organizing on the basis of political ideology, and not simply geography, identity or class. Building the strongest possible mass movement, therefore, requires an orientation not only towards certain "subordinated" communities, but to the politically advanced generally. Otherwise, we may be undermining activism writ large. This is not to denigrate autonomous community efforts. As I have mentioned, subordinated communities of course have the right to self-determination, i.e. to organize separately. But the point is not simply to organize groups of people who experience a particular oppression, but rather to identify those who have the social power to transform society. Arguing that these agents are the collective, multi-racial working class, Smith explains: The Marxist definition of the working class has little in common with those of sociologists. Neither income level nor self-definition are [sic] what determine social class. Although income levels obviously bear some relationship to class, some workers earn the same or higher salaries than some people who fall into the category of middle class. And many people who consider themselves "</w:t>
      </w:r>
      <w:proofErr w:type="gramStart"/>
      <w:r w:rsidRPr="001E4A1D">
        <w:rPr>
          <w:sz w:val="10"/>
          <w:szCs w:val="10"/>
        </w:rPr>
        <w:t>middle  [</w:t>
      </w:r>
      <w:proofErr w:type="gramEnd"/>
      <w:r w:rsidRPr="001E4A1D">
        <w:rPr>
          <w:sz w:val="10"/>
          <w:szCs w:val="10"/>
        </w:rPr>
        <w:t>*192]  class" are in fact workers. Nor is class defined by categories such as white and blue collar. For Marx the working class is defined by its relationship to the means of production. Broadly speaking, those who do not control the means of production and are forced to sell their labor power to capitalists are workers. n461 The practical consequence of this very well may be that we redefine who we represent as clients and consider activism or potential activism outside subordinated communities, for example union activity and alternative political-party building, as part of our work.</w:t>
      </w:r>
    </w:p>
    <w:p w:rsidR="00F8534B" w:rsidRPr="001E4A1D" w:rsidRDefault="00F8534B" w:rsidP="00F8534B">
      <w:pPr>
        <w:pStyle w:val="Cards"/>
        <w:ind w:left="0"/>
        <w:rPr>
          <w:sz w:val="10"/>
          <w:szCs w:val="10"/>
        </w:rPr>
      </w:pPr>
      <w:r w:rsidRPr="001E4A1D">
        <w:rPr>
          <w:sz w:val="10"/>
          <w:szCs w:val="10"/>
        </w:rPr>
        <w:t xml:space="preserve">3. </w:t>
      </w:r>
      <w:proofErr w:type="gramStart"/>
      <w:r w:rsidRPr="001E4A1D">
        <w:rPr>
          <w:sz w:val="10"/>
          <w:szCs w:val="10"/>
        </w:rPr>
        <w:t>From</w:t>
      </w:r>
      <w:proofErr w:type="gramEnd"/>
      <w:r w:rsidRPr="001E4A1D">
        <w:rPr>
          <w:sz w:val="10"/>
          <w:szCs w:val="10"/>
        </w:rPr>
        <w:t xml:space="preserve"> </w:t>
      </w:r>
      <w:proofErr w:type="spellStart"/>
      <w:r w:rsidRPr="001E4A1D">
        <w:rPr>
          <w:sz w:val="10"/>
          <w:szCs w:val="10"/>
        </w:rPr>
        <w:t>Movementism</w:t>
      </w:r>
      <w:proofErr w:type="spellEnd"/>
      <w:r w:rsidRPr="001E4A1D">
        <w:rPr>
          <w:sz w:val="10"/>
          <w:szCs w:val="10"/>
        </w:rPr>
        <w:t xml:space="preserve"> to Political Organization</w:t>
      </w:r>
    </w:p>
    <w:p w:rsidR="00F8534B" w:rsidRDefault="00F8534B" w:rsidP="00F8534B">
      <w:pPr>
        <w:pStyle w:val="Cards"/>
        <w:ind w:left="0"/>
      </w:pPr>
      <w:r>
        <w:t xml:space="preserve">Dogged as our work is in the activist realm, </w:t>
      </w:r>
      <w:r w:rsidRPr="008616FB">
        <w:rPr>
          <w:rStyle w:val="StyleUnderline"/>
          <w:highlight w:val="yellow"/>
        </w:rPr>
        <w:t>any effort at fundamental social transformation is doomed without effective political leadership</w:t>
      </w:r>
      <w:r>
        <w:t xml:space="preserve">. </w:t>
      </w:r>
      <w:r w:rsidRPr="001E4A1D">
        <w:rPr>
          <w:sz w:val="10"/>
          <w:szCs w:val="10"/>
        </w:rPr>
        <w:t>Such leadership, in turn, requires work not often associated with "activism," such as, for example, theoretical study. n462 "</w:t>
      </w:r>
      <w:proofErr w:type="spellStart"/>
      <w:r w:rsidRPr="001E4A1D">
        <w:rPr>
          <w:sz w:val="10"/>
          <w:szCs w:val="10"/>
        </w:rPr>
        <w:t>Movementism</w:t>
      </w:r>
      <w:proofErr w:type="spellEnd"/>
      <w:r w:rsidRPr="001E4A1D">
        <w:rPr>
          <w:sz w:val="10"/>
          <w:szCs w:val="10"/>
        </w:rPr>
        <w:t>," n463 by which I mean the conviction that building a mass movement is the answer to oppression and exploitation, has its limitations. Even though activism itself is perhaps the best school for political education, we have an enormous amount to learn from our predecessors. In the final analysis,</w:t>
      </w:r>
      <w:r>
        <w:t xml:space="preserve"> </w:t>
      </w:r>
      <w:r w:rsidRPr="008616FB">
        <w:rPr>
          <w:rStyle w:val="StyleUnderline"/>
          <w:highlight w:val="yellow"/>
        </w:rPr>
        <w:t>fundamental social transformation will only come about if there are political organizations clear enough, motivated enough, experienced enough, large enough, embedded enough and agile enough to respond to the twists and turns endemic in any struggle for power</w:t>
      </w:r>
      <w:r w:rsidRPr="008616FB">
        <w:rPr>
          <w:highlight w:val="yellow"/>
        </w:rPr>
        <w:t>.</w:t>
      </w:r>
      <w:r>
        <w:t xml:space="preserve"> "</w:t>
      </w:r>
      <w:r w:rsidRPr="00F8534B">
        <w:rPr>
          <w:rStyle w:val="StyleUnderline"/>
        </w:rPr>
        <w:t>The problem</w:t>
      </w:r>
      <w:r>
        <w:t>," as Bellow astutely observed, "</w:t>
      </w:r>
      <w:r w:rsidRPr="00F8534B">
        <w:rPr>
          <w:rStyle w:val="StyleUnderline"/>
        </w:rPr>
        <w:t>is not our analytic weaknesses, but the opportunistic, strategic, and political character of our subject</w:t>
      </w:r>
      <w:r>
        <w:t xml:space="preserve">." </w:t>
      </w:r>
      <w:r w:rsidRPr="001E4A1D">
        <w:rPr>
          <w:sz w:val="10"/>
          <w:szCs w:val="10"/>
        </w:rPr>
        <w:t>n464 Such opportunities typically occur when there is a confluence of three factors: a social crisis; a socio-economic elite that finds itself divided over how to overcome it; and a powerful mass movement from below. As I understand the nature of social change</w:t>
      </w:r>
      <w:r>
        <w:t xml:space="preserve">, </w:t>
      </w:r>
      <w:r w:rsidRPr="00F8534B">
        <w:rPr>
          <w:rStyle w:val="StyleUnderline"/>
        </w:rPr>
        <w:t>successful social transformations occur when there is</w:t>
      </w:r>
      <w:r>
        <w:t xml:space="preserve"> a fourth element: </w:t>
      </w:r>
      <w:r w:rsidRPr="00F8534B">
        <w:rPr>
          <w:rStyle w:val="StyleUnderline"/>
        </w:rPr>
        <w:t>political organization</w:t>
      </w:r>
      <w:r>
        <w:t>.</w:t>
      </w:r>
    </w:p>
    <w:p w:rsidR="00F8534B" w:rsidRPr="001E4A1D" w:rsidRDefault="00F8534B" w:rsidP="00F8534B">
      <w:pPr>
        <w:pStyle w:val="Cards"/>
        <w:ind w:left="0"/>
        <w:rPr>
          <w:sz w:val="10"/>
          <w:szCs w:val="10"/>
        </w:rPr>
      </w:pPr>
      <w:r w:rsidRPr="001E4A1D">
        <w:rPr>
          <w:sz w:val="10"/>
          <w:szCs w:val="10"/>
        </w:rPr>
        <w:t>Conclusion</w:t>
      </w:r>
    </w:p>
    <w:p w:rsidR="00F8534B" w:rsidRPr="001E4A1D" w:rsidRDefault="00F8534B" w:rsidP="00F8534B">
      <w:pPr>
        <w:pStyle w:val="Cards"/>
        <w:ind w:left="0"/>
        <w:rPr>
          <w:sz w:val="10"/>
          <w:szCs w:val="10"/>
        </w:rPr>
      </w:pPr>
      <w:r w:rsidRPr="001E4A1D">
        <w:rPr>
          <w:sz w:val="10"/>
          <w:szCs w:val="10"/>
        </w:rPr>
        <w:t xml:space="preserve">Client activism is not a monolithic, mechanical object. Most of the time, it is neither the gathering mass movement many of us wish for, nor the inert, atomized few in need of external, professional motivation. Rather, activism is a phenomenon in constant ebb and flow, </w:t>
      </w:r>
      <w:proofErr w:type="gramStart"/>
      <w:r w:rsidRPr="001E4A1D">
        <w:rPr>
          <w:sz w:val="10"/>
          <w:szCs w:val="10"/>
        </w:rPr>
        <w:t>a  [</w:t>
      </w:r>
      <w:proofErr w:type="gramEnd"/>
      <w:r w:rsidRPr="001E4A1D">
        <w:rPr>
          <w:sz w:val="10"/>
          <w:szCs w:val="10"/>
        </w:rPr>
        <w:t xml:space="preserve">*193]  mercurial, fluid complex shaped by an unremitting diversity of factors. The key through the maze of lawyering advice and precaution is therefore to take a hard, sober look at the overarching state of activism. Are our clients in fact active or are they not? How many are and who are they? What is the nature of this period? Economically? Politically? Culturally? What are the defining issues? What political and organizing trends can be discerned? With which organizations are our </w:t>
      </w:r>
      <w:proofErr w:type="gramStart"/>
      <w:r w:rsidRPr="001E4A1D">
        <w:rPr>
          <w:sz w:val="10"/>
          <w:szCs w:val="10"/>
        </w:rPr>
        <w:t>clients</w:t>
      </w:r>
      <w:proofErr w:type="gramEnd"/>
      <w:r w:rsidRPr="001E4A1D">
        <w:rPr>
          <w:sz w:val="10"/>
          <w:szCs w:val="10"/>
        </w:rPr>
        <w:t xml:space="preserve"> active, if any? What demands are they articulating, and how are they articulating them?</w:t>
      </w:r>
    </w:p>
    <w:p w:rsidR="00F8534B" w:rsidRPr="00FB6631" w:rsidRDefault="00F8534B" w:rsidP="00F8534B">
      <w:pPr>
        <w:pStyle w:val="Cards"/>
        <w:ind w:left="0"/>
        <w:rPr>
          <w:sz w:val="10"/>
          <w:szCs w:val="10"/>
        </w:rPr>
      </w:pPr>
      <w:r w:rsidRPr="008616FB">
        <w:rPr>
          <w:rStyle w:val="StyleUnderline"/>
          <w:highlight w:val="yellow"/>
        </w:rPr>
        <w:t>This is a complex evaluation, one requiring the formulation, development and constant assessment and reassessment of an overarching political perspective</w:t>
      </w:r>
      <w:r>
        <w:t xml:space="preserve">. </w:t>
      </w:r>
      <w:r w:rsidRPr="00FB6631">
        <w:rPr>
          <w:sz w:val="10"/>
          <w:szCs w:val="10"/>
        </w:rPr>
        <w:t xml:space="preserve">My aim in this Article is to begin to theorize the various approaches to this evaluation. In essence, I am arguing for the elaboration of a systematic </w:t>
      </w:r>
      <w:proofErr w:type="spellStart"/>
      <w:r w:rsidRPr="00FB6631">
        <w:rPr>
          <w:sz w:val="10"/>
          <w:szCs w:val="10"/>
        </w:rPr>
        <w:t>macropolitical</w:t>
      </w:r>
      <w:proofErr w:type="spellEnd"/>
      <w:r w:rsidRPr="00FB6631">
        <w:rPr>
          <w:sz w:val="10"/>
          <w:szCs w:val="10"/>
        </w:rPr>
        <w:t xml:space="preserve"> analysis in progressive lawyering theory. Here, my purpose is not to present a comprehensive set of political considerations, but rather to develop a framework for, and to investigate the limitations of, present considerations in three areas: strategic aims; prevailing social conditions; and methods of activism. Consciously or not, admittedly or not, informed and systematic or not, progressive lawyers undertake their work with certain assumptions, perspectives and biases. Progressive lawyering theory would be a much more effective and concrete guide to action--to defining the lawyer's role in fostering activism--if it would elaborate on these considerations and transform implicit and perhaps delimited assumptions and approaches into explicit and hopefully broader choices.</w:t>
      </w:r>
    </w:p>
    <w:p w:rsidR="00F8534B" w:rsidRPr="00FB6631" w:rsidRDefault="00F8534B" w:rsidP="00F8534B">
      <w:pPr>
        <w:pStyle w:val="Cards"/>
        <w:ind w:left="0"/>
        <w:rPr>
          <w:sz w:val="10"/>
          <w:szCs w:val="10"/>
        </w:rPr>
      </w:pPr>
      <w:r w:rsidRPr="00FB6631">
        <w:rPr>
          <w:sz w:val="10"/>
          <w:szCs w:val="10"/>
        </w:rPr>
        <w:t>Over the past four decades, there has been remarkable continuity and consistency in progressive lawyers' use of litigation, legislation, direct services, education and organizing to stimulate and support client activism. The theoretical "breaks" to which Buchanan has referred n465 have not been so much about the practice of lawyering itself, but rather about unarticulated shifts in ultimate goals, societal analyses, and activist priorities, each necessitated by changes in the social, economic, and political context. That simply is another way of stating the obvious: that progressive lawyers change their practices to adapt to changing circumstances. The recurrent problem in progressive lawyering theory is that many commentators have tended to generalize these practice changes to apply across social circumstances. In so doing, they displace and often replace more fundamental differences over strategic goals, interpretation of social contexts, and organizing priorities with debates over the mechanics of lawyering practice.</w:t>
      </w:r>
    </w:p>
    <w:p w:rsidR="00F8534B" w:rsidRPr="00FB6631" w:rsidRDefault="00F8534B" w:rsidP="00F8534B">
      <w:pPr>
        <w:pStyle w:val="Cards"/>
        <w:ind w:left="0"/>
        <w:rPr>
          <w:sz w:val="10"/>
          <w:szCs w:val="10"/>
        </w:rPr>
      </w:pPr>
      <w:r w:rsidRPr="00FB6631">
        <w:rPr>
          <w:sz w:val="10"/>
          <w:szCs w:val="10"/>
        </w:rPr>
        <w:t xml:space="preserve">The argument is turned on its head: we often assume or tend </w:t>
      </w:r>
      <w:proofErr w:type="gramStart"/>
      <w:r w:rsidRPr="00FB6631">
        <w:rPr>
          <w:sz w:val="10"/>
          <w:szCs w:val="10"/>
        </w:rPr>
        <w:t>to  [</w:t>
      </w:r>
      <w:proofErr w:type="gramEnd"/>
      <w:r w:rsidRPr="00FB6631">
        <w:rPr>
          <w:sz w:val="10"/>
          <w:szCs w:val="10"/>
        </w:rPr>
        <w:t>*194]  assume agreement over the meanings and underlying conceptual frameworks relating to "fundamental social change," current political analysis, and "community organizing," and debate lawyering strategy and tactics; but instead we should be elaborating and clarifying these threshold political considerations as a prerequisite to using what we ultimately agree to be a broad and flexible set of lawyering tools. In effect, the various approaches to lawyering have become the currency by which scholars have debated politics and activism. The irony is that our disagreements are less about lawyering approaches per se, I believe, than they are about our ultimate political objectives, our analyses of contemporary opportunities, and our views of the optimal paths from the latter to the former. The myriad lawyering descriptions and prescriptions progressive lawyering theory offers are of limited use unless they are anchored in these primary considerations. How do we decide if we should subscribe to "rebellious" and not traditional "public interest" lawyering, for example, or "collaborative" over "critical" lawyering, if we do not interrogate these questions and instead rush too quickly into practical questions? The differences among these approaches matter precisely because they have different political goals, are based on different political analyses, and employ different political activist strategies.</w:t>
      </w:r>
    </w:p>
    <w:p w:rsidR="00F8534B" w:rsidRPr="00FB6631" w:rsidRDefault="00F8534B" w:rsidP="00F8534B">
      <w:pPr>
        <w:pStyle w:val="Cards"/>
        <w:ind w:left="0"/>
        <w:rPr>
          <w:sz w:val="10"/>
          <w:szCs w:val="10"/>
        </w:rPr>
      </w:pPr>
      <w:r w:rsidRPr="00FB6631">
        <w:rPr>
          <w:sz w:val="10"/>
          <w:szCs w:val="10"/>
        </w:rPr>
        <w:t>Activist lawyers already engage in these analyses--necessarily so. To foster client activism, they must read prevailing social conditions and strategize with their clients about the political next step, often with an eye toward a long-term goal. But I don't think we necessarily engage in these analyses as consciously, or with as full a picture of the history and dynamics involved or options available, as we could. Often this is because there simply isn't time to engage these questions. Or perhaps not wanting to dominate our clients, we squelch our own political analysis and agenda to allow for organic, indigenous leadership from below. But if we are truly collaborative--and when we feel strongly enough about certain political issues--we engage on issues and argue them out. In either event, we undertake an unsystematic engagement of these fundamental issues at our peril.</w:t>
      </w:r>
    </w:p>
    <w:p w:rsidR="00F8534B" w:rsidRDefault="00F8534B" w:rsidP="00F8534B">
      <w:pPr>
        <w:pStyle w:val="Cards"/>
        <w:ind w:left="0"/>
      </w:pPr>
      <w:r w:rsidRPr="00FB6631">
        <w:t>If we adhere to the belief that</w:t>
      </w:r>
      <w:r w:rsidRPr="00F8534B">
        <w:rPr>
          <w:rStyle w:val="StyleUnderline"/>
        </w:rPr>
        <w:t xml:space="preserve"> </w:t>
      </w:r>
      <w:r w:rsidRPr="008616FB">
        <w:rPr>
          <w:rStyle w:val="StyleUnderline"/>
          <w:highlight w:val="yellow"/>
        </w:rPr>
        <w:t>only organized</w:t>
      </w:r>
      <w:r w:rsidRPr="00FB6631">
        <w:t>, politicized</w:t>
      </w:r>
      <w:r w:rsidRPr="00F8534B">
        <w:rPr>
          <w:rStyle w:val="StyleUnderline"/>
        </w:rPr>
        <w:t xml:space="preserve"> </w:t>
      </w:r>
      <w:r w:rsidRPr="008616FB">
        <w:rPr>
          <w:rStyle w:val="StyleUnderline"/>
          <w:highlight w:val="yellow"/>
        </w:rPr>
        <w:t>masses of people can alter</w:t>
      </w:r>
      <w:r w:rsidRPr="00F8534B">
        <w:rPr>
          <w:rStyle w:val="StyleUnderline"/>
        </w:rPr>
        <w:t xml:space="preserve"> </w:t>
      </w:r>
      <w:r w:rsidRPr="00FB6631">
        <w:t>or replace</w:t>
      </w:r>
      <w:r w:rsidRPr="00F8534B">
        <w:rPr>
          <w:rStyle w:val="StyleUnderline"/>
        </w:rPr>
        <w:t xml:space="preserve"> </w:t>
      </w:r>
      <w:r w:rsidRPr="008616FB">
        <w:rPr>
          <w:rStyle w:val="StyleUnderline"/>
          <w:highlight w:val="yellow"/>
        </w:rPr>
        <w:t>exploitative and oppressive institutions and bring about lasting fundamental social change, then</w:t>
      </w:r>
      <w:r w:rsidRPr="00F8534B">
        <w:rPr>
          <w:rStyle w:val="StyleUnderline"/>
        </w:rPr>
        <w:t xml:space="preserve">, </w:t>
      </w:r>
      <w:r>
        <w:t xml:space="preserve">as progressive lawyers, </w:t>
      </w:r>
      <w:r w:rsidRPr="008616FB">
        <w:rPr>
          <w:rStyle w:val="StyleUnderline"/>
          <w:highlight w:val="yellow"/>
        </w:rPr>
        <w:t>we need to be clear about which</w:t>
      </w:r>
      <w:r w:rsidRPr="00FB6631">
        <w:t xml:space="preserve"> legal</w:t>
      </w:r>
      <w:r w:rsidRPr="00F8534B">
        <w:rPr>
          <w:rStyle w:val="StyleUnderline"/>
        </w:rPr>
        <w:t xml:space="preserve"> </w:t>
      </w:r>
      <w:r w:rsidRPr="008616FB">
        <w:rPr>
          <w:rStyle w:val="StyleUnderline"/>
          <w:highlight w:val="yellow"/>
        </w:rPr>
        <w:t xml:space="preserve">tactics can bring about such a sustained </w:t>
      </w:r>
      <w:r w:rsidRPr="008616FB">
        <w:rPr>
          <w:highlight w:val="yellow"/>
        </w:rPr>
        <w:t>effort</w:t>
      </w:r>
      <w:r w:rsidRPr="00FB6631">
        <w:t xml:space="preserve"> in each historical moment. </w:t>
      </w:r>
      <w:r w:rsidRPr="00F8534B">
        <w:rPr>
          <w:rStyle w:val="StyleUnderline"/>
        </w:rPr>
        <w:t xml:space="preserve">Without concrete and comprehensive diagnoses of ultimate political goals, social and economic contexts, and organizing priorities, progressive legal practice will fail </w:t>
      </w:r>
      <w:r>
        <w:t>to live up to its potential.</w:t>
      </w:r>
    </w:p>
    <w:p w:rsidR="00F8534B" w:rsidRDefault="00F8534B" w:rsidP="00F8534B">
      <w:pPr>
        <w:pStyle w:val="Nothing"/>
      </w:pPr>
    </w:p>
    <w:p w:rsidR="00F8534B" w:rsidRPr="00435F46" w:rsidRDefault="00F8534B" w:rsidP="00F8534B">
      <w:pPr>
        <w:pStyle w:val="Heading4"/>
      </w:pPr>
      <w:r>
        <w:t>Now the State debate</w:t>
      </w:r>
    </w:p>
    <w:p w:rsidR="00F8534B" w:rsidRPr="001E4A1D" w:rsidRDefault="00F8534B" w:rsidP="00F8534B">
      <w:pPr>
        <w:pStyle w:val="Heading4"/>
      </w:pPr>
      <w:r w:rsidRPr="00A70B70">
        <w:t xml:space="preserve">We do not need to win that the state is good, rather just that the value of the state is something that should be </w:t>
      </w:r>
      <w:r w:rsidRPr="00F8534B">
        <w:rPr>
          <w:rStyle w:val="StyleUnderline"/>
        </w:rPr>
        <w:t xml:space="preserve">debated about. This is the screen you should adopt for the </w:t>
      </w:r>
      <w:proofErr w:type="spellStart"/>
      <w:r w:rsidRPr="00F8534B">
        <w:rPr>
          <w:rStyle w:val="StyleUnderline"/>
        </w:rPr>
        <w:t>Aff’s</w:t>
      </w:r>
      <w:proofErr w:type="spellEnd"/>
      <w:r w:rsidRPr="00F8534B">
        <w:rPr>
          <w:rStyle w:val="StyleUnderline"/>
        </w:rPr>
        <w:t xml:space="preserve"> </w:t>
      </w:r>
      <w:proofErr w:type="spellStart"/>
      <w:proofErr w:type="gramStart"/>
      <w:r w:rsidRPr="00F8534B">
        <w:rPr>
          <w:rStyle w:val="StyleUnderline"/>
        </w:rPr>
        <w:t>ev</w:t>
      </w:r>
      <w:proofErr w:type="spellEnd"/>
      <w:proofErr w:type="gramEnd"/>
      <w:r w:rsidRPr="00F8534B">
        <w:rPr>
          <w:rStyle w:val="StyleUnderline"/>
        </w:rPr>
        <w:t xml:space="preserve"> – it can’t just say that the state is bad or ineffective, their </w:t>
      </w:r>
      <w:proofErr w:type="spellStart"/>
      <w:r w:rsidRPr="00F8534B">
        <w:rPr>
          <w:rStyle w:val="StyleUnderline"/>
        </w:rPr>
        <w:t>ev</w:t>
      </w:r>
      <w:proofErr w:type="spellEnd"/>
      <w:r w:rsidRPr="00F8534B">
        <w:rPr>
          <w:rStyle w:val="StyleUnderline"/>
        </w:rPr>
        <w:t xml:space="preserve"> has to say that the state should not even be discussed. General indictments of the state can be done on the </w:t>
      </w:r>
      <w:proofErr w:type="spellStart"/>
      <w:r w:rsidRPr="00F8534B">
        <w:rPr>
          <w:rStyle w:val="StyleUnderline"/>
        </w:rPr>
        <w:t>neg</w:t>
      </w:r>
      <w:proofErr w:type="spellEnd"/>
      <w:r w:rsidRPr="00F8534B">
        <w:rPr>
          <w:rStyle w:val="StyleUnderline"/>
        </w:rPr>
        <w:t xml:space="preserve">, </w:t>
      </w:r>
      <w:r w:rsidRPr="001E4A1D">
        <w:t>while still preserving limited and effective debate and research.</w:t>
      </w:r>
    </w:p>
    <w:p w:rsidR="00F8534B" w:rsidRDefault="00F8534B" w:rsidP="00F8534B">
      <w:pPr>
        <w:pStyle w:val="Nothing"/>
      </w:pPr>
    </w:p>
    <w:p w:rsidR="00F8534B" w:rsidRDefault="00F8534B" w:rsidP="00F8534B">
      <w:pPr>
        <w:pStyle w:val="Heading4"/>
      </w:pPr>
      <w:r>
        <w:t xml:space="preserve">First, engaging with the law is inevitable and can be effective </w:t>
      </w:r>
    </w:p>
    <w:p w:rsidR="00F8534B" w:rsidRDefault="00F8534B" w:rsidP="00F8534B">
      <w:pPr>
        <w:pStyle w:val="Nothing"/>
      </w:pPr>
      <w:proofErr w:type="spellStart"/>
      <w:r w:rsidRPr="00F8534B">
        <w:rPr>
          <w:rStyle w:val="Style13ptBold"/>
        </w:rPr>
        <w:t>Capulong</w:t>
      </w:r>
      <w:proofErr w:type="spellEnd"/>
      <w:r w:rsidRPr="00F8534B">
        <w:rPr>
          <w:rStyle w:val="Style13ptBold"/>
        </w:rPr>
        <w:t xml:space="preserve"> 9</w:t>
      </w:r>
      <w:r>
        <w:t xml:space="preserve"> (Assistant Professor of Law, University of Montana)</w:t>
      </w:r>
    </w:p>
    <w:p w:rsidR="00F8534B" w:rsidRDefault="00F8534B" w:rsidP="00F8534B">
      <w:pPr>
        <w:pStyle w:val="Nothing"/>
      </w:pPr>
      <w:r>
        <w:t>(</w:t>
      </w:r>
      <w:r w:rsidRPr="005B61C8">
        <w:t>Eduardo R.C.</w:t>
      </w:r>
      <w:r>
        <w:t xml:space="preserve">, </w:t>
      </w:r>
      <w:r w:rsidRPr="005B61C8">
        <w:t>CLIENT ACTIVISM IN PROGRESSIVE LAWYERING THEORY</w:t>
      </w:r>
      <w:r>
        <w:t>, CLINICAL LAW REVIEW, 16 Clinical L. Rev. 109, Fall, 2009)</w:t>
      </w:r>
    </w:p>
    <w:p w:rsidR="00F8534B" w:rsidRPr="00435F46" w:rsidRDefault="00F8534B" w:rsidP="00F8534B">
      <w:pPr>
        <w:pStyle w:val="Nothing"/>
      </w:pPr>
    </w:p>
    <w:p w:rsidR="00F8534B" w:rsidRDefault="00F8534B" w:rsidP="00F8534B">
      <w:pPr>
        <w:pStyle w:val="Cards"/>
        <w:ind w:left="0"/>
      </w:pPr>
      <w:r w:rsidRPr="00F8534B">
        <w:rPr>
          <w:rStyle w:val="StyleUnderline"/>
        </w:rPr>
        <w:t>Nevertheless, in contrast to</w:t>
      </w:r>
      <w:r>
        <w:t xml:space="preserve"> what Steve Bachmann has called </w:t>
      </w:r>
      <w:proofErr w:type="gramStart"/>
      <w:r w:rsidRPr="00F8534B">
        <w:rPr>
          <w:rStyle w:val="StyleUnderline"/>
        </w:rPr>
        <w:t xml:space="preserve">the </w:t>
      </w:r>
      <w:r>
        <w:t xml:space="preserve"> [</w:t>
      </w:r>
      <w:proofErr w:type="gramEnd"/>
      <w:r>
        <w:t>*116]  "</w:t>
      </w:r>
      <w:r w:rsidRPr="00F8534B">
        <w:rPr>
          <w:rStyle w:val="StyleUnderline"/>
        </w:rPr>
        <w:t>a-legal</w:t>
      </w:r>
      <w:r>
        <w:t xml:space="preserve">" or "crude Marxist" </w:t>
      </w:r>
      <w:r w:rsidRPr="00F8534B">
        <w:rPr>
          <w:rStyle w:val="StyleUnderline"/>
        </w:rPr>
        <w:t>approach</w:t>
      </w:r>
      <w:r>
        <w:t xml:space="preserve">, n19 </w:t>
      </w:r>
      <w:r w:rsidRPr="001E4A1D">
        <w:t xml:space="preserve">progressive activists recognize that the legal arena remains a forum for social struggle. </w:t>
      </w:r>
      <w:proofErr w:type="gramStart"/>
      <w:r w:rsidRPr="001E4A1D">
        <w:t>n20</w:t>
      </w:r>
      <w:proofErr w:type="gramEnd"/>
      <w:r w:rsidRPr="001E4A1D">
        <w:t xml:space="preserve"> This is so for three reasons: </w:t>
      </w:r>
      <w:r w:rsidRPr="00F8534B">
        <w:rPr>
          <w:rStyle w:val="StyleUnderline"/>
        </w:rPr>
        <w:t xml:space="preserve">First, </w:t>
      </w:r>
      <w:r w:rsidRPr="008616FB">
        <w:rPr>
          <w:rStyle w:val="StyleUnderline"/>
          <w:highlight w:val="yellow"/>
        </w:rPr>
        <w:t>activists often do not have a choice but to work within the legal system, as when they are arrested or otherwise prevented from engaging in activism by state authorities</w:t>
      </w:r>
      <w:r>
        <w:t xml:space="preserve">. </w:t>
      </w:r>
      <w:r w:rsidRPr="00F8534B">
        <w:rPr>
          <w:rStyle w:val="StyleUnderline"/>
        </w:rPr>
        <w:t>Second,</w:t>
      </w:r>
      <w:r>
        <w:t xml:space="preserve"> because law is relatively autonomous from economic and political interests, n21 </w:t>
      </w:r>
      <w:r w:rsidRPr="008616FB">
        <w:rPr>
          <w:rStyle w:val="StyleUnderline"/>
        </w:rPr>
        <w:t>campaigns for legal reform can win substantial gains and are frequently the only vehicles through which more far-reaching change takes shape</w:t>
      </w:r>
      <w:r>
        <w:t xml:space="preserve">; </w:t>
      </w:r>
      <w:r w:rsidRPr="00F8534B">
        <w:rPr>
          <w:rStyle w:val="StyleUnderline"/>
        </w:rPr>
        <w:t>struggles</w:t>
      </w:r>
      <w:r>
        <w:t xml:space="preserve"> for reform, in other words, </w:t>
      </w:r>
      <w:r w:rsidRPr="00F8534B">
        <w:rPr>
          <w:rStyle w:val="StyleUnderline"/>
        </w:rPr>
        <w:t>beget more radical possibilities</w:t>
      </w:r>
      <w:r>
        <w:t xml:space="preserve"> and aspirations. </w:t>
      </w:r>
      <w:proofErr w:type="gramStart"/>
      <w:r>
        <w:t>n22</w:t>
      </w:r>
      <w:proofErr w:type="gramEnd"/>
      <w:r>
        <w:t xml:space="preserve"> And </w:t>
      </w:r>
      <w:r w:rsidRPr="00F8534B">
        <w:rPr>
          <w:rStyle w:val="StyleUnderline"/>
        </w:rPr>
        <w:t>third, law is constitutive of the social order</w:t>
      </w:r>
      <w:r>
        <w:t>. Law--or, more accurately, the concept of it--is not (again as some crude analysts would argue) simply a tool of one ruling class or other, but rather an essential component of a just society. n23</w:t>
      </w:r>
    </w:p>
    <w:p w:rsidR="00F8534B" w:rsidRPr="001E4A1D" w:rsidRDefault="00F8534B" w:rsidP="00F8534B">
      <w:pPr>
        <w:pStyle w:val="Cards"/>
        <w:ind w:left="0"/>
        <w:rPr>
          <w:b/>
        </w:rPr>
      </w:pPr>
      <w:r>
        <w:t>Commentators observe that lawyers who base their practice on these three premises are "hungry for theory," n24 for theory checks the "occupational hazards [of] reformism or cynicism." n25 The theoretical project is thus a dialectic</w:t>
      </w:r>
      <w:r w:rsidRPr="001E4A1D">
        <w:t>: while law reform alone cannot "disturb the basic political and economic organization of modern American society,"</w:t>
      </w:r>
      <w:r>
        <w:t xml:space="preserve"> </w:t>
      </w:r>
      <w:proofErr w:type="gramStart"/>
      <w:r>
        <w:t>n26  [</w:t>
      </w:r>
      <w:proofErr w:type="gramEnd"/>
      <w:r>
        <w:t>*117</w:t>
      </w:r>
      <w:r w:rsidRPr="008616FB">
        <w:rPr>
          <w:highlight w:val="yellow"/>
        </w:rPr>
        <w:t xml:space="preserve">]  </w:t>
      </w:r>
      <w:r w:rsidRPr="008616FB">
        <w:rPr>
          <w:rStyle w:val="StyleUnderline"/>
          <w:highlight w:val="yellow"/>
        </w:rPr>
        <w:t>law and lawyering are "a complex, contradictory, and open-textured setting that provides opportunities to challenge the status quo</w:t>
      </w:r>
      <w:r w:rsidRPr="001E4A1D">
        <w:rPr>
          <w:b/>
        </w:rPr>
        <w:t>."</w:t>
      </w:r>
    </w:p>
    <w:p w:rsidR="00F8534B" w:rsidRPr="003C0680" w:rsidRDefault="00F8534B" w:rsidP="00F8534B">
      <w:pPr>
        <w:pStyle w:val="Nothing"/>
      </w:pPr>
    </w:p>
    <w:p w:rsidR="008616FB" w:rsidRDefault="00F8534B" w:rsidP="008616FB">
      <w:pPr>
        <w:pStyle w:val="Heading4"/>
      </w:pPr>
      <w:r>
        <w:t xml:space="preserve">Second, </w:t>
      </w:r>
      <w:r w:rsidR="008616FB">
        <w:t>engaging with t</w:t>
      </w:r>
      <w:r w:rsidR="008616FB" w:rsidRPr="00231893">
        <w:t>he government can solve debt —</w:t>
      </w:r>
      <w:r w:rsidR="008616FB">
        <w:t xml:space="preserve"> analysis of the Chicago plan proves</w:t>
      </w:r>
    </w:p>
    <w:p w:rsidR="008616FB" w:rsidRPr="00231893" w:rsidRDefault="008616FB" w:rsidP="008616FB">
      <w:r w:rsidRPr="00231893">
        <w:rPr>
          <w:rStyle w:val="Style13ptBold"/>
        </w:rPr>
        <w:t xml:space="preserve">Benes and </w:t>
      </w:r>
      <w:proofErr w:type="spellStart"/>
      <w:r w:rsidRPr="00231893">
        <w:rPr>
          <w:rStyle w:val="Style13ptBold"/>
        </w:rPr>
        <w:t>Kumhof</w:t>
      </w:r>
      <w:proofErr w:type="spellEnd"/>
      <w:r w:rsidRPr="00231893">
        <w:rPr>
          <w:rStyle w:val="Style13ptBold"/>
        </w:rPr>
        <w:t xml:space="preserve"> 12</w:t>
      </w:r>
      <w:r>
        <w:t xml:space="preserve"> — </w:t>
      </w:r>
      <w:proofErr w:type="spellStart"/>
      <w:r>
        <w:t>Jaromir</w:t>
      </w:r>
      <w:proofErr w:type="spellEnd"/>
      <w:r>
        <w:t xml:space="preserve"> Benes, Senior Economist at International Monetary Fund, MSc, Macroeconomics, Masaryk University Brno, Michael </w:t>
      </w:r>
      <w:proofErr w:type="spellStart"/>
      <w:r>
        <w:t>Kumhof</w:t>
      </w:r>
      <w:proofErr w:type="spellEnd"/>
      <w:r>
        <w:t xml:space="preserve">, Senior Research Advisor Bank of England 2015-Present IMF Economist 2004-2014 Stanford University Professor 1998-2004 Ph.D. Economics University of Maryland 1998 Corporate Banking Barclays Bank PLC 1988-1993, 2012 (“The Chicago Plan Revisited,” </w:t>
      </w:r>
      <w:r w:rsidRPr="00E15138">
        <w:rPr>
          <w:i/>
        </w:rPr>
        <w:t>International Monetary Fund</w:t>
      </w:r>
      <w:r>
        <w:t xml:space="preserve">, available online at </w:t>
      </w:r>
      <w:hyperlink r:id="rId5" w:history="1">
        <w:r w:rsidRPr="00B27CAB">
          <w:rPr>
            <w:rStyle w:val="Hyperlink"/>
          </w:rPr>
          <w:t>http://www.imf.org/external/pubs/ft/wp/2012/wp12202.pdf</w:t>
        </w:r>
      </w:hyperlink>
      <w:r>
        <w:t>, accessed on 7-26-15)</w:t>
      </w:r>
    </w:p>
    <w:p w:rsidR="008616FB" w:rsidRDefault="008616FB" w:rsidP="008616FB">
      <w:r w:rsidRPr="00231893">
        <w:rPr>
          <w:rStyle w:val="StyleUnderline"/>
        </w:rPr>
        <w:t xml:space="preserve">This paper revisits </w:t>
      </w:r>
      <w:r w:rsidRPr="008616FB">
        <w:rPr>
          <w:rStyle w:val="StyleUnderline"/>
          <w:highlight w:val="yellow"/>
        </w:rPr>
        <w:t>the Chicago Plan</w:t>
      </w:r>
      <w:r>
        <w:t xml:space="preserve">, a proposal for fundamental monetary reform that was put forward by many leading U.S. economists at the height of the Great Depression. </w:t>
      </w:r>
      <w:r w:rsidRPr="00231893">
        <w:rPr>
          <w:rStyle w:val="StyleUnderline"/>
        </w:rPr>
        <w:t>Fisher</w:t>
      </w:r>
      <w:r w:rsidRPr="00231893">
        <w:t xml:space="preserve"> (1936), in his brilliant summary of the Chicago Plan, </w:t>
      </w:r>
      <w:r w:rsidRPr="00231893">
        <w:rPr>
          <w:rStyle w:val="StyleUnderline"/>
        </w:rPr>
        <w:t xml:space="preserve">claimed that it </w:t>
      </w:r>
      <w:r w:rsidRPr="008616FB">
        <w:rPr>
          <w:rStyle w:val="StyleUnderline"/>
          <w:highlight w:val="yellow"/>
        </w:rPr>
        <w:t>had four major advantages</w:t>
      </w:r>
      <w:r>
        <w:t xml:space="preserve">, ranging from greater macroeconomic stability </w:t>
      </w:r>
      <w:r w:rsidRPr="008616FB">
        <w:rPr>
          <w:rStyle w:val="StyleUnderline"/>
          <w:highlight w:val="yellow"/>
        </w:rPr>
        <w:t>to much lower debt levels throughout the economy</w:t>
      </w:r>
      <w:r w:rsidRPr="008616FB">
        <w:rPr>
          <w:highlight w:val="yellow"/>
        </w:rPr>
        <w:t>.</w:t>
      </w:r>
      <w:r>
        <w:t xml:space="preserve"> In this paper </w:t>
      </w:r>
      <w:r w:rsidRPr="008616FB">
        <w:rPr>
          <w:rStyle w:val="StyleUnderline"/>
          <w:highlight w:val="yellow"/>
        </w:rPr>
        <w:t>we</w:t>
      </w:r>
      <w:r w:rsidRPr="00231893">
        <w:rPr>
          <w:rStyle w:val="StyleUnderline"/>
        </w:rPr>
        <w:t xml:space="preserve"> are able to rigorously </w:t>
      </w:r>
      <w:r w:rsidRPr="008616FB">
        <w:rPr>
          <w:rStyle w:val="StyleUnderline"/>
          <w:highlight w:val="yellow"/>
        </w:rPr>
        <w:t>evaluate</w:t>
      </w:r>
      <w:r>
        <w:t xml:space="preserve"> his claims, </w:t>
      </w:r>
      <w:r w:rsidRPr="008616FB">
        <w:rPr>
          <w:rStyle w:val="StyleUnderline"/>
          <w:highlight w:val="yellow"/>
        </w:rPr>
        <w:t xml:space="preserve">by applying the recommendations of the Chicago Plan to a state-of-the-art monetary DSGE model that contains a fully </w:t>
      </w:r>
      <w:proofErr w:type="spellStart"/>
      <w:r w:rsidRPr="008616FB">
        <w:rPr>
          <w:rStyle w:val="StyleUnderline"/>
          <w:highlight w:val="yellow"/>
        </w:rPr>
        <w:t>microfounded</w:t>
      </w:r>
      <w:proofErr w:type="spellEnd"/>
      <w:r w:rsidRPr="008616FB">
        <w:rPr>
          <w:rStyle w:val="StyleUnderline"/>
          <w:highlight w:val="yellow"/>
        </w:rPr>
        <w:t xml:space="preserve"> and carefully calibrated model of the current U.S. financial system</w:t>
      </w:r>
      <w:r w:rsidRPr="008616FB">
        <w:rPr>
          <w:highlight w:val="yellow"/>
        </w:rPr>
        <w:t>.</w:t>
      </w:r>
      <w:r>
        <w:t xml:space="preserve"> The critical feature of this model is that the economy’s money supply is created by banks, through debt, rather than being created debt-free by the government.</w:t>
      </w:r>
    </w:p>
    <w:p w:rsidR="008616FB" w:rsidRDefault="008616FB" w:rsidP="008616FB">
      <w:r w:rsidRPr="00231893">
        <w:rPr>
          <w:rStyle w:val="StyleUnderline"/>
        </w:rPr>
        <w:t>Our</w:t>
      </w:r>
      <w:r>
        <w:t xml:space="preserve"> analytical and simulation </w:t>
      </w:r>
      <w:r w:rsidRPr="00231893">
        <w:rPr>
          <w:rStyle w:val="StyleUnderline"/>
        </w:rPr>
        <w:t>results fully validate Fisher’s</w:t>
      </w:r>
      <w:r>
        <w:t xml:space="preserve"> (1936) </w:t>
      </w:r>
      <w:r w:rsidRPr="00231893">
        <w:rPr>
          <w:rStyle w:val="StyleUnderline"/>
        </w:rPr>
        <w:t>claims</w:t>
      </w:r>
      <w:r>
        <w:t xml:space="preserve">. The Chicago Plan could significantly reduce business cycle volatility caused by rapid changes in banks’ attitudes towards credit </w:t>
      </w:r>
      <w:r w:rsidRPr="00231893">
        <w:t>risk,</w:t>
      </w:r>
      <w:r w:rsidRPr="00231893">
        <w:rPr>
          <w:rStyle w:val="StyleUnderline"/>
        </w:rPr>
        <w:t xml:space="preserve"> </w:t>
      </w:r>
      <w:r w:rsidRPr="008616FB">
        <w:rPr>
          <w:rStyle w:val="StyleUnderline"/>
          <w:highlight w:val="yellow"/>
        </w:rPr>
        <w:t>it would eliminate bank runs, and it would lead to an instantaneous and large reduction in the levels of both government and private debt</w:t>
      </w:r>
      <w:r w:rsidRPr="008616FB">
        <w:rPr>
          <w:highlight w:val="yellow"/>
        </w:rPr>
        <w:t xml:space="preserve">. </w:t>
      </w:r>
      <w:r w:rsidRPr="008616FB">
        <w:rPr>
          <w:rStyle w:val="StyleUnderline"/>
          <w:highlight w:val="yellow"/>
        </w:rPr>
        <w:t>It would accomplish the latter by making government-issued money, which represents equity in the commonwealth rather than debt, the central liquid asset of the economy, while banks concentrate on their strength, the extension of credit to investment projects that require monitoring and risk management expertise</w:t>
      </w:r>
      <w:r w:rsidRPr="00231893">
        <w:rPr>
          <w:rStyle w:val="StyleUnderline"/>
        </w:rPr>
        <w:t>.</w:t>
      </w:r>
      <w:r>
        <w:t xml:space="preserve"> We </w:t>
      </w:r>
      <w:r w:rsidRPr="00231893">
        <w:t>find that the advantages of the Chicago Plan go even beyond those claimed by Fisher. One</w:t>
      </w:r>
      <w:r>
        <w:t xml:space="preserve"> additional advantage is large steady state output gains due to the removal or reduction of multiple distortions, including interest rate risk spreads, distortionary taxes, and costly monitoring of </w:t>
      </w:r>
      <w:proofErr w:type="spellStart"/>
      <w:r>
        <w:t>macroeconomically</w:t>
      </w:r>
      <w:proofErr w:type="spellEnd"/>
      <w:r>
        <w:t xml:space="preserve"> unnecessary credit risks. Another advantage is the ability to drive steady state inflation to zero in an environment where liquidity traps do not exist, and where monetarism becomes feasible and desirable because the government does in fact control broad monetary aggregates. This ability to generate and live with zero steady state inflation is an important result, because it answers the somewhat confused claim of opponents of an exclusive government monopoly on money issuance, namely that such a monetary system would be highly inflationary. There is nothing in our theoretical framework to support this claim. And as discussed in Section II, there is very little in the monetary history of ancient societies and Western nations to support it either.</w:t>
      </w:r>
    </w:p>
    <w:p w:rsidR="00F8534B" w:rsidRDefault="00F8534B" w:rsidP="00F8534B">
      <w:pPr>
        <w:pStyle w:val="Nothing"/>
      </w:pPr>
    </w:p>
    <w:p w:rsidR="00F8534B" w:rsidRDefault="00F8534B" w:rsidP="00F8534B">
      <w:pPr>
        <w:pStyle w:val="Heading4"/>
      </w:pPr>
      <w:r>
        <w:t xml:space="preserve">Monolithic rejections of the law are wrong – cooption is more likely in non-state activism and fails to compare to alternative mechanisms for change. </w:t>
      </w:r>
      <w:r w:rsidRPr="00DC121B">
        <w:rPr>
          <w:u w:val="single"/>
        </w:rPr>
        <w:t>Concrete mechanisms for success</w:t>
      </w:r>
      <w:r>
        <w:t xml:space="preserve"> should be your metric for evaluation. </w:t>
      </w:r>
    </w:p>
    <w:p w:rsidR="00F8534B" w:rsidRDefault="00F8534B" w:rsidP="00F8534B">
      <w:pPr>
        <w:pStyle w:val="Nothing"/>
      </w:pPr>
      <w:proofErr w:type="spellStart"/>
      <w:r w:rsidRPr="00F8534B">
        <w:rPr>
          <w:rStyle w:val="Style13ptBold"/>
        </w:rPr>
        <w:t>Lobel</w:t>
      </w:r>
      <w:proofErr w:type="spellEnd"/>
      <w:r w:rsidRPr="00F8534B">
        <w:rPr>
          <w:rStyle w:val="Style13ptBold"/>
        </w:rPr>
        <w:t xml:space="preserve"> 7</w:t>
      </w:r>
      <w:r>
        <w:t xml:space="preserve"> (Assistant Professor of Law, University of San Diego)</w:t>
      </w:r>
    </w:p>
    <w:p w:rsidR="00F8534B" w:rsidRPr="002B720D" w:rsidRDefault="00F8534B" w:rsidP="00F8534B">
      <w:pPr>
        <w:pStyle w:val="Nothing"/>
      </w:pPr>
      <w:r>
        <w:t>(</w:t>
      </w:r>
      <w:proofErr w:type="spellStart"/>
      <w:r>
        <w:t>Orly</w:t>
      </w:r>
      <w:proofErr w:type="spellEnd"/>
      <w:r>
        <w:t xml:space="preserve">, THE PARADOX OF EXTRALEGAL ACTIVISM: CRITICAL LEGAL CONSCIOUSNESS AND TRANSFORMATIVE POLITICS, 120 </w:t>
      </w:r>
      <w:proofErr w:type="spellStart"/>
      <w:r>
        <w:t>Harv</w:t>
      </w:r>
      <w:proofErr w:type="spellEnd"/>
      <w:r>
        <w:t>. L. Rev. 937, February, 2007, LN)</w:t>
      </w:r>
    </w:p>
    <w:p w:rsidR="00F8534B" w:rsidRDefault="00F8534B" w:rsidP="00F8534B">
      <w:pPr>
        <w:pStyle w:val="Nothing"/>
      </w:pPr>
    </w:p>
    <w:p w:rsidR="00F8534B" w:rsidRPr="0045757B" w:rsidRDefault="00F8534B" w:rsidP="00F8534B">
      <w:pPr>
        <w:pStyle w:val="Cards"/>
        <w:ind w:left="0"/>
      </w:pPr>
      <w:r w:rsidRPr="0045757B">
        <w:t>In the following sections, I argue that the extralegal model has suffered from the same drawbacks associated with legal cooptation. I show that as an effort to avoid the risk of legal cooptation, the current wave of suggested alternatives has effects that ironically mirror those of cooptation itself. Three central types of difficulties exist with contemporary extralegal scholarship. First, in the contexts of the labor and civil rights movements</w:t>
      </w:r>
      <w:r w:rsidRPr="00F8534B">
        <w:rPr>
          <w:rStyle w:val="StyleUnderline"/>
        </w:rPr>
        <w:t xml:space="preserve">, </w:t>
      </w:r>
      <w:r w:rsidRPr="008616FB">
        <w:rPr>
          <w:rStyle w:val="StyleUnderline"/>
          <w:highlight w:val="yellow"/>
        </w:rPr>
        <w:t>arguments about legal cooptation</w:t>
      </w:r>
      <w:r w:rsidRPr="0045757B">
        <w:t xml:space="preserve"> often </w:t>
      </w:r>
      <w:r w:rsidRPr="008616FB">
        <w:rPr>
          <w:rStyle w:val="StyleUnderline"/>
          <w:highlight w:val="yellow"/>
        </w:rPr>
        <w:t>developed in response to a perceived gap between the</w:t>
      </w:r>
      <w:r w:rsidRPr="008616FB">
        <w:rPr>
          <w:highlight w:val="yellow"/>
        </w:rPr>
        <w:t xml:space="preserve"> </w:t>
      </w:r>
      <w:r w:rsidRPr="008616FB">
        <w:t xml:space="preserve">conceptual </w:t>
      </w:r>
      <w:r w:rsidRPr="008616FB">
        <w:rPr>
          <w:rStyle w:val="StyleUnderline"/>
          <w:highlight w:val="yellow"/>
        </w:rPr>
        <w:t>ideal</w:t>
      </w:r>
      <w:r w:rsidRPr="008616FB">
        <w:rPr>
          <w:rStyle w:val="StyleUnderline"/>
        </w:rPr>
        <w:t xml:space="preserve"> toward which a</w:t>
      </w:r>
      <w:r w:rsidRPr="008616FB">
        <w:t xml:space="preserve"> </w:t>
      </w:r>
      <w:r w:rsidR="008616FB">
        <w:t xml:space="preserve">social  </w:t>
      </w:r>
      <w:r w:rsidRPr="008616FB">
        <w:t xml:space="preserve">l </w:t>
      </w:r>
      <w:r w:rsidRPr="008616FB">
        <w:rPr>
          <w:rStyle w:val="StyleUnderline"/>
        </w:rPr>
        <w:t>reform group struggled and its actual accomplishments</w:t>
      </w:r>
      <w:r w:rsidRPr="008616FB">
        <w:t xml:space="preserve">. But, ironically, the contemporary message of </w:t>
      </w:r>
      <w:r w:rsidRPr="008616FB">
        <w:rPr>
          <w:rStyle w:val="StyleUnderline"/>
        </w:rPr>
        <w:t>opting out of traditional legal reform avenues may only accentuate this problem</w:t>
      </w:r>
      <w:r w:rsidRPr="008616FB">
        <w:t xml:space="preserve">. As the rise of </w:t>
      </w:r>
      <w:proofErr w:type="spellStart"/>
      <w:r w:rsidRPr="008616FB">
        <w:t>informalization</w:t>
      </w:r>
      <w:proofErr w:type="spellEnd"/>
      <w:r w:rsidRPr="00E96DD1">
        <w:t xml:space="preserve"> (moving to </w:t>
      </w:r>
      <w:proofErr w:type="spellStart"/>
      <w:r w:rsidRPr="00E96DD1">
        <w:t>nonlegal</w:t>
      </w:r>
      <w:proofErr w:type="spellEnd"/>
      <w:r w:rsidRPr="00E96DD1">
        <w:t xml:space="preserve"> strategies), civil society (moving to extralegal spheres), and pluralism (the proliferation of norm-generating actors) has been effected and appropriated by supporters from a wide range of poli</w:t>
      </w:r>
      <w:r w:rsidRPr="0045757B">
        <w:t xml:space="preserve">tical commitments, these concepts have had unintended implications that conflict with the very social reform ideals from which they stem. Second, </w:t>
      </w:r>
      <w:r w:rsidRPr="00F8534B">
        <w:rPr>
          <w:rStyle w:val="StyleUnderline"/>
        </w:rPr>
        <w:t>t</w:t>
      </w:r>
      <w:r w:rsidRPr="008616FB">
        <w:rPr>
          <w:rStyle w:val="StyleUnderline"/>
          <w:highlight w:val="yellow"/>
        </w:rPr>
        <w:t>he idea of opting out of the legal arena becomes self-defeating as it discounts the ongoing importance of law and the possibilities of legal reform in seemingly unregulated spheres</w:t>
      </w:r>
      <w:r w:rsidRPr="0045757B">
        <w:t xml:space="preserve">. A model encompassing exit and rigid </w:t>
      </w:r>
      <w:r w:rsidRPr="00F8534B">
        <w:rPr>
          <w:rStyle w:val="StyleUnderline"/>
        </w:rPr>
        <w:t xml:space="preserve">sphere distinctions further fails to recognize a reality of </w:t>
      </w:r>
      <w:r w:rsidRPr="0045757B">
        <w:t xml:space="preserve">increasing interpenetration and the </w:t>
      </w:r>
      <w:r w:rsidRPr="00F8534B">
        <w:rPr>
          <w:rStyle w:val="StyleUnderline"/>
        </w:rPr>
        <w:t>blurring of boundaries between private and public spheres</w:t>
      </w:r>
      <w:r w:rsidRPr="0045757B">
        <w:t xml:space="preserve">, profit and nonprofit sectors, and formal and informal institutions. It therefore loses the critical insight that </w:t>
      </w:r>
      <w:r w:rsidRPr="008616FB">
        <w:rPr>
          <w:rStyle w:val="StyleUnderline"/>
          <w:highlight w:val="yellow"/>
        </w:rPr>
        <w:t>law operates in the background of seemingly unregulated relationships</w:t>
      </w:r>
      <w:r w:rsidRPr="0045757B">
        <w:t xml:space="preserve">. Again paradoxically, </w:t>
      </w:r>
      <w:r w:rsidRPr="00F8534B">
        <w:rPr>
          <w:rStyle w:val="StyleUnderline"/>
        </w:rPr>
        <w:t>the extralegal view of decentralized activism and the division of society into different spheres in fact have worked to subvert rather than support the progressive agenda</w:t>
      </w:r>
      <w:r w:rsidRPr="0045757B">
        <w:t xml:space="preserve">. Finally, </w:t>
      </w:r>
      <w:r w:rsidRPr="00F8534B">
        <w:rPr>
          <w:rStyle w:val="StyleUnderline"/>
        </w:rPr>
        <w:t xml:space="preserve">since extralegal actors view their actions with romantic idealism, they fail to develop tools </w:t>
      </w:r>
      <w:proofErr w:type="gramStart"/>
      <w:r w:rsidRPr="00F8534B">
        <w:rPr>
          <w:rStyle w:val="StyleUnderline"/>
        </w:rPr>
        <w:t>for</w:t>
      </w:r>
      <w:r w:rsidRPr="0045757B">
        <w:t xml:space="preserve">  </w:t>
      </w:r>
      <w:r w:rsidRPr="00F8534B">
        <w:rPr>
          <w:rStyle w:val="StyleUnderline"/>
        </w:rPr>
        <w:t>evaluating</w:t>
      </w:r>
      <w:proofErr w:type="gramEnd"/>
      <w:r w:rsidRPr="00F8534B">
        <w:rPr>
          <w:rStyle w:val="StyleUnderline"/>
        </w:rPr>
        <w:t xml:space="preserve"> their success</w:t>
      </w:r>
      <w:r w:rsidRPr="0045757B">
        <w:t xml:space="preserve">. </w:t>
      </w:r>
      <w:r w:rsidRPr="008616FB">
        <w:rPr>
          <w:rStyle w:val="StyleUnderline"/>
          <w:highlight w:val="yellow"/>
        </w:rPr>
        <w:t>If the critique</w:t>
      </w:r>
      <w:r w:rsidRPr="0045757B">
        <w:t xml:space="preserve"> of legal cooptation </w:t>
      </w:r>
      <w:r w:rsidRPr="008616FB">
        <w:rPr>
          <w:rStyle w:val="StyleUnderline"/>
          <w:highlight w:val="yellow"/>
        </w:rPr>
        <w:t>has involved the argument that legal reform</w:t>
      </w:r>
      <w:r w:rsidRPr="0045757B">
        <w:t xml:space="preserve">, even when viewed as a victory, </w:t>
      </w:r>
      <w:r w:rsidRPr="008616FB">
        <w:rPr>
          <w:rStyle w:val="StyleUnderline"/>
          <w:highlight w:val="yellow"/>
        </w:rPr>
        <w:t>is never radically transformative</w:t>
      </w:r>
      <w:r w:rsidRPr="008616FB">
        <w:rPr>
          <w:highlight w:val="yellow"/>
        </w:rPr>
        <w:t xml:space="preserve">, </w:t>
      </w:r>
      <w:r w:rsidRPr="008616FB">
        <w:rPr>
          <w:rStyle w:val="StyleUnderline"/>
          <w:highlight w:val="yellow"/>
        </w:rPr>
        <w:t>we must ask: what are the criteria for assessing the achievements of the suggested alternatives?</w:t>
      </w:r>
      <w:r w:rsidRPr="0045757B">
        <w:t xml:space="preserve"> As I illustrate in the following sections, much of the current scholarship obscures the lines between the descriptive and the prescriptive in its formulation of social activism. If current suggestions present themselves as alternatives to formal legal struggles, </w:t>
      </w:r>
      <w:r w:rsidRPr="00F8534B">
        <w:rPr>
          <w:rStyle w:val="StyleUnderline"/>
        </w:rPr>
        <w:t>we must question whether the new extralegal politics that are proposed</w:t>
      </w:r>
      <w:r w:rsidRPr="0045757B">
        <w:t xml:space="preserve"> and celebrated </w:t>
      </w:r>
      <w:r w:rsidRPr="00F8534B">
        <w:rPr>
          <w:rStyle w:val="StyleUnderline"/>
        </w:rPr>
        <w:t>are capable of producing a constructive theory and meaningful channels for reform, rather than passive status quo politics</w:t>
      </w:r>
      <w:r w:rsidRPr="0045757B">
        <w:t>.</w:t>
      </w:r>
    </w:p>
    <w:p w:rsidR="00F8534B" w:rsidRPr="00E96DD1" w:rsidRDefault="00F8534B" w:rsidP="00F8534B">
      <w:pPr>
        <w:pStyle w:val="Cards"/>
        <w:ind w:left="0"/>
        <w:rPr>
          <w:sz w:val="12"/>
          <w:szCs w:val="12"/>
        </w:rPr>
      </w:pPr>
      <w:r w:rsidRPr="00E96DD1">
        <w:rPr>
          <w:sz w:val="12"/>
          <w:szCs w:val="12"/>
        </w:rPr>
        <w:t>A. Practical Failures: When Extralegal Alternatives Are Vehicles for Conservative Agendas</w:t>
      </w:r>
    </w:p>
    <w:p w:rsidR="00F8534B" w:rsidRPr="00E96DD1" w:rsidRDefault="00F8534B" w:rsidP="00F8534B">
      <w:pPr>
        <w:pStyle w:val="Cards"/>
        <w:ind w:left="0"/>
        <w:rPr>
          <w:sz w:val="12"/>
          <w:szCs w:val="12"/>
        </w:rPr>
      </w:pPr>
      <w:r w:rsidRPr="00E96DD1">
        <w:rPr>
          <w:sz w:val="12"/>
          <w:szCs w:val="12"/>
        </w:rPr>
        <w:t>We don't want the 1950s back. What we want is to edit them. We want to keep the safe streets, the friendly grocers, and the milk and cookies, while blotting out the political bosses, the tyrannical headmasters, the inflexible rules, and the lectures on 100 percent Americanism and the sinfulness of dissent. n163</w:t>
      </w:r>
    </w:p>
    <w:p w:rsidR="00F8534B" w:rsidRPr="00E96DD1" w:rsidRDefault="00F8534B" w:rsidP="00F8534B">
      <w:pPr>
        <w:pStyle w:val="Cards"/>
        <w:ind w:left="0"/>
        <w:rPr>
          <w:sz w:val="12"/>
          <w:szCs w:val="12"/>
        </w:rPr>
      </w:pPr>
      <w:r w:rsidRPr="00E96DD1">
        <w:rPr>
          <w:sz w:val="12"/>
          <w:szCs w:val="12"/>
        </w:rPr>
        <w:t>A basic structure of cooptation arguments as developed in relation to the labor and civil rights movements has been to show how, in the move from theory to practice, the ideal that was promoted by a social group takes on unintended content, and the group thus fails to realize the original vision. This risk is particularly high when ideals are framed in broad terms that are open to multiple interpretations. Moreover, the pitfalls of the potential risks presented under the umbrella of cooptation are in fact accentuated in current proposals. Paradoxically, as the extralegal movement is framed by way of opposition to formal legal reform paths, without sufficiently defining its goals, it runs the very risks it sought to avoid by working outside the legal system.</w:t>
      </w:r>
    </w:p>
    <w:p w:rsidR="00F8534B" w:rsidRPr="00E96DD1" w:rsidRDefault="00F8534B" w:rsidP="00F8534B">
      <w:pPr>
        <w:pStyle w:val="Cards"/>
        <w:ind w:left="0"/>
        <w:rPr>
          <w:sz w:val="12"/>
          <w:szCs w:val="12"/>
        </w:rPr>
      </w:pPr>
      <w:r w:rsidRPr="00E96DD1">
        <w:rPr>
          <w:sz w:val="12"/>
          <w:szCs w:val="12"/>
        </w:rPr>
        <w:t xml:space="preserve">Extralegal paths are depicted mostly in negative terms and as resorting to new alternative forms of action rather than established models. Accordingly, because the ideas of social organizing, civil society, and legal pluralism are framed in open-ended contrarian terms, they do not translate into specific visions of social justice reform. The idea of civil society, which has been embraced by people from a broad array of often conflicting ideological commitments, is particularly demonstrative. Critics argue that "some ideas fail because they never make the light of day. The idea of civil society ... failed because </w:t>
      </w:r>
      <w:proofErr w:type="gramStart"/>
      <w:r w:rsidRPr="00E96DD1">
        <w:rPr>
          <w:sz w:val="12"/>
          <w:szCs w:val="12"/>
        </w:rPr>
        <w:t>it  [</w:t>
      </w:r>
      <w:proofErr w:type="gramEnd"/>
      <w:r w:rsidRPr="00E96DD1">
        <w:rPr>
          <w:sz w:val="12"/>
          <w:szCs w:val="12"/>
        </w:rPr>
        <w:t>*972]  became too popular." n164 Such a broadly conceived ideal as civil society sows the seeds of its own destruction.</w:t>
      </w:r>
    </w:p>
    <w:p w:rsidR="00F8534B" w:rsidRPr="00E96DD1" w:rsidRDefault="00F8534B" w:rsidP="00F8534B">
      <w:pPr>
        <w:pStyle w:val="Cards"/>
        <w:ind w:left="0"/>
        <w:rPr>
          <w:sz w:val="12"/>
          <w:szCs w:val="12"/>
        </w:rPr>
      </w:pPr>
      <w:r w:rsidRPr="00E96DD1">
        <w:rPr>
          <w:sz w:val="12"/>
          <w:szCs w:val="12"/>
        </w:rPr>
        <w:t>In former eras, the claims about the legal cooptation of the transformative visions of workplace justice and racial equality suggested that through legal strategies the visions became stripped of their initial depth and fragmented and framed in ways that were narrow and often merely symbolic. This observation seems accurate in the contemporary political arena; the idea of civil society revivalism evoked by progressive activists has been reduced to symbolic acts with very little substance. On the left, progressive advocates envision decentralized activism in a third, nongovernmental sphere as a way of reviving democratic participation and rebuilding the state from the bottom up. By contrast, the idea of civil society has been embraced by conservative politicians as a means for replacing government-funded programs and steering away from state intervention. As a result, recent political uses of civil society have subverted the ideals of progressive social reform and replaced them with conservative agendas that reject egalitarian views of social provision.</w:t>
      </w:r>
    </w:p>
    <w:p w:rsidR="00F8534B" w:rsidRPr="00E96DD1" w:rsidRDefault="00F8534B" w:rsidP="00F8534B">
      <w:pPr>
        <w:pStyle w:val="Cards"/>
        <w:ind w:left="0"/>
        <w:rPr>
          <w:sz w:val="12"/>
          <w:szCs w:val="12"/>
        </w:rPr>
      </w:pPr>
      <w:r w:rsidRPr="00E96DD1">
        <w:rPr>
          <w:sz w:val="12"/>
          <w:szCs w:val="12"/>
        </w:rPr>
        <w:t xml:space="preserve">In particular, recent calls to strengthen civil society have been advanced by politicians interested in dismantling the modern welfare system. Conservative civil society revivalism often equates the idea of self-help through extralegal means with traditional family structures, and blames the breakdown of those structures (for example, the rise of the single parent family) for the increase in reliance and dependency on government aid. </w:t>
      </w:r>
      <w:proofErr w:type="gramStart"/>
      <w:r w:rsidRPr="00E96DD1">
        <w:rPr>
          <w:sz w:val="12"/>
          <w:szCs w:val="12"/>
        </w:rPr>
        <w:t>n165</w:t>
      </w:r>
      <w:proofErr w:type="gramEnd"/>
      <w:r w:rsidRPr="00E96DD1">
        <w:rPr>
          <w:sz w:val="12"/>
          <w:szCs w:val="12"/>
        </w:rPr>
        <w:t xml:space="preserve"> This recent depiction of the third sphere of civic life works against legal reform precisely because state intervention may support newer, nontraditional social structures. For conservative thinkers, legal reform also risks increasing dependency on social services by groups who have traditionally been marginalized, including disproportionate reliance on public funds by people of color and single mothers. Indeed, the end of welfare as we knew it, n166 as well as the  [*973]  transformation of work as we knew it, n167 is closely related to the quest of thinkers from all sides of the political spectrum for a third space that could replace the traditional functions of work and welfare. Strikingly, a range of liberal and conservative visions have thus converged into the same agenda, such as the recent welfare-to-work reforms, which rely on myriad non-governmental institutions and activities to support them. n168</w:t>
      </w:r>
    </w:p>
    <w:p w:rsidR="00F8534B" w:rsidRPr="00E96DD1" w:rsidRDefault="00F8534B" w:rsidP="00F8534B">
      <w:pPr>
        <w:pStyle w:val="Cards"/>
        <w:ind w:left="0"/>
        <w:rPr>
          <w:sz w:val="12"/>
          <w:szCs w:val="12"/>
        </w:rPr>
      </w:pPr>
      <w:r w:rsidRPr="00E96DD1">
        <w:rPr>
          <w:sz w:val="12"/>
          <w:szCs w:val="12"/>
        </w:rPr>
        <w:t>When analyzed from the perspective of the unbundled cooptation critique, it becomes evident that there are multiple limits to the contemporary extralegal current. First, there have been significant problems with resources and zero-sum energies in the recent campaigns promoting community development and welfare. For example, the initial vision of welfare-to-work supported by liberal reformers was a multifaceted, dynamic system that would reshape the roles and responsibilities of the welfare bureaucracy. The Personal Responsibility and Work Opportunity Reconciliation Act of 1996 n169 (PRWORA), supported by President Clinton, was designed to convert various welfare programs, including Aid to Families with Dependent Children, into a single block grant program. The aim was to transform passive cash assistance into a more active welfare system, in which individuals would be better assisted, by both the government and the community, to return to the labor force and find opportunities to support themselves. Yet from the broad vision to actual implementation, the program quickly became limited in focus and in resources. Indeed, PRWORA placed new limits on welfare provision by eliminating eligibility categories and by placing rigid time limits on the provision of benefits. n170</w:t>
      </w:r>
    </w:p>
    <w:p w:rsidR="00F8534B" w:rsidRPr="00E96DD1" w:rsidRDefault="00F8534B" w:rsidP="00F8534B">
      <w:pPr>
        <w:pStyle w:val="Cards"/>
        <w:ind w:left="0"/>
        <w:rPr>
          <w:sz w:val="12"/>
          <w:szCs w:val="12"/>
        </w:rPr>
      </w:pPr>
      <w:r w:rsidRPr="00E96DD1">
        <w:rPr>
          <w:sz w:val="12"/>
          <w:szCs w:val="12"/>
        </w:rPr>
        <w:t xml:space="preserve">Moreover, the need to frame questions relating to work, welfare, and poverty in institutional arrangements and professional jargon and to comply with various funding block grants has made some issues, such as the statistical reduction of welfare recipients, more salient, whereas other issues, such as the quality of jobs offered, have been largely eliminated from policymakers' consideration. Despite aspects of the reform that were hailed as empowering for those groups they were designed to help, such as individual private training vouchers, serious questions have been raised about the adequacy of the particular  [*974]  policy design because resources and institutional support have been found lacking. </w:t>
      </w:r>
      <w:proofErr w:type="gramStart"/>
      <w:r w:rsidRPr="00E96DD1">
        <w:rPr>
          <w:sz w:val="12"/>
          <w:szCs w:val="12"/>
        </w:rPr>
        <w:t>n171</w:t>
      </w:r>
      <w:proofErr w:type="gramEnd"/>
      <w:r w:rsidRPr="00E96DD1">
        <w:rPr>
          <w:sz w:val="12"/>
          <w:szCs w:val="12"/>
        </w:rPr>
        <w:t xml:space="preserve"> The reforms require individual choices and rely on the ability of private recipients to mine through a vast range of information. As in the areas of child care, health care, and educational vouchers, critics worry that the most disadvantaged workers in the new market will not be able to take advantage of the reforms. </w:t>
      </w:r>
      <w:proofErr w:type="gramStart"/>
      <w:r w:rsidRPr="00E96DD1">
        <w:rPr>
          <w:sz w:val="12"/>
          <w:szCs w:val="12"/>
        </w:rPr>
        <w:t>n172</w:t>
      </w:r>
      <w:proofErr w:type="gramEnd"/>
      <w:r w:rsidRPr="00E96DD1">
        <w:rPr>
          <w:sz w:val="12"/>
          <w:szCs w:val="12"/>
        </w:rPr>
        <w:t xml:space="preserve"> Under such conditions, the goal of eliminating poverty may be eroded and replaced by other goals, such as reducing public expenses. Thus, recalling the earlier cooptation critique, once reforms are envisioned, even when they need not be framed in legalistic terms, they in some ways become reduced to a handful of issues, while fragmenting, neglecting, and ultimately neutralizing other possibilities.</w:t>
      </w:r>
    </w:p>
    <w:p w:rsidR="00F8534B" w:rsidRPr="00360FF4" w:rsidRDefault="00F8534B" w:rsidP="00F8534B">
      <w:pPr>
        <w:pStyle w:val="Cards"/>
        <w:ind w:left="0"/>
        <w:rPr>
          <w:sz w:val="12"/>
          <w:szCs w:val="12"/>
        </w:rPr>
      </w:pPr>
      <w:r>
        <w:t>At this point, the paradox of extralegal activism unfold</w:t>
      </w:r>
      <w:r w:rsidRPr="00E96DD1">
        <w:t>s. While public interest thinkers increasingly embrace</w:t>
      </w:r>
      <w:r w:rsidRPr="00F8534B">
        <w:rPr>
          <w:rStyle w:val="StyleUnderline"/>
        </w:rPr>
        <w:t xml:space="preserve"> </w:t>
      </w:r>
      <w:r w:rsidRPr="008616FB">
        <w:rPr>
          <w:rStyle w:val="StyleUnderline"/>
          <w:highlight w:val="yellow"/>
        </w:rPr>
        <w:t>an axiomatic rejection of law</w:t>
      </w:r>
      <w:r>
        <w:t xml:space="preserve"> as the primary form of progress, their preferred form of activism </w:t>
      </w:r>
      <w:r w:rsidRPr="008616FB">
        <w:rPr>
          <w:rStyle w:val="StyleUnderline"/>
          <w:highlight w:val="yellow"/>
        </w:rPr>
        <w:t>presents the very risks they seek to avoid</w:t>
      </w:r>
      <w:r>
        <w:t xml:space="preserve">. </w:t>
      </w:r>
      <w:r w:rsidRPr="00F8534B">
        <w:rPr>
          <w:rStyle w:val="StyleUnderline"/>
        </w:rPr>
        <w:t>The</w:t>
      </w:r>
      <w:r>
        <w:t xml:space="preserve"> rejected "</w:t>
      </w:r>
      <w:r w:rsidRPr="00F8534B">
        <w:rPr>
          <w:rStyle w:val="StyleUnderline"/>
        </w:rPr>
        <w:t>myth of the law" is replaced by a</w:t>
      </w:r>
      <w:r>
        <w:t xml:space="preserve"> "myth of activism" or a "</w:t>
      </w:r>
      <w:r w:rsidRPr="00F8534B">
        <w:rPr>
          <w:rStyle w:val="StyleUnderline"/>
        </w:rPr>
        <w:t>myth of exit," romanticizing a distinct sphere that can better solve social conflict</w:t>
      </w:r>
      <w:r>
        <w:t xml:space="preserve">. </w:t>
      </w:r>
      <w:r w:rsidRPr="00360FF4">
        <w:rPr>
          <w:sz w:val="12"/>
          <w:szCs w:val="12"/>
        </w:rPr>
        <w:t xml:space="preserve">Yet these myths, like other myths, come complete with their own perpetual perils. The myth of exit exemplifies the myriad concerns of cooptation. For feminist agendas, for example, the separation of the world into distinct spheres of action has been a continuous impediment to meaningful reform. Efforts to create better possibilities for women to balance work and family responsibilities, including relaxing home work rules and supporting stay-at-home parents through federal child care legislation, have been couched in terms of support for individual choice and private </w:t>
      </w:r>
      <w:proofErr w:type="spellStart"/>
      <w:r w:rsidRPr="00360FF4">
        <w:rPr>
          <w:sz w:val="12"/>
          <w:szCs w:val="12"/>
        </w:rPr>
        <w:t>decisionmaking</w:t>
      </w:r>
      <w:proofErr w:type="spellEnd"/>
      <w:r w:rsidRPr="00360FF4">
        <w:rPr>
          <w:sz w:val="12"/>
          <w:szCs w:val="12"/>
        </w:rPr>
        <w:t xml:space="preserve">. </w:t>
      </w:r>
      <w:proofErr w:type="gramStart"/>
      <w:r w:rsidRPr="00360FF4">
        <w:rPr>
          <w:sz w:val="12"/>
          <w:szCs w:val="12"/>
        </w:rPr>
        <w:t>n173</w:t>
      </w:r>
      <w:proofErr w:type="gramEnd"/>
      <w:r w:rsidRPr="00360FF4">
        <w:rPr>
          <w:sz w:val="12"/>
          <w:szCs w:val="12"/>
        </w:rPr>
        <w:t xml:space="preserve"> Indeed, recent initiatives in federal child care legislation to support stay-at-home parents have been clouded by preconceptions of the separation of spheres and the need to make one-or-the-other life choices. Most importantly, the emergence of a sphere-oriented discourse abandons a critical perspective that distinguishes between valuing traditional gender-based characteristics and celebrating feminine difference in a </w:t>
      </w:r>
      <w:proofErr w:type="gramStart"/>
      <w:r w:rsidRPr="00360FF4">
        <w:rPr>
          <w:sz w:val="12"/>
          <w:szCs w:val="12"/>
        </w:rPr>
        <w:t>universalist</w:t>
      </w:r>
      <w:proofErr w:type="gramEnd"/>
      <w:r w:rsidRPr="00360FF4">
        <w:rPr>
          <w:sz w:val="12"/>
          <w:szCs w:val="12"/>
        </w:rPr>
        <w:t xml:space="preserve"> and essentialist manner. n174  [*975]  Not surprisingly then, some feminist writers have responded to civil society revivalism with great skepticism, arguing that efforts to align feminine values and agendas with classic republican theory of civil society activism should be understood, at least in part, as a way of legitimizing historical social structures that subordinated women.</w:t>
      </w:r>
    </w:p>
    <w:p w:rsidR="00F8534B" w:rsidRPr="00360FF4" w:rsidRDefault="00F8534B" w:rsidP="00F8534B">
      <w:pPr>
        <w:pStyle w:val="Cards"/>
        <w:ind w:left="0"/>
        <w:rPr>
          <w:sz w:val="12"/>
          <w:szCs w:val="12"/>
        </w:rPr>
      </w:pPr>
      <w:r w:rsidRPr="00360FF4">
        <w:rPr>
          <w:sz w:val="12"/>
          <w:szCs w:val="12"/>
        </w:rPr>
        <w:t xml:space="preserve">The feminist lesson on the law/exit pendulum reveals a broader pattern. In a classic example of cooptation, activists should be concerned about the infusion (or indeed confusion) of </w:t>
      </w:r>
      <w:proofErr w:type="spellStart"/>
      <w:r w:rsidRPr="00360FF4">
        <w:rPr>
          <w:sz w:val="12"/>
          <w:szCs w:val="12"/>
        </w:rPr>
        <w:t>nonlegal</w:t>
      </w:r>
      <w:proofErr w:type="spellEnd"/>
      <w:r w:rsidRPr="00360FF4">
        <w:rPr>
          <w:sz w:val="12"/>
          <w:szCs w:val="12"/>
        </w:rPr>
        <w:t xml:space="preserve"> strategies with conservative privatization agendas. Indeed, in significant social policy contexts, legal scholarship oriented toward the exploration of extralegal paths reinforces the exact narrative that it originally resisted - that the state cannot and should not be accountable for sustaining and improving the lifeworld of individuals in the twenty-first-century economy and that we must seek alternative ways to bring about social reform. Whether using the terminology of a path-dependent process, an inevitable downward spiral, a transnational prisoner's dilemma, or a global race to the bottom, current analyses often suggest a lack of control over the forces of new economic realities. Rather than countering the story of lack of control, pointing to the ongoing role of government and showing the contradictions between that which is being kept regulated and that which is privatized, alternative extralegal scholarship accepts these developments as natural and inevitable. Similar to the arguments developed in relation to the labor movement - in which focusing on a limited right to collective bargaining demobilized workers and stripped them of their voice, participation, and </w:t>
      </w:r>
      <w:proofErr w:type="spellStart"/>
      <w:r w:rsidRPr="00360FF4">
        <w:rPr>
          <w:sz w:val="12"/>
          <w:szCs w:val="12"/>
        </w:rPr>
        <w:t>decisionmaking</w:t>
      </w:r>
      <w:proofErr w:type="spellEnd"/>
      <w:r w:rsidRPr="00360FF4">
        <w:rPr>
          <w:sz w:val="12"/>
          <w:szCs w:val="12"/>
        </w:rPr>
        <w:t xml:space="preserve"> power - contemporary extralegal agendas are limited to very narrow and patterned sets of reforms.</w:t>
      </w:r>
    </w:p>
    <w:p w:rsidR="00F8534B" w:rsidRPr="00360FF4" w:rsidRDefault="00F8534B" w:rsidP="00F8534B">
      <w:pPr>
        <w:pStyle w:val="Cards"/>
        <w:ind w:left="0"/>
        <w:rPr>
          <w:sz w:val="12"/>
          <w:szCs w:val="12"/>
        </w:rPr>
      </w:pPr>
      <w:r w:rsidRPr="00360FF4">
        <w:rPr>
          <w:sz w:val="12"/>
          <w:szCs w:val="12"/>
        </w:rPr>
        <w:t xml:space="preserve">A striking example has been the focus on welfare reform as the single frontier of economic redistribution without a connection being made between these reforms and social services in which the middle class has a strong interest, such as Social Security and Medicare. Similarly, on the legal pluralism frontier, when activists call for more corporate social responsibility, the initial expressions are those of broad demands for sustainable development and overall industry obligations for the social and environmental consequences of their activities. </w:t>
      </w:r>
      <w:proofErr w:type="gramStart"/>
      <w:r w:rsidRPr="00360FF4">
        <w:rPr>
          <w:sz w:val="12"/>
          <w:szCs w:val="12"/>
        </w:rPr>
        <w:t>n176</w:t>
      </w:r>
      <w:proofErr w:type="gramEnd"/>
      <w:r w:rsidRPr="00360FF4">
        <w:rPr>
          <w:sz w:val="12"/>
          <w:szCs w:val="12"/>
        </w:rPr>
        <w:t xml:space="preserve"> The discourse, however, quickly becomes coopted by a shift to a narrow focus on charitable donations and corporate philanthropy or  [*976]  private reporting absent an institutionalized compliance structure. </w:t>
      </w:r>
      <w:proofErr w:type="gramStart"/>
      <w:r w:rsidRPr="00360FF4">
        <w:rPr>
          <w:sz w:val="12"/>
          <w:szCs w:val="12"/>
        </w:rPr>
        <w:t>n177</w:t>
      </w:r>
      <w:proofErr w:type="gramEnd"/>
      <w:r w:rsidRPr="00360FF4">
        <w:rPr>
          <w:sz w:val="12"/>
          <w:szCs w:val="12"/>
        </w:rPr>
        <w:t xml:space="preserve"> Moreover, because of institutional limitations and crowding out effects possible in any type of reform agenda, the focus shifts to the benefits of corporate social responsibility to businesses, as marketing, recruit-</w:t>
      </w:r>
      <w:proofErr w:type="spellStart"/>
      <w:r w:rsidRPr="00360FF4">
        <w:rPr>
          <w:sz w:val="12"/>
          <w:szCs w:val="12"/>
        </w:rPr>
        <w:t>ment</w:t>
      </w:r>
      <w:proofErr w:type="spellEnd"/>
      <w:r w:rsidRPr="00360FF4">
        <w:rPr>
          <w:sz w:val="12"/>
          <w:szCs w:val="12"/>
        </w:rPr>
        <w:t xml:space="preserve">, public relations, and "greenwashing" strategies. </w:t>
      </w:r>
      <w:proofErr w:type="gramStart"/>
      <w:r w:rsidRPr="00360FF4">
        <w:rPr>
          <w:sz w:val="12"/>
          <w:szCs w:val="12"/>
        </w:rPr>
        <w:t>n178</w:t>
      </w:r>
      <w:proofErr w:type="gramEnd"/>
      <w:r w:rsidRPr="00360FF4">
        <w:rPr>
          <w:sz w:val="12"/>
          <w:szCs w:val="12"/>
        </w:rPr>
        <w:t xml:space="preserve"> Critics therefore become deeply cynical about the industry's real commitments to ethical conduct.</w:t>
      </w:r>
    </w:p>
    <w:p w:rsidR="00F8534B" w:rsidRPr="00360FF4" w:rsidRDefault="00F8534B" w:rsidP="00F8534B">
      <w:pPr>
        <w:pStyle w:val="Cards"/>
        <w:ind w:left="0"/>
        <w:rPr>
          <w:sz w:val="12"/>
          <w:szCs w:val="12"/>
        </w:rPr>
      </w:pPr>
      <w:r w:rsidRPr="00360FF4">
        <w:rPr>
          <w:sz w:val="12"/>
          <w:szCs w:val="12"/>
        </w:rPr>
        <w:t xml:space="preserve">A similar process can be described with regard to the literature on globalization. Globalization scholarship often attempts to produce a unifying narrative and an image of unitary struggle when in fact such unity does not exist. Embodied in the aforementioned irony of a "global anti-globalization" movement, social reform activism that resides under the umbrella of global movements is greatly diverse, some of it highly conservative. An "anti-globalization" movement can be a defensive nationalist movement infused with xenophobia and protective ideologies. </w:t>
      </w:r>
      <w:proofErr w:type="gramStart"/>
      <w:r w:rsidRPr="00360FF4">
        <w:rPr>
          <w:sz w:val="12"/>
          <w:szCs w:val="12"/>
        </w:rPr>
        <w:t>n179</w:t>
      </w:r>
      <w:proofErr w:type="gramEnd"/>
      <w:r w:rsidRPr="00360FF4">
        <w:rPr>
          <w:sz w:val="12"/>
          <w:szCs w:val="12"/>
        </w:rPr>
        <w:t xml:space="preserve"> In fact, during central instances of collective action, such as those in Seattle, Quebec, Puerto Alegre, and Genoa, competing and conflicting claims were frequently encompassed in the same protest. </w:t>
      </w:r>
      <w:proofErr w:type="gramStart"/>
      <w:r w:rsidRPr="00360FF4">
        <w:rPr>
          <w:sz w:val="12"/>
          <w:szCs w:val="12"/>
        </w:rPr>
        <w:t>n180</w:t>
      </w:r>
      <w:proofErr w:type="gramEnd"/>
      <w:r w:rsidRPr="00360FF4">
        <w:rPr>
          <w:sz w:val="12"/>
          <w:szCs w:val="12"/>
        </w:rPr>
        <w:t xml:space="preserve"> Nevertheless, there is a tendency to celebrate and idealize these protests as united and world-altering.</w:t>
      </w:r>
    </w:p>
    <w:p w:rsidR="00F8534B" w:rsidRPr="00360FF4" w:rsidRDefault="00F8534B" w:rsidP="00F8534B">
      <w:pPr>
        <w:pStyle w:val="Cards"/>
        <w:ind w:left="0"/>
        <w:rPr>
          <w:sz w:val="12"/>
          <w:szCs w:val="12"/>
        </w:rPr>
      </w:pPr>
      <w:r w:rsidRPr="00360FF4">
        <w:rPr>
          <w:sz w:val="12"/>
          <w:szCs w:val="12"/>
        </w:rPr>
        <w:t xml:space="preserve">Similarly, at the local level, grassroots politics often lack a clear agenda and are particularly ripe for cooptation resulting in far lesser achievements than what may have been expected by the groups involved. In a critical introduction to the law and organizing model, Professor Scott Cummings and Ingrid </w:t>
      </w:r>
      <w:proofErr w:type="spellStart"/>
      <w:r w:rsidRPr="00360FF4">
        <w:rPr>
          <w:sz w:val="12"/>
          <w:szCs w:val="12"/>
        </w:rPr>
        <w:t>Eagly</w:t>
      </w:r>
      <w:proofErr w:type="spellEnd"/>
      <w:r w:rsidRPr="00360FF4">
        <w:rPr>
          <w:sz w:val="12"/>
          <w:szCs w:val="12"/>
        </w:rPr>
        <w:t xml:space="preserve"> describe the ways in which new community-based approaches to progressive lawyering privilege grassroots activism over legal reform efforts and the facilitation of community mobilization over conventional lawyering. n181 After carefully unpacking the ways in which community lawyers embrace  [*977]  law and organizing, Professor Cummings and </w:t>
      </w:r>
      <w:proofErr w:type="spellStart"/>
      <w:r w:rsidRPr="00360FF4">
        <w:rPr>
          <w:sz w:val="12"/>
          <w:szCs w:val="12"/>
        </w:rPr>
        <w:t>Eagly</w:t>
      </w:r>
      <w:proofErr w:type="spellEnd"/>
      <w:r w:rsidRPr="00360FF4">
        <w:rPr>
          <w:sz w:val="12"/>
          <w:szCs w:val="12"/>
        </w:rPr>
        <w:t xml:space="preserve"> rightfully warn against "exaggerating the ineffectiveness of traditional legal interventions" and "closing off potential avenues for redress." n182 Significantly, the strategies embraced by new public interest lawyers have not been shown to produce effective change in communities, and certainly there has been no assurance that these strategies fare comparatively better than legal reform. Moreover, what are meant to be progressive projects of community action and community economic development frequently can have a hidden effect of excluding worse-off groups, such as migrant workers, because of the geographical scope and zoning restrictions of the project. n183 In the same way that the labor and corporate social responsibility movements have failed because of their embrace of a legal framework, the community economic development movement - so diverse in its ideological appeal yet so prominent since the early 1990s as a major approach to poverty relief - may bring about its own destruction by fracture and diffusion. n184</w:t>
      </w:r>
    </w:p>
    <w:p w:rsidR="00F8534B" w:rsidRDefault="00F8534B" w:rsidP="00F8534B">
      <w:pPr>
        <w:pStyle w:val="Cards"/>
        <w:ind w:left="0"/>
      </w:pPr>
      <w:r>
        <w:t xml:space="preserve">In all of these cases, </w:t>
      </w:r>
      <w:r w:rsidRPr="00F8534B">
        <w:rPr>
          <w:rStyle w:val="StyleUnderline"/>
        </w:rPr>
        <w:t xml:space="preserve">it is the act of engagement, not </w:t>
      </w:r>
      <w:proofErr w:type="gramStart"/>
      <w:r w:rsidRPr="00F8534B">
        <w:rPr>
          <w:rStyle w:val="StyleUnderline"/>
        </w:rPr>
        <w:t>law, that</w:t>
      </w:r>
      <w:proofErr w:type="gramEnd"/>
      <w:r w:rsidRPr="00F8534B">
        <w:rPr>
          <w:rStyle w:val="StyleUnderline"/>
        </w:rPr>
        <w:t xml:space="preserve"> holds the risks of cooptation</w:t>
      </w:r>
      <w:r>
        <w:t xml:space="preserve"> and the politics of compromise. It is not the particularities of lawyers as a professional group that create dependency. Rather, it is the dynamics between skilled, networked, and resourced components and those who need them that may submerge goals and create reliance</w:t>
      </w:r>
      <w:r w:rsidRPr="008616FB">
        <w:rPr>
          <w:highlight w:val="yellow"/>
        </w:rPr>
        <w:t xml:space="preserve">. </w:t>
      </w:r>
      <w:r w:rsidRPr="008616FB">
        <w:rPr>
          <w:rStyle w:val="StyleUnderline"/>
          <w:highlight w:val="yellow"/>
        </w:rPr>
        <w:t>It is not the particularities of the structural limitations of the judiciary that threaten to limit the progressive vision of social movements</w:t>
      </w:r>
      <w:r>
        <w:t xml:space="preserve">. Rather, </w:t>
      </w:r>
      <w:r w:rsidRPr="00F8534B">
        <w:rPr>
          <w:rStyle w:val="StyleUnderline"/>
        </w:rPr>
        <w:t>it is the essential difficulties of implementing theory into practice</w:t>
      </w:r>
      <w:r>
        <w:t xml:space="preserve">. </w:t>
      </w:r>
      <w:r w:rsidRPr="00F8534B">
        <w:rPr>
          <w:rStyle w:val="StyleUnderline"/>
        </w:rPr>
        <w:t>Life is simply messier than abstract ideals</w:t>
      </w:r>
      <w:r>
        <w:t xml:space="preserve">. Cooptation analysis exposes the broad, general risk of assuming ownership over a rhetorical and conceptual framework of a movement for change. Subsequently, when, in practice, other factions in the political debate embrace the language and frame their projects in similar terms, groups experience a sense of loss of control or possession of "their" vision. In sum, in the contemporary context, </w:t>
      </w:r>
      <w:r w:rsidRPr="00F8534B">
        <w:rPr>
          <w:rStyle w:val="StyleUnderline"/>
        </w:rPr>
        <w:t>in the absence of a more programmatic and concrete vision of what alternative models of social reform activism need to achieve</w:t>
      </w:r>
      <w:r>
        <w:t xml:space="preserve">, </w:t>
      </w:r>
      <w:r w:rsidRPr="00F8534B">
        <w:rPr>
          <w:rStyle w:val="StyleUnderline"/>
        </w:rPr>
        <w:t>the conclusions and rhetoric of the contemporary critical legal consciousness are appropriated by advocates representing a wide range of political commitments</w:t>
      </w:r>
      <w:r>
        <w:t xml:space="preserve">. </w:t>
      </w:r>
      <w:proofErr w:type="gramStart"/>
      <w:r>
        <w:t>Understood  [</w:t>
      </w:r>
      <w:proofErr w:type="gramEnd"/>
      <w:r>
        <w:t>*978]  from this perspective, cooptation is not the result of the turn to a particular reform strategy. Rather, cooptation occurs when imagined ideals are left unchecked and seemingly progressive rhetoric is reproduced by a conservative agenda. Dominant interpretations such as privatization and market competitiveness come out ahead, whereas other values, such as group empowerment and redistributive justice, receive only symbolic recognition, and in turn serve to facilitate and stabilize the process. n185</w:t>
      </w:r>
    </w:p>
    <w:p w:rsidR="00F8534B" w:rsidRDefault="00F8534B" w:rsidP="00F8534B">
      <w:pPr>
        <w:pStyle w:val="Heading3"/>
      </w:pPr>
      <w:r>
        <w:t>Short T 1NC</w:t>
      </w:r>
    </w:p>
    <w:p w:rsidR="00F8534B" w:rsidRDefault="00F8534B" w:rsidP="00F8534B">
      <w:pPr>
        <w:pStyle w:val="Heading4"/>
      </w:pPr>
      <w:r w:rsidRPr="00A70B70">
        <w:t>Our interpretation is that</w:t>
      </w:r>
      <w:r>
        <w:t xml:space="preserve"> an affirmative should defend curtailing federal government surveillance </w:t>
      </w:r>
      <w:r w:rsidRPr="00A70B70">
        <w:t>as the endpoint of their advocacy. This does not mandate roleplaying, immediate fiat or any particular means of impact calculus.</w:t>
      </w:r>
    </w:p>
    <w:p w:rsidR="00F8534B" w:rsidRDefault="00F8534B" w:rsidP="00F8534B">
      <w:pPr>
        <w:pStyle w:val="Nothing"/>
      </w:pPr>
    </w:p>
    <w:p w:rsidR="00F8534B" w:rsidRDefault="00F8534B" w:rsidP="00F8534B">
      <w:pPr>
        <w:pStyle w:val="Heading4"/>
      </w:pPr>
      <w:r>
        <w:t>Surveillance can only be understood in relation to the agent doing the surveying – understanding federal government surveillance as unique is key or the topic becomes abstract and unlimited</w:t>
      </w:r>
    </w:p>
    <w:p w:rsidR="00F8534B" w:rsidRPr="00F8534B" w:rsidRDefault="00F8534B" w:rsidP="00F8534B">
      <w:pPr>
        <w:pStyle w:val="Nothing"/>
        <w:rPr>
          <w:rStyle w:val="Style13ptBold"/>
        </w:rPr>
      </w:pPr>
      <w:proofErr w:type="spellStart"/>
      <w:r w:rsidRPr="00F8534B">
        <w:rPr>
          <w:rStyle w:val="Style13ptBold"/>
        </w:rPr>
        <w:t>Cetina</w:t>
      </w:r>
      <w:proofErr w:type="spellEnd"/>
      <w:r w:rsidRPr="00F8534B">
        <w:rPr>
          <w:rStyle w:val="Style13ptBold"/>
        </w:rPr>
        <w:t xml:space="preserve"> 14</w:t>
      </w:r>
    </w:p>
    <w:p w:rsidR="00F8534B" w:rsidRPr="00DE71F4" w:rsidRDefault="00F8534B" w:rsidP="00F8534B">
      <w:pPr>
        <w:pStyle w:val="Nothing"/>
      </w:pPr>
      <w:r>
        <w:t xml:space="preserve">(DANIEL K. CETINA, BALANCING SECURITY AND PRIVACY IN 21ST CENTURYAMERICA: A FRAMEWORK FOR FISA COURT REFORM, </w:t>
      </w:r>
      <w:r w:rsidRPr="00DE71F4">
        <w:t>47 J. Marshall L. Rev. 1453 2013-2014</w:t>
      </w:r>
      <w:r>
        <w:t>, Hein)</w:t>
      </w:r>
    </w:p>
    <w:p w:rsidR="00F8534B" w:rsidRDefault="00F8534B" w:rsidP="00F8534B">
      <w:pPr>
        <w:pStyle w:val="Nothing"/>
      </w:pPr>
    </w:p>
    <w:p w:rsidR="00F8534B" w:rsidRDefault="00F8534B" w:rsidP="00F8534B">
      <w:pPr>
        <w:pStyle w:val="Cards"/>
        <w:ind w:left="0"/>
      </w:pPr>
      <w:r w:rsidRPr="008616FB">
        <w:rPr>
          <w:rStyle w:val="StyleUnderline"/>
          <w:highlight w:val="yellow"/>
        </w:rPr>
        <w:t>Any</w:t>
      </w:r>
      <w:r w:rsidRPr="00F8534B">
        <w:rPr>
          <w:rStyle w:val="StyleUnderline"/>
        </w:rPr>
        <w:t xml:space="preserve"> legitimate </w:t>
      </w:r>
      <w:r w:rsidRPr="008616FB">
        <w:rPr>
          <w:rStyle w:val="StyleUnderline"/>
          <w:highlight w:val="yellow"/>
        </w:rPr>
        <w:t>attempt to discuss</w:t>
      </w:r>
      <w:r w:rsidRPr="00F8534B">
        <w:rPr>
          <w:rStyle w:val="StyleUnderline"/>
        </w:rPr>
        <w:t xml:space="preserve"> and critique U</w:t>
      </w:r>
      <w:r w:rsidRPr="008616FB">
        <w:rPr>
          <w:rStyle w:val="StyleUnderline"/>
          <w:highlight w:val="yellow"/>
        </w:rPr>
        <w:t>nited States surveillance tactics necessarily demands defining exactly what surveillance is and what it entails</w:t>
      </w:r>
      <w:r w:rsidRPr="008616FB">
        <w:rPr>
          <w:highlight w:val="yellow"/>
        </w:rPr>
        <w:t>.</w:t>
      </w:r>
      <w:r w:rsidRPr="00DE71F4">
        <w:t xml:space="preserve"> Although discourse surrounding governments' intelligence and law enforcement techniques transcends any specific epoch or state,11 modern communication technologies "have revolutionized our daily lives [and] have also created minutely detailed recordings of those lives," 12 thereby making governmental surveillance simple, potentially ubiquitous, and susceptible to abuse.13 Of course, recent surveillance programs were implemented for the noble purpose of conducting the War on Terrorism; 14 but the danger is that pursuing this purpose unchecked can undermine the central principles that both provide the Republic's foundation and differentiate it from the very enemies it combats. 15</w:t>
      </w:r>
    </w:p>
    <w:p w:rsidR="00F8534B" w:rsidRPr="00DE71F4" w:rsidRDefault="00F8534B" w:rsidP="00F8534B">
      <w:pPr>
        <w:pStyle w:val="Cards"/>
        <w:ind w:left="0"/>
      </w:pPr>
      <w:r w:rsidRPr="00DE71F4">
        <w:t>While the prospect of governmental surveillance seems to implicitly suggest a quasi-Orwellian dystopia,16 fantastical science fiction mythologies, 17 abstruse philosophical concepts, 18 or documented repressive regimes,19 the reality is both less foreboding and more nuanced. Although American society, ostensibly, is looking increasingly akin to such fiction, theory, and totalitarianism, surveillance as applied is not so disturbing</w:t>
      </w:r>
      <w:r w:rsidRPr="00F8534B">
        <w:rPr>
          <w:rStyle w:val="StyleUnderline"/>
        </w:rPr>
        <w:t>. Surveillance involves and encompasses many topics and practices, both abstract and practical</w:t>
      </w:r>
      <w:proofErr w:type="gramStart"/>
      <w:r w:rsidRPr="00DE71F4">
        <w:t>,20</w:t>
      </w:r>
      <w:proofErr w:type="gramEnd"/>
      <w:r w:rsidRPr="00DE71F4">
        <w:t xml:space="preserve"> but it primarily involves power relationships. 2 1 </w:t>
      </w:r>
      <w:proofErr w:type="gramStart"/>
      <w:r w:rsidRPr="00DE71F4">
        <w:t>Specifically</w:t>
      </w:r>
      <w:proofErr w:type="gramEnd"/>
      <w:r w:rsidRPr="00DE71F4">
        <w:t xml:space="preserve">, </w:t>
      </w:r>
      <w:r w:rsidRPr="008616FB">
        <w:rPr>
          <w:rStyle w:val="StyleUnderline"/>
          <w:highlight w:val="yellow"/>
        </w:rPr>
        <w:t>surveillance is "the focused, systematic and routine attention to personal details for purposes of influence, management, protection or direction</w:t>
      </w:r>
      <w:r w:rsidRPr="00DE71F4">
        <w:t>."22 Surveillance can target a modern society's numerous communications networks, 28 which exist to send and receive information. 24 The</w:t>
      </w:r>
      <w:r>
        <w:t xml:space="preserve"> </w:t>
      </w:r>
      <w:r w:rsidRPr="00DE71F4">
        <w:t>communications include both envelope information and content information, distinct categories that draw varying degrees of interest from the surveillance authority. 25</w:t>
      </w:r>
    </w:p>
    <w:p w:rsidR="00F8534B" w:rsidRPr="00DE71F4" w:rsidRDefault="00F8534B" w:rsidP="00F8534B">
      <w:pPr>
        <w:pStyle w:val="Cards"/>
        <w:ind w:left="0"/>
      </w:pPr>
      <w:r w:rsidRPr="00DE71F4">
        <w:t xml:space="preserve">But surveillance is not strictly the province of the federal government. 26 Indeed, </w:t>
      </w:r>
      <w:r w:rsidRPr="00F8534B">
        <w:rPr>
          <w:rStyle w:val="StyleUnderline"/>
        </w:rPr>
        <w:t>state and local governments have their own surveillance practices</w:t>
      </w:r>
      <w:r>
        <w:t>,</w:t>
      </w:r>
      <w:r w:rsidRPr="00DE71F4">
        <w:t xml:space="preserve"> </w:t>
      </w:r>
      <w:r w:rsidRPr="00F8534B">
        <w:rPr>
          <w:rStyle w:val="StyleUnderline"/>
        </w:rPr>
        <w:t>as do private corporations</w:t>
      </w:r>
      <w:r w:rsidRPr="00DE71F4">
        <w:t>, which routinely use surveillance data to determine purchasing trends and calibrate advertising, especially through such social media sites as Facebook.28 Surveillance, therefore, transcends the boundary between the private sector and the public sector. 29</w:t>
      </w:r>
    </w:p>
    <w:p w:rsidR="00F8534B" w:rsidRPr="00DE71F4" w:rsidRDefault="00F8534B" w:rsidP="00F8534B">
      <w:pPr>
        <w:pStyle w:val="Cards"/>
        <w:ind w:left="0"/>
      </w:pPr>
      <w:r w:rsidRPr="00F8534B">
        <w:rPr>
          <w:rStyle w:val="StyleUnderline"/>
        </w:rPr>
        <w:t>The focus here</w:t>
      </w:r>
      <w:r w:rsidRPr="00DE71F4">
        <w:t xml:space="preserve">, however, </w:t>
      </w:r>
      <w:r w:rsidRPr="00F8534B">
        <w:rPr>
          <w:rStyle w:val="StyleUnderline"/>
        </w:rPr>
        <w:t>is on federal governmental surveillance</w:t>
      </w:r>
      <w:r w:rsidRPr="008616FB">
        <w:rPr>
          <w:rStyle w:val="StyleUnderline"/>
          <w:highlight w:val="yellow"/>
        </w:rPr>
        <w:t>. It is</w:t>
      </w:r>
      <w:r w:rsidRPr="00F8534B">
        <w:rPr>
          <w:rStyle w:val="StyleUnderline"/>
        </w:rPr>
        <w:t xml:space="preserve"> therefore </w:t>
      </w:r>
      <w:r w:rsidRPr="008616FB">
        <w:rPr>
          <w:rStyle w:val="StyleUnderline"/>
          <w:highlight w:val="yellow"/>
        </w:rPr>
        <w:t>critical to understand from where the federal government derives its authority to monitor and analyze communications networks</w:t>
      </w:r>
      <w:r w:rsidRPr="008616FB">
        <w:rPr>
          <w:highlight w:val="yellow"/>
        </w:rPr>
        <w:t>.</w:t>
      </w:r>
    </w:p>
    <w:p w:rsidR="00F8534B" w:rsidRDefault="00F8534B" w:rsidP="00F8534B">
      <w:pPr>
        <w:pStyle w:val="Nothing"/>
        <w:rPr>
          <w:b/>
          <w:sz w:val="24"/>
          <w:szCs w:val="24"/>
        </w:rPr>
      </w:pPr>
    </w:p>
    <w:p w:rsidR="00F8534B" w:rsidRPr="00A70B70" w:rsidRDefault="00F8534B" w:rsidP="00F8534B">
      <w:pPr>
        <w:pStyle w:val="Nothing"/>
      </w:pPr>
    </w:p>
    <w:p w:rsidR="00F8534B" w:rsidRDefault="00F8534B" w:rsidP="00F8534B">
      <w:pPr>
        <w:pStyle w:val="Heading4"/>
      </w:pPr>
      <w:r w:rsidRPr="00A70B70">
        <w:t xml:space="preserve">The </w:t>
      </w:r>
      <w:proofErr w:type="spellStart"/>
      <w:r w:rsidRPr="00A70B70">
        <w:t>Aff</w:t>
      </w:r>
      <w:proofErr w:type="spellEnd"/>
      <w:r w:rsidRPr="00A70B70">
        <w:t xml:space="preserve"> undermines the ability to have a limited and stable number of Affirmatives to prepare against. </w:t>
      </w:r>
      <w:r>
        <w:t>The</w:t>
      </w:r>
      <w:r w:rsidRPr="0065083F">
        <w:rPr>
          <w:u w:val="single"/>
        </w:rPr>
        <w:t xml:space="preserve"> link magnitude </w:t>
      </w:r>
      <w:r>
        <w:t xml:space="preserve">is high. Their affirmative prevents arguments about surveillance. </w:t>
      </w:r>
    </w:p>
    <w:p w:rsidR="00F8534B" w:rsidRDefault="00F8534B" w:rsidP="00F8534B">
      <w:pPr>
        <w:pStyle w:val="Heading4"/>
      </w:pPr>
    </w:p>
    <w:p w:rsidR="00F8534B" w:rsidRDefault="001B79A5" w:rsidP="00F8534B">
      <w:pPr>
        <w:pStyle w:val="Heading4"/>
      </w:pPr>
      <w:r w:rsidRPr="00A70B70">
        <w:t>This is a reason to vote negative</w:t>
      </w:r>
      <w:r>
        <w:t xml:space="preserve"> because</w:t>
      </w:r>
      <w:r w:rsidR="00F8534B">
        <w:t xml:space="preserve"> it undermines </w:t>
      </w:r>
      <w:r w:rsidR="00F8534B" w:rsidRPr="00F8534B">
        <w:rPr>
          <w:rStyle w:val="StyleUnderline"/>
        </w:rPr>
        <w:t xml:space="preserve">research </w:t>
      </w:r>
      <w:r w:rsidR="00F8534B">
        <w:t xml:space="preserve">– </w:t>
      </w:r>
      <w:proofErr w:type="spellStart"/>
      <w:r w:rsidR="00F8534B">
        <w:t>Aff</w:t>
      </w:r>
      <w:proofErr w:type="spellEnd"/>
      <w:r w:rsidR="00F8534B">
        <w:t xml:space="preserve"> has an incentive to constantly break new </w:t>
      </w:r>
      <w:proofErr w:type="spellStart"/>
      <w:r w:rsidR="00F8534B">
        <w:t>affs</w:t>
      </w:r>
      <w:proofErr w:type="spellEnd"/>
      <w:r w:rsidR="00F8534B">
        <w:t xml:space="preserve"> at every tournament making any real attempt at engagement irrelevant and decreasing the quality of all debates. They don’t spur engagement and exploration cause there are so many teams reading so many </w:t>
      </w:r>
      <w:proofErr w:type="spellStart"/>
      <w:r w:rsidR="00F8534B">
        <w:t>Affs</w:t>
      </w:r>
      <w:proofErr w:type="spellEnd"/>
      <w:r w:rsidR="00F8534B">
        <w:t xml:space="preserve">, the only way to respond it with generics. The </w:t>
      </w:r>
      <w:proofErr w:type="spellStart"/>
      <w:r w:rsidR="00F8534B">
        <w:t>Aff</w:t>
      </w:r>
      <w:proofErr w:type="spellEnd"/>
      <w:r w:rsidR="00F8534B">
        <w:t xml:space="preserve"> is conversely incentivized to pick a body of literature with very little negative literature and a </w:t>
      </w:r>
      <w:proofErr w:type="spellStart"/>
      <w:r w:rsidR="00F8534B">
        <w:t>prolif</w:t>
      </w:r>
      <w:proofErr w:type="spellEnd"/>
      <w:r w:rsidR="00F8534B">
        <w:t xml:space="preserve"> of </w:t>
      </w:r>
      <w:proofErr w:type="spellStart"/>
      <w:r w:rsidR="00F8534B">
        <w:t>aff</w:t>
      </w:r>
      <w:proofErr w:type="spellEnd"/>
      <w:r w:rsidR="00F8534B">
        <w:t xml:space="preserve"> advocacies based on single articles or created phrases. There is no incentive to produce detailed strategies because academic disagreements in the literature are minute and easily wished away by perms or </w:t>
      </w:r>
      <w:proofErr w:type="spellStart"/>
      <w:r w:rsidR="00F8534B">
        <w:t>Aff</w:t>
      </w:r>
      <w:proofErr w:type="spellEnd"/>
      <w:r w:rsidR="00F8534B">
        <w:t xml:space="preserve"> changes.</w:t>
      </w:r>
    </w:p>
    <w:p w:rsidR="00F8534B" w:rsidRPr="006A40F9" w:rsidRDefault="00F8534B" w:rsidP="00F8534B">
      <w:pPr>
        <w:pStyle w:val="Nothing"/>
      </w:pPr>
    </w:p>
    <w:p w:rsidR="00F8534B" w:rsidRPr="00A70B70" w:rsidRDefault="00F8534B" w:rsidP="00F8534B">
      <w:pPr>
        <w:pStyle w:val="Heading4"/>
      </w:pPr>
      <w:r w:rsidRPr="00A70B70">
        <w:t xml:space="preserve">And we have an external impact </w:t>
      </w:r>
      <w:r>
        <w:t xml:space="preserve">– </w:t>
      </w:r>
      <w:r w:rsidRPr="00A70B70">
        <w:t xml:space="preserve">Sufficient research-based preparation and debates focused on detailed points of disagreement are </w:t>
      </w:r>
      <w:r>
        <w:t>key to political effectiveness</w:t>
      </w:r>
    </w:p>
    <w:p w:rsidR="00F8534B" w:rsidRPr="00A70B70" w:rsidRDefault="00F8534B" w:rsidP="00F8534B">
      <w:pPr>
        <w:pStyle w:val="Cites"/>
      </w:pPr>
      <w:r w:rsidRPr="00F8534B">
        <w:rPr>
          <w:rStyle w:val="Style13ptBold"/>
        </w:rPr>
        <w:t xml:space="preserve">Gutting 13 </w:t>
      </w:r>
      <w:r w:rsidRPr="00A70B70">
        <w:t xml:space="preserve">(professor of philosophy at the University </w:t>
      </w:r>
      <w:proofErr w:type="gramStart"/>
      <w:r w:rsidRPr="00A70B70">
        <w:t>of</w:t>
      </w:r>
      <w:proofErr w:type="gramEnd"/>
      <w:r w:rsidRPr="00A70B70">
        <w:t xml:space="preserve"> Notre Dame) </w:t>
      </w:r>
    </w:p>
    <w:p w:rsidR="00F8534B" w:rsidRPr="00A70B70" w:rsidRDefault="00F8534B" w:rsidP="00F8534B">
      <w:pPr>
        <w:pStyle w:val="Cites"/>
      </w:pPr>
      <w:r w:rsidRPr="00A70B70">
        <w:t>(Gary, Feb 19, A Great Debate</w:t>
      </w:r>
      <w:proofErr w:type="gramStart"/>
      <w:r w:rsidRPr="00A70B70">
        <w:t>,  http</w:t>
      </w:r>
      <w:proofErr w:type="gramEnd"/>
      <w:r w:rsidRPr="00A70B70">
        <w:t>://opinionator.blogs.nytimes.com/2013/02/19/a-great-debate/?emc=eta1)</w:t>
      </w:r>
    </w:p>
    <w:p w:rsidR="00F8534B" w:rsidRPr="00A70B70" w:rsidRDefault="00F8534B" w:rsidP="00F8534B">
      <w:pPr>
        <w:pStyle w:val="Nothing"/>
      </w:pPr>
    </w:p>
    <w:p w:rsidR="00F8534B" w:rsidRDefault="00F8534B" w:rsidP="00F8534B">
      <w:pPr>
        <w:pStyle w:val="Cards"/>
        <w:ind w:left="0"/>
      </w:pPr>
      <w:r>
        <w:t xml:space="preserve">This is the year of what should be a decisive debate on our country’s spending and debt. But </w:t>
      </w:r>
      <w:r w:rsidRPr="00F8534B">
        <w:rPr>
          <w:rStyle w:val="StyleUnderline"/>
        </w:rPr>
        <w:t xml:space="preserve">our </w:t>
      </w:r>
      <w:r w:rsidRPr="008616FB">
        <w:rPr>
          <w:rStyle w:val="StyleUnderline"/>
          <w:highlight w:val="yellow"/>
        </w:rPr>
        <w:t>political “debates” seldom deserve the name</w:t>
      </w:r>
      <w:r>
        <w:t>. For the most part representatives of the rival parties exchange one-liners: “The rich can afford to pay more” is met by “Tax increases kill jobs.” Slightly more sophisticated discussions may cite historical precedents: “There were higher tax rates during the post-war boom” versus “Reagan’s tax cuts increased revenues.”</w:t>
      </w:r>
    </w:p>
    <w:p w:rsidR="00F8534B" w:rsidRDefault="00F8534B" w:rsidP="00F8534B">
      <w:pPr>
        <w:pStyle w:val="Cards"/>
        <w:ind w:left="0"/>
      </w:pPr>
      <w:r>
        <w:t>Such volleys still don’t even amount to arguments: they don’t put forward generally accepted premises that support a conclusion. Full-scale speeches by politicians are seldom much more than collections of such slogans and factoids, hung on a string of platitudes. Despite the name, candidates’ pre-election debates are exercises in looking authoritative, imposing their talking points on the questions, avoiding gaffes, and embarrassing their opponents with “zingers” (the historic paradigm: “There you go again.”).</w:t>
      </w:r>
    </w:p>
    <w:p w:rsidR="00F8534B" w:rsidRDefault="00F8534B" w:rsidP="00F8534B">
      <w:pPr>
        <w:pStyle w:val="Cards"/>
        <w:ind w:left="0"/>
      </w:pPr>
      <w:r>
        <w:t xml:space="preserve">There is a high level of political discussion in the editorials and op-eds of national newspapers and magazines as well as on a number of blogs, with positions often carefully formulated and supported with argument and evidence. But even here </w:t>
      </w:r>
      <w:r w:rsidRPr="008616FB">
        <w:rPr>
          <w:rStyle w:val="StyleUnderline"/>
          <w:highlight w:val="yellow"/>
        </w:rPr>
        <w:t>we seldom see</w:t>
      </w:r>
      <w:r w:rsidRPr="00F8534B">
        <w:rPr>
          <w:rStyle w:val="StyleUnderline"/>
        </w:rPr>
        <w:t xml:space="preserve"> </w:t>
      </w:r>
      <w:r w:rsidRPr="008616FB">
        <w:rPr>
          <w:rStyle w:val="StyleUnderline"/>
          <w:highlight w:val="yellow"/>
        </w:rPr>
        <w:t>a</w:t>
      </w:r>
      <w:r w:rsidRPr="00F8534B">
        <w:rPr>
          <w:rStyle w:val="StyleUnderline"/>
        </w:rPr>
        <w:t xml:space="preserve"> direct and sustained </w:t>
      </w:r>
      <w:r w:rsidRPr="008616FB">
        <w:rPr>
          <w:rStyle w:val="StyleUnderline"/>
          <w:highlight w:val="yellow"/>
        </w:rPr>
        <w:t>confrontation of</w:t>
      </w:r>
      <w:r w:rsidRPr="00F8534B">
        <w:rPr>
          <w:rStyle w:val="StyleUnderline"/>
        </w:rPr>
        <w:t xml:space="preserve"> rival </w:t>
      </w:r>
      <w:r w:rsidR="008616FB">
        <w:rPr>
          <w:rStyle w:val="StyleUnderline"/>
        </w:rPr>
        <w:t>‘</w:t>
      </w:r>
      <w:proofErr w:type="gramStart"/>
      <w:r>
        <w:t>Such</w:t>
      </w:r>
      <w:proofErr w:type="gramEnd"/>
      <w:r>
        <w:t xml:space="preserve"> exchanges occur frequently in our law courts (for example, oral arguments before the Supreme Court) and in discussions of scientific papers. But they are not a significant part of our deliberations about public policy. As a result, </w:t>
      </w:r>
      <w:r w:rsidRPr="008616FB">
        <w:rPr>
          <w:rStyle w:val="StyleUnderline"/>
          <w:highlight w:val="yellow"/>
        </w:rPr>
        <w:t>partisans typically remain safe in their ideological worlds, convincing themselves that they hold to obvious truths, while their opponents must be either knaves or fools</w:t>
      </w:r>
      <w:r w:rsidRPr="00F8534B">
        <w:rPr>
          <w:rStyle w:val="StyleUnderline"/>
        </w:rPr>
        <w:t xml:space="preserve"> — with no need to think through the strengths of their rivals’ positions or the weaknesses of their own.</w:t>
      </w:r>
    </w:p>
    <w:p w:rsidR="00F8534B" w:rsidRDefault="00F8534B" w:rsidP="00F8534B">
      <w:pPr>
        <w:pStyle w:val="Cards"/>
        <w:ind w:left="0"/>
      </w:pPr>
      <w:r w:rsidRPr="00F8534B">
        <w:rPr>
          <w:rStyle w:val="StyleUnderline"/>
        </w:rPr>
        <w:t>Is there any way to make genuine debates — sustained back-and-forth exchanges</w:t>
      </w:r>
      <w:r>
        <w:t xml:space="preserve">, meeting high intellectual standards but still widely accessible — </w:t>
      </w:r>
      <w:r w:rsidRPr="00F8534B">
        <w:rPr>
          <w:rStyle w:val="StyleUnderline"/>
        </w:rPr>
        <w:t>part of our political culture</w:t>
      </w:r>
      <w:r>
        <w:t>? (I leave to historians the question of whether there are historical precedents— like the Webster-Hayne or Lincoln-Douglas debates.) Can we put our politicians in a situation where they cannot ignore challenges, where they must genuinely engage with one another in responsible discussion and not just repeat talking points?</w:t>
      </w:r>
    </w:p>
    <w:p w:rsidR="00F8534B" w:rsidRDefault="00F8534B" w:rsidP="00F8534B">
      <w:pPr>
        <w:pStyle w:val="Cards"/>
        <w:ind w:left="0"/>
      </w:pPr>
      <w:r w:rsidRPr="008616FB">
        <w:rPr>
          <w:rStyle w:val="StyleUnderline"/>
          <w:highlight w:val="yellow"/>
        </w:rPr>
        <w:t>A</w:t>
      </w:r>
      <w:r w:rsidRPr="00F8534B">
        <w:rPr>
          <w:rStyle w:val="StyleUnderline"/>
        </w:rPr>
        <w:t xml:space="preserve"> first </w:t>
      </w:r>
      <w:r w:rsidRPr="008616FB">
        <w:rPr>
          <w:rStyle w:val="StyleUnderline"/>
          <w:highlight w:val="yellow"/>
        </w:rPr>
        <w:t>condition is that the debates be focused on specific points of major disagreement</w:t>
      </w:r>
      <w:r w:rsidRPr="008616FB">
        <w:rPr>
          <w:highlight w:val="yellow"/>
        </w:rPr>
        <w:t>.</w:t>
      </w:r>
      <w:r>
        <w:t xml:space="preserve"> </w:t>
      </w:r>
      <w:r w:rsidRPr="00F8534B">
        <w:rPr>
          <w:rStyle w:val="StyleUnderline"/>
        </w:rPr>
        <w:t>Not, “How can we improve our economy?” but “</w:t>
      </w:r>
      <w:r w:rsidRPr="008616FB">
        <w:rPr>
          <w:rStyle w:val="StyleUnderline"/>
          <w:highlight w:val="yellow"/>
        </w:rPr>
        <w:t>Will tax cuts for the wealthy or stimulus spending on infrastructure do more to improve our economy?”</w:t>
      </w:r>
      <w:r w:rsidRPr="008616FB">
        <w:rPr>
          <w:highlight w:val="yellow"/>
        </w:rPr>
        <w:t xml:space="preserve"> </w:t>
      </w:r>
      <w:r w:rsidRPr="008616FB">
        <w:rPr>
          <w:rStyle w:val="StyleUnderline"/>
          <w:highlight w:val="yellow"/>
        </w:rPr>
        <w:t>This will prevent vague statements of principle that don’t address the real issues at stake</w:t>
      </w:r>
      <w:r w:rsidRPr="008616FB">
        <w:rPr>
          <w:highlight w:val="yellow"/>
        </w:rPr>
        <w:t>.</w:t>
      </w:r>
    </w:p>
    <w:p w:rsidR="00F8534B" w:rsidRPr="00F8534B" w:rsidRDefault="00F8534B" w:rsidP="00F8534B">
      <w:pPr>
        <w:pStyle w:val="Cards"/>
        <w:ind w:left="0"/>
        <w:rPr>
          <w:rStyle w:val="StyleUnderline"/>
        </w:rPr>
      </w:pPr>
      <w:r>
        <w:t xml:space="preserve">Another issue is the medium of the </w:t>
      </w:r>
      <w:r w:rsidRPr="00F8534B">
        <w:rPr>
          <w:rStyle w:val="StyleUnderline"/>
        </w:rPr>
        <w:t>debate</w:t>
      </w:r>
      <w:r>
        <w:t xml:space="preserve">. Written discussions, in print or online could be easily arranged, but personal encounters are more vivid and will better engage public attention. They </w:t>
      </w:r>
      <w:r w:rsidRPr="00F8534B">
        <w:rPr>
          <w:rStyle w:val="StyleUnderline"/>
        </w:rPr>
        <w:t>should not</w:t>
      </w:r>
      <w:r>
        <w:t xml:space="preserve">, however, </w:t>
      </w:r>
      <w:r w:rsidRPr="00F8534B">
        <w:rPr>
          <w:rStyle w:val="StyleUnderline"/>
        </w:rPr>
        <w:t>be merely extemporaneous</w:t>
      </w:r>
      <w:r>
        <w:t xml:space="preserve"> events, </w:t>
      </w:r>
      <w:r w:rsidRPr="00F8534B">
        <w:rPr>
          <w:rStyle w:val="StyleUnderline"/>
        </w:rPr>
        <w:t>where too much will depend on quick-thinking</w:t>
      </w:r>
      <w:r>
        <w:t xml:space="preserve"> </w:t>
      </w:r>
      <w:r w:rsidRPr="00F8534B">
        <w:rPr>
          <w:rStyle w:val="StyleUnderline"/>
        </w:rPr>
        <w:t>and an engaging manner</w:t>
      </w:r>
      <w:r>
        <w:t xml:space="preserve">. </w:t>
      </w:r>
      <w:r w:rsidRPr="00F8534B">
        <w:rPr>
          <w:rStyle w:val="StyleUnderline"/>
        </w:rPr>
        <w:t>We want remarks to be carefully prepared and open to considered responses.</w:t>
      </w:r>
    </w:p>
    <w:p w:rsidR="00F8534B" w:rsidRDefault="00F8534B" w:rsidP="00F8534B">
      <w:pPr>
        <w:pStyle w:val="Nothing"/>
      </w:pPr>
    </w:p>
    <w:p w:rsidR="00F8534B" w:rsidRDefault="00F8534B" w:rsidP="00F8534B">
      <w:pPr>
        <w:pStyle w:val="Heading4"/>
      </w:pPr>
      <w:r>
        <w:t xml:space="preserve">This guts any educational potential of the </w:t>
      </w:r>
      <w:proofErr w:type="spellStart"/>
      <w:r>
        <w:t>aff</w:t>
      </w:r>
      <w:proofErr w:type="spellEnd"/>
      <w:r>
        <w:t xml:space="preserve"> – failure to engage with the legal detail of surveillance policy prevents translating their argument into action.</w:t>
      </w:r>
    </w:p>
    <w:p w:rsidR="00F8534B" w:rsidRDefault="00F8534B" w:rsidP="00F8534B">
      <w:pPr>
        <w:pStyle w:val="Nothing"/>
      </w:pPr>
      <w:r w:rsidRPr="00F8534B">
        <w:rPr>
          <w:rStyle w:val="Style13ptBold"/>
        </w:rPr>
        <w:t>Cohen 15</w:t>
      </w:r>
      <w:r>
        <w:t xml:space="preserve"> (</w:t>
      </w:r>
      <w:r w:rsidRPr="007812C2">
        <w:t>professor of law at Georgetown University Law Center)</w:t>
      </w:r>
    </w:p>
    <w:p w:rsidR="00F8534B" w:rsidRPr="007812C2" w:rsidRDefault="00F8534B" w:rsidP="00F8534B">
      <w:pPr>
        <w:pStyle w:val="Nothing"/>
      </w:pPr>
      <w:r>
        <w:t xml:space="preserve">(Julie, 2015, </w:t>
      </w:r>
      <w:r w:rsidRPr="007812C2">
        <w:t>Studying Law Studying Surveillance</w:t>
      </w:r>
      <w:r>
        <w:t xml:space="preserve">, </w:t>
      </w:r>
      <w:r w:rsidRPr="007812C2">
        <w:t>Studying Law Studying Surveillance. Surve</w:t>
      </w:r>
      <w:r>
        <w:t>illance &amp; Society 13(1): 91-101)</w:t>
      </w:r>
    </w:p>
    <w:p w:rsidR="00F8534B" w:rsidRDefault="00F8534B" w:rsidP="00F8534B">
      <w:pPr>
        <w:pStyle w:val="Nothing"/>
      </w:pPr>
    </w:p>
    <w:p w:rsidR="00F8534B" w:rsidRPr="00F93F8F" w:rsidRDefault="00F8534B" w:rsidP="00F8534B">
      <w:pPr>
        <w:pStyle w:val="Cards"/>
        <w:ind w:left="0"/>
        <w:rPr>
          <w:sz w:val="6"/>
          <w:szCs w:val="6"/>
        </w:rPr>
      </w:pPr>
      <w:r>
        <w:t xml:space="preserve">Relative to legal scholarship, work in </w:t>
      </w:r>
      <w:r w:rsidRPr="008616FB">
        <w:rPr>
          <w:rStyle w:val="StyleUnderline"/>
          <w:highlight w:val="yellow"/>
        </w:rPr>
        <w:t>Surveillance Studies</w:t>
      </w:r>
      <w:r>
        <w:t xml:space="preserve"> is more likely to build from a solid foundation in contemporary social theory. Even so, such work </w:t>
      </w:r>
      <w:r w:rsidRPr="008616FB">
        <w:rPr>
          <w:rStyle w:val="StyleUnderline"/>
          <w:highlight w:val="yellow"/>
        </w:rPr>
        <w:t>often reflects</w:t>
      </w:r>
      <w:r>
        <w:t xml:space="preserve"> both </w:t>
      </w:r>
      <w:r w:rsidRPr="008616FB">
        <w:rPr>
          <w:rStyle w:val="StyleUnderline"/>
          <w:highlight w:val="yellow"/>
        </w:rPr>
        <w:t>an</w:t>
      </w:r>
      <w:r w:rsidRPr="00F8534B">
        <w:rPr>
          <w:rStyle w:val="StyleUnderline"/>
        </w:rPr>
        <w:t xml:space="preserve"> </w:t>
      </w:r>
      <w:r w:rsidRPr="008616FB">
        <w:rPr>
          <w:rStyle w:val="StyleUnderline"/>
          <w:highlight w:val="yellow"/>
        </w:rPr>
        <w:t>insufficient grasp of the complexity of the legal system</w:t>
      </w:r>
      <w:r w:rsidRPr="00F8534B">
        <w:rPr>
          <w:rStyle w:val="StyleUnderline"/>
        </w:rPr>
        <w:t xml:space="preserve"> in action</w:t>
      </w:r>
      <w:r>
        <w:t xml:space="preserve"> and lack of interest in the ways that legal and regulatory actors understand, conduct, and contest surveillance. By this I don’t mean to suggest that Surveillance Studies scholars need law degrees, but only to point out what ought to be obvious but often isn’t: legal processes are social processes, too, and in overlooking these processes, </w:t>
      </w:r>
      <w:r w:rsidRPr="008616FB">
        <w:rPr>
          <w:rStyle w:val="StyleUnderline"/>
          <w:highlight w:val="yellow"/>
        </w:rPr>
        <w:t>Surveillance Studies scholars</w:t>
      </w:r>
      <w:r>
        <w:t xml:space="preserve"> also </w:t>
      </w:r>
      <w:r w:rsidRPr="008616FB">
        <w:rPr>
          <w:rStyle w:val="StyleUnderline"/>
          <w:highlight w:val="yellow"/>
        </w:rPr>
        <w:t>engage in a form of black-boxing</w:t>
      </w:r>
      <w:r w:rsidRPr="00F8534B">
        <w:rPr>
          <w:rStyle w:val="StyleUnderline"/>
        </w:rPr>
        <w:t xml:space="preserve"> that treats law as monolithic and surveillance and government as interchangeable</w:t>
      </w:r>
      <w:r>
        <w:t xml:space="preserve">. </w:t>
      </w:r>
      <w:r w:rsidRPr="00F8534B">
        <w:rPr>
          <w:rStyle w:val="StyleUnderline"/>
        </w:rPr>
        <w:t>Legal actors engage in a variety of</w:t>
      </w:r>
      <w:r>
        <w:t xml:space="preserve"> discursive and normative </w:t>
      </w:r>
      <w:r w:rsidRPr="00F8534B">
        <w:rPr>
          <w:rStyle w:val="StyleUnderline"/>
        </w:rPr>
        <w:t>strategies</w:t>
      </w:r>
      <w:r>
        <w:t xml:space="preserve"> by which institutions and resources are mobilized around surveillance, </w:t>
      </w:r>
      <w:r w:rsidRPr="00F8534B">
        <w:rPr>
          <w:rStyle w:val="StyleUnderline"/>
        </w:rPr>
        <w:t>and understanding those strategies is essential</w:t>
      </w:r>
      <w:r>
        <w:t xml:space="preserve"> to the development of an archaeology of surveillance practices. </w:t>
      </w:r>
      <w:r w:rsidRPr="008616FB">
        <w:rPr>
          <w:rStyle w:val="StyleUnderline"/>
          <w:highlight w:val="yellow"/>
        </w:rPr>
        <w:t>Work in Surveillance Studies</w:t>
      </w:r>
      <w:r>
        <w:t xml:space="preserve"> also favors a type of theoretical jargon that can seem impenetrable and, more importantly, unrewarding to those in law and policy communities. As I’ve written elsewhere (Cohen 2012a: 29), “[t]</w:t>
      </w:r>
      <w:proofErr w:type="spellStart"/>
      <w:r>
        <w:t>oo</w:t>
      </w:r>
      <w:proofErr w:type="spellEnd"/>
      <w:r>
        <w:t xml:space="preserve"> many such works </w:t>
      </w:r>
      <w:r w:rsidRPr="008616FB">
        <w:rPr>
          <w:rStyle w:val="StyleUnderline"/>
          <w:highlight w:val="yellow"/>
        </w:rPr>
        <w:t>find power everywhere and hope nowhere, and seem to offer well-meaning policy makers little more than a prescription for despair</w:t>
      </w:r>
      <w:r w:rsidRPr="008616FB">
        <w:rPr>
          <w:highlight w:val="yellow"/>
        </w:rPr>
        <w:t>.</w:t>
      </w:r>
      <w:r>
        <w:t xml:space="preserve">” </w:t>
      </w:r>
      <w:r w:rsidRPr="00F93F8F">
        <w:rPr>
          <w:sz w:val="6"/>
          <w:szCs w:val="6"/>
        </w:rPr>
        <w:t>Returning to the topics already discussed, let us consider some ways in which Surveillance Studies might benefit from dialogue with law.</w:t>
      </w:r>
    </w:p>
    <w:p w:rsidR="00F8534B" w:rsidRPr="00F93F8F" w:rsidRDefault="00F8534B" w:rsidP="00F8534B">
      <w:pPr>
        <w:pStyle w:val="Cards"/>
        <w:ind w:left="0"/>
        <w:rPr>
          <w:sz w:val="6"/>
          <w:szCs w:val="6"/>
        </w:rPr>
      </w:pPr>
      <w:r w:rsidRPr="00F93F8F">
        <w:rPr>
          <w:sz w:val="6"/>
          <w:szCs w:val="6"/>
        </w:rPr>
        <w:t>Let us return first to the problem of digitally-enhanced surveillance by law enforcement—the problem of the high-resolution mosaic. As discussed in the section above, works by Surveillance Studies scholars exploring issues of mobility and control offer profound insights into the ways in which continual observation shapes spaces and subjectivities—the precise questions about which, as we have already seen, judges and legal scholars alike are skeptical. Such works reveal the extent to which pervasive surveillance of public spaces is emerging as a new and powerful mode of ordering the public and social life of civil society. They offer rich food for thought—but not for action. Networked surveillance is increasingly a fact of contemporary public life, and totalizing theories about its power don’t take us very far toward gaining regulatory traction on it. That enterprise is, moreover, essential even if it entails an inevitable quantum of self-delusion.</w:t>
      </w:r>
      <w:r>
        <w:t xml:space="preserve"> </w:t>
      </w:r>
      <w:r w:rsidRPr="00F8534B">
        <w:rPr>
          <w:rStyle w:val="StyleUnderline"/>
        </w:rPr>
        <w:t>Acknowledgment of pervasive social shaping by networked surveillance need not preclude legal protection for socially-shaped subjects</w:t>
      </w:r>
      <w:r>
        <w:t xml:space="preserve">, </w:t>
      </w:r>
      <w:r w:rsidRPr="00F8534B">
        <w:rPr>
          <w:rStyle w:val="StyleUnderline"/>
        </w:rPr>
        <w:t>but that project requires attention to detail</w:t>
      </w:r>
      <w:r>
        <w:t xml:space="preserve">. </w:t>
      </w:r>
      <w:r w:rsidRPr="00F93F8F">
        <w:rPr>
          <w:sz w:val="6"/>
          <w:szCs w:val="6"/>
        </w:rPr>
        <w:t>To put the point a different way, the networked democratic society and the totalitarian state may be points on a continuum rather than binary opposites, but the fact that the continuum exists is still worth something. If so, one needs tools for assessment and differentiation that Surveillance Studies does not seem to provide.</w:t>
      </w:r>
    </w:p>
    <w:p w:rsidR="00F8534B" w:rsidRPr="00F93F8F" w:rsidRDefault="00F8534B" w:rsidP="00F8534B">
      <w:pPr>
        <w:pStyle w:val="Cards"/>
        <w:ind w:left="0"/>
        <w:rPr>
          <w:sz w:val="6"/>
          <w:szCs w:val="6"/>
        </w:rPr>
      </w:pPr>
      <w:r w:rsidRPr="00F93F8F">
        <w:rPr>
          <w:sz w:val="6"/>
          <w:szCs w:val="6"/>
        </w:rPr>
        <w:t>As an example of this sort of approach within legal scholarship, consider a recent article by legal scholars Danielle Citron and David Gray (2013), which proposes that courts and legislators undertake what they term a technology-centered approach to regulating surveillance. They would have courts and legislators ask whether particular technologies facilitate total surveillance and, if so, act to put in place comprehensive procedures for approving and overseeing their use. From a Surveillance Studies perspective, this approach lacks theoretical purity because its technology-specific focus appears to ignore the fact that total surveillance also can emerge via the fusion of data streams originating from various sources. But the proposal is pragmatic; it does not so much ignore that risk as bracket it while pursuing the narrower goal of gaining a regulatory foothold within the data streams. And because it focuses on the data streams themselves, it is administrable in a way that schemes based on linear timelines and artificial distinctions between different types of surveillance are not. One can envision both courts and legislatures implementing the Citron and Gray proposal in a way that enables far better oversight of what law enforcement is doing.</w:t>
      </w:r>
    </w:p>
    <w:p w:rsidR="00F8534B" w:rsidRPr="00F93F8F" w:rsidRDefault="00F8534B" w:rsidP="00F8534B">
      <w:pPr>
        <w:pStyle w:val="Cards"/>
        <w:ind w:left="0"/>
        <w:rPr>
          <w:sz w:val="6"/>
          <w:szCs w:val="6"/>
        </w:rPr>
      </w:pPr>
      <w:r w:rsidRPr="00F93F8F">
        <w:rPr>
          <w:sz w:val="6"/>
          <w:szCs w:val="6"/>
        </w:rPr>
        <w:t xml:space="preserve">Turning next to the linked practices of commercial profiling and social media surveillance, we have already seen that work in Surveillance Studies again steps in where legal scholarship badly needs supplementation: on the question of how pervasive surveillance by private market actors shapes the production of culture and the patterns of emergent subjectivity. Such work typically does not, however, consider or explore the ways that the legal construct of consent mobilizes legal and policy discourses to sanction ongoing expansions of private-sector surveillance and insulate them from regulatory oversight. Work in Surveillance Studies also has not seemed to pay particularly careful attention to the roles that </w:t>
      </w:r>
      <w:proofErr w:type="spellStart"/>
      <w:r w:rsidRPr="00F93F8F">
        <w:rPr>
          <w:sz w:val="6"/>
          <w:szCs w:val="6"/>
        </w:rPr>
        <w:t>rhetorics</w:t>
      </w:r>
      <w:proofErr w:type="spellEnd"/>
      <w:r w:rsidRPr="00F93F8F">
        <w:rPr>
          <w:sz w:val="6"/>
          <w:szCs w:val="6"/>
        </w:rPr>
        <w:t xml:space="preserve"> of innovation and competition play in regulatory debates about information privacy. For a discipline that seeks to develop comprehensive and rigorous accounts of surveillance as social ordering and as cultural practice, these are large omissions. As we have seen, the notice-and-choice paradigm has deep roots within liberal theory, and legal and policy discourses about notice and choice reflect legal culture in action. By the same token, understanding surveillance simply as a means to effective administration, or as a means for pursuing and performing security, misses the extent to which a narrative about the inevitable nature of innovation and knowledge production positions surveillance as a modality of technical and social progress (Cohen 2015). The “surveillance-industrial complex” does not simply parallel the military-industrial complex; it is also deeply rooted in Silicon Valley’s </w:t>
      </w:r>
      <w:proofErr w:type="spellStart"/>
      <w:r w:rsidRPr="00F93F8F">
        <w:rPr>
          <w:sz w:val="6"/>
          <w:szCs w:val="6"/>
        </w:rPr>
        <w:t>technoculture</w:t>
      </w:r>
      <w:proofErr w:type="spellEnd"/>
      <w:r w:rsidRPr="00F93F8F">
        <w:rPr>
          <w:sz w:val="6"/>
          <w:szCs w:val="6"/>
        </w:rPr>
        <w:t xml:space="preserve"> and (albeit paradoxically) in the tropes of romantic individualism and cultural iconoclasm with which its participants self-identify. These themes have been especially salient for privacy regulators.</w:t>
      </w:r>
    </w:p>
    <w:p w:rsidR="00F8534B" w:rsidRPr="00F93F8F" w:rsidRDefault="00F8534B" w:rsidP="00F8534B">
      <w:pPr>
        <w:pStyle w:val="Cards"/>
        <w:ind w:left="0"/>
        <w:rPr>
          <w:sz w:val="6"/>
          <w:szCs w:val="6"/>
        </w:rPr>
      </w:pPr>
      <w:r w:rsidRPr="008616FB">
        <w:rPr>
          <w:rStyle w:val="StyleUnderline"/>
          <w:highlight w:val="yellow"/>
        </w:rPr>
        <w:t>Engagement with legal scholarship on information privacy would inform the project of understanding surveillance as social ordering</w:t>
      </w:r>
      <w:r w:rsidRPr="00F8534B">
        <w:rPr>
          <w:rStyle w:val="StyleUnderline"/>
        </w:rPr>
        <w:t xml:space="preserve"> </w:t>
      </w:r>
      <w:r w:rsidRPr="00F93F8F">
        <w:rPr>
          <w:sz w:val="6"/>
          <w:szCs w:val="6"/>
        </w:rPr>
        <w:t>and as culture in a number of complementary ways. First and most basically, many legal writings on information privacy are important as primary sources that reveal the notice-and-choice paradigm and the narrative of inevitable innovation at work. But there is also a rich vein of legal scholarship interrogating the assumptions and the politics that underlie privacy and data protection regulation (e.g., Cohen 2012a, 2012c, 2013, 2015; Kerr 2013; Ohm 2010; Solove 2013). In addition, legal scholars have produced richly detailed and revealing investigations of regulatory and compliance processes; for example, scholars concerned with the operation of “</w:t>
      </w:r>
      <w:proofErr w:type="spellStart"/>
      <w:r w:rsidRPr="00F93F8F">
        <w:rPr>
          <w:sz w:val="6"/>
          <w:szCs w:val="6"/>
        </w:rPr>
        <w:t>surveillant</w:t>
      </w:r>
      <w:proofErr w:type="spellEnd"/>
      <w:r w:rsidRPr="00F93F8F">
        <w:rPr>
          <w:sz w:val="6"/>
          <w:szCs w:val="6"/>
        </w:rPr>
        <w:t xml:space="preserve"> assemblages” and “digital enclosures” ought to read and consider the important work by Kenneth Bamberger and Deirdre Mulligan on corporate privacy compliance cultures (2011a, 2011b).</w:t>
      </w:r>
    </w:p>
    <w:p w:rsidR="00F8534B" w:rsidRPr="00F93F8F" w:rsidRDefault="00F8534B" w:rsidP="00F8534B">
      <w:pPr>
        <w:pStyle w:val="Cards"/>
        <w:ind w:left="0"/>
        <w:rPr>
          <w:sz w:val="6"/>
          <w:szCs w:val="6"/>
        </w:rPr>
      </w:pPr>
      <w:r w:rsidRPr="00F93F8F">
        <w:rPr>
          <w:sz w:val="6"/>
          <w:szCs w:val="6"/>
        </w:rPr>
        <w:t xml:space="preserve">If Surveillance Studies is to inform the content of laws and the nature of regulatory practice in the domain of commercial profiling and social media, however, </w:t>
      </w:r>
      <w:r w:rsidRPr="00F8534B">
        <w:rPr>
          <w:rStyle w:val="StyleUnderline"/>
        </w:rPr>
        <w:t>surveillance theorists will need to do more than simply read legal sources</w:t>
      </w:r>
      <w:r>
        <w:t xml:space="preserve">. Work in Surveillance Studies so far has not been particularly well-adapted to helping policymakers figure out what, if anything, to do about evolving practices of commercial surveillance. Once again, </w:t>
      </w:r>
      <w:r w:rsidRPr="008616FB">
        <w:rPr>
          <w:rStyle w:val="StyleUnderline"/>
          <w:highlight w:val="yellow"/>
        </w:rPr>
        <w:t>if it is to be useful to policymakers, the view from Surveillance Studies requires translation into a form that might furnish a framework for action</w:t>
      </w:r>
      <w:r>
        <w:t xml:space="preserve">. </w:t>
      </w:r>
      <w:r w:rsidRPr="00F93F8F">
        <w:rPr>
          <w:sz w:val="6"/>
          <w:szCs w:val="6"/>
        </w:rPr>
        <w:t>Here I want to identify three important sets of questions on which Surveillance Studies scholars who want their work to make a difference might take their cues from legal scholarship.</w:t>
      </w:r>
    </w:p>
    <w:p w:rsidR="00F8534B" w:rsidRPr="00F93F8F" w:rsidRDefault="00F8534B" w:rsidP="00F8534B">
      <w:pPr>
        <w:pStyle w:val="Cards"/>
        <w:ind w:left="0"/>
        <w:rPr>
          <w:sz w:val="6"/>
          <w:szCs w:val="6"/>
        </w:rPr>
      </w:pPr>
      <w:r w:rsidRPr="00F93F8F">
        <w:rPr>
          <w:sz w:val="6"/>
          <w:szCs w:val="6"/>
        </w:rPr>
        <w:t xml:space="preserve">An initial set of questions concerns how to redefine privacy and data protection in functional terms that do not presuppose the stable, liberal self, and that instead offer real benefit to the situated subjects who might claim their protection. David Lyon (2001) has argued that the organizing concepts of “privacy” and “data protection” are inadequate to comprehend surveillance as a mode of social ordering. From a sociological perspective that is undoubtedly right, but privacy and data protection still might be made effective as legal constructs if articulated differently, in ways that correspond more closely to the ways that surveillance shapes experience. That project calls for the sort of theoretical cannibalization that makes Ph.D. committees in Real Disciplines nervous, but at which legal scholars excel. With some trepidation, I offer my own work on privacy as boundary management for the postliberal self (Cohen 2012a, 2013), as well as Valerie </w:t>
      </w:r>
      <w:proofErr w:type="spellStart"/>
      <w:r w:rsidRPr="00F93F8F">
        <w:rPr>
          <w:sz w:val="6"/>
          <w:szCs w:val="6"/>
        </w:rPr>
        <w:t>Steeves</w:t>
      </w:r>
      <w:proofErr w:type="spellEnd"/>
      <w:r w:rsidRPr="00F93F8F">
        <w:rPr>
          <w:sz w:val="6"/>
          <w:szCs w:val="6"/>
        </w:rPr>
        <w:t>’ (2009) work on relational subjectivity, as examples of the sort of exercise that is necessary to reframe the effects of surveillance as social ordering in ways to which legal systems can respond. For law to develop a sustainable and effective approach to regulating data protection and protecting privacy, the ways of theorizing about the subject represented by these projects must become second nature, not only for scholars but also and more importantly for legislatures, regulators, and courts. That in turn requires second process of translation, from the language of academia into a vernacular that can supply inputs into policy processes.</w:t>
      </w:r>
    </w:p>
    <w:p w:rsidR="00F8534B" w:rsidRPr="00F93F8F" w:rsidRDefault="00F8534B" w:rsidP="00F8534B">
      <w:pPr>
        <w:pStyle w:val="Cards"/>
        <w:ind w:left="0"/>
        <w:rPr>
          <w:sz w:val="6"/>
          <w:szCs w:val="6"/>
        </w:rPr>
      </w:pPr>
      <w:r w:rsidRPr="00F93F8F">
        <w:rPr>
          <w:sz w:val="6"/>
          <w:szCs w:val="6"/>
        </w:rPr>
        <w:t xml:space="preserve">A second set of questions concerns how to understand what constitutes privacy harm in an era in which some surveillance is a constant. To the Surveillance Studies reader this may seem to be a variation on the first question, but it is different: in law, harm is what makes violation of an interest actionable, and the potential for harm is what creates the predicate for comprehensive regulation of particular domains of activity. Harm need not be individualized or </w:t>
      </w:r>
      <w:proofErr w:type="spellStart"/>
      <w:r w:rsidRPr="00F93F8F">
        <w:rPr>
          <w:sz w:val="6"/>
          <w:szCs w:val="6"/>
        </w:rPr>
        <w:t>monetizable</w:t>
      </w:r>
      <w:proofErr w:type="spellEnd"/>
      <w:r w:rsidRPr="00F93F8F">
        <w:rPr>
          <w:sz w:val="6"/>
          <w:szCs w:val="6"/>
        </w:rPr>
        <w:t xml:space="preserve">; environmental regulations and financial market regulations address systemic and often </w:t>
      </w:r>
      <w:proofErr w:type="spellStart"/>
      <w:r w:rsidRPr="00F93F8F">
        <w:rPr>
          <w:sz w:val="6"/>
          <w:szCs w:val="6"/>
        </w:rPr>
        <w:t>nonmonetizable</w:t>
      </w:r>
      <w:proofErr w:type="spellEnd"/>
      <w:r w:rsidRPr="00F93F8F">
        <w:rPr>
          <w:sz w:val="6"/>
          <w:szCs w:val="6"/>
        </w:rPr>
        <w:t xml:space="preserve"> risk. But it must be reasonably definite; talk of power, power everywhere is plainly insufficient and it should come as no surprise that policymakers find it risible. Work on this problem is still preliminary, but here legal scholarship has a leg up because it deals in practicalities. Surveillance Studies scholars might profitably read works by Danielle Citron (2007) and Paul Ohm (2010) that identify and name the systemic risks associated with leaky and largely unregulated data reservoirs, and that draw on resources ranging from the history of tort law to computational science to craft recommendations for more effective regulatory strategies.</w:t>
      </w:r>
    </w:p>
    <w:p w:rsidR="00F8534B" w:rsidRPr="00F93F8F" w:rsidRDefault="00F8534B" w:rsidP="00F8534B">
      <w:pPr>
        <w:pStyle w:val="Cards"/>
        <w:ind w:left="0"/>
        <w:rPr>
          <w:sz w:val="6"/>
          <w:szCs w:val="6"/>
        </w:rPr>
      </w:pPr>
      <w:r w:rsidRPr="00F93F8F">
        <w:rPr>
          <w:sz w:val="6"/>
          <w:szCs w:val="6"/>
        </w:rPr>
        <w:t xml:space="preserve">A final set of questions concerns the design of governance mechanisms. As we have already seen, the flows of surveillance within social media create novel institutional design challenges. In the domain of commercial profiling, many activities on the business-facing side of personal information markets, removed from consumer-facing processes that purport to ensure notice and choice, have eluded regulatory scrutiny entirely. Some of the classic works on privacy governance originate within the Surveillance Studies tradition; these include Priscilla Regan’s (1995) study of the way privacy legislation emerges within the U.S. political system and Colin Bennett and Charles </w:t>
      </w:r>
      <w:proofErr w:type="spellStart"/>
      <w:r w:rsidRPr="00F93F8F">
        <w:rPr>
          <w:sz w:val="6"/>
          <w:szCs w:val="6"/>
        </w:rPr>
        <w:t>Raab’s</w:t>
      </w:r>
      <w:proofErr w:type="spellEnd"/>
      <w:r w:rsidRPr="00F93F8F">
        <w:rPr>
          <w:sz w:val="6"/>
          <w:szCs w:val="6"/>
        </w:rPr>
        <w:t xml:space="preserve"> (2006) work on privacy governance and the emergence of data protection as a regulatory paradigm. But the question of governance badly needs to be revisited; in particular, Surveillance Studies scholars have not yet engaged with the “new privacy governance” now emerging as official policy in the U.S. (and as de facto policy in the European Union) in a sustained and meaningful way. Works by legal scholars on the political, epistemological, and normative dimensions of the new governance (e.g., Bamberger 2010; Cohen 2012b, 2013; Freeman 2000; </w:t>
      </w:r>
      <w:proofErr w:type="spellStart"/>
      <w:r w:rsidRPr="00F93F8F">
        <w:rPr>
          <w:sz w:val="6"/>
          <w:szCs w:val="6"/>
        </w:rPr>
        <w:t>Lobel</w:t>
      </w:r>
      <w:proofErr w:type="spellEnd"/>
      <w:r w:rsidRPr="00F93F8F">
        <w:rPr>
          <w:sz w:val="6"/>
          <w:szCs w:val="6"/>
        </w:rPr>
        <w:t xml:space="preserve"> 2004) offer starting points for an inquiry that moves beyond “doing Surveillance Studies” to consider the more pressing challenge of doing surveillance regulation wisely and effectively.</w:t>
      </w:r>
    </w:p>
    <w:p w:rsidR="00F8534B" w:rsidRPr="00F93F8F" w:rsidRDefault="00F8534B" w:rsidP="00F8534B">
      <w:pPr>
        <w:pStyle w:val="Cards"/>
        <w:ind w:left="0"/>
        <w:rPr>
          <w:sz w:val="6"/>
          <w:szCs w:val="6"/>
        </w:rPr>
      </w:pPr>
      <w:r w:rsidRPr="00F93F8F">
        <w:rPr>
          <w:sz w:val="6"/>
          <w:szCs w:val="6"/>
        </w:rPr>
        <w:t>Conclusion: Doing Law-and-Surveillance-Studies Differently</w:t>
      </w:r>
    </w:p>
    <w:p w:rsidR="00F8534B" w:rsidRDefault="00F8534B" w:rsidP="00F8534B">
      <w:pPr>
        <w:pStyle w:val="Cards"/>
        <w:ind w:left="0"/>
      </w:pPr>
      <w:r w:rsidRPr="00F93F8F">
        <w:rPr>
          <w:sz w:val="6"/>
          <w:szCs w:val="6"/>
        </w:rPr>
        <w:t xml:space="preserve">The prospects for fruitful interchange and collaboration between legal scholars and Surveillance Studies scholars are likely to remain complicated by pronounced differences in underlying theoretical orientation. But since Surveillance Studies is itself an </w:t>
      </w:r>
      <w:proofErr w:type="spellStart"/>
      <w:r w:rsidRPr="00F93F8F">
        <w:rPr>
          <w:sz w:val="6"/>
          <w:szCs w:val="6"/>
        </w:rPr>
        <w:t>interdiscipline</w:t>
      </w:r>
      <w:proofErr w:type="spellEnd"/>
      <w:r w:rsidRPr="00F93F8F">
        <w:rPr>
          <w:sz w:val="6"/>
          <w:szCs w:val="6"/>
        </w:rPr>
        <w:t xml:space="preserve"> (Garber 2001), and since legal scholarship has thrived on interdisciplinary exploration, the prospects for effective communication also seem reasonably good.</w:t>
      </w:r>
      <w:r>
        <w:t xml:space="preserve"> </w:t>
      </w:r>
      <w:r w:rsidRPr="008616FB">
        <w:rPr>
          <w:rStyle w:val="StyleUnderline"/>
          <w:highlight w:val="yellow"/>
        </w:rPr>
        <w:t>Bridging the gaps requires</w:t>
      </w:r>
      <w:r>
        <w:t xml:space="preserve">, first and foremost, efforts by emissaries from both traditions to foster a more tolerant and curious dialogue directed toward improved understanding and, ultimately, toward </w:t>
      </w:r>
      <w:r w:rsidRPr="008616FB">
        <w:rPr>
          <w:rStyle w:val="StyleUnderline"/>
          <w:highlight w:val="yellow"/>
        </w:rPr>
        <w:t>methodological hybridization</w:t>
      </w:r>
      <w:r>
        <w:t xml:space="preserve">. </w:t>
      </w:r>
      <w:r w:rsidRPr="00F8534B">
        <w:rPr>
          <w:rStyle w:val="StyleUnderline"/>
        </w:rPr>
        <w:t xml:space="preserve">Within one’s own academic community, it can become too easy to mistake consensus </w:t>
      </w:r>
      <w:r w:rsidRPr="00CE3CFD">
        <w:t xml:space="preserve">on methodological conventions </w:t>
      </w:r>
      <w:r w:rsidRPr="00F8534B">
        <w:rPr>
          <w:rStyle w:val="StyleUnderline"/>
        </w:rPr>
        <w:t>for epistemological rigor</w:t>
      </w:r>
      <w:r>
        <w:t>, and to forget that methodological strength also derives from refusal to be hemmed in by disciplinary boundaries.</w:t>
      </w:r>
    </w:p>
    <w:p w:rsidR="00F8534B" w:rsidRDefault="00F8534B" w:rsidP="00F8534B">
      <w:pPr>
        <w:pStyle w:val="Cards"/>
        <w:ind w:left="0"/>
      </w:pPr>
      <w:r>
        <w:t xml:space="preserve">From the standpoint of theory, a more sustained dialogue between </w:t>
      </w:r>
      <w:r w:rsidRPr="00F8534B">
        <w:rPr>
          <w:rStyle w:val="StyleUnderline"/>
        </w:rPr>
        <w:t xml:space="preserve">law and </w:t>
      </w:r>
      <w:r w:rsidRPr="008616FB">
        <w:rPr>
          <w:rStyle w:val="StyleUnderline"/>
          <w:highlight w:val="yellow"/>
        </w:rPr>
        <w:t>Surveillance Studies would count as a success if it</w:t>
      </w:r>
      <w:r>
        <w:t xml:space="preserve"> produced a mode of inquiry about surveillance that </w:t>
      </w:r>
      <w:r w:rsidRPr="008616FB">
        <w:rPr>
          <w:rStyle w:val="StyleUnderline"/>
          <w:highlight w:val="yellow"/>
        </w:rPr>
        <w:t>melded</w:t>
      </w:r>
      <w:r>
        <w:t xml:space="preserve"> the theoretical sophistication of Surveillance Studies </w:t>
      </w:r>
      <w:r w:rsidRPr="008616FB">
        <w:rPr>
          <w:rStyle w:val="StyleUnderline"/>
          <w:highlight w:val="yellow"/>
        </w:rPr>
        <w:t>with lawyerly attention to the details, mechanisms, and interests that constitute surveillance practices as legal practices,</w:t>
      </w:r>
      <w:r w:rsidRPr="00F8534B">
        <w:rPr>
          <w:rStyle w:val="StyleUnderline"/>
        </w:rPr>
        <w:t xml:space="preserve"> and to the kinds of framing that mobilize legal and policy communities</w:t>
      </w:r>
      <w:r>
        <w:t xml:space="preserve">. To do Surveillance Studies better, legal scholars need to challenge their own preference for putting problems in categories that fit neatly within the liberal model of human nature and behavior, and Surveillance Studies scholars can help by calling attention to the social and cultural processes within which surveillance practices are embedded. </w:t>
      </w:r>
      <w:r w:rsidRPr="00F8534B">
        <w:rPr>
          <w:rStyle w:val="StyleUnderline"/>
        </w:rPr>
        <w:t>Surveillance Studies scholars need to do more to resist their own penchant for totalizing dystopian narratives, and should delve more deeply into the legal and regulatory realpolitik that surrounds the administration of surveillance systems</w:t>
      </w:r>
      <w:r>
        <w:t xml:space="preserve">; </w:t>
      </w:r>
      <w:r w:rsidRPr="00F8534B">
        <w:rPr>
          <w:rStyle w:val="StyleUnderline"/>
        </w:rPr>
        <w:t>legal scholars can help by demystifying legal and regulatory processes.</w:t>
      </w:r>
    </w:p>
    <w:p w:rsidR="00F8534B" w:rsidRDefault="00F8534B" w:rsidP="00F8534B">
      <w:pPr>
        <w:pStyle w:val="Cards"/>
        <w:ind w:left="0"/>
      </w:pPr>
      <w:r>
        <w:t xml:space="preserve">From a legal scholar’s perspective, however, theory achieves its highest value when it becomes a tool for forcing productive confrontations about how to respond to real problems. And so I think it would count as an even bigger success if dialogue between law and Surveillance Studies generated not only a hybridized theoretical discourse of law-and-Surveillance-Studies but also </w:t>
      </w:r>
      <w:r w:rsidRPr="008616FB">
        <w:rPr>
          <w:rStyle w:val="StyleUnderline"/>
          <w:highlight w:val="yellow"/>
        </w:rPr>
        <w:t>the beginnings of a more accessible policy discourse about surveillance and privacy, along with reform proposals designed to put the animating concepts behind such a discourse into practice.</w:t>
      </w:r>
      <w:r>
        <w:t xml:space="preserve"> Here the goal would be a hybridization between law’s ingrained pragmatism and Surveillance Studies’ attentiveness to the social and cultural processes through which surveillance is experienced and assimilated. Working together, </w:t>
      </w:r>
      <w:r w:rsidRPr="00F8534B">
        <w:rPr>
          <w:rStyle w:val="StyleUnderline"/>
        </w:rPr>
        <w:t>legal scholars and Surveillance Studies scholars might advance</w:t>
      </w:r>
      <w:r w:rsidRPr="00F93F8F">
        <w:t xml:space="preserve"> the project</w:t>
      </w:r>
      <w:r>
        <w:t xml:space="preserve"> of formulating working definitions of privacy interests and harms, and might develop more sophisticated projections of the likely effects of different </w:t>
      </w:r>
      <w:r w:rsidRPr="00F8534B">
        <w:rPr>
          <w:rStyle w:val="StyleUnderline"/>
        </w:rPr>
        <w:t>policy levers that could be brought to bear on systems of surveillance</w:t>
      </w:r>
      <w:r w:rsidRPr="007812C2">
        <w:t>.</w:t>
      </w:r>
    </w:p>
    <w:p w:rsidR="00F8534B" w:rsidRDefault="00F8534B" w:rsidP="00F8534B">
      <w:pPr>
        <w:pStyle w:val="Nothing"/>
      </w:pPr>
    </w:p>
    <w:p w:rsidR="00F8534B" w:rsidRDefault="00F8534B" w:rsidP="00F8534B">
      <w:pPr>
        <w:pStyle w:val="Nothing"/>
      </w:pPr>
    </w:p>
    <w:p w:rsidR="00F8534B" w:rsidRDefault="00F8534B" w:rsidP="00F8534B">
      <w:pPr>
        <w:pStyle w:val="Nothing"/>
      </w:pPr>
    </w:p>
    <w:p w:rsidR="00F8534B" w:rsidRPr="00435F46" w:rsidRDefault="00F8534B" w:rsidP="00F8534B">
      <w:pPr>
        <w:pStyle w:val="Heading4"/>
      </w:pPr>
      <w:r>
        <w:t>Now the State debate</w:t>
      </w:r>
    </w:p>
    <w:p w:rsidR="00F8534B" w:rsidRPr="001E4A1D" w:rsidRDefault="00F8534B" w:rsidP="00F8534B">
      <w:pPr>
        <w:pStyle w:val="Heading4"/>
      </w:pPr>
      <w:r w:rsidRPr="00A70B70">
        <w:t xml:space="preserve">We do not need to win that the state is good, rather just that the value of the state is something that should be </w:t>
      </w:r>
      <w:r w:rsidRPr="00F8534B">
        <w:rPr>
          <w:rStyle w:val="StyleUnderline"/>
          <w:b/>
          <w:sz w:val="30"/>
          <w:szCs w:val="30"/>
        </w:rPr>
        <w:t xml:space="preserve">debated about. This is the screen you should adopt for the </w:t>
      </w:r>
      <w:proofErr w:type="spellStart"/>
      <w:r w:rsidRPr="00F8534B">
        <w:rPr>
          <w:rStyle w:val="StyleUnderline"/>
          <w:b/>
          <w:sz w:val="30"/>
          <w:szCs w:val="30"/>
        </w:rPr>
        <w:t>Aff’s</w:t>
      </w:r>
      <w:proofErr w:type="spellEnd"/>
      <w:r w:rsidRPr="00F8534B">
        <w:rPr>
          <w:rStyle w:val="StyleUnderline"/>
          <w:b/>
          <w:sz w:val="30"/>
          <w:szCs w:val="30"/>
        </w:rPr>
        <w:t xml:space="preserve"> </w:t>
      </w:r>
      <w:proofErr w:type="spellStart"/>
      <w:proofErr w:type="gramStart"/>
      <w:r w:rsidRPr="00F8534B">
        <w:rPr>
          <w:rStyle w:val="StyleUnderline"/>
          <w:b/>
          <w:sz w:val="30"/>
          <w:szCs w:val="30"/>
        </w:rPr>
        <w:t>ev</w:t>
      </w:r>
      <w:proofErr w:type="spellEnd"/>
      <w:proofErr w:type="gramEnd"/>
      <w:r w:rsidRPr="00F8534B">
        <w:rPr>
          <w:rStyle w:val="StyleUnderline"/>
          <w:b/>
          <w:sz w:val="30"/>
          <w:szCs w:val="30"/>
        </w:rPr>
        <w:t xml:space="preserve"> – it can’t just say that the state is bad or ineffective, their </w:t>
      </w:r>
      <w:proofErr w:type="spellStart"/>
      <w:r w:rsidRPr="00F8534B">
        <w:rPr>
          <w:rStyle w:val="StyleUnderline"/>
          <w:b/>
          <w:sz w:val="30"/>
          <w:szCs w:val="30"/>
        </w:rPr>
        <w:t>ev</w:t>
      </w:r>
      <w:proofErr w:type="spellEnd"/>
      <w:r w:rsidRPr="00F8534B">
        <w:rPr>
          <w:rStyle w:val="StyleUnderline"/>
          <w:b/>
          <w:sz w:val="30"/>
          <w:szCs w:val="30"/>
        </w:rPr>
        <w:t xml:space="preserve"> has to say that the state should not even be discussed. General indictments of the state can be done on the </w:t>
      </w:r>
      <w:proofErr w:type="spellStart"/>
      <w:r w:rsidRPr="00F8534B">
        <w:rPr>
          <w:rStyle w:val="StyleUnderline"/>
          <w:b/>
          <w:sz w:val="30"/>
          <w:szCs w:val="30"/>
        </w:rPr>
        <w:t>neg</w:t>
      </w:r>
      <w:proofErr w:type="spellEnd"/>
      <w:r w:rsidRPr="00F8534B">
        <w:rPr>
          <w:rStyle w:val="StyleUnderline"/>
          <w:b/>
          <w:sz w:val="30"/>
          <w:szCs w:val="30"/>
        </w:rPr>
        <w:t xml:space="preserve">, </w:t>
      </w:r>
      <w:r w:rsidRPr="001E4A1D">
        <w:t>while still preserving limited and effective debate and research.</w:t>
      </w:r>
    </w:p>
    <w:p w:rsidR="00F8534B" w:rsidRDefault="00F8534B" w:rsidP="00F8534B">
      <w:pPr>
        <w:pStyle w:val="Nothing"/>
      </w:pPr>
    </w:p>
    <w:p w:rsidR="00F8534B" w:rsidRDefault="001B79A5" w:rsidP="00F8534B">
      <w:pPr>
        <w:pStyle w:val="Heading4"/>
      </w:pPr>
      <w:r>
        <w:t>And, e</w:t>
      </w:r>
      <w:r w:rsidR="00F8534B">
        <w:t>ngaging with t</w:t>
      </w:r>
      <w:r w:rsidR="00F8534B" w:rsidRPr="00231893">
        <w:t>he government can solve debt —</w:t>
      </w:r>
      <w:r w:rsidR="00F8534B">
        <w:t xml:space="preserve"> analysis of the Chicago plan proves</w:t>
      </w:r>
    </w:p>
    <w:p w:rsidR="00F8534B" w:rsidRPr="00231893" w:rsidRDefault="00F8534B" w:rsidP="00F8534B">
      <w:r w:rsidRPr="00231893">
        <w:rPr>
          <w:rStyle w:val="Style13ptBold"/>
        </w:rPr>
        <w:t xml:space="preserve">Benes and </w:t>
      </w:r>
      <w:proofErr w:type="spellStart"/>
      <w:r w:rsidRPr="00231893">
        <w:rPr>
          <w:rStyle w:val="Style13ptBold"/>
        </w:rPr>
        <w:t>Kumhof</w:t>
      </w:r>
      <w:proofErr w:type="spellEnd"/>
      <w:r w:rsidRPr="00231893">
        <w:rPr>
          <w:rStyle w:val="Style13ptBold"/>
        </w:rPr>
        <w:t xml:space="preserve"> 12</w:t>
      </w:r>
      <w:r>
        <w:t xml:space="preserve"> — </w:t>
      </w:r>
      <w:proofErr w:type="spellStart"/>
      <w:r>
        <w:t>Jaromir</w:t>
      </w:r>
      <w:proofErr w:type="spellEnd"/>
      <w:r>
        <w:t xml:space="preserve"> Benes, Senior Economist at International Monetary Fund, MSc, Macroeconomics, Masaryk University Brno, Michael </w:t>
      </w:r>
      <w:proofErr w:type="spellStart"/>
      <w:r>
        <w:t>Kumhof</w:t>
      </w:r>
      <w:proofErr w:type="spellEnd"/>
      <w:r>
        <w:t>, Senior Research Advisor Bank of England 2015-Present IMF Economist 2004-2014 Stanford University Pro</w:t>
      </w:r>
      <w:bookmarkStart w:id="0" w:name="_GoBack"/>
      <w:bookmarkEnd w:id="0"/>
      <w:r>
        <w:t xml:space="preserve">fessor 1998-2004 Ph.D. Economics University of Maryland 1998 Corporate Banking Barclays Bank PLC 1988-1993, 2012 (“The Chicago Plan Revisited,” </w:t>
      </w:r>
      <w:r w:rsidRPr="00E15138">
        <w:rPr>
          <w:i/>
        </w:rPr>
        <w:t>International Monetary Fund</w:t>
      </w:r>
      <w:r>
        <w:t xml:space="preserve">, available online at </w:t>
      </w:r>
      <w:hyperlink r:id="rId6" w:history="1">
        <w:r w:rsidRPr="00B27CAB">
          <w:rPr>
            <w:rStyle w:val="Hyperlink"/>
          </w:rPr>
          <w:t>http://www.imf.org/external/pubs/ft/wp/2012/wp12202.pdf</w:t>
        </w:r>
      </w:hyperlink>
      <w:r>
        <w:t>, accessed on 7-26-15)</w:t>
      </w:r>
    </w:p>
    <w:p w:rsidR="00F8534B" w:rsidRDefault="00F8534B" w:rsidP="00F8534B">
      <w:r w:rsidRPr="00231893">
        <w:rPr>
          <w:rStyle w:val="StyleUnderline"/>
        </w:rPr>
        <w:t xml:space="preserve">This paper revisits </w:t>
      </w:r>
      <w:r w:rsidRPr="008616FB">
        <w:rPr>
          <w:rStyle w:val="StyleUnderline"/>
          <w:highlight w:val="yellow"/>
        </w:rPr>
        <w:t>the Chicago Plan</w:t>
      </w:r>
      <w:r>
        <w:t xml:space="preserve">, a proposal for fundamental monetary reform that was put forward by many leading U.S. economists at the height of the Great Depression. </w:t>
      </w:r>
      <w:r w:rsidRPr="00231893">
        <w:rPr>
          <w:rStyle w:val="StyleUnderline"/>
        </w:rPr>
        <w:t>Fisher</w:t>
      </w:r>
      <w:r w:rsidRPr="00231893">
        <w:t xml:space="preserve"> (1936), in his brilliant summary of the Chicago Plan, </w:t>
      </w:r>
      <w:r w:rsidRPr="00231893">
        <w:rPr>
          <w:rStyle w:val="StyleUnderline"/>
        </w:rPr>
        <w:t xml:space="preserve">claimed that it </w:t>
      </w:r>
      <w:r w:rsidRPr="008616FB">
        <w:rPr>
          <w:rStyle w:val="StyleUnderline"/>
          <w:highlight w:val="yellow"/>
        </w:rPr>
        <w:t>had four major advantages</w:t>
      </w:r>
      <w:r>
        <w:t xml:space="preserve">, ranging from greater macroeconomic stability </w:t>
      </w:r>
      <w:r w:rsidRPr="008616FB">
        <w:rPr>
          <w:rStyle w:val="StyleUnderline"/>
          <w:highlight w:val="yellow"/>
        </w:rPr>
        <w:t>to much lower debt levels throughout the economy</w:t>
      </w:r>
      <w:r w:rsidRPr="008616FB">
        <w:rPr>
          <w:highlight w:val="yellow"/>
        </w:rPr>
        <w:t>.</w:t>
      </w:r>
      <w:r>
        <w:t xml:space="preserve"> In this paper </w:t>
      </w:r>
      <w:r w:rsidRPr="008616FB">
        <w:rPr>
          <w:rStyle w:val="StyleUnderline"/>
          <w:highlight w:val="yellow"/>
        </w:rPr>
        <w:t>we</w:t>
      </w:r>
      <w:r w:rsidRPr="00231893">
        <w:rPr>
          <w:rStyle w:val="StyleUnderline"/>
        </w:rPr>
        <w:t xml:space="preserve"> are able to rigorously </w:t>
      </w:r>
      <w:r w:rsidRPr="008616FB">
        <w:rPr>
          <w:rStyle w:val="StyleUnderline"/>
          <w:highlight w:val="yellow"/>
        </w:rPr>
        <w:t>evaluate</w:t>
      </w:r>
      <w:r>
        <w:t xml:space="preserve"> his claims, </w:t>
      </w:r>
      <w:r w:rsidRPr="008616FB">
        <w:rPr>
          <w:rStyle w:val="StyleUnderline"/>
          <w:highlight w:val="yellow"/>
        </w:rPr>
        <w:t xml:space="preserve">by applying the recommendations of the Chicago Plan to a state-of-the-art monetary DSGE model that contains a fully </w:t>
      </w:r>
      <w:proofErr w:type="spellStart"/>
      <w:r w:rsidRPr="008616FB">
        <w:rPr>
          <w:rStyle w:val="StyleUnderline"/>
          <w:highlight w:val="yellow"/>
        </w:rPr>
        <w:t>microfounded</w:t>
      </w:r>
      <w:proofErr w:type="spellEnd"/>
      <w:r w:rsidRPr="008616FB">
        <w:rPr>
          <w:rStyle w:val="StyleUnderline"/>
          <w:highlight w:val="yellow"/>
        </w:rPr>
        <w:t xml:space="preserve"> and carefully calibrated model of the current U.S. financial system</w:t>
      </w:r>
      <w:r w:rsidRPr="008616FB">
        <w:rPr>
          <w:highlight w:val="yellow"/>
        </w:rPr>
        <w:t>.</w:t>
      </w:r>
      <w:r>
        <w:t xml:space="preserve"> The critical feature of this model is that the economy’s money supply is created by banks, through debt, rather than being created debt-free by the government.</w:t>
      </w:r>
    </w:p>
    <w:p w:rsidR="00F8534B" w:rsidRDefault="00F8534B" w:rsidP="00F8534B">
      <w:r w:rsidRPr="00231893">
        <w:rPr>
          <w:rStyle w:val="StyleUnderline"/>
        </w:rPr>
        <w:t>Our</w:t>
      </w:r>
      <w:r>
        <w:t xml:space="preserve"> analytical and simulation </w:t>
      </w:r>
      <w:r w:rsidRPr="00231893">
        <w:rPr>
          <w:rStyle w:val="StyleUnderline"/>
        </w:rPr>
        <w:t>results fully validate Fisher’s</w:t>
      </w:r>
      <w:r>
        <w:t xml:space="preserve"> (1936) </w:t>
      </w:r>
      <w:r w:rsidRPr="00231893">
        <w:rPr>
          <w:rStyle w:val="StyleUnderline"/>
        </w:rPr>
        <w:t>claims</w:t>
      </w:r>
      <w:r>
        <w:t xml:space="preserve">. The Chicago Plan could significantly reduce business cycle volatility caused by rapid changes in banks’ attitudes towards credit </w:t>
      </w:r>
      <w:r w:rsidRPr="00231893">
        <w:t>risk,</w:t>
      </w:r>
      <w:r w:rsidRPr="00231893">
        <w:rPr>
          <w:rStyle w:val="StyleUnderline"/>
        </w:rPr>
        <w:t xml:space="preserve"> </w:t>
      </w:r>
      <w:r w:rsidRPr="008616FB">
        <w:rPr>
          <w:rStyle w:val="StyleUnderline"/>
          <w:highlight w:val="yellow"/>
        </w:rPr>
        <w:t>it would eliminate bank runs, and it would lead to an instantaneous and large reduction in the levels of both government and private debt</w:t>
      </w:r>
      <w:r w:rsidRPr="008616FB">
        <w:rPr>
          <w:highlight w:val="yellow"/>
        </w:rPr>
        <w:t xml:space="preserve">. </w:t>
      </w:r>
      <w:r w:rsidRPr="008616FB">
        <w:rPr>
          <w:rStyle w:val="StyleUnderline"/>
          <w:highlight w:val="yellow"/>
        </w:rPr>
        <w:t>It would accomplish the latter by making government-issued money, which represents equity in the commonwealth rather than debt, the central liquid asset of the economy, while banks concentrate on their strength, the extension of credit to investment projects that require monitoring and risk management expertise</w:t>
      </w:r>
      <w:r w:rsidRPr="00231893">
        <w:rPr>
          <w:rStyle w:val="StyleUnderline"/>
        </w:rPr>
        <w:t>.</w:t>
      </w:r>
      <w:r>
        <w:t xml:space="preserve"> We </w:t>
      </w:r>
      <w:r w:rsidRPr="00231893">
        <w:t>find that the advantages of the Chicago Plan go even beyond those claimed by Fisher. One</w:t>
      </w:r>
      <w:r>
        <w:t xml:space="preserve"> additional advantage is large steady state output gains due to the removal or reduction of multiple distortions, including interest rate risk spreads, distortionary taxes, and costly monitoring of </w:t>
      </w:r>
      <w:proofErr w:type="spellStart"/>
      <w:r>
        <w:t>macroeconomically</w:t>
      </w:r>
      <w:proofErr w:type="spellEnd"/>
      <w:r>
        <w:t xml:space="preserve"> unnecessary credit risks. Another advantage is the ability to drive steady state inflation to zero in an environment where liquidity traps do not exist, and where monetarism becomes feasible and desirable because the government does in fact control broad monetary aggregates. This ability to generate and live with zero steady state inflation is an important result, because it answers the somewhat confused claim of opponents of an exclusive government monopoly on money issuance, namely that such a monetary system would be highly inflationary. There is nothing in our theoretical framework to support this claim. And as discussed in Section II, there is very little in the monetary history of ancient societies and Western nations to support it either.</w:t>
      </w:r>
    </w:p>
    <w:p w:rsidR="00F8534B" w:rsidRPr="003D0562" w:rsidRDefault="00F8534B" w:rsidP="00F8534B">
      <w:pPr>
        <w:pStyle w:val="Nothing"/>
      </w:pPr>
    </w:p>
    <w:p w:rsidR="00F8534B" w:rsidRDefault="00F8534B" w:rsidP="00F8534B">
      <w:pPr>
        <w:pStyle w:val="Nothing"/>
      </w:pPr>
    </w:p>
    <w:p w:rsidR="00F8534B" w:rsidRDefault="001B79A5" w:rsidP="00F8534B">
      <w:pPr>
        <w:pStyle w:val="Heading3"/>
      </w:pPr>
      <w:r>
        <w:t xml:space="preserve">Second line — </w:t>
      </w:r>
      <w:proofErr w:type="gramStart"/>
      <w:r>
        <w:t>Engaging</w:t>
      </w:r>
      <w:proofErr w:type="gramEnd"/>
      <w:r>
        <w:t xml:space="preserve"> with government solves debt</w:t>
      </w:r>
    </w:p>
    <w:p w:rsidR="001B79A5" w:rsidRDefault="001B79A5" w:rsidP="001B79A5">
      <w:pPr>
        <w:pStyle w:val="Heading4"/>
      </w:pPr>
      <w:r>
        <w:t>Engaging with the government can solve debt — abolishing debt is key to delegitimizing government</w:t>
      </w:r>
    </w:p>
    <w:p w:rsidR="001B79A5" w:rsidRPr="00231893" w:rsidRDefault="001B79A5" w:rsidP="001B79A5">
      <w:proofErr w:type="spellStart"/>
      <w:r w:rsidRPr="00231893">
        <w:rPr>
          <w:rStyle w:val="Style13ptBold"/>
        </w:rPr>
        <w:t>Vasconcelos</w:t>
      </w:r>
      <w:proofErr w:type="spellEnd"/>
      <w:r w:rsidRPr="00231893">
        <w:rPr>
          <w:rStyle w:val="Style13ptBold"/>
        </w:rPr>
        <w:t xml:space="preserve"> 15</w:t>
      </w:r>
      <w:r>
        <w:t xml:space="preserve"> — Erick </w:t>
      </w:r>
      <w:proofErr w:type="spellStart"/>
      <w:r>
        <w:t>Vasconcelos</w:t>
      </w:r>
      <w:proofErr w:type="spellEnd"/>
      <w:r>
        <w:t xml:space="preserve">, Center for a Stateless Society Portuguese language editor, translator, and journalist, 2015 (“Let’s Abolish Government Debt,” </w:t>
      </w:r>
      <w:r w:rsidRPr="00231893">
        <w:rPr>
          <w:i/>
        </w:rPr>
        <w:t>Center for a Stateless Society</w:t>
      </w:r>
      <w:r>
        <w:t xml:space="preserve">, Accessible online at </w:t>
      </w:r>
      <w:hyperlink r:id="rId7" w:history="1">
        <w:r w:rsidRPr="00B27CAB">
          <w:rPr>
            <w:rStyle w:val="Hyperlink"/>
          </w:rPr>
          <w:t>https://c4ss.org/content/38425</w:t>
        </w:r>
      </w:hyperlink>
      <w:r>
        <w:t>, accessed on 7-26-15)</w:t>
      </w:r>
    </w:p>
    <w:p w:rsidR="001B79A5" w:rsidRDefault="001B79A5" w:rsidP="001B79A5">
      <w:r>
        <w:t xml:space="preserve">Let’s get this out of the way first: </w:t>
      </w:r>
      <w:r w:rsidRPr="00447EAA">
        <w:rPr>
          <w:rStyle w:val="StyleUnderline"/>
          <w:highlight w:val="yellow"/>
        </w:rPr>
        <w:t>it’s time to abolish</w:t>
      </w:r>
      <w:r w:rsidRPr="00231893">
        <w:rPr>
          <w:rStyle w:val="StyleUnderline"/>
        </w:rPr>
        <w:t xml:space="preserve"> government </w:t>
      </w:r>
      <w:r w:rsidRPr="00447EAA">
        <w:rPr>
          <w:rStyle w:val="StyleUnderline"/>
          <w:highlight w:val="yellow"/>
        </w:rPr>
        <w:t>debt</w:t>
      </w:r>
      <w:r w:rsidRPr="00231893">
        <w:rPr>
          <w:rStyle w:val="StyleUnderline"/>
        </w:rPr>
        <w:t>.</w:t>
      </w:r>
      <w:r>
        <w:t xml:space="preserve"> The state should be unable, effectively prohibited to issue new debt and take loans. There is no justification for government debt, which essentially boils down to contracting debt to be covered by future taxes paid for by third parties. By the people; you and I. Former Brazilian Revenue Service auditor Maria Lucia </w:t>
      </w:r>
      <w:proofErr w:type="spellStart"/>
      <w:r>
        <w:t>Fattorelli</w:t>
      </w:r>
      <w:proofErr w:type="spellEnd"/>
      <w:r>
        <w:t xml:space="preserve"> isn’t as radical. In an interview (“‘A </w:t>
      </w:r>
      <w:proofErr w:type="spellStart"/>
      <w:r>
        <w:t>dívida</w:t>
      </w:r>
      <w:proofErr w:type="spellEnd"/>
      <w:r>
        <w:t xml:space="preserve"> é um mega </w:t>
      </w:r>
      <w:proofErr w:type="spellStart"/>
      <w:r>
        <w:t>esquema</w:t>
      </w:r>
      <w:proofErr w:type="spellEnd"/>
      <w:r>
        <w:t xml:space="preserve"> de </w:t>
      </w:r>
      <w:proofErr w:type="spellStart"/>
      <w:r>
        <w:t>corrupção</w:t>
      </w:r>
      <w:proofErr w:type="spellEnd"/>
      <w:r>
        <w:t xml:space="preserve"> </w:t>
      </w:r>
      <w:proofErr w:type="spellStart"/>
      <w:r>
        <w:t>institucionalizado</w:t>
      </w:r>
      <w:proofErr w:type="spellEnd"/>
      <w:r>
        <w:t xml:space="preserve">’“, Carta Capital, July 9), </w:t>
      </w:r>
      <w:proofErr w:type="spellStart"/>
      <w:r>
        <w:t>Fattorelli</w:t>
      </w:r>
      <w:proofErr w:type="spellEnd"/>
      <w:r>
        <w:t>, who is part of the Greek Financial Audit, explains how public debt works as a direct income transfer to the rich and why the so-called “audit” is necessary to free countries from cumulative debt that charges interest over interest.</w:t>
      </w:r>
    </w:p>
    <w:p w:rsidR="001B79A5" w:rsidRDefault="001B79A5" w:rsidP="001B79A5">
      <w:r>
        <w:t xml:space="preserve">The need for an “audit”, as opposed to the straight abolition of debt, is common within many sectors of the left (for example, former presidential candidate Luciana </w:t>
      </w:r>
      <w:proofErr w:type="spellStart"/>
      <w:r>
        <w:t>Genro</w:t>
      </w:r>
      <w:proofErr w:type="spellEnd"/>
      <w:r>
        <w:t xml:space="preserve"> included a “citizen audit” in her campaign platform in 2014</w:t>
      </w:r>
      <w:r w:rsidRPr="00447EAA">
        <w:t xml:space="preserve">). </w:t>
      </w:r>
      <w:r w:rsidRPr="00447EAA">
        <w:rPr>
          <w:rStyle w:val="StyleUnderline"/>
        </w:rPr>
        <w:t xml:space="preserve">This happens because </w:t>
      </w:r>
      <w:r w:rsidRPr="00447EAA">
        <w:rPr>
          <w:rStyle w:val="StyleUnderline"/>
          <w:highlight w:val="yellow"/>
        </w:rPr>
        <w:t>the left is viscerally afraid of delegitimizing power and the government, so for them only “illegitimate” debt should be dropped</w:t>
      </w:r>
      <w:r>
        <w:t xml:space="preserve">. However, the prerogative the government possesses of contracting debt and forcing the people to pay for them remains unquestioned. It’s, perhaps, another manifestation of the spineless shrillness of the left: for them, </w:t>
      </w:r>
      <w:r w:rsidRPr="00231893">
        <w:rPr>
          <w:rStyle w:val="StyleUnderline"/>
        </w:rPr>
        <w:t>the government is powerless when faced with the external forces of capital, which demand that it incurs in ever growing debt</w:t>
      </w:r>
      <w:r>
        <w:t>.</w:t>
      </w:r>
    </w:p>
    <w:p w:rsidR="001B79A5" w:rsidRDefault="001B79A5" w:rsidP="001B79A5">
      <w:r>
        <w:t xml:space="preserve">Such fairy tale hides the fact that the government uses debt precisely to subsidize capitalists. It also hides the fact that it is a system of channeling wealth extremely efficient and useful for the government, absorbing credit from the economy and directing it to businesses that function as its arms. It happens sometimes for strictly electoral reasons. As </w:t>
      </w:r>
      <w:proofErr w:type="spellStart"/>
      <w:r>
        <w:t>Fattorelli</w:t>
      </w:r>
      <w:proofErr w:type="spellEnd"/>
      <w:r>
        <w:t xml:space="preserve"> notes, the Lula administration paid the external debt Brazil had (at 4% interest) issuing internal debt, paying over 19% interest to national capitalists. That was celebrated as a victory of the Brazilian people.</w:t>
      </w:r>
    </w:p>
    <w:p w:rsidR="001B79A5" w:rsidRDefault="001B79A5" w:rsidP="001B79A5">
      <w:r>
        <w:t xml:space="preserve">Obviously, it’s nothing more than a subsidy to national capital, which is expensive, unproductive, and needs increasing amounts of resources to keep being viable. These increasing subsidies inflate debt, which requires an economy in constant growth to manage interest. As debt snowballs, we reach the fiscal crisis we have nowadays, requiring “adjustments” and “austerity” — including even the so-called “fiscal </w:t>
      </w:r>
      <w:proofErr w:type="spellStart"/>
      <w:r>
        <w:t>pedallings</w:t>
      </w:r>
      <w:proofErr w:type="spellEnd"/>
      <w:r>
        <w:t>,” the ridiculous name given to the accounting frauds committed by Dilma Rousseff’s administration to avoid going over the federal budget.</w:t>
      </w:r>
    </w:p>
    <w:p w:rsidR="001B79A5" w:rsidRDefault="001B79A5" w:rsidP="001B79A5">
      <w:r>
        <w:t xml:space="preserve">But auditing is not the solution. </w:t>
      </w:r>
      <w:r w:rsidRPr="00447EAA">
        <w:rPr>
          <w:rStyle w:val="StyleUnderline"/>
          <w:highlight w:val="yellow"/>
        </w:rPr>
        <w:t>The solution is to end debt</w:t>
      </w:r>
      <w:r>
        <w:t xml:space="preserve">. I don’t mean a moratorium, but a </w:t>
      </w:r>
      <w:proofErr w:type="spellStart"/>
      <w:r w:rsidRPr="00447EAA">
        <w:rPr>
          <w:rStyle w:val="StyleUnderline"/>
          <w:highlight w:val="yellow"/>
        </w:rPr>
        <w:t>delegitimation</w:t>
      </w:r>
      <w:proofErr w:type="spellEnd"/>
      <w:r w:rsidRPr="00447EAA">
        <w:rPr>
          <w:rStyle w:val="StyleUnderline"/>
          <w:highlight w:val="yellow"/>
        </w:rPr>
        <w:t xml:space="preserve"> of debt contraction by the state. The presidency must be incapable of acquiring debt for the citizens to pay, no matter the reason. Full stop</w:t>
      </w:r>
      <w:r>
        <w:t>.</w:t>
      </w:r>
    </w:p>
    <w:p w:rsidR="001B79A5" w:rsidRDefault="001B79A5" w:rsidP="001B79A5">
      <w:pPr>
        <w:rPr>
          <w:rStyle w:val="StyleUnderline"/>
        </w:rPr>
      </w:pPr>
      <w:r>
        <w:t xml:space="preserve">It’s a radical idea, </w:t>
      </w:r>
      <w:r w:rsidRPr="00231893">
        <w:rPr>
          <w:rStyle w:val="StyleUnderline"/>
        </w:rPr>
        <w:t>but debt should be abolished</w:t>
      </w:r>
      <w:r>
        <w:t xml:space="preserve">. Today. Over time, it not only morphed into a system that generates increasing debt and that channels money from the individuals to banks’ and capitalists’ pockets, but government debt also became more shameless. </w:t>
      </w:r>
      <w:r w:rsidRPr="00231893">
        <w:rPr>
          <w:rStyle w:val="StyleUnderline"/>
        </w:rPr>
        <w:t>If governments used to issue “war bonds” when they wanted to bomb someone, nowadays that isn’t even needed. Governments are able to issue unlimited debt for whatever reason.</w:t>
      </w:r>
    </w:p>
    <w:p w:rsidR="001B79A5" w:rsidRPr="001B79A5" w:rsidRDefault="001B79A5" w:rsidP="001B79A5"/>
    <w:p w:rsidR="00F8534B" w:rsidRPr="00F8534B" w:rsidRDefault="00F8534B" w:rsidP="00F8534B"/>
    <w:sectPr w:rsidR="00F8534B" w:rsidRPr="00F853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49385556"/>
  </w:docVars>
  <w:rsids>
    <w:rsidRoot w:val="00231893"/>
    <w:rsid w:val="000A1A0C"/>
    <w:rsid w:val="001B79A5"/>
    <w:rsid w:val="00231893"/>
    <w:rsid w:val="00447EAA"/>
    <w:rsid w:val="008219DB"/>
    <w:rsid w:val="008616FB"/>
    <w:rsid w:val="00E15138"/>
    <w:rsid w:val="00F85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0341B-413E-4870-B9E7-A9E9BD2C7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8616FB"/>
    <w:rPr>
      <w:rFonts w:ascii="Calibri" w:hAnsi="Calibri" w:cs="Times New Roman"/>
    </w:rPr>
  </w:style>
  <w:style w:type="paragraph" w:styleId="Heading1">
    <w:name w:val="heading 1"/>
    <w:aliases w:val="Pocket"/>
    <w:basedOn w:val="Normal"/>
    <w:next w:val="Normal"/>
    <w:link w:val="Heading1Char"/>
    <w:qFormat/>
    <w:rsid w:val="008616F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16F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16FB"/>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
    <w:basedOn w:val="Normal"/>
    <w:next w:val="Normal"/>
    <w:link w:val="Heading4Char"/>
    <w:uiPriority w:val="3"/>
    <w:unhideWhenUsed/>
    <w:qFormat/>
    <w:rsid w:val="008616FB"/>
    <w:pPr>
      <w:keepNext/>
      <w:keepLines/>
      <w:spacing w:before="40" w:after="0"/>
      <w:outlineLvl w:val="3"/>
    </w:pPr>
    <w:rPr>
      <w:rFonts w:eastAsiaTheme="majorEastAsia" w:cstheme="majorBidi"/>
      <w:b/>
      <w:iCs/>
      <w:sz w:val="30"/>
    </w:rPr>
  </w:style>
  <w:style w:type="character" w:default="1" w:styleId="DefaultParagraphFont">
    <w:name w:val="Default Paragraph Font"/>
    <w:uiPriority w:val="1"/>
    <w:semiHidden/>
    <w:unhideWhenUsed/>
    <w:rsid w:val="008616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6FB"/>
  </w:style>
  <w:style w:type="character" w:customStyle="1" w:styleId="Heading1Char">
    <w:name w:val="Heading 1 Char"/>
    <w:aliases w:val="Pocket Char"/>
    <w:basedOn w:val="DefaultParagraphFont"/>
    <w:link w:val="Heading1"/>
    <w:rsid w:val="008616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16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16FB"/>
    <w:rPr>
      <w:rFonts w:ascii="Calibri" w:eastAsiaTheme="majorEastAsia" w:hAnsi="Calibri" w:cstheme="majorBidi"/>
      <w:b/>
      <w:sz w:val="38"/>
      <w:szCs w:val="24"/>
      <w:u w:val="single"/>
    </w:rPr>
  </w:style>
  <w:style w:type="character" w:customStyle="1" w:styleId="Heading4Char">
    <w:name w:val="Heading 4 Char"/>
    <w:aliases w:val="Tag Char"/>
    <w:basedOn w:val="DefaultParagraphFont"/>
    <w:link w:val="Heading4"/>
    <w:uiPriority w:val="3"/>
    <w:rsid w:val="008616FB"/>
    <w:rPr>
      <w:rFonts w:ascii="Calibri" w:eastAsiaTheme="majorEastAsia" w:hAnsi="Calibri" w:cstheme="majorBidi"/>
      <w:b/>
      <w:iCs/>
      <w:sz w:val="30"/>
    </w:rPr>
  </w:style>
  <w:style w:type="character" w:styleId="Emphasis">
    <w:name w:val="Emphasis"/>
    <w:basedOn w:val="DefaultParagraphFont"/>
    <w:uiPriority w:val="7"/>
    <w:qFormat/>
    <w:rsid w:val="008616FB"/>
    <w:rPr>
      <w:rFonts w:ascii="Calibri" w:hAnsi="Calibri" w:cs="Times New Roman"/>
      <w:b/>
      <w:i w:val="0"/>
      <w:iCs/>
      <w:sz w:val="30"/>
      <w:u w:val="single"/>
      <w:bdr w:val="single" w:sz="18" w:space="0" w:color="auto"/>
    </w:rPr>
  </w:style>
  <w:style w:type="character" w:customStyle="1" w:styleId="Style13ptBold">
    <w:name w:val="Style 13 pt Bold"/>
    <w:aliases w:val="Cite"/>
    <w:basedOn w:val="DefaultParagraphFont"/>
    <w:uiPriority w:val="5"/>
    <w:qFormat/>
    <w:rsid w:val="008616FB"/>
    <w:rPr>
      <w:b/>
      <w:bCs/>
      <w:sz w:val="26"/>
      <w:u w:val="none"/>
    </w:rPr>
  </w:style>
  <w:style w:type="character" w:customStyle="1" w:styleId="StyleUnderline">
    <w:name w:val="Style Underline"/>
    <w:aliases w:val="Underline"/>
    <w:basedOn w:val="DefaultParagraphFont"/>
    <w:uiPriority w:val="6"/>
    <w:qFormat/>
    <w:rsid w:val="008616FB"/>
    <w:rPr>
      <w:b/>
      <w:sz w:val="28"/>
      <w:u w:val="single"/>
    </w:rPr>
  </w:style>
  <w:style w:type="character" w:styleId="Hyperlink">
    <w:name w:val="Hyperlink"/>
    <w:basedOn w:val="DefaultParagraphFont"/>
    <w:uiPriority w:val="99"/>
    <w:unhideWhenUsed/>
    <w:rsid w:val="008616FB"/>
    <w:rPr>
      <w:color w:val="auto"/>
      <w:u w:val="none"/>
    </w:rPr>
  </w:style>
  <w:style w:type="character" w:styleId="FollowedHyperlink">
    <w:name w:val="FollowedHyperlink"/>
    <w:basedOn w:val="DefaultParagraphFont"/>
    <w:uiPriority w:val="99"/>
    <w:semiHidden/>
    <w:unhideWhenUsed/>
    <w:rsid w:val="008616FB"/>
    <w:rPr>
      <w:color w:val="auto"/>
      <w:u w:val="none"/>
    </w:rPr>
  </w:style>
  <w:style w:type="paragraph" w:customStyle="1" w:styleId="Nothing">
    <w:name w:val="Nothing"/>
    <w:link w:val="NothingChar"/>
    <w:qFormat/>
    <w:rsid w:val="00F8534B"/>
    <w:pPr>
      <w:spacing w:after="0" w:line="240" w:lineRule="auto"/>
    </w:pPr>
    <w:rPr>
      <w:rFonts w:ascii="Times New Roman" w:eastAsia="Times New Roman" w:hAnsi="Times New Roman" w:cs="Times New Roman"/>
      <w:sz w:val="20"/>
      <w:szCs w:val="20"/>
    </w:rPr>
  </w:style>
  <w:style w:type="character" w:customStyle="1" w:styleId="NothingChar">
    <w:name w:val="Nothing Char"/>
    <w:link w:val="Nothing"/>
    <w:rsid w:val="00F8534B"/>
    <w:rPr>
      <w:rFonts w:ascii="Times New Roman" w:eastAsia="Times New Roman" w:hAnsi="Times New Roman" w:cs="Times New Roman"/>
      <w:sz w:val="20"/>
      <w:szCs w:val="20"/>
    </w:rPr>
  </w:style>
  <w:style w:type="paragraph" w:customStyle="1" w:styleId="Cards">
    <w:name w:val="Cards"/>
    <w:next w:val="Nothing"/>
    <w:link w:val="CardsChar"/>
    <w:qFormat/>
    <w:rsid w:val="00F8534B"/>
    <w:pPr>
      <w:widowControl w:val="0"/>
      <w:spacing w:after="0" w:line="240" w:lineRule="auto"/>
      <w:ind w:left="432" w:right="432"/>
    </w:pPr>
    <w:rPr>
      <w:rFonts w:ascii="Times New Roman" w:eastAsia="Times New Roman" w:hAnsi="Times New Roman" w:cs="Times New Roman"/>
      <w:sz w:val="20"/>
      <w:szCs w:val="20"/>
    </w:rPr>
  </w:style>
  <w:style w:type="character" w:customStyle="1" w:styleId="CardsChar">
    <w:name w:val="Cards Char"/>
    <w:link w:val="Cards"/>
    <w:rsid w:val="00F8534B"/>
    <w:rPr>
      <w:rFonts w:ascii="Times New Roman" w:eastAsia="Times New Roman" w:hAnsi="Times New Roman" w:cs="Times New Roman"/>
      <w:sz w:val="20"/>
      <w:szCs w:val="20"/>
    </w:rPr>
  </w:style>
  <w:style w:type="character" w:customStyle="1" w:styleId="DebateUnderline">
    <w:name w:val="Debate Underline"/>
    <w:qFormat/>
    <w:rsid w:val="00F8534B"/>
    <w:rPr>
      <w:sz w:val="24"/>
      <w:u w:val="thick"/>
    </w:rPr>
  </w:style>
  <w:style w:type="character" w:customStyle="1" w:styleId="Author-Date">
    <w:name w:val="Author-Date"/>
    <w:rsid w:val="00F8534B"/>
    <w:rPr>
      <w:b/>
      <w:sz w:val="24"/>
    </w:rPr>
  </w:style>
  <w:style w:type="paragraph" w:customStyle="1" w:styleId="Tags">
    <w:name w:val="Tags"/>
    <w:aliases w:val="No Spacing,No Spacing1,Debate Text,No Spacing11,No Spacing2,Card,Read stuff,No Spacing111,tags,No Spacing21,No Spacing3,No Spacing211,No Spacing4,No Spacing1111,No Spacing5,No Spacing12,No Spacing2111,No Spacing31,No Spacing311,No Spacing11111,tag"/>
    <w:next w:val="Nothing"/>
    <w:link w:val="TagsChar1"/>
    <w:qFormat/>
    <w:rsid w:val="00F8534B"/>
    <w:pPr>
      <w:widowControl w:val="0"/>
      <w:spacing w:after="0" w:line="240" w:lineRule="auto"/>
      <w:outlineLvl w:val="3"/>
    </w:pPr>
    <w:rPr>
      <w:rFonts w:ascii="Times New Roman" w:eastAsia="Times New Roman" w:hAnsi="Times New Roman" w:cs="Times New Roman"/>
      <w:b/>
      <w:sz w:val="24"/>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link w:val="Tags"/>
    <w:qFormat/>
    <w:locked/>
    <w:rsid w:val="00F8534B"/>
    <w:rPr>
      <w:rFonts w:ascii="Times New Roman" w:eastAsia="Times New Roman" w:hAnsi="Times New Roman" w:cs="Times New Roman"/>
      <w:b/>
      <w:sz w:val="24"/>
      <w:szCs w:val="24"/>
    </w:rPr>
  </w:style>
  <w:style w:type="paragraph" w:customStyle="1" w:styleId="Cites">
    <w:name w:val="Cites"/>
    <w:next w:val="Cards"/>
    <w:rsid w:val="00F8534B"/>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4ss.org/content/3842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mf.org/external/pubs/ft/wp/2012/wp12202.pdf" TargetMode="External"/><Relationship Id="rId5" Type="http://schemas.openxmlformats.org/officeDocument/2006/relationships/hyperlink" Target="http://www.imf.org/external/pubs/ft/wp/2012/wp12202.pdf"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br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321</TotalTime>
  <Pages>1</Pages>
  <Words>14481</Words>
  <Characters>82546</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Gibran Essa</dc:creator>
  <cp:keywords/>
  <dc:description/>
  <cp:lastModifiedBy>Gibran Essa</cp:lastModifiedBy>
  <cp:revision>4</cp:revision>
  <dcterms:created xsi:type="dcterms:W3CDTF">2015-07-26T17:36:00Z</dcterms:created>
  <dcterms:modified xsi:type="dcterms:W3CDTF">2015-07-28T02:25:00Z</dcterms:modified>
</cp:coreProperties>
</file>